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62C9" w14:textId="77777777" w:rsidR="00C66DA6" w:rsidRPr="00C971B8" w:rsidRDefault="00C66DA6" w:rsidP="0055319C">
      <w:pPr>
        <w:ind w:left="708" w:hanging="708"/>
        <w:rPr>
          <w:rFonts w:ascii="Verdana" w:hAnsi="Verdana"/>
          <w:lang w:val="en-US" w:eastAsia="es-ES"/>
        </w:rPr>
      </w:pPr>
    </w:p>
    <w:p w14:paraId="176CCD7C" w14:textId="231AC801" w:rsidR="00C66DA6" w:rsidRPr="00C971B8" w:rsidRDefault="00C66DA6" w:rsidP="00C66DA6">
      <w:pPr>
        <w:rPr>
          <w:rFonts w:ascii="Verdana" w:hAnsi="Verdana"/>
          <w:lang w:val="en-US" w:eastAsia="es-ES"/>
        </w:rPr>
      </w:pPr>
    </w:p>
    <w:p w14:paraId="557787AF" w14:textId="51DED38B" w:rsidR="00193CBB" w:rsidRPr="00C971B8" w:rsidRDefault="00193CBB" w:rsidP="00C66DA6">
      <w:pPr>
        <w:rPr>
          <w:rFonts w:ascii="Verdana" w:hAnsi="Verdana"/>
          <w:lang w:val="en-US" w:eastAsia="es-ES"/>
        </w:rPr>
      </w:pPr>
    </w:p>
    <w:p w14:paraId="6C665C87" w14:textId="2DF88980" w:rsidR="00277D66" w:rsidRPr="00C971B8" w:rsidRDefault="00277D66" w:rsidP="00C66DA6">
      <w:pPr>
        <w:rPr>
          <w:rFonts w:ascii="Verdana" w:hAnsi="Verdana"/>
          <w:lang w:val="en-US" w:eastAsia="es-ES"/>
        </w:rPr>
      </w:pPr>
    </w:p>
    <w:p w14:paraId="32BFC10D" w14:textId="77777777" w:rsidR="00277D66" w:rsidRPr="00C971B8" w:rsidRDefault="00277D66" w:rsidP="00C66DA6">
      <w:pPr>
        <w:rPr>
          <w:rFonts w:ascii="Verdana" w:hAnsi="Verdana"/>
          <w:lang w:val="en-US" w:eastAsia="es-ES"/>
        </w:rPr>
      </w:pPr>
    </w:p>
    <w:p w14:paraId="4DEE8F2E" w14:textId="77777777" w:rsidR="00C66DA6" w:rsidRPr="00C971B8" w:rsidRDefault="00C66DA6" w:rsidP="00C66DA6">
      <w:pPr>
        <w:jc w:val="center"/>
        <w:rPr>
          <w:rFonts w:ascii="Verdana" w:hAnsi="Verdana"/>
          <w:sz w:val="20"/>
          <w:szCs w:val="20"/>
          <w:lang w:val="en-US"/>
        </w:rPr>
      </w:pPr>
    </w:p>
    <w:p w14:paraId="7181BD23" w14:textId="0FAAD7CE" w:rsidR="00193CBB" w:rsidRPr="00C9465D" w:rsidRDefault="00193CBB" w:rsidP="00C66DA6">
      <w:pPr>
        <w:jc w:val="center"/>
        <w:rPr>
          <w:rFonts w:ascii="Verdana" w:hAnsi="Verdana"/>
          <w:b/>
          <w:sz w:val="20"/>
          <w:szCs w:val="20"/>
          <w:lang w:val="en-US"/>
        </w:rPr>
      </w:pPr>
      <w:r w:rsidRPr="00C9465D">
        <w:rPr>
          <w:rFonts w:ascii="Verdana" w:hAnsi="Verdana"/>
          <w:b/>
          <w:sz w:val="20"/>
          <w:szCs w:val="20"/>
          <w:lang w:val="en-US"/>
        </w:rPr>
        <w:t xml:space="preserve">INTER-AMERICAN COURT OF HUMAN RIGHTS </w:t>
      </w:r>
    </w:p>
    <w:p w14:paraId="6853D2F5" w14:textId="42B0522D" w:rsidR="00C66DA6" w:rsidRPr="00C9465D" w:rsidRDefault="00C66DA6" w:rsidP="00C66DA6">
      <w:pPr>
        <w:jc w:val="center"/>
        <w:rPr>
          <w:rFonts w:ascii="Verdana" w:hAnsi="Verdana"/>
          <w:b/>
          <w:bCs/>
          <w:sz w:val="20"/>
          <w:szCs w:val="20"/>
        </w:rPr>
      </w:pPr>
      <w:r w:rsidRPr="00C9465D">
        <w:rPr>
          <w:rFonts w:ascii="Verdana" w:hAnsi="Verdana"/>
          <w:b/>
          <w:bCs/>
          <w:sz w:val="20"/>
          <w:szCs w:val="20"/>
        </w:rPr>
        <w:t>CAS</w:t>
      </w:r>
      <w:r w:rsidR="00193CBB" w:rsidRPr="00C9465D">
        <w:rPr>
          <w:rFonts w:ascii="Verdana" w:hAnsi="Verdana"/>
          <w:b/>
          <w:bCs/>
          <w:sz w:val="20"/>
          <w:szCs w:val="20"/>
        </w:rPr>
        <w:t>E OF</w:t>
      </w:r>
      <w:r w:rsidRPr="00C9465D">
        <w:rPr>
          <w:rFonts w:ascii="Verdana" w:hAnsi="Verdana"/>
          <w:b/>
          <w:bCs/>
          <w:sz w:val="20"/>
          <w:szCs w:val="20"/>
        </w:rPr>
        <w:t xml:space="preserve"> GUACHALÁ CHIMBO </w:t>
      </w:r>
      <w:r w:rsidR="00193CBB" w:rsidRPr="00C9465D">
        <w:rPr>
          <w:rFonts w:ascii="Verdana" w:hAnsi="Verdana"/>
          <w:b/>
          <w:bCs/>
          <w:i/>
          <w:iCs/>
          <w:sz w:val="20"/>
          <w:szCs w:val="20"/>
        </w:rPr>
        <w:t>ET AL.</w:t>
      </w:r>
      <w:r w:rsidRPr="00C9465D">
        <w:rPr>
          <w:rFonts w:ascii="Verdana" w:hAnsi="Verdana"/>
          <w:b/>
          <w:bCs/>
          <w:sz w:val="20"/>
          <w:szCs w:val="20"/>
        </w:rPr>
        <w:t xml:space="preserve"> </w:t>
      </w:r>
      <w:r w:rsidRPr="00C9465D">
        <w:rPr>
          <w:rFonts w:ascii="Verdana" w:hAnsi="Verdana"/>
          <w:b/>
          <w:bCs/>
          <w:i/>
          <w:iCs/>
          <w:sz w:val="20"/>
          <w:szCs w:val="20"/>
        </w:rPr>
        <w:t>V.</w:t>
      </w:r>
      <w:r w:rsidRPr="00C9465D">
        <w:rPr>
          <w:rFonts w:ascii="Verdana" w:hAnsi="Verdana"/>
          <w:b/>
          <w:bCs/>
          <w:sz w:val="20"/>
          <w:szCs w:val="20"/>
        </w:rPr>
        <w:t xml:space="preserve"> ECUADOR</w:t>
      </w:r>
    </w:p>
    <w:p w14:paraId="534E2C49" w14:textId="01E2189C" w:rsidR="00C66DA6" w:rsidRPr="00C9465D" w:rsidRDefault="00193CBB" w:rsidP="00C66DA6">
      <w:pPr>
        <w:jc w:val="center"/>
        <w:rPr>
          <w:rFonts w:ascii="Verdana" w:hAnsi="Verdana"/>
          <w:b/>
          <w:sz w:val="20"/>
          <w:szCs w:val="20"/>
          <w:lang w:val="en-US"/>
        </w:rPr>
      </w:pPr>
      <w:bookmarkStart w:id="0" w:name="_Toc424833992"/>
      <w:bookmarkStart w:id="1" w:name="_Toc424834593"/>
      <w:bookmarkStart w:id="2" w:name="_Toc424834676"/>
      <w:bookmarkStart w:id="3" w:name="_Toc424834743"/>
      <w:r w:rsidRPr="00C9465D">
        <w:rPr>
          <w:rFonts w:ascii="Verdana" w:hAnsi="Verdana"/>
          <w:b/>
          <w:sz w:val="20"/>
          <w:szCs w:val="20"/>
          <w:lang w:val="en-US"/>
        </w:rPr>
        <w:t>JUDGMENT OF</w:t>
      </w:r>
      <w:r w:rsidR="00C66DA6" w:rsidRPr="00C9465D">
        <w:rPr>
          <w:rFonts w:ascii="Verdana" w:hAnsi="Verdana"/>
          <w:b/>
          <w:sz w:val="20"/>
          <w:szCs w:val="20"/>
          <w:lang w:val="en-US"/>
        </w:rPr>
        <w:t xml:space="preserve"> </w:t>
      </w:r>
      <w:r w:rsidRPr="00C9465D">
        <w:rPr>
          <w:rFonts w:ascii="Verdana" w:hAnsi="Verdana"/>
          <w:b/>
          <w:sz w:val="20"/>
          <w:szCs w:val="20"/>
          <w:lang w:val="en-US"/>
        </w:rPr>
        <w:t>MARCH 26,</w:t>
      </w:r>
      <w:r w:rsidR="00C66DA6" w:rsidRPr="00C9465D">
        <w:rPr>
          <w:rFonts w:ascii="Verdana" w:hAnsi="Verdana"/>
          <w:b/>
          <w:sz w:val="20"/>
          <w:szCs w:val="20"/>
          <w:lang w:val="en-US"/>
        </w:rPr>
        <w:t xml:space="preserve"> </w:t>
      </w:r>
      <w:bookmarkEnd w:id="0"/>
      <w:bookmarkEnd w:id="1"/>
      <w:bookmarkEnd w:id="2"/>
      <w:bookmarkEnd w:id="3"/>
      <w:r w:rsidR="00C66DA6" w:rsidRPr="00C9465D">
        <w:rPr>
          <w:rFonts w:ascii="Verdana" w:hAnsi="Verdana"/>
          <w:b/>
          <w:sz w:val="20"/>
          <w:szCs w:val="20"/>
          <w:lang w:val="en-US"/>
        </w:rPr>
        <w:t>2021</w:t>
      </w:r>
    </w:p>
    <w:p w14:paraId="7905C010" w14:textId="7641988B" w:rsidR="00C66DA6" w:rsidRPr="00C9465D" w:rsidRDefault="00C66DA6" w:rsidP="00C66DA6">
      <w:pPr>
        <w:jc w:val="center"/>
        <w:rPr>
          <w:rFonts w:ascii="Verdana" w:hAnsi="Verdana"/>
          <w:b/>
          <w:sz w:val="20"/>
          <w:szCs w:val="20"/>
          <w:lang w:val="en-US"/>
        </w:rPr>
      </w:pPr>
      <w:bookmarkStart w:id="4" w:name="_Toc424833993"/>
      <w:bookmarkStart w:id="5" w:name="_Toc424834594"/>
      <w:bookmarkStart w:id="6" w:name="_Toc424834677"/>
      <w:bookmarkStart w:id="7" w:name="_Toc424834744"/>
      <w:r w:rsidRPr="00C9465D">
        <w:rPr>
          <w:rFonts w:ascii="Verdana" w:hAnsi="Verdana"/>
          <w:b/>
          <w:sz w:val="20"/>
          <w:szCs w:val="20"/>
          <w:lang w:val="en-US"/>
        </w:rPr>
        <w:t>(</w:t>
      </w:r>
      <w:r w:rsidR="00193CBB" w:rsidRPr="00C9465D">
        <w:rPr>
          <w:rFonts w:ascii="Verdana" w:hAnsi="Verdana"/>
          <w:b/>
          <w:i/>
          <w:sz w:val="20"/>
          <w:szCs w:val="20"/>
          <w:lang w:val="en-US"/>
        </w:rPr>
        <w:t>Merits, reparations and costs</w:t>
      </w:r>
      <w:r w:rsidRPr="00C9465D">
        <w:rPr>
          <w:rFonts w:ascii="Verdana" w:hAnsi="Verdana"/>
          <w:b/>
          <w:sz w:val="20"/>
          <w:szCs w:val="20"/>
          <w:lang w:val="en-US"/>
        </w:rPr>
        <w:t>)</w:t>
      </w:r>
      <w:bookmarkEnd w:id="4"/>
      <w:bookmarkEnd w:id="5"/>
      <w:bookmarkEnd w:id="6"/>
      <w:bookmarkEnd w:id="7"/>
    </w:p>
    <w:p w14:paraId="4F7166B7" w14:textId="32DEE9F8" w:rsidR="00C66DA6" w:rsidRPr="00C9465D" w:rsidRDefault="00C66DA6" w:rsidP="00C66DA6">
      <w:pPr>
        <w:widowControl w:val="0"/>
        <w:tabs>
          <w:tab w:val="left" w:pos="6932"/>
        </w:tabs>
        <w:adjustRightInd w:val="0"/>
        <w:jc w:val="both"/>
        <w:textAlignment w:val="baseline"/>
        <w:rPr>
          <w:rFonts w:ascii="Verdana" w:hAnsi="Verdana" w:cs="Verdana"/>
          <w:b/>
          <w:bCs/>
          <w:sz w:val="20"/>
          <w:szCs w:val="20"/>
          <w:lang w:val="en-US" w:eastAsia="es-CR"/>
        </w:rPr>
      </w:pPr>
      <w:r w:rsidRPr="00C9465D">
        <w:rPr>
          <w:rFonts w:ascii="Verdana" w:hAnsi="Verdana" w:cs="Verdana"/>
          <w:b/>
          <w:bCs/>
          <w:sz w:val="20"/>
          <w:szCs w:val="20"/>
          <w:lang w:val="en-US" w:eastAsia="es-CR"/>
        </w:rPr>
        <w:tab/>
      </w:r>
    </w:p>
    <w:p w14:paraId="553947A1" w14:textId="77777777" w:rsidR="00193CBB" w:rsidRPr="00C9465D" w:rsidRDefault="00193CBB" w:rsidP="00C66DA6">
      <w:pPr>
        <w:widowControl w:val="0"/>
        <w:tabs>
          <w:tab w:val="left" w:pos="6932"/>
        </w:tabs>
        <w:adjustRightInd w:val="0"/>
        <w:jc w:val="both"/>
        <w:textAlignment w:val="baseline"/>
        <w:rPr>
          <w:rFonts w:ascii="Verdana" w:hAnsi="Verdana" w:cs="Verdana"/>
          <w:b/>
          <w:bCs/>
          <w:sz w:val="20"/>
          <w:szCs w:val="20"/>
          <w:lang w:val="en-US" w:eastAsia="es-CR"/>
        </w:rPr>
      </w:pPr>
    </w:p>
    <w:p w14:paraId="6F116A2E" w14:textId="4F532F35" w:rsidR="00C66DA6" w:rsidRPr="00C9465D" w:rsidRDefault="00193CBB" w:rsidP="00C66DA6">
      <w:pPr>
        <w:widowControl w:val="0"/>
        <w:tabs>
          <w:tab w:val="left" w:pos="567"/>
          <w:tab w:val="left" w:pos="720"/>
        </w:tabs>
        <w:adjustRightInd w:val="0"/>
        <w:ind w:left="567" w:hanging="567"/>
        <w:jc w:val="both"/>
        <w:textAlignment w:val="baseline"/>
        <w:rPr>
          <w:rFonts w:ascii="Verdana" w:hAnsi="Verdana" w:cs="Verdana"/>
          <w:i/>
          <w:iCs/>
          <w:sz w:val="20"/>
          <w:szCs w:val="20"/>
          <w:lang w:val="en-US" w:eastAsia="es-CR"/>
        </w:rPr>
      </w:pPr>
      <w:r w:rsidRPr="00C9465D">
        <w:rPr>
          <w:rFonts w:ascii="Verdana" w:hAnsi="Verdana" w:cs="Verdana"/>
          <w:sz w:val="20"/>
          <w:szCs w:val="20"/>
          <w:lang w:val="en-US" w:eastAsia="es-CR"/>
        </w:rPr>
        <w:t>In the case of</w:t>
      </w:r>
      <w:r w:rsidR="00C66DA6" w:rsidRPr="00C9465D">
        <w:rPr>
          <w:rFonts w:ascii="Verdana" w:hAnsi="Verdana" w:cs="Verdana"/>
          <w:i/>
          <w:iCs/>
          <w:sz w:val="20"/>
          <w:szCs w:val="20"/>
          <w:lang w:val="en-US" w:eastAsia="es-CR"/>
        </w:rPr>
        <w:t xml:space="preserve"> </w:t>
      </w:r>
      <w:proofErr w:type="spellStart"/>
      <w:r w:rsidR="00C66DA6" w:rsidRPr="00C9465D">
        <w:rPr>
          <w:rFonts w:ascii="Verdana" w:hAnsi="Verdana" w:cs="Verdana"/>
          <w:i/>
          <w:iCs/>
          <w:sz w:val="20"/>
          <w:szCs w:val="20"/>
          <w:lang w:val="en-US" w:eastAsia="es-CR"/>
        </w:rPr>
        <w:t>Guachalá</w:t>
      </w:r>
      <w:proofErr w:type="spellEnd"/>
      <w:r w:rsidR="00C66DA6" w:rsidRPr="00C9465D">
        <w:rPr>
          <w:rFonts w:ascii="Verdana" w:hAnsi="Verdana" w:cs="Verdana"/>
          <w:i/>
          <w:iCs/>
          <w:sz w:val="20"/>
          <w:szCs w:val="20"/>
          <w:lang w:val="en-US" w:eastAsia="es-CR"/>
        </w:rPr>
        <w:t xml:space="preserve"> </w:t>
      </w:r>
      <w:proofErr w:type="spellStart"/>
      <w:r w:rsidRPr="00C9465D">
        <w:rPr>
          <w:rFonts w:ascii="Verdana" w:hAnsi="Verdana" w:cs="Verdana"/>
          <w:i/>
          <w:iCs/>
          <w:sz w:val="20"/>
          <w:szCs w:val="20"/>
          <w:lang w:val="en-US" w:eastAsia="es-CR"/>
        </w:rPr>
        <w:t>Chimbo</w:t>
      </w:r>
      <w:proofErr w:type="spellEnd"/>
      <w:r w:rsidRPr="00C9465D">
        <w:rPr>
          <w:rFonts w:ascii="Verdana" w:hAnsi="Verdana" w:cs="Verdana"/>
          <w:i/>
          <w:iCs/>
          <w:sz w:val="20"/>
          <w:szCs w:val="20"/>
          <w:lang w:val="en-US" w:eastAsia="es-CR"/>
        </w:rPr>
        <w:t xml:space="preserve"> et al.</w:t>
      </w:r>
      <w:r w:rsidR="00C66DA6" w:rsidRPr="00C9465D">
        <w:rPr>
          <w:rFonts w:ascii="Verdana" w:hAnsi="Verdana" w:cs="Verdana"/>
          <w:i/>
          <w:iCs/>
          <w:sz w:val="20"/>
          <w:szCs w:val="20"/>
          <w:lang w:val="en-US" w:eastAsia="es-CR"/>
        </w:rPr>
        <w:t xml:space="preserve"> </w:t>
      </w:r>
      <w:r w:rsidRPr="00C9465D">
        <w:rPr>
          <w:rFonts w:ascii="Verdana" w:hAnsi="Verdana" w:cs="Verdana"/>
          <w:i/>
          <w:iCs/>
          <w:sz w:val="20"/>
          <w:szCs w:val="20"/>
          <w:lang w:val="en-US" w:eastAsia="es-CR"/>
        </w:rPr>
        <w:t>v.</w:t>
      </w:r>
      <w:r w:rsidR="00C66DA6" w:rsidRPr="00C9465D">
        <w:rPr>
          <w:rFonts w:ascii="Verdana" w:hAnsi="Verdana" w:cs="Verdana"/>
          <w:i/>
          <w:iCs/>
          <w:sz w:val="20"/>
          <w:szCs w:val="20"/>
          <w:lang w:val="en-US" w:eastAsia="es-CR"/>
        </w:rPr>
        <w:t xml:space="preserve"> Ecuador, </w:t>
      </w:r>
    </w:p>
    <w:p w14:paraId="07393E7C" w14:textId="39C8D4B1" w:rsidR="00C66DA6" w:rsidRPr="00C9465D" w:rsidRDefault="00193CBB" w:rsidP="00193CBB">
      <w:pPr>
        <w:widowControl w:val="0"/>
        <w:tabs>
          <w:tab w:val="left" w:pos="567"/>
          <w:tab w:val="left" w:pos="720"/>
        </w:tabs>
        <w:adjustRightInd w:val="0"/>
        <w:spacing w:line="240" w:lineRule="auto"/>
        <w:jc w:val="both"/>
        <w:textAlignment w:val="baseline"/>
        <w:rPr>
          <w:rFonts w:ascii="Verdana" w:hAnsi="Verdana" w:cs="Verdana"/>
          <w:sz w:val="20"/>
          <w:szCs w:val="20"/>
          <w:lang w:val="en-US" w:eastAsia="es-CR"/>
        </w:rPr>
      </w:pPr>
      <w:r w:rsidRPr="00C9465D">
        <w:rPr>
          <w:rFonts w:ascii="Verdana" w:hAnsi="Verdana" w:cs="Verdana"/>
          <w:sz w:val="20"/>
          <w:szCs w:val="20"/>
          <w:lang w:val="en-US" w:eastAsia="es-CR"/>
        </w:rPr>
        <w:t xml:space="preserve">the Inter-American Court of Human Rights </w:t>
      </w:r>
      <w:r w:rsidR="00C66DA6" w:rsidRPr="00C9465D">
        <w:rPr>
          <w:rFonts w:ascii="Verdana" w:hAnsi="Verdana" w:cs="Verdana"/>
          <w:sz w:val="20"/>
          <w:szCs w:val="20"/>
          <w:lang w:val="en-US" w:eastAsia="es-CR"/>
        </w:rPr>
        <w:t>(</w:t>
      </w:r>
      <w:r w:rsidRPr="00C9465D">
        <w:rPr>
          <w:rFonts w:ascii="Verdana" w:hAnsi="Verdana" w:cs="Verdana"/>
          <w:sz w:val="20"/>
          <w:szCs w:val="20"/>
          <w:lang w:val="en-US" w:eastAsia="es-CR"/>
        </w:rPr>
        <w:t>hereinafter</w:t>
      </w:r>
      <w:r w:rsidR="00C66DA6" w:rsidRPr="00C9465D">
        <w:rPr>
          <w:rFonts w:ascii="Verdana" w:hAnsi="Verdana" w:cs="Verdana"/>
          <w:sz w:val="20"/>
          <w:szCs w:val="20"/>
          <w:lang w:val="en-US" w:eastAsia="es-CR"/>
        </w:rPr>
        <w:t xml:space="preserve"> “</w:t>
      </w:r>
      <w:r w:rsidRPr="00C9465D">
        <w:rPr>
          <w:rFonts w:ascii="Verdana" w:hAnsi="Verdana" w:cs="Verdana"/>
          <w:sz w:val="20"/>
          <w:szCs w:val="20"/>
          <w:lang w:val="en-US" w:eastAsia="es-CR"/>
        </w:rPr>
        <w:t>the Inter-American Court</w:t>
      </w:r>
      <w:r w:rsidR="00C66DA6" w:rsidRPr="00C9465D">
        <w:rPr>
          <w:rFonts w:ascii="Verdana" w:hAnsi="Verdana" w:cs="Verdana"/>
          <w:sz w:val="20"/>
          <w:szCs w:val="20"/>
          <w:lang w:val="en-US" w:eastAsia="es-CR"/>
        </w:rPr>
        <w:t>”</w:t>
      </w:r>
      <w:r w:rsidRPr="00C9465D">
        <w:rPr>
          <w:rFonts w:ascii="Verdana" w:hAnsi="Verdana" w:cs="Verdana"/>
          <w:sz w:val="20"/>
          <w:szCs w:val="20"/>
          <w:lang w:val="en-US" w:eastAsia="es-CR"/>
        </w:rPr>
        <w:t xml:space="preserve"> or</w:t>
      </w:r>
      <w:r w:rsidR="00C66DA6" w:rsidRPr="00C9465D">
        <w:rPr>
          <w:rFonts w:ascii="Verdana" w:hAnsi="Verdana" w:cs="Verdana"/>
          <w:sz w:val="20"/>
          <w:szCs w:val="20"/>
          <w:lang w:val="en-US" w:eastAsia="es-CR"/>
        </w:rPr>
        <w:t xml:space="preserve"> “</w:t>
      </w:r>
      <w:r w:rsidRPr="00C9465D">
        <w:rPr>
          <w:rFonts w:ascii="Verdana" w:hAnsi="Verdana" w:cs="Verdana"/>
          <w:sz w:val="20"/>
          <w:szCs w:val="20"/>
          <w:lang w:val="en-US" w:eastAsia="es-CR"/>
        </w:rPr>
        <w:t>the Court</w:t>
      </w:r>
      <w:r w:rsidR="00C66DA6" w:rsidRPr="00C9465D">
        <w:rPr>
          <w:rFonts w:ascii="Verdana" w:hAnsi="Verdana" w:cs="Verdana"/>
          <w:sz w:val="20"/>
          <w:szCs w:val="20"/>
          <w:lang w:val="en-US" w:eastAsia="es-CR"/>
        </w:rPr>
        <w:t>”</w:t>
      </w:r>
      <w:r w:rsidRPr="00C9465D">
        <w:rPr>
          <w:rFonts w:ascii="Verdana" w:hAnsi="Verdana" w:cs="Verdana"/>
          <w:sz w:val="20"/>
          <w:szCs w:val="20"/>
          <w:lang w:val="en-US" w:eastAsia="es-CR"/>
        </w:rPr>
        <w:t>) composed of the following judges:</w:t>
      </w:r>
      <w:r w:rsidR="00C66DA6" w:rsidRPr="00C9465D">
        <w:rPr>
          <w:rStyle w:val="FootnoteReference"/>
          <w:rFonts w:ascii="Verdana" w:eastAsia="Batang" w:hAnsi="Verdana"/>
          <w:noProof/>
          <w:sz w:val="20"/>
          <w:szCs w:val="20"/>
          <w:lang w:val="en-US"/>
        </w:rPr>
        <w:footnoteReference w:customMarkFollows="1" w:id="1"/>
        <w:t>*</w:t>
      </w:r>
    </w:p>
    <w:p w14:paraId="3A1ED8F0" w14:textId="77777777" w:rsidR="00C66DA6" w:rsidRPr="00C9465D" w:rsidRDefault="00C66DA6" w:rsidP="00C66DA6">
      <w:pPr>
        <w:pStyle w:val="PrrafodeSentencia"/>
        <w:widowControl w:val="0"/>
        <w:tabs>
          <w:tab w:val="left" w:pos="720"/>
        </w:tabs>
        <w:adjustRightInd w:val="0"/>
        <w:textAlignment w:val="baseline"/>
        <w:rPr>
          <w:rFonts w:eastAsia="MS Mincho" w:cs="Verdana"/>
          <w:spacing w:val="0"/>
          <w:szCs w:val="20"/>
          <w:lang w:val="en-US" w:eastAsia="es-CR"/>
        </w:rPr>
      </w:pPr>
    </w:p>
    <w:p w14:paraId="4C754A60" w14:textId="12254CF6" w:rsidR="00C66DA6" w:rsidRPr="00C9465D" w:rsidRDefault="00C66DA6" w:rsidP="00C66DA6">
      <w:pPr>
        <w:pStyle w:val="citaindirecta"/>
        <w:tabs>
          <w:tab w:val="left" w:pos="567"/>
          <w:tab w:val="left" w:pos="851"/>
        </w:tabs>
        <w:ind w:left="0" w:right="-176"/>
        <w:rPr>
          <w:lang w:val="es-CR"/>
        </w:rPr>
      </w:pPr>
      <w:r w:rsidRPr="00C9465D">
        <w:rPr>
          <w:rFonts w:cs="Verdana"/>
          <w:lang w:val="es-CR"/>
        </w:rPr>
        <w:t xml:space="preserve">Elizabeth Odio Benito, </w:t>
      </w:r>
      <w:proofErr w:type="spellStart"/>
      <w:r w:rsidRPr="00C9465D">
        <w:rPr>
          <w:lang w:val="es-CR"/>
        </w:rPr>
        <w:t>President</w:t>
      </w:r>
      <w:proofErr w:type="spellEnd"/>
      <w:r w:rsidRPr="00C9465D">
        <w:rPr>
          <w:lang w:val="es-CR"/>
        </w:rPr>
        <w:t xml:space="preserve"> </w:t>
      </w:r>
    </w:p>
    <w:p w14:paraId="6BD16111" w14:textId="3C0639BB" w:rsidR="00C66DA6" w:rsidRPr="00C9465D" w:rsidRDefault="00C66DA6" w:rsidP="00C66DA6">
      <w:pPr>
        <w:tabs>
          <w:tab w:val="left" w:pos="567"/>
          <w:tab w:val="left" w:pos="720"/>
          <w:tab w:val="left" w:pos="851"/>
        </w:tabs>
        <w:spacing w:after="0" w:line="240" w:lineRule="auto"/>
        <w:ind w:right="-176"/>
        <w:jc w:val="both"/>
        <w:rPr>
          <w:rFonts w:ascii="Verdana" w:hAnsi="Verdana" w:cs="Verdana"/>
          <w:sz w:val="20"/>
          <w:szCs w:val="20"/>
        </w:rPr>
      </w:pPr>
      <w:r w:rsidRPr="00C9465D">
        <w:rPr>
          <w:rFonts w:ascii="Verdana" w:hAnsi="Verdana" w:cs="Verdana"/>
          <w:sz w:val="20"/>
          <w:szCs w:val="20"/>
        </w:rPr>
        <w:t xml:space="preserve">Eduardo Vio Grossi, </w:t>
      </w:r>
      <w:proofErr w:type="spellStart"/>
      <w:r w:rsidR="00193CBB" w:rsidRPr="00C9465D">
        <w:rPr>
          <w:rFonts w:ascii="Verdana" w:hAnsi="Verdana" w:cs="Verdana"/>
          <w:sz w:val="20"/>
          <w:szCs w:val="20"/>
        </w:rPr>
        <w:t>Judge</w:t>
      </w:r>
      <w:proofErr w:type="spellEnd"/>
    </w:p>
    <w:p w14:paraId="55018067" w14:textId="55E195E5" w:rsidR="00C66DA6" w:rsidRPr="00C9465D" w:rsidRDefault="00C66DA6" w:rsidP="00C66DA6">
      <w:pPr>
        <w:tabs>
          <w:tab w:val="left" w:pos="567"/>
          <w:tab w:val="left" w:pos="720"/>
          <w:tab w:val="left" w:pos="851"/>
        </w:tabs>
        <w:spacing w:after="0" w:line="240" w:lineRule="auto"/>
        <w:ind w:right="-176"/>
        <w:jc w:val="both"/>
        <w:rPr>
          <w:rFonts w:ascii="Verdana" w:hAnsi="Verdana" w:cs="Verdana"/>
          <w:sz w:val="20"/>
          <w:szCs w:val="20"/>
        </w:rPr>
      </w:pPr>
      <w:r w:rsidRPr="00C9465D">
        <w:rPr>
          <w:rFonts w:ascii="Verdana" w:hAnsi="Verdana"/>
          <w:sz w:val="20"/>
          <w:szCs w:val="20"/>
        </w:rPr>
        <w:t xml:space="preserve">Humberto Antonio Sierra Porto, </w:t>
      </w:r>
      <w:proofErr w:type="spellStart"/>
      <w:r w:rsidR="00193CBB" w:rsidRPr="00C9465D">
        <w:rPr>
          <w:rFonts w:ascii="Verdana" w:hAnsi="Verdana"/>
          <w:sz w:val="20"/>
          <w:szCs w:val="20"/>
        </w:rPr>
        <w:t>Judge</w:t>
      </w:r>
      <w:proofErr w:type="spellEnd"/>
    </w:p>
    <w:p w14:paraId="35A7C463" w14:textId="4A405FA9" w:rsidR="00C66DA6" w:rsidRPr="00C9465D" w:rsidRDefault="00C66DA6" w:rsidP="00C66DA6">
      <w:pPr>
        <w:pStyle w:val="citaindirecta"/>
        <w:tabs>
          <w:tab w:val="left" w:pos="567"/>
          <w:tab w:val="left" w:pos="851"/>
          <w:tab w:val="left" w:pos="7213"/>
        </w:tabs>
        <w:ind w:left="0" w:right="-176"/>
        <w:rPr>
          <w:lang w:val="en-US"/>
        </w:rPr>
      </w:pPr>
      <w:r w:rsidRPr="00C9465D">
        <w:rPr>
          <w:lang w:val="en-US"/>
        </w:rPr>
        <w:t xml:space="preserve">Eduardo Ferrer Mac-Gregor </w:t>
      </w:r>
      <w:proofErr w:type="spellStart"/>
      <w:r w:rsidRPr="00C9465D">
        <w:rPr>
          <w:lang w:val="en-US"/>
        </w:rPr>
        <w:t>Poisot</w:t>
      </w:r>
      <w:proofErr w:type="spellEnd"/>
      <w:r w:rsidRPr="00C9465D">
        <w:rPr>
          <w:lang w:val="en-US"/>
        </w:rPr>
        <w:t xml:space="preserve">, </w:t>
      </w:r>
      <w:r w:rsidR="00193CBB" w:rsidRPr="00C9465D">
        <w:rPr>
          <w:lang w:val="en-US"/>
        </w:rPr>
        <w:t>Judge</w:t>
      </w:r>
      <w:r w:rsidRPr="00C9465D">
        <w:rPr>
          <w:lang w:val="en-US"/>
        </w:rPr>
        <w:tab/>
      </w:r>
    </w:p>
    <w:p w14:paraId="0025E30F" w14:textId="2B0603E8" w:rsidR="00C66DA6" w:rsidRPr="00C9465D" w:rsidRDefault="00C66DA6" w:rsidP="00C66DA6">
      <w:pPr>
        <w:pStyle w:val="citaindirecta"/>
        <w:tabs>
          <w:tab w:val="left" w:pos="567"/>
          <w:tab w:val="left" w:pos="851"/>
          <w:tab w:val="left" w:pos="7213"/>
        </w:tabs>
        <w:ind w:left="0" w:right="-176"/>
        <w:rPr>
          <w:lang w:val="en-US"/>
        </w:rPr>
      </w:pPr>
      <w:r w:rsidRPr="00C9465D">
        <w:rPr>
          <w:lang w:val="en-US"/>
        </w:rPr>
        <w:t xml:space="preserve">Eugenio Raúl </w:t>
      </w:r>
      <w:proofErr w:type="spellStart"/>
      <w:r w:rsidRPr="00C9465D">
        <w:rPr>
          <w:lang w:val="en-US"/>
        </w:rPr>
        <w:t>Zaffaroni</w:t>
      </w:r>
      <w:proofErr w:type="spellEnd"/>
      <w:r w:rsidRPr="00C9465D">
        <w:rPr>
          <w:lang w:val="en-US"/>
        </w:rPr>
        <w:t xml:space="preserve">, </w:t>
      </w:r>
      <w:r w:rsidR="00193CBB" w:rsidRPr="00C9465D">
        <w:rPr>
          <w:lang w:val="en-US"/>
        </w:rPr>
        <w:t>Judge</w:t>
      </w:r>
      <w:r w:rsidRPr="00C9465D">
        <w:rPr>
          <w:lang w:val="en-US"/>
        </w:rPr>
        <w:t xml:space="preserve">, </w:t>
      </w:r>
      <w:r w:rsidR="00193CBB" w:rsidRPr="00C9465D">
        <w:rPr>
          <w:lang w:val="en-US"/>
        </w:rPr>
        <w:t>and</w:t>
      </w:r>
    </w:p>
    <w:p w14:paraId="488468CD" w14:textId="1B7032E1" w:rsidR="00C66DA6" w:rsidRPr="00C9465D" w:rsidRDefault="00C66DA6" w:rsidP="00C66DA6">
      <w:pPr>
        <w:tabs>
          <w:tab w:val="left" w:pos="567"/>
          <w:tab w:val="left" w:pos="720"/>
          <w:tab w:val="left" w:pos="851"/>
        </w:tabs>
        <w:spacing w:after="0" w:line="240" w:lineRule="auto"/>
        <w:ind w:right="-176"/>
        <w:jc w:val="both"/>
        <w:rPr>
          <w:rFonts w:ascii="Verdana" w:hAnsi="Verdana" w:cs="Verdana"/>
          <w:sz w:val="20"/>
          <w:szCs w:val="20"/>
          <w:lang w:val="en-US"/>
        </w:rPr>
      </w:pPr>
      <w:r w:rsidRPr="00C9465D">
        <w:rPr>
          <w:rFonts w:ascii="Verdana" w:hAnsi="Verdana"/>
          <w:sz w:val="20"/>
          <w:szCs w:val="20"/>
          <w:lang w:val="en-US"/>
        </w:rPr>
        <w:t xml:space="preserve">Ricardo Pérez Manrique, </w:t>
      </w:r>
      <w:r w:rsidR="00193CBB" w:rsidRPr="00C9465D">
        <w:rPr>
          <w:rFonts w:ascii="Verdana" w:hAnsi="Verdana"/>
          <w:sz w:val="20"/>
          <w:szCs w:val="20"/>
          <w:lang w:val="en-US"/>
        </w:rPr>
        <w:t>Judge</w:t>
      </w:r>
      <w:r w:rsidRPr="00C9465D">
        <w:rPr>
          <w:rFonts w:ascii="Verdana" w:hAnsi="Verdana"/>
          <w:sz w:val="20"/>
          <w:szCs w:val="20"/>
          <w:lang w:val="en-US"/>
        </w:rPr>
        <w:t>,</w:t>
      </w:r>
    </w:p>
    <w:p w14:paraId="1DFABDC1" w14:textId="77777777" w:rsidR="00277D66" w:rsidRPr="00C9465D" w:rsidRDefault="00277D66" w:rsidP="00C66DA6">
      <w:pPr>
        <w:widowControl w:val="0"/>
        <w:tabs>
          <w:tab w:val="left" w:pos="567"/>
          <w:tab w:val="left" w:pos="720"/>
        </w:tabs>
        <w:adjustRightInd w:val="0"/>
        <w:spacing w:after="0"/>
        <w:jc w:val="both"/>
        <w:textAlignment w:val="baseline"/>
        <w:rPr>
          <w:rFonts w:ascii="Verdana" w:hAnsi="Verdana" w:cs="Verdana"/>
          <w:sz w:val="20"/>
          <w:szCs w:val="20"/>
          <w:lang w:val="en-US" w:eastAsia="es-CR"/>
        </w:rPr>
      </w:pPr>
    </w:p>
    <w:p w14:paraId="6E8AA95B" w14:textId="374E4CA3" w:rsidR="00C66DA6" w:rsidRPr="00C9465D" w:rsidRDefault="00193CBB" w:rsidP="00277D66">
      <w:pPr>
        <w:pStyle w:val="PrrafodeSentencia"/>
        <w:widowControl w:val="0"/>
        <w:tabs>
          <w:tab w:val="left" w:pos="720"/>
        </w:tabs>
        <w:adjustRightInd w:val="0"/>
        <w:textAlignment w:val="baseline"/>
        <w:rPr>
          <w:rFonts w:eastAsia="MS Mincho" w:cs="Verdana"/>
          <w:spacing w:val="0"/>
          <w:szCs w:val="20"/>
          <w:lang w:val="en-US" w:eastAsia="es-CR"/>
        </w:rPr>
      </w:pPr>
      <w:r w:rsidRPr="00C9465D">
        <w:rPr>
          <w:rFonts w:eastAsia="MS Mincho" w:cs="Verdana"/>
          <w:spacing w:val="0"/>
          <w:szCs w:val="20"/>
          <w:lang w:val="en-US" w:eastAsia="es-CR"/>
        </w:rPr>
        <w:t>also present,</w:t>
      </w:r>
    </w:p>
    <w:p w14:paraId="2CF277E0" w14:textId="77777777" w:rsidR="00C66DA6" w:rsidRPr="00C9465D" w:rsidRDefault="00C66DA6" w:rsidP="00C66DA6">
      <w:pPr>
        <w:widowControl w:val="0"/>
        <w:tabs>
          <w:tab w:val="left" w:pos="567"/>
          <w:tab w:val="left" w:pos="720"/>
        </w:tabs>
        <w:adjustRightInd w:val="0"/>
        <w:spacing w:after="0"/>
        <w:jc w:val="both"/>
        <w:textAlignment w:val="baseline"/>
        <w:rPr>
          <w:rFonts w:ascii="Verdana" w:hAnsi="Verdana" w:cs="Verdana"/>
          <w:sz w:val="20"/>
          <w:szCs w:val="20"/>
          <w:lang w:val="en-US" w:eastAsia="es-CR"/>
        </w:rPr>
      </w:pPr>
    </w:p>
    <w:p w14:paraId="588FF0A8" w14:textId="59508252" w:rsidR="00C66DA6" w:rsidRPr="00C9465D" w:rsidRDefault="00C66DA6" w:rsidP="00C66DA6">
      <w:pPr>
        <w:widowControl w:val="0"/>
        <w:tabs>
          <w:tab w:val="left" w:pos="567"/>
          <w:tab w:val="left" w:pos="720"/>
        </w:tabs>
        <w:adjustRightInd w:val="0"/>
        <w:spacing w:after="0"/>
        <w:jc w:val="both"/>
        <w:textAlignment w:val="baseline"/>
        <w:rPr>
          <w:rFonts w:ascii="Verdana" w:hAnsi="Verdana" w:cs="Verdana"/>
          <w:sz w:val="20"/>
          <w:szCs w:val="20"/>
          <w:lang w:val="en-US" w:eastAsia="es-CR"/>
        </w:rPr>
      </w:pPr>
      <w:r w:rsidRPr="00C9465D">
        <w:rPr>
          <w:rFonts w:ascii="Verdana" w:hAnsi="Verdana" w:cs="Verdana"/>
          <w:sz w:val="20"/>
          <w:szCs w:val="20"/>
          <w:lang w:val="en-US" w:eastAsia="es-CR"/>
        </w:rPr>
        <w:t xml:space="preserve">Pablo Saavedra </w:t>
      </w:r>
      <w:proofErr w:type="spellStart"/>
      <w:r w:rsidRPr="00C9465D">
        <w:rPr>
          <w:rFonts w:ascii="Verdana" w:hAnsi="Verdana" w:cs="Verdana"/>
          <w:sz w:val="20"/>
          <w:szCs w:val="20"/>
          <w:lang w:val="en-US" w:eastAsia="es-CR"/>
        </w:rPr>
        <w:t>Alessandri</w:t>
      </w:r>
      <w:proofErr w:type="spellEnd"/>
      <w:r w:rsidRPr="00C9465D">
        <w:rPr>
          <w:rFonts w:ascii="Verdana" w:hAnsi="Verdana" w:cs="Verdana"/>
          <w:sz w:val="20"/>
          <w:szCs w:val="20"/>
          <w:lang w:val="en-US" w:eastAsia="es-CR"/>
        </w:rPr>
        <w:t>, Secretar</w:t>
      </w:r>
      <w:r w:rsidR="00193CBB" w:rsidRPr="00C9465D">
        <w:rPr>
          <w:rFonts w:ascii="Verdana" w:hAnsi="Verdana" w:cs="Verdana"/>
          <w:sz w:val="20"/>
          <w:szCs w:val="20"/>
          <w:lang w:val="en-US" w:eastAsia="es-CR"/>
        </w:rPr>
        <w:t>y, and</w:t>
      </w:r>
    </w:p>
    <w:p w14:paraId="7D5D34EB" w14:textId="210BB0ED" w:rsidR="00C66DA6" w:rsidRPr="00C9465D" w:rsidRDefault="00C66DA6" w:rsidP="00C66DA6">
      <w:pPr>
        <w:widowControl w:val="0"/>
        <w:tabs>
          <w:tab w:val="left" w:pos="567"/>
          <w:tab w:val="left" w:pos="720"/>
        </w:tabs>
        <w:adjustRightInd w:val="0"/>
        <w:spacing w:after="0"/>
        <w:jc w:val="both"/>
        <w:textAlignment w:val="baseline"/>
        <w:rPr>
          <w:rFonts w:ascii="Verdana" w:hAnsi="Verdana" w:cs="Verdana"/>
          <w:sz w:val="20"/>
          <w:szCs w:val="20"/>
          <w:lang w:val="en-US" w:eastAsia="es-CR"/>
        </w:rPr>
      </w:pPr>
      <w:r w:rsidRPr="00C9465D">
        <w:rPr>
          <w:rFonts w:ascii="Verdana" w:hAnsi="Verdana" w:cs="Verdana"/>
          <w:sz w:val="20"/>
          <w:szCs w:val="20"/>
          <w:lang w:val="en-US" w:eastAsia="es-CR"/>
        </w:rPr>
        <w:t xml:space="preserve">Romina I. </w:t>
      </w:r>
      <w:proofErr w:type="spellStart"/>
      <w:r w:rsidRPr="00C9465D">
        <w:rPr>
          <w:rFonts w:ascii="Verdana" w:hAnsi="Verdana" w:cs="Verdana"/>
          <w:sz w:val="20"/>
          <w:szCs w:val="20"/>
          <w:lang w:val="en-US" w:eastAsia="es-CR"/>
        </w:rPr>
        <w:t>Sijniensky</w:t>
      </w:r>
      <w:proofErr w:type="spellEnd"/>
      <w:r w:rsidRPr="00C9465D">
        <w:rPr>
          <w:rFonts w:ascii="Verdana" w:hAnsi="Verdana" w:cs="Verdana"/>
          <w:sz w:val="20"/>
          <w:szCs w:val="20"/>
          <w:lang w:val="en-US" w:eastAsia="es-CR"/>
        </w:rPr>
        <w:t>,</w:t>
      </w:r>
      <w:r w:rsidR="00193CBB" w:rsidRPr="00C9465D">
        <w:rPr>
          <w:rFonts w:ascii="Verdana" w:hAnsi="Verdana" w:cs="Verdana"/>
          <w:sz w:val="20"/>
          <w:szCs w:val="20"/>
          <w:lang w:val="en-US" w:eastAsia="es-CR"/>
        </w:rPr>
        <w:t xml:space="preserve"> Deputy</w:t>
      </w:r>
      <w:r w:rsidRPr="00C9465D">
        <w:rPr>
          <w:rFonts w:ascii="Verdana" w:hAnsi="Verdana" w:cs="Verdana"/>
          <w:sz w:val="20"/>
          <w:szCs w:val="20"/>
          <w:lang w:val="en-US" w:eastAsia="es-CR"/>
        </w:rPr>
        <w:t xml:space="preserve"> Secreta</w:t>
      </w:r>
      <w:r w:rsidR="00193CBB" w:rsidRPr="00C9465D">
        <w:rPr>
          <w:rFonts w:ascii="Verdana" w:hAnsi="Verdana" w:cs="Verdana"/>
          <w:sz w:val="20"/>
          <w:szCs w:val="20"/>
          <w:lang w:val="en-US" w:eastAsia="es-CR"/>
        </w:rPr>
        <w:t>ry</w:t>
      </w:r>
      <w:r w:rsidRPr="00C9465D">
        <w:rPr>
          <w:rFonts w:ascii="Verdana" w:hAnsi="Verdana" w:cs="Verdana"/>
          <w:sz w:val="20"/>
          <w:szCs w:val="20"/>
          <w:lang w:val="en-US" w:eastAsia="es-CR"/>
        </w:rPr>
        <w:t>,</w:t>
      </w:r>
    </w:p>
    <w:p w14:paraId="7BC40D09" w14:textId="77777777" w:rsidR="00C66DA6" w:rsidRPr="00C9465D" w:rsidRDefault="00C66DA6" w:rsidP="00C66DA6">
      <w:pPr>
        <w:widowControl w:val="0"/>
        <w:tabs>
          <w:tab w:val="left" w:pos="567"/>
          <w:tab w:val="left" w:pos="720"/>
        </w:tabs>
        <w:adjustRightInd w:val="0"/>
        <w:jc w:val="both"/>
        <w:textAlignment w:val="baseline"/>
        <w:rPr>
          <w:rFonts w:ascii="Verdana" w:hAnsi="Verdana" w:cs="Verdana"/>
          <w:szCs w:val="20"/>
          <w:lang w:val="en-US" w:eastAsia="es-CR"/>
        </w:rPr>
      </w:pPr>
    </w:p>
    <w:p w14:paraId="2B35013D" w14:textId="4D0B3250" w:rsidR="00B63846" w:rsidRPr="00C9465D" w:rsidRDefault="00193CBB" w:rsidP="00C66DA6">
      <w:pPr>
        <w:pStyle w:val="Textoindependiente1"/>
        <w:tabs>
          <w:tab w:val="left" w:pos="567"/>
          <w:tab w:val="left" w:pos="720"/>
        </w:tabs>
        <w:adjustRightInd w:val="0"/>
        <w:textAlignment w:val="baseline"/>
        <w:rPr>
          <w:rFonts w:ascii="Verdana" w:hAnsi="Verdana" w:cs="Verdana"/>
          <w:lang w:val="en-US" w:eastAsia="es-CR"/>
        </w:rPr>
      </w:pPr>
      <w:r w:rsidRPr="00C9465D">
        <w:rPr>
          <w:rFonts w:ascii="Verdana" w:hAnsi="Verdana" w:cs="Verdana"/>
          <w:lang w:val="en-US" w:eastAsia="es-CR"/>
        </w:rPr>
        <w:t>pursuant to Articles</w:t>
      </w:r>
      <w:r w:rsidR="00C66DA6" w:rsidRPr="00C9465D">
        <w:rPr>
          <w:rFonts w:ascii="Verdana" w:hAnsi="Verdana" w:cs="Verdana"/>
          <w:lang w:val="en-US" w:eastAsia="es-CR"/>
        </w:rPr>
        <w:t xml:space="preserve"> 62</w:t>
      </w:r>
      <w:r w:rsidRPr="00C9465D">
        <w:rPr>
          <w:rFonts w:ascii="Verdana" w:hAnsi="Verdana" w:cs="Verdana"/>
          <w:lang w:val="en-US" w:eastAsia="es-CR"/>
        </w:rPr>
        <w:t>(</w:t>
      </w:r>
      <w:r w:rsidR="00C66DA6" w:rsidRPr="00C9465D">
        <w:rPr>
          <w:rFonts w:ascii="Verdana" w:hAnsi="Verdana" w:cs="Verdana"/>
          <w:lang w:val="en-US" w:eastAsia="es-CR"/>
        </w:rPr>
        <w:t>3</w:t>
      </w:r>
      <w:r w:rsidRPr="00C9465D">
        <w:rPr>
          <w:rFonts w:ascii="Verdana" w:hAnsi="Verdana" w:cs="Verdana"/>
          <w:lang w:val="en-US" w:eastAsia="es-CR"/>
        </w:rPr>
        <w:t xml:space="preserve">) and </w:t>
      </w:r>
      <w:r w:rsidR="00C66DA6" w:rsidRPr="00C9465D">
        <w:rPr>
          <w:rFonts w:ascii="Verdana" w:hAnsi="Verdana" w:cs="Verdana"/>
          <w:lang w:val="en-US" w:eastAsia="es-CR"/>
        </w:rPr>
        <w:t>63</w:t>
      </w:r>
      <w:r w:rsidRPr="00C9465D">
        <w:rPr>
          <w:rFonts w:ascii="Verdana" w:hAnsi="Verdana" w:cs="Verdana"/>
          <w:lang w:val="en-US" w:eastAsia="es-CR"/>
        </w:rPr>
        <w:t>(</w:t>
      </w:r>
      <w:r w:rsidR="00C66DA6" w:rsidRPr="00C9465D">
        <w:rPr>
          <w:rFonts w:ascii="Verdana" w:hAnsi="Verdana" w:cs="Verdana"/>
          <w:lang w:val="en-US" w:eastAsia="es-CR"/>
        </w:rPr>
        <w:t>1</w:t>
      </w:r>
      <w:r w:rsidRPr="00C9465D">
        <w:rPr>
          <w:rFonts w:ascii="Verdana" w:hAnsi="Verdana" w:cs="Verdana"/>
          <w:lang w:val="en-US" w:eastAsia="es-CR"/>
        </w:rPr>
        <w:t>) of the American Convention on Human Rights</w:t>
      </w:r>
      <w:r w:rsidR="00C66DA6" w:rsidRPr="00C9465D">
        <w:rPr>
          <w:rFonts w:ascii="Verdana" w:hAnsi="Verdana" w:cs="Verdana"/>
          <w:lang w:val="en-US" w:eastAsia="es-CR"/>
        </w:rPr>
        <w:t xml:space="preserve"> (</w:t>
      </w:r>
      <w:r w:rsidRPr="00C9465D">
        <w:rPr>
          <w:rFonts w:ascii="Verdana" w:hAnsi="Verdana" w:cs="Verdana"/>
          <w:lang w:val="en-US" w:eastAsia="es-CR"/>
        </w:rPr>
        <w:t>hereinafter</w:t>
      </w:r>
      <w:r w:rsidR="00C66DA6" w:rsidRPr="00C9465D">
        <w:rPr>
          <w:rFonts w:ascii="Verdana" w:hAnsi="Verdana" w:cs="Verdana"/>
          <w:lang w:val="en-US" w:eastAsia="es-CR"/>
        </w:rPr>
        <w:t xml:space="preserve"> “</w:t>
      </w:r>
      <w:r w:rsidRPr="00C9465D">
        <w:rPr>
          <w:rFonts w:ascii="Verdana" w:hAnsi="Verdana" w:cs="Verdana"/>
          <w:lang w:val="en-US" w:eastAsia="es-CR"/>
        </w:rPr>
        <w:t>the American Convention</w:t>
      </w:r>
      <w:r w:rsidR="00C66DA6" w:rsidRPr="00C9465D">
        <w:rPr>
          <w:rFonts w:ascii="Verdana" w:hAnsi="Verdana" w:cs="Verdana"/>
          <w:lang w:val="en-US" w:eastAsia="es-CR"/>
        </w:rPr>
        <w:t>” o</w:t>
      </w:r>
      <w:r w:rsidRPr="00C9465D">
        <w:rPr>
          <w:rFonts w:ascii="Verdana" w:hAnsi="Verdana" w:cs="Verdana"/>
          <w:lang w:val="en-US" w:eastAsia="es-CR"/>
        </w:rPr>
        <w:t>r</w:t>
      </w:r>
      <w:r w:rsidR="00C66DA6" w:rsidRPr="00C9465D">
        <w:rPr>
          <w:rFonts w:ascii="Verdana" w:hAnsi="Verdana" w:cs="Verdana"/>
          <w:lang w:val="en-US" w:eastAsia="es-CR"/>
        </w:rPr>
        <w:t xml:space="preserve"> “</w:t>
      </w:r>
      <w:r w:rsidRPr="00C9465D">
        <w:rPr>
          <w:rFonts w:ascii="Verdana" w:hAnsi="Verdana" w:cs="Verdana"/>
          <w:lang w:val="en-US" w:eastAsia="es-CR"/>
        </w:rPr>
        <w:t>the Convention</w:t>
      </w:r>
      <w:r w:rsidR="00C66DA6" w:rsidRPr="00C9465D">
        <w:rPr>
          <w:rFonts w:ascii="Verdana" w:hAnsi="Verdana" w:cs="Verdana"/>
          <w:lang w:val="en-US" w:eastAsia="es-CR"/>
        </w:rPr>
        <w:t>”)</w:t>
      </w:r>
      <w:r w:rsidRPr="00C9465D">
        <w:rPr>
          <w:rFonts w:ascii="Verdana" w:hAnsi="Verdana" w:cs="Verdana"/>
          <w:lang w:val="en-US" w:eastAsia="es-CR"/>
        </w:rPr>
        <w:t xml:space="preserve"> and Articles</w:t>
      </w:r>
      <w:r w:rsidR="00C66DA6" w:rsidRPr="00C9465D">
        <w:rPr>
          <w:rFonts w:ascii="Verdana" w:hAnsi="Verdana" w:cs="Verdana"/>
          <w:lang w:val="en-US" w:eastAsia="es-CR"/>
        </w:rPr>
        <w:t xml:space="preserve"> 31, 32, 42, 65</w:t>
      </w:r>
      <w:r w:rsidRPr="00C9465D">
        <w:rPr>
          <w:rFonts w:ascii="Verdana" w:hAnsi="Verdana" w:cs="Verdana"/>
          <w:lang w:val="en-US" w:eastAsia="es-CR"/>
        </w:rPr>
        <w:t xml:space="preserve"> and </w:t>
      </w:r>
      <w:r w:rsidR="00C66DA6" w:rsidRPr="00C9465D">
        <w:rPr>
          <w:rFonts w:ascii="Verdana" w:hAnsi="Verdana" w:cs="Verdana"/>
          <w:lang w:val="en-US" w:eastAsia="es-CR"/>
        </w:rPr>
        <w:t>67</w:t>
      </w:r>
      <w:r w:rsidRPr="00C9465D">
        <w:rPr>
          <w:rFonts w:ascii="Verdana" w:hAnsi="Verdana" w:cs="Verdana"/>
          <w:lang w:val="en-US" w:eastAsia="es-CR"/>
        </w:rPr>
        <w:t xml:space="preserve"> of the Rules of Procedure of the Court</w:t>
      </w:r>
      <w:r w:rsidR="00C66DA6" w:rsidRPr="00C9465D">
        <w:rPr>
          <w:rFonts w:ascii="Verdana" w:hAnsi="Verdana" w:cs="Verdana"/>
          <w:lang w:val="en-US" w:eastAsia="es-CR"/>
        </w:rPr>
        <w:t xml:space="preserve"> (</w:t>
      </w:r>
      <w:r w:rsidRPr="00C9465D">
        <w:rPr>
          <w:rFonts w:ascii="Verdana" w:hAnsi="Verdana" w:cs="Verdana"/>
          <w:lang w:val="en-US" w:eastAsia="es-CR"/>
        </w:rPr>
        <w:t>hereinafter</w:t>
      </w:r>
      <w:r w:rsidR="00C66DA6" w:rsidRPr="00C9465D">
        <w:rPr>
          <w:rFonts w:ascii="Verdana" w:hAnsi="Verdana" w:cs="Verdana"/>
          <w:lang w:val="en-US" w:eastAsia="es-CR"/>
        </w:rPr>
        <w:t xml:space="preserve"> “</w:t>
      </w:r>
      <w:r w:rsidRPr="00C9465D">
        <w:rPr>
          <w:rFonts w:ascii="Verdana" w:hAnsi="Verdana" w:cs="Verdana"/>
          <w:lang w:val="en-US" w:eastAsia="es-CR"/>
        </w:rPr>
        <w:t>the Rules of Procedure</w:t>
      </w:r>
      <w:r w:rsidR="00C66DA6" w:rsidRPr="00C9465D">
        <w:rPr>
          <w:rFonts w:ascii="Verdana" w:hAnsi="Verdana" w:cs="Verdana"/>
          <w:lang w:val="en-US" w:eastAsia="es-CR"/>
        </w:rPr>
        <w:t>” o</w:t>
      </w:r>
      <w:r w:rsidRPr="00C9465D">
        <w:rPr>
          <w:rFonts w:ascii="Verdana" w:hAnsi="Verdana" w:cs="Verdana"/>
          <w:lang w:val="en-US" w:eastAsia="es-CR"/>
        </w:rPr>
        <w:t>r</w:t>
      </w:r>
      <w:r w:rsidR="00C66DA6" w:rsidRPr="00C9465D">
        <w:rPr>
          <w:rFonts w:ascii="Verdana" w:hAnsi="Verdana" w:cs="Verdana"/>
          <w:lang w:val="en-US" w:eastAsia="es-CR"/>
        </w:rPr>
        <w:t xml:space="preserve"> “</w:t>
      </w:r>
      <w:r w:rsidRPr="00C9465D">
        <w:rPr>
          <w:rFonts w:ascii="Verdana" w:hAnsi="Verdana" w:cs="Verdana"/>
          <w:lang w:val="en-US" w:eastAsia="es-CR"/>
        </w:rPr>
        <w:t>the Court’s Rules of Procedure</w:t>
      </w:r>
      <w:r w:rsidR="00C66DA6" w:rsidRPr="00C9465D">
        <w:rPr>
          <w:rFonts w:ascii="Verdana" w:hAnsi="Verdana" w:cs="Verdana"/>
          <w:lang w:val="en-US" w:eastAsia="es-CR"/>
        </w:rPr>
        <w:t>”), d</w:t>
      </w:r>
      <w:r w:rsidRPr="00C9465D">
        <w:rPr>
          <w:rFonts w:ascii="Verdana" w:hAnsi="Verdana" w:cs="Verdana"/>
          <w:lang w:val="en-US" w:eastAsia="es-CR"/>
        </w:rPr>
        <w:t>elivers this judgment structured as follows:</w:t>
      </w:r>
    </w:p>
    <w:p w14:paraId="089A50CF" w14:textId="329670A0" w:rsidR="00193CBB" w:rsidRPr="00C9465D" w:rsidRDefault="00B63846" w:rsidP="00B63846">
      <w:pPr>
        <w:rPr>
          <w:rFonts w:ascii="Verdana" w:eastAsia="Times New Roman" w:hAnsi="Verdana" w:cs="Verdana"/>
          <w:sz w:val="20"/>
          <w:szCs w:val="20"/>
          <w:lang w:val="en-US" w:eastAsia="es-CR"/>
        </w:rPr>
      </w:pPr>
      <w:r w:rsidRPr="00C9465D">
        <w:rPr>
          <w:rFonts w:ascii="Verdana" w:hAnsi="Verdana" w:cs="Verdana"/>
          <w:lang w:val="en-US" w:eastAsia="es-CR"/>
        </w:rPr>
        <w:br w:type="page"/>
      </w:r>
    </w:p>
    <w:sdt>
      <w:sdtPr>
        <w:rPr>
          <w:rFonts w:ascii="Verdana" w:eastAsiaTheme="minorHAnsi" w:hAnsi="Verdana" w:cstheme="minorBidi"/>
          <w:color w:val="auto"/>
          <w:sz w:val="18"/>
          <w:szCs w:val="18"/>
          <w:lang w:val="en-US" w:eastAsia="en-US"/>
        </w:rPr>
        <w:id w:val="-58322462"/>
        <w:docPartObj>
          <w:docPartGallery w:val="Table of Contents"/>
          <w:docPartUnique/>
        </w:docPartObj>
      </w:sdtPr>
      <w:sdtEndPr>
        <w:rPr>
          <w:b/>
          <w:bCs/>
          <w:sz w:val="20"/>
          <w:szCs w:val="20"/>
        </w:rPr>
      </w:sdtEndPr>
      <w:sdtContent>
        <w:p w14:paraId="3A3959A0" w14:textId="535E1001" w:rsidR="000303FF" w:rsidRPr="00C9465D" w:rsidRDefault="00193CBB" w:rsidP="00047DCE">
          <w:pPr>
            <w:pStyle w:val="TOCHeading"/>
            <w:jc w:val="center"/>
            <w:rPr>
              <w:rFonts w:ascii="Verdana" w:hAnsi="Verdana"/>
              <w:b/>
              <w:color w:val="auto"/>
              <w:sz w:val="20"/>
              <w:szCs w:val="20"/>
              <w:lang w:val="en-US"/>
            </w:rPr>
          </w:pPr>
          <w:r w:rsidRPr="00C9465D">
            <w:rPr>
              <w:rFonts w:ascii="Verdana" w:hAnsi="Verdana"/>
              <w:b/>
              <w:color w:val="auto"/>
              <w:sz w:val="20"/>
              <w:szCs w:val="20"/>
              <w:lang w:val="en-US"/>
            </w:rPr>
            <w:t>TABLE OF CONTENTS</w:t>
          </w:r>
        </w:p>
        <w:p w14:paraId="6E40C3C6" w14:textId="0260B789" w:rsidR="00B10535" w:rsidRPr="00C9465D" w:rsidRDefault="000303FF" w:rsidP="00416109">
          <w:pPr>
            <w:pStyle w:val="TOC1"/>
            <w:rPr>
              <w:rFonts w:ascii="Verdana" w:eastAsiaTheme="minorEastAsia" w:hAnsi="Verdana"/>
              <w:noProof/>
              <w:sz w:val="20"/>
              <w:szCs w:val="20"/>
              <w:lang w:val="en-US" w:eastAsia="es-CR"/>
            </w:rPr>
          </w:pPr>
          <w:r w:rsidRPr="00C9465D">
            <w:rPr>
              <w:rFonts w:ascii="Verdana" w:hAnsi="Verdana"/>
              <w:lang w:val="en-US"/>
            </w:rPr>
            <w:fldChar w:fldCharType="begin"/>
          </w:r>
          <w:r w:rsidRPr="00C9465D">
            <w:rPr>
              <w:rFonts w:ascii="Verdana" w:hAnsi="Verdana"/>
              <w:lang w:val="en-US"/>
            </w:rPr>
            <w:instrText xml:space="preserve"> TOC \o "1-3" \h \z \u </w:instrText>
          </w:r>
          <w:r w:rsidRPr="00C9465D">
            <w:rPr>
              <w:rFonts w:ascii="Verdana" w:hAnsi="Verdana"/>
              <w:lang w:val="en-US"/>
            </w:rPr>
            <w:fldChar w:fldCharType="separate"/>
          </w:r>
          <w:hyperlink w:anchor="_Toc74298429" w:history="1">
            <w:r w:rsidR="00B10535" w:rsidRPr="00C9465D">
              <w:rPr>
                <w:rStyle w:val="Hyperlink"/>
                <w:rFonts w:ascii="Verdana" w:hAnsi="Verdana"/>
                <w:noProof/>
                <w:sz w:val="20"/>
                <w:szCs w:val="20"/>
                <w:lang w:val="en-US"/>
              </w:rPr>
              <w:t xml:space="preserve">I </w:t>
            </w:r>
            <w:r w:rsidR="00193CBB" w:rsidRPr="00C9465D">
              <w:rPr>
                <w:rStyle w:val="Hyperlink"/>
                <w:rFonts w:ascii="Verdana" w:hAnsi="Verdana"/>
                <w:noProof/>
                <w:sz w:val="20"/>
                <w:szCs w:val="20"/>
                <w:lang w:val="en-US"/>
              </w:rPr>
              <w:t>INTRODUCTION OF THE CASE AND PURPOSE OF THE DISPUTE</w:t>
            </w:r>
            <w:r w:rsidR="00B10535" w:rsidRPr="00C9465D">
              <w:rPr>
                <w:rFonts w:ascii="Verdana" w:hAnsi="Verdana"/>
                <w:noProof/>
                <w:webHidden/>
                <w:sz w:val="20"/>
                <w:szCs w:val="20"/>
                <w:lang w:val="en-US"/>
              </w:rPr>
              <w:tab/>
            </w:r>
            <w:r w:rsidR="00B10535" w:rsidRPr="00C9465D">
              <w:rPr>
                <w:rFonts w:ascii="Verdana" w:hAnsi="Verdana"/>
                <w:noProof/>
                <w:webHidden/>
                <w:sz w:val="20"/>
                <w:szCs w:val="20"/>
                <w:lang w:val="en-US"/>
              </w:rPr>
              <w:fldChar w:fldCharType="begin"/>
            </w:r>
            <w:r w:rsidR="00B10535" w:rsidRPr="00C9465D">
              <w:rPr>
                <w:rFonts w:ascii="Verdana" w:hAnsi="Verdana"/>
                <w:noProof/>
                <w:webHidden/>
                <w:sz w:val="20"/>
                <w:szCs w:val="20"/>
                <w:lang w:val="en-US"/>
              </w:rPr>
              <w:instrText xml:space="preserve"> PAGEREF _Toc74298429 \h </w:instrText>
            </w:r>
            <w:r w:rsidR="00B10535" w:rsidRPr="00C9465D">
              <w:rPr>
                <w:rFonts w:ascii="Verdana" w:hAnsi="Verdana"/>
                <w:noProof/>
                <w:webHidden/>
                <w:sz w:val="20"/>
                <w:szCs w:val="20"/>
                <w:lang w:val="en-US"/>
              </w:rPr>
            </w:r>
            <w:r w:rsidR="00B10535" w:rsidRPr="00C9465D">
              <w:rPr>
                <w:rFonts w:ascii="Verdana" w:hAnsi="Verdana"/>
                <w:noProof/>
                <w:webHidden/>
                <w:sz w:val="20"/>
                <w:szCs w:val="20"/>
                <w:lang w:val="en-US"/>
              </w:rPr>
              <w:fldChar w:fldCharType="separate"/>
            </w:r>
            <w:r w:rsidR="00707742" w:rsidRPr="00C9465D">
              <w:rPr>
                <w:rFonts w:ascii="Verdana" w:hAnsi="Verdana"/>
                <w:noProof/>
                <w:webHidden/>
                <w:sz w:val="20"/>
                <w:szCs w:val="20"/>
                <w:lang w:val="en-US"/>
              </w:rPr>
              <w:t>4</w:t>
            </w:r>
            <w:r w:rsidR="00B10535" w:rsidRPr="00C9465D">
              <w:rPr>
                <w:rFonts w:ascii="Verdana" w:hAnsi="Verdana"/>
                <w:noProof/>
                <w:webHidden/>
                <w:sz w:val="20"/>
                <w:szCs w:val="20"/>
                <w:lang w:val="en-US"/>
              </w:rPr>
              <w:fldChar w:fldCharType="end"/>
            </w:r>
          </w:hyperlink>
        </w:p>
        <w:p w14:paraId="45A3762B" w14:textId="488A96D4" w:rsidR="00B10535" w:rsidRPr="00C9465D" w:rsidRDefault="003C0F5F" w:rsidP="00416109">
          <w:pPr>
            <w:pStyle w:val="TOC1"/>
            <w:rPr>
              <w:rFonts w:ascii="Verdana" w:eastAsiaTheme="minorEastAsia" w:hAnsi="Verdana"/>
              <w:noProof/>
              <w:sz w:val="20"/>
              <w:szCs w:val="20"/>
              <w:lang w:val="en-US" w:eastAsia="es-CR"/>
            </w:rPr>
          </w:pPr>
          <w:hyperlink w:anchor="_Toc74298430" w:history="1">
            <w:r w:rsidR="00B10535" w:rsidRPr="00C9465D">
              <w:rPr>
                <w:rStyle w:val="Hyperlink"/>
                <w:rFonts w:ascii="Verdana" w:hAnsi="Verdana"/>
                <w:noProof/>
                <w:sz w:val="20"/>
                <w:szCs w:val="20"/>
                <w:lang w:val="en-US"/>
              </w:rPr>
              <w:t xml:space="preserve">II </w:t>
            </w:r>
            <w:r w:rsidR="00E2299F" w:rsidRPr="00C9465D">
              <w:rPr>
                <w:rStyle w:val="Hyperlink"/>
                <w:rFonts w:ascii="Verdana" w:hAnsi="Verdana"/>
                <w:noProof/>
                <w:sz w:val="20"/>
                <w:szCs w:val="20"/>
                <w:lang w:val="en-US"/>
              </w:rPr>
              <w:t>PROCEEDINGS BEFORE THE</w:t>
            </w:r>
            <w:r w:rsidR="00193CBB" w:rsidRPr="00C9465D">
              <w:rPr>
                <w:rStyle w:val="Hyperlink"/>
                <w:rFonts w:ascii="Verdana" w:hAnsi="Verdana"/>
                <w:noProof/>
                <w:sz w:val="20"/>
                <w:szCs w:val="20"/>
                <w:lang w:val="en-US"/>
              </w:rPr>
              <w:t xml:space="preserve"> COURT</w:t>
            </w:r>
            <w:r w:rsidR="00B10535" w:rsidRPr="00C9465D">
              <w:rPr>
                <w:rFonts w:ascii="Verdana" w:hAnsi="Verdana"/>
                <w:noProof/>
                <w:webHidden/>
                <w:sz w:val="20"/>
                <w:szCs w:val="20"/>
                <w:lang w:val="en-US"/>
              </w:rPr>
              <w:tab/>
            </w:r>
            <w:r w:rsidR="00B10535" w:rsidRPr="00C9465D">
              <w:rPr>
                <w:rFonts w:ascii="Verdana" w:hAnsi="Verdana"/>
                <w:noProof/>
                <w:webHidden/>
                <w:sz w:val="20"/>
                <w:szCs w:val="20"/>
                <w:lang w:val="en-US"/>
              </w:rPr>
              <w:fldChar w:fldCharType="begin"/>
            </w:r>
            <w:r w:rsidR="00B10535" w:rsidRPr="00C9465D">
              <w:rPr>
                <w:rFonts w:ascii="Verdana" w:hAnsi="Verdana"/>
                <w:noProof/>
                <w:webHidden/>
                <w:sz w:val="20"/>
                <w:szCs w:val="20"/>
                <w:lang w:val="en-US"/>
              </w:rPr>
              <w:instrText xml:space="preserve"> PAGEREF _Toc74298430 \h </w:instrText>
            </w:r>
            <w:r w:rsidR="00B10535" w:rsidRPr="00C9465D">
              <w:rPr>
                <w:rFonts w:ascii="Verdana" w:hAnsi="Verdana"/>
                <w:noProof/>
                <w:webHidden/>
                <w:sz w:val="20"/>
                <w:szCs w:val="20"/>
                <w:lang w:val="en-US"/>
              </w:rPr>
            </w:r>
            <w:r w:rsidR="00B10535" w:rsidRPr="00C9465D">
              <w:rPr>
                <w:rFonts w:ascii="Verdana" w:hAnsi="Verdana"/>
                <w:noProof/>
                <w:webHidden/>
                <w:sz w:val="20"/>
                <w:szCs w:val="20"/>
                <w:lang w:val="en-US"/>
              </w:rPr>
              <w:fldChar w:fldCharType="separate"/>
            </w:r>
            <w:r w:rsidR="00707742" w:rsidRPr="00C9465D">
              <w:rPr>
                <w:rFonts w:ascii="Verdana" w:hAnsi="Verdana"/>
                <w:noProof/>
                <w:webHidden/>
                <w:sz w:val="20"/>
                <w:szCs w:val="20"/>
                <w:lang w:val="en-US"/>
              </w:rPr>
              <w:t>5</w:t>
            </w:r>
            <w:r w:rsidR="00B10535" w:rsidRPr="00C9465D">
              <w:rPr>
                <w:rFonts w:ascii="Verdana" w:hAnsi="Verdana"/>
                <w:noProof/>
                <w:webHidden/>
                <w:sz w:val="20"/>
                <w:szCs w:val="20"/>
                <w:lang w:val="en-US"/>
              </w:rPr>
              <w:fldChar w:fldCharType="end"/>
            </w:r>
          </w:hyperlink>
        </w:p>
        <w:p w14:paraId="2AF9378C" w14:textId="6835C868" w:rsidR="00B10535" w:rsidRPr="00C9465D" w:rsidRDefault="003C0F5F" w:rsidP="00416109">
          <w:pPr>
            <w:pStyle w:val="TOC1"/>
            <w:rPr>
              <w:rFonts w:ascii="Verdana" w:eastAsiaTheme="minorEastAsia" w:hAnsi="Verdana"/>
              <w:noProof/>
              <w:sz w:val="20"/>
              <w:szCs w:val="20"/>
              <w:lang w:val="en-US" w:eastAsia="es-CR"/>
            </w:rPr>
          </w:pPr>
          <w:hyperlink w:anchor="_Toc74298431" w:history="1">
            <w:r w:rsidR="00B10535" w:rsidRPr="00C9465D">
              <w:rPr>
                <w:rStyle w:val="Hyperlink"/>
                <w:rFonts w:ascii="Verdana" w:hAnsi="Verdana"/>
                <w:noProof/>
                <w:sz w:val="20"/>
                <w:szCs w:val="20"/>
                <w:lang w:val="en-US"/>
              </w:rPr>
              <w:t xml:space="preserve">III </w:t>
            </w:r>
            <w:r w:rsidR="00E2299F" w:rsidRPr="00C9465D">
              <w:rPr>
                <w:rStyle w:val="Hyperlink"/>
                <w:rFonts w:ascii="Verdana" w:hAnsi="Verdana"/>
                <w:noProof/>
                <w:sz w:val="20"/>
                <w:szCs w:val="20"/>
                <w:lang w:val="en-US"/>
              </w:rPr>
              <w:t>JURISDICTION</w:t>
            </w:r>
            <w:r w:rsidR="00B10535" w:rsidRPr="00C9465D">
              <w:rPr>
                <w:rFonts w:ascii="Verdana" w:hAnsi="Verdana"/>
                <w:noProof/>
                <w:webHidden/>
                <w:sz w:val="20"/>
                <w:szCs w:val="20"/>
                <w:lang w:val="en-US"/>
              </w:rPr>
              <w:tab/>
            </w:r>
            <w:r w:rsidR="00B10535" w:rsidRPr="00C9465D">
              <w:rPr>
                <w:rFonts w:ascii="Verdana" w:hAnsi="Verdana"/>
                <w:noProof/>
                <w:webHidden/>
                <w:sz w:val="20"/>
                <w:szCs w:val="20"/>
                <w:lang w:val="en-US"/>
              </w:rPr>
              <w:fldChar w:fldCharType="begin"/>
            </w:r>
            <w:r w:rsidR="00B10535" w:rsidRPr="00C9465D">
              <w:rPr>
                <w:rFonts w:ascii="Verdana" w:hAnsi="Verdana"/>
                <w:noProof/>
                <w:webHidden/>
                <w:sz w:val="20"/>
                <w:szCs w:val="20"/>
                <w:lang w:val="en-US"/>
              </w:rPr>
              <w:instrText xml:space="preserve"> PAGEREF _Toc74298431 \h </w:instrText>
            </w:r>
            <w:r w:rsidR="00B10535" w:rsidRPr="00C9465D">
              <w:rPr>
                <w:rFonts w:ascii="Verdana" w:hAnsi="Verdana"/>
                <w:noProof/>
                <w:webHidden/>
                <w:sz w:val="20"/>
                <w:szCs w:val="20"/>
                <w:lang w:val="en-US"/>
              </w:rPr>
            </w:r>
            <w:r w:rsidR="00B10535" w:rsidRPr="00C9465D">
              <w:rPr>
                <w:rFonts w:ascii="Verdana" w:hAnsi="Verdana"/>
                <w:noProof/>
                <w:webHidden/>
                <w:sz w:val="20"/>
                <w:szCs w:val="20"/>
                <w:lang w:val="en-US"/>
              </w:rPr>
              <w:fldChar w:fldCharType="separate"/>
            </w:r>
            <w:r w:rsidR="00707742" w:rsidRPr="00C9465D">
              <w:rPr>
                <w:rFonts w:ascii="Verdana" w:hAnsi="Verdana"/>
                <w:noProof/>
                <w:webHidden/>
                <w:sz w:val="20"/>
                <w:szCs w:val="20"/>
                <w:lang w:val="en-US"/>
              </w:rPr>
              <w:t>7</w:t>
            </w:r>
            <w:r w:rsidR="00B10535" w:rsidRPr="00C9465D">
              <w:rPr>
                <w:rFonts w:ascii="Verdana" w:hAnsi="Verdana"/>
                <w:noProof/>
                <w:webHidden/>
                <w:sz w:val="20"/>
                <w:szCs w:val="20"/>
                <w:lang w:val="en-US"/>
              </w:rPr>
              <w:fldChar w:fldCharType="end"/>
            </w:r>
          </w:hyperlink>
        </w:p>
        <w:p w14:paraId="35D4CD3A" w14:textId="0EC5C8DD" w:rsidR="00B10535" w:rsidRPr="00C9465D" w:rsidRDefault="003C0F5F" w:rsidP="00416109">
          <w:pPr>
            <w:pStyle w:val="TOC1"/>
            <w:rPr>
              <w:rFonts w:ascii="Verdana" w:eastAsiaTheme="minorEastAsia" w:hAnsi="Verdana"/>
              <w:noProof/>
              <w:sz w:val="20"/>
              <w:szCs w:val="20"/>
              <w:lang w:val="en-US" w:eastAsia="es-CR"/>
            </w:rPr>
          </w:pPr>
          <w:hyperlink w:anchor="_Toc74298432" w:history="1">
            <w:r w:rsidR="00B10535" w:rsidRPr="00C9465D">
              <w:rPr>
                <w:rStyle w:val="Hyperlink"/>
                <w:rFonts w:ascii="Verdana" w:hAnsi="Verdana"/>
                <w:noProof/>
                <w:sz w:val="20"/>
                <w:szCs w:val="20"/>
                <w:lang w:val="en-US"/>
              </w:rPr>
              <w:t xml:space="preserve">IV </w:t>
            </w:r>
            <w:r w:rsidR="00E2299F" w:rsidRPr="00C9465D">
              <w:rPr>
                <w:rStyle w:val="Hyperlink"/>
                <w:rFonts w:ascii="Verdana" w:hAnsi="Verdana"/>
                <w:noProof/>
                <w:sz w:val="20"/>
                <w:szCs w:val="20"/>
                <w:lang w:val="en-US"/>
              </w:rPr>
              <w:t>EVIDENCE</w:t>
            </w:r>
            <w:r w:rsidR="00B10535" w:rsidRPr="00C9465D">
              <w:rPr>
                <w:rFonts w:ascii="Verdana" w:hAnsi="Verdana"/>
                <w:noProof/>
                <w:webHidden/>
                <w:sz w:val="20"/>
                <w:szCs w:val="20"/>
                <w:lang w:val="en-US"/>
              </w:rPr>
              <w:tab/>
            </w:r>
            <w:r w:rsidR="00B10535" w:rsidRPr="00C9465D">
              <w:rPr>
                <w:rFonts w:ascii="Verdana" w:hAnsi="Verdana"/>
                <w:noProof/>
                <w:webHidden/>
                <w:sz w:val="20"/>
                <w:szCs w:val="20"/>
                <w:lang w:val="en-US"/>
              </w:rPr>
              <w:fldChar w:fldCharType="begin"/>
            </w:r>
            <w:r w:rsidR="00B10535" w:rsidRPr="00C9465D">
              <w:rPr>
                <w:rFonts w:ascii="Verdana" w:hAnsi="Verdana"/>
                <w:noProof/>
                <w:webHidden/>
                <w:sz w:val="20"/>
                <w:szCs w:val="20"/>
                <w:lang w:val="en-US"/>
              </w:rPr>
              <w:instrText xml:space="preserve"> PAGEREF _Toc74298432 \h </w:instrText>
            </w:r>
            <w:r w:rsidR="00B10535" w:rsidRPr="00C9465D">
              <w:rPr>
                <w:rFonts w:ascii="Verdana" w:hAnsi="Verdana"/>
                <w:noProof/>
                <w:webHidden/>
                <w:sz w:val="20"/>
                <w:szCs w:val="20"/>
                <w:lang w:val="en-US"/>
              </w:rPr>
            </w:r>
            <w:r w:rsidR="00B10535" w:rsidRPr="00C9465D">
              <w:rPr>
                <w:rFonts w:ascii="Verdana" w:hAnsi="Verdana"/>
                <w:noProof/>
                <w:webHidden/>
                <w:sz w:val="20"/>
                <w:szCs w:val="20"/>
                <w:lang w:val="en-US"/>
              </w:rPr>
              <w:fldChar w:fldCharType="separate"/>
            </w:r>
            <w:r w:rsidR="00707742" w:rsidRPr="00C9465D">
              <w:rPr>
                <w:rFonts w:ascii="Verdana" w:hAnsi="Verdana"/>
                <w:noProof/>
                <w:webHidden/>
                <w:sz w:val="20"/>
                <w:szCs w:val="20"/>
                <w:lang w:val="en-US"/>
              </w:rPr>
              <w:t>7</w:t>
            </w:r>
            <w:r w:rsidR="00B10535" w:rsidRPr="00C9465D">
              <w:rPr>
                <w:rFonts w:ascii="Verdana" w:hAnsi="Verdana"/>
                <w:noProof/>
                <w:webHidden/>
                <w:sz w:val="20"/>
                <w:szCs w:val="20"/>
                <w:lang w:val="en-US"/>
              </w:rPr>
              <w:fldChar w:fldCharType="end"/>
            </w:r>
          </w:hyperlink>
        </w:p>
        <w:p w14:paraId="3FD1FBF8" w14:textId="6EAA026E" w:rsidR="00B10535" w:rsidRPr="00C9465D" w:rsidRDefault="003C0F5F" w:rsidP="003676D9">
          <w:pPr>
            <w:pStyle w:val="TOC2"/>
            <w:rPr>
              <w:rFonts w:eastAsiaTheme="minorEastAsia"/>
              <w:noProof/>
              <w:lang w:val="en-US" w:eastAsia="es-CR"/>
            </w:rPr>
          </w:pPr>
          <w:hyperlink w:anchor="_Toc74298433" w:history="1">
            <w:r w:rsidR="00B10535" w:rsidRPr="00C9465D">
              <w:rPr>
                <w:rStyle w:val="Hyperlink"/>
                <w:rFonts w:ascii="Verdana" w:hAnsi="Verdana"/>
                <w:noProof/>
                <w:sz w:val="20"/>
                <w:szCs w:val="20"/>
                <w:lang w:val="en-US"/>
              </w:rPr>
              <w:t>A.</w:t>
            </w:r>
            <w:r w:rsidR="00B10535" w:rsidRPr="00C9465D">
              <w:rPr>
                <w:rFonts w:eastAsiaTheme="minorEastAsia"/>
                <w:noProof/>
                <w:lang w:val="en-US" w:eastAsia="es-CR"/>
              </w:rPr>
              <w:tab/>
            </w:r>
            <w:r w:rsidR="007A3CA5" w:rsidRPr="00C9465D">
              <w:rPr>
                <w:rStyle w:val="Hyperlink"/>
                <w:rFonts w:ascii="Verdana" w:hAnsi="Verdana"/>
                <w:noProof/>
                <w:sz w:val="20"/>
                <w:szCs w:val="20"/>
                <w:lang w:val="en-US"/>
              </w:rPr>
              <w:t>Admissibility of the documentary evidence</w:t>
            </w:r>
            <w:r w:rsidR="00B10535" w:rsidRPr="00C9465D">
              <w:rPr>
                <w:noProof/>
                <w:webHidden/>
                <w:lang w:val="en-US"/>
              </w:rPr>
              <w:tab/>
            </w:r>
            <w:r w:rsidR="00B10535" w:rsidRPr="00C9465D">
              <w:rPr>
                <w:noProof/>
                <w:webHidden/>
                <w:lang w:val="en-US"/>
              </w:rPr>
              <w:fldChar w:fldCharType="begin"/>
            </w:r>
            <w:r w:rsidR="00B10535" w:rsidRPr="00C9465D">
              <w:rPr>
                <w:noProof/>
                <w:webHidden/>
                <w:lang w:val="en-US"/>
              </w:rPr>
              <w:instrText xml:space="preserve"> PAGEREF _Toc74298433 \h </w:instrText>
            </w:r>
            <w:r w:rsidR="00B10535" w:rsidRPr="00C9465D">
              <w:rPr>
                <w:noProof/>
                <w:webHidden/>
                <w:lang w:val="en-US"/>
              </w:rPr>
            </w:r>
            <w:r w:rsidR="00B10535" w:rsidRPr="00C9465D">
              <w:rPr>
                <w:noProof/>
                <w:webHidden/>
                <w:lang w:val="en-US"/>
              </w:rPr>
              <w:fldChar w:fldCharType="separate"/>
            </w:r>
            <w:r w:rsidR="00707742" w:rsidRPr="00C9465D">
              <w:rPr>
                <w:noProof/>
                <w:webHidden/>
                <w:lang w:val="en-US"/>
              </w:rPr>
              <w:t>7</w:t>
            </w:r>
            <w:r w:rsidR="00B10535" w:rsidRPr="00C9465D">
              <w:rPr>
                <w:noProof/>
                <w:webHidden/>
                <w:lang w:val="en-US"/>
              </w:rPr>
              <w:fldChar w:fldCharType="end"/>
            </w:r>
          </w:hyperlink>
        </w:p>
        <w:p w14:paraId="75BC2106" w14:textId="3E1C1390" w:rsidR="00B10535" w:rsidRPr="00C9465D" w:rsidRDefault="003C0F5F" w:rsidP="003676D9">
          <w:pPr>
            <w:pStyle w:val="TOC2"/>
            <w:rPr>
              <w:rFonts w:eastAsiaTheme="minorEastAsia"/>
              <w:noProof/>
              <w:lang w:val="en-US" w:eastAsia="es-CR"/>
            </w:rPr>
          </w:pPr>
          <w:hyperlink w:anchor="_Toc74298434" w:history="1">
            <w:r w:rsidR="00B10535" w:rsidRPr="00C9465D">
              <w:rPr>
                <w:rStyle w:val="Hyperlink"/>
                <w:rFonts w:ascii="Verdana" w:hAnsi="Verdana"/>
                <w:noProof/>
                <w:sz w:val="20"/>
                <w:szCs w:val="20"/>
                <w:lang w:val="en-US"/>
              </w:rPr>
              <w:t>B.</w:t>
            </w:r>
            <w:r w:rsidR="00B10535" w:rsidRPr="00C9465D">
              <w:rPr>
                <w:rFonts w:eastAsiaTheme="minorEastAsia"/>
                <w:noProof/>
                <w:lang w:val="en-US" w:eastAsia="es-CR"/>
              </w:rPr>
              <w:tab/>
            </w:r>
            <w:r w:rsidR="00B71E4D" w:rsidRPr="00C9465D">
              <w:rPr>
                <w:rStyle w:val="Hyperlink"/>
                <w:rFonts w:ascii="Verdana" w:hAnsi="Verdana"/>
                <w:noProof/>
                <w:sz w:val="20"/>
                <w:szCs w:val="20"/>
                <w:lang w:val="en-US"/>
              </w:rPr>
              <w:t>Admissibility of the statements offered</w:t>
            </w:r>
            <w:r w:rsidR="00B10535" w:rsidRPr="00C9465D">
              <w:rPr>
                <w:noProof/>
                <w:webHidden/>
                <w:lang w:val="en-US"/>
              </w:rPr>
              <w:tab/>
            </w:r>
            <w:r w:rsidR="00B10535" w:rsidRPr="00C9465D">
              <w:rPr>
                <w:noProof/>
                <w:webHidden/>
                <w:lang w:val="en-US"/>
              </w:rPr>
              <w:fldChar w:fldCharType="begin"/>
            </w:r>
            <w:r w:rsidR="00B10535" w:rsidRPr="00C9465D">
              <w:rPr>
                <w:noProof/>
                <w:webHidden/>
                <w:lang w:val="en-US"/>
              </w:rPr>
              <w:instrText xml:space="preserve"> PAGEREF _Toc74298434 \h </w:instrText>
            </w:r>
            <w:r w:rsidR="00B10535" w:rsidRPr="00C9465D">
              <w:rPr>
                <w:noProof/>
                <w:webHidden/>
                <w:lang w:val="en-US"/>
              </w:rPr>
            </w:r>
            <w:r w:rsidR="00B10535" w:rsidRPr="00C9465D">
              <w:rPr>
                <w:noProof/>
                <w:webHidden/>
                <w:lang w:val="en-US"/>
              </w:rPr>
              <w:fldChar w:fldCharType="separate"/>
            </w:r>
            <w:r w:rsidR="00707742" w:rsidRPr="00C9465D">
              <w:rPr>
                <w:noProof/>
                <w:webHidden/>
                <w:lang w:val="en-US"/>
              </w:rPr>
              <w:t>8</w:t>
            </w:r>
            <w:r w:rsidR="00B10535" w:rsidRPr="00C9465D">
              <w:rPr>
                <w:noProof/>
                <w:webHidden/>
                <w:lang w:val="en-US"/>
              </w:rPr>
              <w:fldChar w:fldCharType="end"/>
            </w:r>
          </w:hyperlink>
        </w:p>
        <w:p w14:paraId="4D4BCB68" w14:textId="07743AC7" w:rsidR="00B10535" w:rsidRPr="00C9465D" w:rsidRDefault="003C0F5F" w:rsidP="00416109">
          <w:pPr>
            <w:pStyle w:val="TOC1"/>
            <w:rPr>
              <w:rFonts w:ascii="Verdana" w:eastAsiaTheme="minorEastAsia" w:hAnsi="Verdana"/>
              <w:noProof/>
              <w:sz w:val="20"/>
              <w:szCs w:val="20"/>
              <w:lang w:val="en-US" w:eastAsia="es-CR"/>
            </w:rPr>
          </w:pPr>
          <w:hyperlink w:anchor="_Toc74298435" w:history="1">
            <w:r w:rsidR="00B10535" w:rsidRPr="00C9465D">
              <w:rPr>
                <w:rStyle w:val="Hyperlink"/>
                <w:rFonts w:ascii="Verdana" w:hAnsi="Verdana"/>
                <w:noProof/>
                <w:sz w:val="20"/>
                <w:szCs w:val="20"/>
                <w:lang w:val="en-US"/>
              </w:rPr>
              <w:t xml:space="preserve">V </w:t>
            </w:r>
            <w:r w:rsidR="00E2299F" w:rsidRPr="00C9465D">
              <w:rPr>
                <w:rStyle w:val="Hyperlink"/>
                <w:rFonts w:ascii="Verdana" w:hAnsi="Verdana"/>
                <w:noProof/>
                <w:sz w:val="20"/>
                <w:szCs w:val="20"/>
                <w:lang w:val="en-US"/>
              </w:rPr>
              <w:t>PRELIMINARY CONSIDERATION</w:t>
            </w:r>
            <w:r w:rsidR="00B10535" w:rsidRPr="00C9465D">
              <w:rPr>
                <w:rFonts w:ascii="Verdana" w:hAnsi="Verdana"/>
                <w:noProof/>
                <w:webHidden/>
                <w:sz w:val="20"/>
                <w:szCs w:val="20"/>
                <w:lang w:val="en-US"/>
              </w:rPr>
              <w:tab/>
            </w:r>
            <w:r w:rsidR="00B10535" w:rsidRPr="00C9465D">
              <w:rPr>
                <w:rFonts w:ascii="Verdana" w:hAnsi="Verdana"/>
                <w:noProof/>
                <w:webHidden/>
                <w:sz w:val="20"/>
                <w:szCs w:val="20"/>
                <w:lang w:val="en-US"/>
              </w:rPr>
              <w:fldChar w:fldCharType="begin"/>
            </w:r>
            <w:r w:rsidR="00B10535" w:rsidRPr="00C9465D">
              <w:rPr>
                <w:rFonts w:ascii="Verdana" w:hAnsi="Verdana"/>
                <w:noProof/>
                <w:webHidden/>
                <w:sz w:val="20"/>
                <w:szCs w:val="20"/>
                <w:lang w:val="en-US"/>
              </w:rPr>
              <w:instrText xml:space="preserve"> PAGEREF _Toc74298435 \h </w:instrText>
            </w:r>
            <w:r w:rsidR="00B10535" w:rsidRPr="00C9465D">
              <w:rPr>
                <w:rFonts w:ascii="Verdana" w:hAnsi="Verdana"/>
                <w:noProof/>
                <w:webHidden/>
                <w:sz w:val="20"/>
                <w:szCs w:val="20"/>
                <w:lang w:val="en-US"/>
              </w:rPr>
            </w:r>
            <w:r w:rsidR="00B10535" w:rsidRPr="00C9465D">
              <w:rPr>
                <w:rFonts w:ascii="Verdana" w:hAnsi="Verdana"/>
                <w:noProof/>
                <w:webHidden/>
                <w:sz w:val="20"/>
                <w:szCs w:val="20"/>
                <w:lang w:val="en-US"/>
              </w:rPr>
              <w:fldChar w:fldCharType="separate"/>
            </w:r>
            <w:r w:rsidR="00707742" w:rsidRPr="00C9465D">
              <w:rPr>
                <w:rFonts w:ascii="Verdana" w:hAnsi="Verdana"/>
                <w:noProof/>
                <w:webHidden/>
                <w:sz w:val="20"/>
                <w:szCs w:val="20"/>
                <w:lang w:val="en-US"/>
              </w:rPr>
              <w:t>8</w:t>
            </w:r>
            <w:r w:rsidR="00B10535" w:rsidRPr="00C9465D">
              <w:rPr>
                <w:rFonts w:ascii="Verdana" w:hAnsi="Verdana"/>
                <w:noProof/>
                <w:webHidden/>
                <w:sz w:val="20"/>
                <w:szCs w:val="20"/>
                <w:lang w:val="en-US"/>
              </w:rPr>
              <w:fldChar w:fldCharType="end"/>
            </w:r>
          </w:hyperlink>
        </w:p>
        <w:p w14:paraId="6FC721BB" w14:textId="0BD9B5D5" w:rsidR="00B10535" w:rsidRPr="00C9465D" w:rsidRDefault="003C0F5F" w:rsidP="00416109">
          <w:pPr>
            <w:pStyle w:val="TOC1"/>
            <w:rPr>
              <w:rFonts w:ascii="Verdana" w:eastAsiaTheme="minorEastAsia" w:hAnsi="Verdana"/>
              <w:noProof/>
              <w:sz w:val="20"/>
              <w:szCs w:val="20"/>
              <w:lang w:val="en-US" w:eastAsia="es-CR"/>
            </w:rPr>
          </w:pPr>
          <w:hyperlink w:anchor="_Toc74298436" w:history="1">
            <w:r w:rsidR="00B10535" w:rsidRPr="00C9465D">
              <w:rPr>
                <w:rStyle w:val="Hyperlink"/>
                <w:rFonts w:ascii="Verdana" w:hAnsi="Verdana"/>
                <w:noProof/>
                <w:sz w:val="20"/>
                <w:szCs w:val="20"/>
                <w:lang w:val="en-US"/>
              </w:rPr>
              <w:t xml:space="preserve">VI </w:t>
            </w:r>
            <w:r w:rsidR="00E2299F" w:rsidRPr="00C9465D">
              <w:rPr>
                <w:rStyle w:val="Hyperlink"/>
                <w:rFonts w:ascii="Verdana" w:hAnsi="Verdana"/>
                <w:noProof/>
                <w:sz w:val="20"/>
                <w:szCs w:val="20"/>
                <w:lang w:val="en-US"/>
              </w:rPr>
              <w:t>FACTS</w:t>
            </w:r>
            <w:r w:rsidR="00B10535" w:rsidRPr="00C9465D">
              <w:rPr>
                <w:rFonts w:ascii="Verdana" w:hAnsi="Verdana"/>
                <w:noProof/>
                <w:webHidden/>
                <w:sz w:val="20"/>
                <w:szCs w:val="20"/>
                <w:lang w:val="en-US"/>
              </w:rPr>
              <w:tab/>
            </w:r>
            <w:r w:rsidR="00B10535" w:rsidRPr="00C9465D">
              <w:rPr>
                <w:rFonts w:ascii="Verdana" w:hAnsi="Verdana"/>
                <w:noProof/>
                <w:webHidden/>
                <w:sz w:val="20"/>
                <w:szCs w:val="20"/>
                <w:lang w:val="en-US"/>
              </w:rPr>
              <w:fldChar w:fldCharType="begin"/>
            </w:r>
            <w:r w:rsidR="00B10535" w:rsidRPr="00C9465D">
              <w:rPr>
                <w:rFonts w:ascii="Verdana" w:hAnsi="Verdana"/>
                <w:noProof/>
                <w:webHidden/>
                <w:sz w:val="20"/>
                <w:szCs w:val="20"/>
                <w:lang w:val="en-US"/>
              </w:rPr>
              <w:instrText xml:space="preserve"> PAGEREF _Toc74298436 \h </w:instrText>
            </w:r>
            <w:r w:rsidR="00B10535" w:rsidRPr="00C9465D">
              <w:rPr>
                <w:rFonts w:ascii="Verdana" w:hAnsi="Verdana"/>
                <w:noProof/>
                <w:webHidden/>
                <w:sz w:val="20"/>
                <w:szCs w:val="20"/>
                <w:lang w:val="en-US"/>
              </w:rPr>
            </w:r>
            <w:r w:rsidR="00B10535" w:rsidRPr="00C9465D">
              <w:rPr>
                <w:rFonts w:ascii="Verdana" w:hAnsi="Verdana"/>
                <w:noProof/>
                <w:webHidden/>
                <w:sz w:val="20"/>
                <w:szCs w:val="20"/>
                <w:lang w:val="en-US"/>
              </w:rPr>
              <w:fldChar w:fldCharType="separate"/>
            </w:r>
            <w:r w:rsidR="00707742" w:rsidRPr="00C9465D">
              <w:rPr>
                <w:rFonts w:ascii="Verdana" w:hAnsi="Verdana"/>
                <w:noProof/>
                <w:webHidden/>
                <w:sz w:val="20"/>
                <w:szCs w:val="20"/>
                <w:lang w:val="en-US"/>
              </w:rPr>
              <w:t>9</w:t>
            </w:r>
            <w:r w:rsidR="00B10535" w:rsidRPr="00C9465D">
              <w:rPr>
                <w:rFonts w:ascii="Verdana" w:hAnsi="Verdana"/>
                <w:noProof/>
                <w:webHidden/>
                <w:sz w:val="20"/>
                <w:szCs w:val="20"/>
                <w:lang w:val="en-US"/>
              </w:rPr>
              <w:fldChar w:fldCharType="end"/>
            </w:r>
          </w:hyperlink>
        </w:p>
        <w:p w14:paraId="4565F1AD" w14:textId="47590553" w:rsidR="00B10535" w:rsidRPr="00C9465D" w:rsidRDefault="003C0F5F" w:rsidP="003676D9">
          <w:pPr>
            <w:pStyle w:val="TOC2"/>
            <w:rPr>
              <w:rFonts w:eastAsiaTheme="minorEastAsia"/>
              <w:noProof/>
              <w:lang w:val="en-US" w:eastAsia="es-CR"/>
            </w:rPr>
          </w:pPr>
          <w:hyperlink w:anchor="_Toc74298437" w:history="1">
            <w:r w:rsidR="00B10535" w:rsidRPr="00C9465D">
              <w:rPr>
                <w:rStyle w:val="Hyperlink"/>
                <w:rFonts w:ascii="Verdana" w:hAnsi="Verdana"/>
                <w:noProof/>
                <w:sz w:val="20"/>
                <w:szCs w:val="20"/>
                <w:lang w:val="en-US"/>
              </w:rPr>
              <w:t>A.</w:t>
            </w:r>
            <w:r w:rsidR="00B10535" w:rsidRPr="00C9465D">
              <w:rPr>
                <w:rFonts w:eastAsiaTheme="minorEastAsia"/>
                <w:noProof/>
                <w:lang w:val="en-US" w:eastAsia="es-CR"/>
              </w:rPr>
              <w:tab/>
            </w:r>
            <w:r w:rsidR="00B10535" w:rsidRPr="00C9465D">
              <w:rPr>
                <w:rStyle w:val="Hyperlink"/>
                <w:rFonts w:ascii="Verdana" w:hAnsi="Verdana"/>
                <w:noProof/>
                <w:sz w:val="20"/>
                <w:szCs w:val="20"/>
                <w:lang w:val="en-US"/>
              </w:rPr>
              <w:t>Luis Eduardo Guachalá Chimbo</w:t>
            </w:r>
            <w:r w:rsidR="00193CBB" w:rsidRPr="00C9465D">
              <w:rPr>
                <w:rStyle w:val="Hyperlink"/>
                <w:rFonts w:ascii="Verdana" w:hAnsi="Verdana"/>
                <w:noProof/>
                <w:sz w:val="20"/>
                <w:szCs w:val="20"/>
                <w:lang w:val="en-US"/>
              </w:rPr>
              <w:t xml:space="preserve"> and </w:t>
            </w:r>
            <w:r w:rsidR="001A4FA7" w:rsidRPr="00C9465D">
              <w:rPr>
                <w:rStyle w:val="Hyperlink"/>
                <w:rFonts w:ascii="Verdana" w:hAnsi="Verdana"/>
                <w:noProof/>
                <w:sz w:val="20"/>
                <w:szCs w:val="20"/>
                <w:lang w:val="en-US"/>
              </w:rPr>
              <w:t>his immediate family</w:t>
            </w:r>
            <w:r w:rsidR="00B10535" w:rsidRPr="00C9465D">
              <w:rPr>
                <w:noProof/>
                <w:webHidden/>
                <w:lang w:val="en-US"/>
              </w:rPr>
              <w:tab/>
            </w:r>
            <w:r w:rsidR="00B10535" w:rsidRPr="00C9465D">
              <w:rPr>
                <w:noProof/>
                <w:webHidden/>
                <w:lang w:val="en-US"/>
              </w:rPr>
              <w:fldChar w:fldCharType="begin"/>
            </w:r>
            <w:r w:rsidR="00B10535" w:rsidRPr="00C9465D">
              <w:rPr>
                <w:noProof/>
                <w:webHidden/>
                <w:lang w:val="en-US"/>
              </w:rPr>
              <w:instrText xml:space="preserve"> PAGEREF _Toc74298437 \h </w:instrText>
            </w:r>
            <w:r w:rsidR="00B10535" w:rsidRPr="00C9465D">
              <w:rPr>
                <w:noProof/>
                <w:webHidden/>
                <w:lang w:val="en-US"/>
              </w:rPr>
            </w:r>
            <w:r w:rsidR="00B10535" w:rsidRPr="00C9465D">
              <w:rPr>
                <w:noProof/>
                <w:webHidden/>
                <w:lang w:val="en-US"/>
              </w:rPr>
              <w:fldChar w:fldCharType="separate"/>
            </w:r>
            <w:r w:rsidR="00707742" w:rsidRPr="00C9465D">
              <w:rPr>
                <w:noProof/>
                <w:webHidden/>
                <w:lang w:val="en-US"/>
              </w:rPr>
              <w:t>9</w:t>
            </w:r>
            <w:r w:rsidR="00B10535" w:rsidRPr="00C9465D">
              <w:rPr>
                <w:noProof/>
                <w:webHidden/>
                <w:lang w:val="en-US"/>
              </w:rPr>
              <w:fldChar w:fldCharType="end"/>
            </w:r>
          </w:hyperlink>
        </w:p>
        <w:p w14:paraId="72F565AB" w14:textId="575CA8A2" w:rsidR="00B10535" w:rsidRPr="00C9465D" w:rsidRDefault="003C0F5F" w:rsidP="003676D9">
          <w:pPr>
            <w:pStyle w:val="TOC2"/>
            <w:rPr>
              <w:rFonts w:eastAsiaTheme="minorEastAsia"/>
              <w:noProof/>
              <w:lang w:val="en-US" w:eastAsia="es-CR"/>
            </w:rPr>
          </w:pPr>
          <w:hyperlink w:anchor="_Toc74298438" w:history="1">
            <w:r w:rsidR="00B10535" w:rsidRPr="00C9465D">
              <w:rPr>
                <w:rStyle w:val="Hyperlink"/>
                <w:rFonts w:ascii="Verdana" w:hAnsi="Verdana"/>
                <w:noProof/>
                <w:sz w:val="20"/>
                <w:szCs w:val="20"/>
                <w:lang w:val="en-US"/>
              </w:rPr>
              <w:t>B.</w:t>
            </w:r>
            <w:r w:rsidR="00B10535" w:rsidRPr="00C9465D">
              <w:rPr>
                <w:rFonts w:eastAsiaTheme="minorEastAsia"/>
                <w:noProof/>
                <w:lang w:val="en-US" w:eastAsia="es-CR"/>
              </w:rPr>
              <w:tab/>
            </w:r>
            <w:r w:rsidR="00B75E3A" w:rsidRPr="00C9465D">
              <w:rPr>
                <w:rStyle w:val="Hyperlink"/>
                <w:rFonts w:ascii="Verdana" w:hAnsi="Verdana"/>
                <w:noProof/>
                <w:sz w:val="20"/>
                <w:szCs w:val="20"/>
                <w:lang w:val="en-US"/>
              </w:rPr>
              <w:t>Luis Eduardo Guachalá Chimbo’s first admission to the</w:t>
            </w:r>
            <w:r w:rsidR="00B10535" w:rsidRPr="00C9465D">
              <w:rPr>
                <w:rStyle w:val="Hyperlink"/>
                <w:rFonts w:ascii="Verdana" w:hAnsi="Verdana"/>
                <w:noProof/>
                <w:sz w:val="20"/>
                <w:szCs w:val="20"/>
                <w:lang w:val="en-US"/>
              </w:rPr>
              <w:t xml:space="preserve"> </w:t>
            </w:r>
            <w:r w:rsidR="002C5740" w:rsidRPr="00C9465D">
              <w:rPr>
                <w:rStyle w:val="Hyperlink"/>
                <w:rFonts w:ascii="Verdana" w:hAnsi="Verdana"/>
                <w:noProof/>
                <w:sz w:val="20"/>
                <w:szCs w:val="20"/>
                <w:lang w:val="en-US"/>
              </w:rPr>
              <w:t>Julio Endara Psychiatric Hospital</w:t>
            </w:r>
            <w:r w:rsidR="00B75E3A" w:rsidRPr="00C9465D">
              <w:rPr>
                <w:noProof/>
                <w:webHidden/>
                <w:lang w:val="en-US"/>
              </w:rPr>
              <w:tab/>
            </w:r>
            <w:r w:rsidR="00B75E3A" w:rsidRPr="00C9465D">
              <w:rPr>
                <w:noProof/>
                <w:webHidden/>
                <w:lang w:val="en-US"/>
              </w:rPr>
              <w:tab/>
            </w:r>
            <w:r w:rsidR="002819CE" w:rsidRPr="00C9465D">
              <w:rPr>
                <w:noProof/>
                <w:webHidden/>
                <w:lang w:val="en-US"/>
              </w:rPr>
              <w:t>10</w:t>
            </w:r>
          </w:hyperlink>
        </w:p>
        <w:p w14:paraId="4B4A3992" w14:textId="26B41E08" w:rsidR="00B10535" w:rsidRPr="00C9465D" w:rsidRDefault="003C0F5F" w:rsidP="003676D9">
          <w:pPr>
            <w:pStyle w:val="TOC2"/>
            <w:rPr>
              <w:rFonts w:eastAsiaTheme="minorEastAsia"/>
              <w:noProof/>
              <w:lang w:val="en-US" w:eastAsia="es-CR"/>
            </w:rPr>
          </w:pPr>
          <w:hyperlink w:anchor="_Toc74298439" w:history="1">
            <w:r w:rsidR="00B10535" w:rsidRPr="00C9465D">
              <w:rPr>
                <w:rStyle w:val="Hyperlink"/>
                <w:rFonts w:ascii="Verdana" w:hAnsi="Verdana"/>
                <w:noProof/>
                <w:sz w:val="20"/>
                <w:szCs w:val="20"/>
                <w:lang w:val="en-US"/>
              </w:rPr>
              <w:t>C.</w:t>
            </w:r>
            <w:r w:rsidR="00B10535" w:rsidRPr="00C9465D">
              <w:rPr>
                <w:rFonts w:eastAsiaTheme="minorEastAsia"/>
                <w:noProof/>
                <w:lang w:val="en-US" w:eastAsia="es-CR"/>
              </w:rPr>
              <w:tab/>
            </w:r>
            <w:r w:rsidR="00B75E3A" w:rsidRPr="00C9465D">
              <w:rPr>
                <w:rStyle w:val="Hyperlink"/>
                <w:rFonts w:ascii="Verdana" w:hAnsi="Verdana"/>
                <w:noProof/>
                <w:sz w:val="20"/>
                <w:szCs w:val="20"/>
                <w:lang w:val="en-US"/>
              </w:rPr>
              <w:t>Luis Eduardo Guachalá Chimbo’s second admission to the</w:t>
            </w:r>
            <w:r w:rsidR="00B10535" w:rsidRPr="00C9465D">
              <w:rPr>
                <w:rStyle w:val="Hyperlink"/>
                <w:rFonts w:ascii="Verdana" w:hAnsi="Verdana"/>
                <w:noProof/>
                <w:sz w:val="20"/>
                <w:szCs w:val="20"/>
                <w:lang w:val="en-US"/>
              </w:rPr>
              <w:t xml:space="preserve"> </w:t>
            </w:r>
            <w:r w:rsidR="002C5740" w:rsidRPr="00C9465D">
              <w:rPr>
                <w:rStyle w:val="Hyperlink"/>
                <w:rFonts w:ascii="Verdana" w:hAnsi="Verdana"/>
                <w:noProof/>
                <w:sz w:val="20"/>
                <w:szCs w:val="20"/>
                <w:lang w:val="en-US"/>
              </w:rPr>
              <w:t>Julio Endara Psychiatric Hospital</w:t>
            </w:r>
            <w:r w:rsidR="00B75E3A" w:rsidRPr="00C9465D">
              <w:rPr>
                <w:noProof/>
                <w:webHidden/>
                <w:lang w:val="en-US"/>
              </w:rPr>
              <w:tab/>
            </w:r>
            <w:r w:rsidR="00B10535" w:rsidRPr="00C9465D">
              <w:rPr>
                <w:noProof/>
                <w:webHidden/>
                <w:lang w:val="en-US"/>
              </w:rPr>
              <w:fldChar w:fldCharType="begin"/>
            </w:r>
            <w:r w:rsidR="00B10535" w:rsidRPr="00C9465D">
              <w:rPr>
                <w:noProof/>
                <w:webHidden/>
                <w:lang w:val="en-US"/>
              </w:rPr>
              <w:instrText xml:space="preserve"> PAGEREF _Toc74298439 \h </w:instrText>
            </w:r>
            <w:r w:rsidR="00B10535" w:rsidRPr="00C9465D">
              <w:rPr>
                <w:noProof/>
                <w:webHidden/>
                <w:lang w:val="en-US"/>
              </w:rPr>
            </w:r>
            <w:r w:rsidR="00B10535" w:rsidRPr="00C9465D">
              <w:rPr>
                <w:noProof/>
                <w:webHidden/>
                <w:lang w:val="en-US"/>
              </w:rPr>
              <w:fldChar w:fldCharType="separate"/>
            </w:r>
            <w:r w:rsidR="00707742" w:rsidRPr="00C9465D">
              <w:rPr>
                <w:noProof/>
                <w:webHidden/>
                <w:lang w:val="en-US"/>
              </w:rPr>
              <w:t>11</w:t>
            </w:r>
            <w:r w:rsidR="00B10535" w:rsidRPr="00C9465D">
              <w:rPr>
                <w:noProof/>
                <w:webHidden/>
                <w:lang w:val="en-US"/>
              </w:rPr>
              <w:fldChar w:fldCharType="end"/>
            </w:r>
          </w:hyperlink>
        </w:p>
        <w:p w14:paraId="798F77F8" w14:textId="5608B37C" w:rsidR="00B10535" w:rsidRPr="00C9465D" w:rsidRDefault="003C0F5F" w:rsidP="003676D9">
          <w:pPr>
            <w:pStyle w:val="TOC2"/>
            <w:rPr>
              <w:rFonts w:eastAsiaTheme="minorEastAsia"/>
              <w:noProof/>
              <w:lang w:val="en-US" w:eastAsia="es-CR"/>
            </w:rPr>
          </w:pPr>
          <w:hyperlink w:anchor="_Toc74298440" w:history="1">
            <w:r w:rsidR="00B10535" w:rsidRPr="00C9465D">
              <w:rPr>
                <w:rStyle w:val="Hyperlink"/>
                <w:rFonts w:ascii="Verdana" w:hAnsi="Verdana"/>
                <w:noProof/>
                <w:sz w:val="20"/>
                <w:szCs w:val="20"/>
                <w:lang w:val="en-US"/>
              </w:rPr>
              <w:t>D.</w:t>
            </w:r>
            <w:r w:rsidR="00B10535" w:rsidRPr="00C9465D">
              <w:rPr>
                <w:rFonts w:eastAsiaTheme="minorEastAsia"/>
                <w:noProof/>
                <w:lang w:val="en-US" w:eastAsia="es-CR"/>
              </w:rPr>
              <w:tab/>
            </w:r>
            <w:r w:rsidR="00BF6AD0" w:rsidRPr="00C9465D">
              <w:rPr>
                <w:rStyle w:val="Hyperlink"/>
                <w:rFonts w:ascii="Verdana" w:hAnsi="Verdana"/>
                <w:noProof/>
                <w:sz w:val="20"/>
                <w:szCs w:val="20"/>
                <w:lang w:val="en-US"/>
              </w:rPr>
              <w:t>The disappearance of</w:t>
            </w:r>
            <w:r w:rsidR="002F3237" w:rsidRPr="00C9465D">
              <w:rPr>
                <w:rStyle w:val="Hyperlink"/>
                <w:rFonts w:ascii="Verdana" w:hAnsi="Verdana"/>
                <w:noProof/>
                <w:sz w:val="20"/>
                <w:szCs w:val="20"/>
                <w:lang w:val="en-US"/>
              </w:rPr>
              <w:t xml:space="preserve"> Mr. Guachalá</w:t>
            </w:r>
            <w:r w:rsidR="00B10535" w:rsidRPr="00C9465D">
              <w:rPr>
                <w:rStyle w:val="Hyperlink"/>
                <w:rFonts w:ascii="Verdana" w:hAnsi="Verdana"/>
                <w:noProof/>
                <w:sz w:val="20"/>
                <w:szCs w:val="20"/>
                <w:lang w:val="en-US"/>
              </w:rPr>
              <w:t xml:space="preserve"> Chimbo</w:t>
            </w:r>
            <w:r w:rsidR="00193CBB" w:rsidRPr="00C9465D">
              <w:rPr>
                <w:rStyle w:val="Hyperlink"/>
                <w:rFonts w:ascii="Verdana" w:hAnsi="Verdana"/>
                <w:noProof/>
                <w:sz w:val="20"/>
                <w:szCs w:val="20"/>
                <w:lang w:val="en-US"/>
              </w:rPr>
              <w:t xml:space="preserve"> and </w:t>
            </w:r>
            <w:r w:rsidR="00BF6AD0" w:rsidRPr="00C9465D">
              <w:rPr>
                <w:rStyle w:val="Hyperlink"/>
                <w:rFonts w:ascii="Verdana" w:hAnsi="Verdana"/>
                <w:noProof/>
                <w:sz w:val="20"/>
                <w:szCs w:val="20"/>
                <w:lang w:val="en-US"/>
              </w:rPr>
              <w:t>the first efforts to discover his whereabouts</w:t>
            </w:r>
            <w:r w:rsidR="00B10535" w:rsidRPr="00C9465D">
              <w:rPr>
                <w:noProof/>
                <w:webHidden/>
                <w:lang w:val="en-US"/>
              </w:rPr>
              <w:tab/>
            </w:r>
            <w:r w:rsidR="00B10535" w:rsidRPr="00C9465D">
              <w:rPr>
                <w:noProof/>
                <w:webHidden/>
                <w:lang w:val="en-US"/>
              </w:rPr>
              <w:fldChar w:fldCharType="begin"/>
            </w:r>
            <w:r w:rsidR="00B10535" w:rsidRPr="00C9465D">
              <w:rPr>
                <w:noProof/>
                <w:webHidden/>
                <w:lang w:val="en-US"/>
              </w:rPr>
              <w:instrText xml:space="preserve"> PAGEREF _Toc74298440 \h </w:instrText>
            </w:r>
            <w:r w:rsidR="00B10535" w:rsidRPr="00C9465D">
              <w:rPr>
                <w:noProof/>
                <w:webHidden/>
                <w:lang w:val="en-US"/>
              </w:rPr>
            </w:r>
            <w:r w:rsidR="00B10535" w:rsidRPr="00C9465D">
              <w:rPr>
                <w:noProof/>
                <w:webHidden/>
                <w:lang w:val="en-US"/>
              </w:rPr>
              <w:fldChar w:fldCharType="separate"/>
            </w:r>
            <w:r w:rsidR="00707742" w:rsidRPr="00C9465D">
              <w:rPr>
                <w:noProof/>
                <w:webHidden/>
                <w:lang w:val="en-US"/>
              </w:rPr>
              <w:t>1</w:t>
            </w:r>
            <w:r w:rsidR="002819CE" w:rsidRPr="00C9465D">
              <w:rPr>
                <w:noProof/>
                <w:webHidden/>
                <w:lang w:val="en-US"/>
              </w:rPr>
              <w:t>2</w:t>
            </w:r>
            <w:r w:rsidR="00B10535" w:rsidRPr="00C9465D">
              <w:rPr>
                <w:noProof/>
                <w:webHidden/>
                <w:lang w:val="en-US"/>
              </w:rPr>
              <w:fldChar w:fldCharType="end"/>
            </w:r>
          </w:hyperlink>
        </w:p>
        <w:p w14:paraId="0FFA4E72" w14:textId="261D14D0" w:rsidR="00B10535" w:rsidRPr="00C9465D" w:rsidRDefault="003C0F5F" w:rsidP="003676D9">
          <w:pPr>
            <w:pStyle w:val="TOC2"/>
            <w:rPr>
              <w:rFonts w:eastAsiaTheme="minorEastAsia"/>
              <w:noProof/>
              <w:lang w:val="en-US" w:eastAsia="es-CR"/>
            </w:rPr>
          </w:pPr>
          <w:hyperlink w:anchor="_Toc74298441" w:history="1">
            <w:r w:rsidR="00B10535" w:rsidRPr="00C9465D">
              <w:rPr>
                <w:rStyle w:val="Hyperlink"/>
                <w:rFonts w:ascii="Verdana" w:hAnsi="Verdana"/>
                <w:noProof/>
                <w:sz w:val="20"/>
                <w:szCs w:val="20"/>
                <w:lang w:val="en-US"/>
              </w:rPr>
              <w:t>E.</w:t>
            </w:r>
            <w:r w:rsidR="00B10535" w:rsidRPr="00C9465D">
              <w:rPr>
                <w:rFonts w:eastAsiaTheme="minorEastAsia"/>
                <w:noProof/>
                <w:lang w:val="en-US" w:eastAsia="es-CR"/>
              </w:rPr>
              <w:tab/>
            </w:r>
            <w:r w:rsidR="00F044F7" w:rsidRPr="00C9465D">
              <w:rPr>
                <w:rStyle w:val="Hyperlink"/>
                <w:rFonts w:ascii="Verdana" w:hAnsi="Verdana"/>
                <w:noProof/>
                <w:sz w:val="20"/>
                <w:szCs w:val="20"/>
                <w:lang w:val="en-US"/>
              </w:rPr>
              <w:t>Measures undertaken owing to the disappearance of</w:t>
            </w:r>
            <w:r w:rsidR="00B10535" w:rsidRPr="00C9465D">
              <w:rPr>
                <w:rStyle w:val="Hyperlink"/>
                <w:rFonts w:ascii="Verdana" w:hAnsi="Verdana"/>
                <w:noProof/>
                <w:sz w:val="20"/>
                <w:szCs w:val="20"/>
                <w:lang w:val="en-US"/>
              </w:rPr>
              <w:t xml:space="preserve"> Luis Eduardo Guachalá Chimbo</w:t>
            </w:r>
            <w:r w:rsidR="00B10535" w:rsidRPr="00C9465D">
              <w:rPr>
                <w:noProof/>
                <w:webHidden/>
                <w:lang w:val="en-US"/>
              </w:rPr>
              <w:tab/>
            </w:r>
            <w:r w:rsidR="00B10535" w:rsidRPr="00C9465D">
              <w:rPr>
                <w:noProof/>
                <w:webHidden/>
                <w:lang w:val="en-US"/>
              </w:rPr>
              <w:fldChar w:fldCharType="begin"/>
            </w:r>
            <w:r w:rsidR="00B10535" w:rsidRPr="00C9465D">
              <w:rPr>
                <w:noProof/>
                <w:webHidden/>
                <w:lang w:val="en-US"/>
              </w:rPr>
              <w:instrText xml:space="preserve"> PAGEREF _Toc74298441 \h </w:instrText>
            </w:r>
            <w:r w:rsidR="00B10535" w:rsidRPr="00C9465D">
              <w:rPr>
                <w:noProof/>
                <w:webHidden/>
                <w:lang w:val="en-US"/>
              </w:rPr>
            </w:r>
            <w:r w:rsidR="00B10535" w:rsidRPr="00C9465D">
              <w:rPr>
                <w:noProof/>
                <w:webHidden/>
                <w:lang w:val="en-US"/>
              </w:rPr>
              <w:fldChar w:fldCharType="separate"/>
            </w:r>
            <w:r w:rsidR="00707742" w:rsidRPr="00C9465D">
              <w:rPr>
                <w:noProof/>
                <w:webHidden/>
                <w:lang w:val="en-US"/>
              </w:rPr>
              <w:t>1</w:t>
            </w:r>
            <w:r w:rsidR="002819CE" w:rsidRPr="00C9465D">
              <w:rPr>
                <w:noProof/>
                <w:webHidden/>
                <w:lang w:val="en-US"/>
              </w:rPr>
              <w:t>3</w:t>
            </w:r>
            <w:r w:rsidR="00B10535" w:rsidRPr="00C9465D">
              <w:rPr>
                <w:noProof/>
                <w:webHidden/>
                <w:lang w:val="en-US"/>
              </w:rPr>
              <w:fldChar w:fldCharType="end"/>
            </w:r>
          </w:hyperlink>
        </w:p>
        <w:p w14:paraId="10A02DE1" w14:textId="4E0184AF" w:rsidR="00B10535" w:rsidRPr="00C9465D" w:rsidRDefault="003C0F5F" w:rsidP="003676D9">
          <w:pPr>
            <w:pStyle w:val="TOC2"/>
            <w:rPr>
              <w:rFonts w:eastAsiaTheme="minorEastAsia"/>
              <w:noProof/>
              <w:lang w:val="en-US" w:eastAsia="es-CR"/>
            </w:rPr>
          </w:pPr>
          <w:hyperlink w:anchor="_Toc74298442" w:history="1">
            <w:r w:rsidR="00B10535" w:rsidRPr="00C9465D">
              <w:rPr>
                <w:rStyle w:val="Hyperlink"/>
                <w:rFonts w:ascii="Verdana" w:hAnsi="Verdana"/>
                <w:noProof/>
                <w:sz w:val="20"/>
                <w:szCs w:val="20"/>
                <w:lang w:val="en-US"/>
              </w:rPr>
              <w:t>F.</w:t>
            </w:r>
            <w:r w:rsidR="00B10535" w:rsidRPr="00C9465D">
              <w:rPr>
                <w:rFonts w:eastAsiaTheme="minorEastAsia"/>
                <w:noProof/>
                <w:lang w:val="en-US" w:eastAsia="es-CR"/>
              </w:rPr>
              <w:tab/>
            </w:r>
            <w:r w:rsidR="00B50000" w:rsidRPr="00C9465D">
              <w:rPr>
                <w:rStyle w:val="Hyperlink"/>
                <w:rFonts w:ascii="Verdana" w:hAnsi="Verdana"/>
                <w:noProof/>
                <w:sz w:val="20"/>
                <w:szCs w:val="20"/>
                <w:lang w:val="en-US"/>
              </w:rPr>
              <w:t>Complaint filed before the Ombudsman</w:t>
            </w:r>
            <w:r w:rsidR="00B10535" w:rsidRPr="00C9465D">
              <w:rPr>
                <w:noProof/>
                <w:webHidden/>
                <w:lang w:val="en-US"/>
              </w:rPr>
              <w:tab/>
            </w:r>
            <w:r w:rsidR="00B10535" w:rsidRPr="00C9465D">
              <w:rPr>
                <w:noProof/>
                <w:webHidden/>
                <w:lang w:val="en-US"/>
              </w:rPr>
              <w:fldChar w:fldCharType="begin"/>
            </w:r>
            <w:r w:rsidR="00B10535" w:rsidRPr="00C9465D">
              <w:rPr>
                <w:noProof/>
                <w:webHidden/>
                <w:lang w:val="en-US"/>
              </w:rPr>
              <w:instrText xml:space="preserve"> PAGEREF _Toc74298442 \h </w:instrText>
            </w:r>
            <w:r w:rsidR="00B10535" w:rsidRPr="00C9465D">
              <w:rPr>
                <w:noProof/>
                <w:webHidden/>
                <w:lang w:val="en-US"/>
              </w:rPr>
            </w:r>
            <w:r w:rsidR="00B10535" w:rsidRPr="00C9465D">
              <w:rPr>
                <w:noProof/>
                <w:webHidden/>
                <w:lang w:val="en-US"/>
              </w:rPr>
              <w:fldChar w:fldCharType="separate"/>
            </w:r>
            <w:r w:rsidR="00707742" w:rsidRPr="00C9465D">
              <w:rPr>
                <w:noProof/>
                <w:webHidden/>
                <w:lang w:val="en-US"/>
              </w:rPr>
              <w:t>1</w:t>
            </w:r>
            <w:r w:rsidR="002819CE" w:rsidRPr="00C9465D">
              <w:rPr>
                <w:noProof/>
                <w:webHidden/>
                <w:lang w:val="en-US"/>
              </w:rPr>
              <w:t>6</w:t>
            </w:r>
            <w:r w:rsidR="00B10535" w:rsidRPr="00C9465D">
              <w:rPr>
                <w:noProof/>
                <w:webHidden/>
                <w:lang w:val="en-US"/>
              </w:rPr>
              <w:fldChar w:fldCharType="end"/>
            </w:r>
          </w:hyperlink>
        </w:p>
        <w:p w14:paraId="6C0CC8A2" w14:textId="1EA8807A" w:rsidR="00B10535" w:rsidRPr="00C9465D" w:rsidRDefault="003C0F5F" w:rsidP="003676D9">
          <w:pPr>
            <w:pStyle w:val="TOC2"/>
            <w:rPr>
              <w:rFonts w:eastAsiaTheme="minorEastAsia"/>
              <w:noProof/>
              <w:lang w:val="en-US" w:eastAsia="es-CR"/>
            </w:rPr>
          </w:pPr>
          <w:hyperlink w:anchor="_Toc74298443" w:history="1">
            <w:r w:rsidR="00B10535" w:rsidRPr="00C9465D">
              <w:rPr>
                <w:rStyle w:val="Hyperlink"/>
                <w:rFonts w:ascii="Verdana" w:hAnsi="Verdana"/>
                <w:noProof/>
                <w:sz w:val="20"/>
                <w:szCs w:val="20"/>
                <w:lang w:val="en-US"/>
              </w:rPr>
              <w:t>G.</w:t>
            </w:r>
            <w:r w:rsidR="00B10535" w:rsidRPr="00C9465D">
              <w:rPr>
                <w:rFonts w:eastAsiaTheme="minorEastAsia"/>
                <w:noProof/>
                <w:lang w:val="en-US" w:eastAsia="es-CR"/>
              </w:rPr>
              <w:tab/>
            </w:r>
            <w:r w:rsidR="00721A86" w:rsidRPr="00C9465D">
              <w:rPr>
                <w:rStyle w:val="Hyperlink"/>
                <w:rFonts w:ascii="Verdana" w:hAnsi="Verdana"/>
                <w:i/>
                <w:noProof/>
                <w:sz w:val="20"/>
                <w:szCs w:val="20"/>
                <w:lang w:val="en-US"/>
              </w:rPr>
              <w:t>Habeas corpus</w:t>
            </w:r>
            <w:r w:rsidR="00051F5F" w:rsidRPr="00C9465D">
              <w:rPr>
                <w:rStyle w:val="Hyperlink"/>
                <w:rFonts w:ascii="Verdana" w:hAnsi="Verdana"/>
                <w:noProof/>
                <w:sz w:val="20"/>
                <w:szCs w:val="20"/>
                <w:lang w:val="en-US"/>
              </w:rPr>
              <w:t xml:space="preserve"> application</w:t>
            </w:r>
            <w:r w:rsidR="00B10535" w:rsidRPr="00C9465D">
              <w:rPr>
                <w:noProof/>
                <w:webHidden/>
                <w:lang w:val="en-US"/>
              </w:rPr>
              <w:tab/>
            </w:r>
            <w:r w:rsidR="00B10535" w:rsidRPr="00C9465D">
              <w:rPr>
                <w:noProof/>
                <w:webHidden/>
                <w:lang w:val="en-US"/>
              </w:rPr>
              <w:fldChar w:fldCharType="begin"/>
            </w:r>
            <w:r w:rsidR="00B10535" w:rsidRPr="00C9465D">
              <w:rPr>
                <w:noProof/>
                <w:webHidden/>
                <w:lang w:val="en-US"/>
              </w:rPr>
              <w:instrText xml:space="preserve"> PAGEREF _Toc74298443 \h </w:instrText>
            </w:r>
            <w:r w:rsidR="00B10535" w:rsidRPr="00C9465D">
              <w:rPr>
                <w:noProof/>
                <w:webHidden/>
                <w:lang w:val="en-US"/>
              </w:rPr>
            </w:r>
            <w:r w:rsidR="00B10535" w:rsidRPr="00C9465D">
              <w:rPr>
                <w:noProof/>
                <w:webHidden/>
                <w:lang w:val="en-US"/>
              </w:rPr>
              <w:fldChar w:fldCharType="separate"/>
            </w:r>
            <w:r w:rsidR="00707742" w:rsidRPr="00C9465D">
              <w:rPr>
                <w:noProof/>
                <w:webHidden/>
                <w:lang w:val="en-US"/>
              </w:rPr>
              <w:t>1</w:t>
            </w:r>
            <w:r w:rsidR="002819CE" w:rsidRPr="00C9465D">
              <w:rPr>
                <w:noProof/>
                <w:webHidden/>
                <w:lang w:val="en-US"/>
              </w:rPr>
              <w:t>7</w:t>
            </w:r>
            <w:r w:rsidR="00B10535" w:rsidRPr="00C9465D">
              <w:rPr>
                <w:noProof/>
                <w:webHidden/>
                <w:lang w:val="en-US"/>
              </w:rPr>
              <w:fldChar w:fldCharType="end"/>
            </w:r>
          </w:hyperlink>
        </w:p>
        <w:p w14:paraId="4179DC06" w14:textId="07D70EA6" w:rsidR="00B10535" w:rsidRPr="00C9465D" w:rsidRDefault="003C0F5F" w:rsidP="003676D9">
          <w:pPr>
            <w:pStyle w:val="TOC2"/>
            <w:rPr>
              <w:rFonts w:eastAsiaTheme="minorEastAsia"/>
              <w:noProof/>
              <w:lang w:val="en-US" w:eastAsia="es-CR"/>
            </w:rPr>
          </w:pPr>
          <w:hyperlink w:anchor="_Toc74298444" w:history="1">
            <w:r w:rsidR="00B10535" w:rsidRPr="00C9465D">
              <w:rPr>
                <w:rStyle w:val="Hyperlink"/>
                <w:rFonts w:ascii="Verdana" w:hAnsi="Verdana"/>
                <w:noProof/>
                <w:sz w:val="20"/>
                <w:szCs w:val="20"/>
                <w:lang w:val="en-US"/>
              </w:rPr>
              <w:t>H.</w:t>
            </w:r>
            <w:r w:rsidR="00B10535" w:rsidRPr="00C9465D">
              <w:rPr>
                <w:rFonts w:eastAsiaTheme="minorEastAsia"/>
                <w:noProof/>
                <w:lang w:val="en-US" w:eastAsia="es-CR"/>
              </w:rPr>
              <w:tab/>
            </w:r>
            <w:r w:rsidR="001F65A3" w:rsidRPr="00C9465D">
              <w:rPr>
                <w:rStyle w:val="Hyperlink"/>
                <w:rFonts w:ascii="Verdana" w:hAnsi="Verdana"/>
                <w:noProof/>
                <w:sz w:val="20"/>
                <w:szCs w:val="20"/>
                <w:lang w:val="en-US"/>
              </w:rPr>
              <w:t>Second investigation of the facts</w:t>
            </w:r>
            <w:r w:rsidR="00B10535" w:rsidRPr="00C9465D">
              <w:rPr>
                <w:noProof/>
                <w:webHidden/>
                <w:lang w:val="en-US"/>
              </w:rPr>
              <w:tab/>
            </w:r>
            <w:r w:rsidR="00B10535" w:rsidRPr="00C9465D">
              <w:rPr>
                <w:noProof/>
                <w:webHidden/>
                <w:lang w:val="en-US"/>
              </w:rPr>
              <w:fldChar w:fldCharType="begin"/>
            </w:r>
            <w:r w:rsidR="00B10535" w:rsidRPr="00C9465D">
              <w:rPr>
                <w:noProof/>
                <w:webHidden/>
                <w:lang w:val="en-US"/>
              </w:rPr>
              <w:instrText xml:space="preserve"> PAGEREF _Toc74298444 \h </w:instrText>
            </w:r>
            <w:r w:rsidR="00B10535" w:rsidRPr="00C9465D">
              <w:rPr>
                <w:noProof/>
                <w:webHidden/>
                <w:lang w:val="en-US"/>
              </w:rPr>
            </w:r>
            <w:r w:rsidR="00B10535" w:rsidRPr="00C9465D">
              <w:rPr>
                <w:noProof/>
                <w:webHidden/>
                <w:lang w:val="en-US"/>
              </w:rPr>
              <w:fldChar w:fldCharType="separate"/>
            </w:r>
            <w:r w:rsidR="00707742" w:rsidRPr="00C9465D">
              <w:rPr>
                <w:noProof/>
                <w:webHidden/>
                <w:lang w:val="en-US"/>
              </w:rPr>
              <w:t>1</w:t>
            </w:r>
            <w:r w:rsidR="002819CE" w:rsidRPr="00C9465D">
              <w:rPr>
                <w:noProof/>
                <w:webHidden/>
                <w:lang w:val="en-US"/>
              </w:rPr>
              <w:t>8</w:t>
            </w:r>
            <w:r w:rsidR="00B10535" w:rsidRPr="00C9465D">
              <w:rPr>
                <w:noProof/>
                <w:webHidden/>
                <w:lang w:val="en-US"/>
              </w:rPr>
              <w:fldChar w:fldCharType="end"/>
            </w:r>
          </w:hyperlink>
        </w:p>
        <w:p w14:paraId="7AFA9EAE" w14:textId="2F88600E" w:rsidR="00B10535" w:rsidRPr="00C9465D" w:rsidRDefault="003C0F5F" w:rsidP="00416109">
          <w:pPr>
            <w:pStyle w:val="TOC1"/>
            <w:rPr>
              <w:rFonts w:ascii="Verdana" w:eastAsiaTheme="minorEastAsia" w:hAnsi="Verdana"/>
              <w:noProof/>
              <w:sz w:val="20"/>
              <w:szCs w:val="20"/>
              <w:lang w:val="en-US" w:eastAsia="es-CR"/>
            </w:rPr>
          </w:pPr>
          <w:hyperlink w:anchor="_Toc74298445" w:history="1">
            <w:r w:rsidR="00B10535" w:rsidRPr="00C9465D">
              <w:rPr>
                <w:rStyle w:val="Hyperlink"/>
                <w:rFonts w:ascii="Verdana" w:hAnsi="Verdana"/>
                <w:noProof/>
                <w:sz w:val="20"/>
                <w:szCs w:val="20"/>
                <w:lang w:val="en-US"/>
              </w:rPr>
              <w:t xml:space="preserve">VII </w:t>
            </w:r>
            <w:r w:rsidR="00E2299F" w:rsidRPr="00C9465D">
              <w:rPr>
                <w:rStyle w:val="Hyperlink"/>
                <w:rFonts w:ascii="Verdana" w:hAnsi="Verdana"/>
                <w:noProof/>
                <w:sz w:val="20"/>
                <w:szCs w:val="20"/>
                <w:lang w:val="en-US"/>
              </w:rPr>
              <w:t>MERITS</w:t>
            </w:r>
            <w:r w:rsidR="00B10535" w:rsidRPr="00C9465D">
              <w:rPr>
                <w:rFonts w:ascii="Verdana" w:hAnsi="Verdana"/>
                <w:noProof/>
                <w:webHidden/>
                <w:sz w:val="20"/>
                <w:szCs w:val="20"/>
                <w:lang w:val="en-US"/>
              </w:rPr>
              <w:tab/>
            </w:r>
            <w:r w:rsidR="002819CE" w:rsidRPr="00C9465D">
              <w:rPr>
                <w:rFonts w:ascii="Verdana" w:hAnsi="Verdana"/>
                <w:noProof/>
                <w:webHidden/>
                <w:sz w:val="20"/>
                <w:szCs w:val="20"/>
                <w:lang w:val="en-US"/>
              </w:rPr>
              <w:t>19</w:t>
            </w:r>
          </w:hyperlink>
        </w:p>
        <w:p w14:paraId="7BA66481" w14:textId="0B1CE6AF" w:rsidR="00B10535" w:rsidRPr="00C9465D" w:rsidRDefault="003C0F5F" w:rsidP="00416109">
          <w:pPr>
            <w:pStyle w:val="TOC1"/>
            <w:rPr>
              <w:rFonts w:ascii="Verdana" w:eastAsiaTheme="minorEastAsia" w:hAnsi="Verdana"/>
              <w:noProof/>
              <w:sz w:val="20"/>
              <w:szCs w:val="20"/>
              <w:lang w:val="en-US" w:eastAsia="es-CR"/>
            </w:rPr>
          </w:pPr>
          <w:hyperlink w:anchor="_Toc74298446" w:history="1">
            <w:r w:rsidR="00B10535" w:rsidRPr="00C9465D">
              <w:rPr>
                <w:rStyle w:val="Hyperlink"/>
                <w:rFonts w:ascii="Verdana" w:hAnsi="Verdana"/>
                <w:noProof/>
                <w:sz w:val="20"/>
                <w:szCs w:val="20"/>
                <w:lang w:val="en-US"/>
              </w:rPr>
              <w:t xml:space="preserve">VII-1 </w:t>
            </w:r>
            <w:r w:rsidR="00D12C0E" w:rsidRPr="00C9465D">
              <w:rPr>
                <w:rStyle w:val="Hyperlink"/>
                <w:rFonts w:ascii="Verdana" w:hAnsi="Verdana"/>
                <w:noProof/>
                <w:sz w:val="20"/>
                <w:szCs w:val="20"/>
                <w:lang w:val="en-US"/>
              </w:rPr>
              <w:t>GENERAL CONSIDERATIONS ON</w:t>
            </w:r>
            <w:r w:rsidR="00B10535" w:rsidRPr="00C9465D">
              <w:rPr>
                <w:rStyle w:val="Hyperlink"/>
                <w:rFonts w:ascii="Verdana" w:hAnsi="Verdana"/>
                <w:noProof/>
                <w:sz w:val="20"/>
                <w:szCs w:val="20"/>
                <w:lang w:val="en-US"/>
              </w:rPr>
              <w:t xml:space="preserve"> </w:t>
            </w:r>
            <w:r w:rsidR="00D12C0E" w:rsidRPr="00C9465D">
              <w:rPr>
                <w:rStyle w:val="Hyperlink"/>
                <w:rFonts w:ascii="Verdana" w:hAnsi="Verdana"/>
                <w:noProof/>
                <w:sz w:val="20"/>
                <w:szCs w:val="20"/>
                <w:lang w:val="en-US"/>
              </w:rPr>
              <w:t>THE RIGHT TO EQUALITY</w:t>
            </w:r>
            <w:r w:rsidR="00193CBB" w:rsidRPr="00C9465D">
              <w:rPr>
                <w:rStyle w:val="Hyperlink"/>
                <w:rFonts w:ascii="Verdana" w:hAnsi="Verdana"/>
                <w:noProof/>
                <w:sz w:val="20"/>
                <w:szCs w:val="20"/>
                <w:lang w:val="en-US"/>
              </w:rPr>
              <w:t xml:space="preserve"> </w:t>
            </w:r>
            <w:r w:rsidR="00D12C0E" w:rsidRPr="00C9465D">
              <w:rPr>
                <w:rStyle w:val="Hyperlink"/>
                <w:rFonts w:ascii="Verdana" w:hAnsi="Verdana"/>
                <w:noProof/>
                <w:sz w:val="20"/>
                <w:szCs w:val="20"/>
                <w:lang w:val="en-US"/>
              </w:rPr>
              <w:t>AND NON-DISCRIMINATION</w:t>
            </w:r>
            <w:r w:rsidR="00B10535" w:rsidRPr="00C9465D">
              <w:rPr>
                <w:rFonts w:ascii="Verdana" w:hAnsi="Verdana"/>
                <w:noProof/>
                <w:webHidden/>
                <w:sz w:val="20"/>
                <w:szCs w:val="20"/>
                <w:lang w:val="en-US"/>
              </w:rPr>
              <w:tab/>
            </w:r>
            <w:r w:rsidR="00524861" w:rsidRPr="00C9465D">
              <w:rPr>
                <w:rFonts w:ascii="Verdana" w:hAnsi="Verdana"/>
                <w:noProof/>
                <w:webHidden/>
                <w:sz w:val="20"/>
                <w:szCs w:val="20"/>
                <w:lang w:val="en-US"/>
              </w:rPr>
              <w:tab/>
            </w:r>
            <w:r w:rsidR="00524861" w:rsidRPr="00C9465D">
              <w:rPr>
                <w:rFonts w:ascii="Verdana" w:hAnsi="Verdana"/>
                <w:noProof/>
                <w:webHidden/>
                <w:sz w:val="20"/>
                <w:szCs w:val="20"/>
                <w:lang w:val="en-US"/>
              </w:rPr>
              <w:tab/>
            </w:r>
            <w:r w:rsidR="002819CE" w:rsidRPr="00C9465D">
              <w:rPr>
                <w:rFonts w:ascii="Verdana" w:hAnsi="Verdana"/>
                <w:noProof/>
                <w:webHidden/>
                <w:sz w:val="20"/>
                <w:szCs w:val="20"/>
                <w:lang w:val="en-US"/>
              </w:rPr>
              <w:t>19</w:t>
            </w:r>
          </w:hyperlink>
        </w:p>
        <w:p w14:paraId="396AAD43" w14:textId="08C0D5DC" w:rsidR="00B10535" w:rsidRPr="00C9465D" w:rsidRDefault="003C0F5F" w:rsidP="003676D9">
          <w:pPr>
            <w:pStyle w:val="TOC2"/>
            <w:rPr>
              <w:rFonts w:eastAsiaTheme="minorEastAsia"/>
              <w:noProof/>
              <w:lang w:val="en-US" w:eastAsia="es-CR"/>
            </w:rPr>
          </w:pPr>
          <w:hyperlink w:anchor="_Toc74298447" w:history="1">
            <w:r w:rsidR="00B10535" w:rsidRPr="00C9465D">
              <w:rPr>
                <w:rStyle w:val="Hyperlink"/>
                <w:rFonts w:ascii="Verdana" w:hAnsi="Verdana"/>
                <w:noProof/>
                <w:sz w:val="20"/>
                <w:szCs w:val="20"/>
                <w:lang w:val="en-US"/>
              </w:rPr>
              <w:t>A.</w:t>
            </w:r>
            <w:r w:rsidR="00B10535" w:rsidRPr="00C9465D">
              <w:rPr>
                <w:rFonts w:eastAsiaTheme="minorEastAsia"/>
                <w:noProof/>
                <w:lang w:val="en-US" w:eastAsia="es-CR"/>
              </w:rPr>
              <w:tab/>
            </w:r>
            <w:r w:rsidR="009E5D69" w:rsidRPr="00C9465D">
              <w:rPr>
                <w:rStyle w:val="Hyperlink"/>
                <w:rFonts w:ascii="Verdana" w:hAnsi="Verdana"/>
                <w:noProof/>
                <w:sz w:val="20"/>
                <w:szCs w:val="20"/>
                <w:lang w:val="en-US"/>
              </w:rPr>
              <w:t>Arguments of the parties</w:t>
            </w:r>
            <w:r w:rsidR="00193CBB" w:rsidRPr="00C9465D">
              <w:rPr>
                <w:rStyle w:val="Hyperlink"/>
                <w:rFonts w:ascii="Verdana" w:hAnsi="Verdana"/>
                <w:noProof/>
                <w:sz w:val="20"/>
                <w:szCs w:val="20"/>
                <w:lang w:val="en-US"/>
              </w:rPr>
              <w:t xml:space="preserve"> and the Commission</w:t>
            </w:r>
            <w:r w:rsidR="00B10535" w:rsidRPr="00C9465D">
              <w:rPr>
                <w:noProof/>
                <w:webHidden/>
                <w:lang w:val="en-US"/>
              </w:rPr>
              <w:tab/>
            </w:r>
            <w:r w:rsidR="002819CE" w:rsidRPr="00C9465D">
              <w:rPr>
                <w:noProof/>
                <w:webHidden/>
                <w:lang w:val="en-US"/>
              </w:rPr>
              <w:t>19</w:t>
            </w:r>
          </w:hyperlink>
        </w:p>
        <w:p w14:paraId="4C85BBAE" w14:textId="68BDA23C" w:rsidR="00B10535" w:rsidRPr="00C9465D" w:rsidRDefault="003C0F5F" w:rsidP="003676D9">
          <w:pPr>
            <w:pStyle w:val="TOC2"/>
            <w:rPr>
              <w:rFonts w:eastAsiaTheme="minorEastAsia"/>
              <w:noProof/>
              <w:lang w:val="en-US" w:eastAsia="es-CR"/>
            </w:rPr>
          </w:pPr>
          <w:hyperlink w:anchor="_Toc74298448" w:history="1">
            <w:r w:rsidR="00B10535" w:rsidRPr="00C9465D">
              <w:rPr>
                <w:rStyle w:val="Hyperlink"/>
                <w:rFonts w:ascii="Verdana" w:hAnsi="Verdana"/>
                <w:noProof/>
                <w:sz w:val="20"/>
                <w:szCs w:val="20"/>
                <w:lang w:val="en-US"/>
              </w:rPr>
              <w:t>B.</w:t>
            </w:r>
            <w:r w:rsidR="00B10535" w:rsidRPr="00C9465D">
              <w:rPr>
                <w:rFonts w:eastAsiaTheme="minorEastAsia"/>
                <w:noProof/>
                <w:lang w:val="en-US" w:eastAsia="es-CR"/>
              </w:rPr>
              <w:tab/>
            </w:r>
            <w:r w:rsidR="007540C2" w:rsidRPr="00C9465D">
              <w:rPr>
                <w:rStyle w:val="Hyperlink"/>
                <w:rFonts w:ascii="Verdana" w:hAnsi="Verdana"/>
                <w:noProof/>
                <w:sz w:val="20"/>
                <w:szCs w:val="20"/>
                <w:lang w:val="en-US"/>
              </w:rPr>
              <w:t>Considerations</w:t>
            </w:r>
            <w:r w:rsidR="00193CBB" w:rsidRPr="00C9465D">
              <w:rPr>
                <w:rStyle w:val="Hyperlink"/>
                <w:rFonts w:ascii="Verdana" w:hAnsi="Verdana"/>
                <w:noProof/>
                <w:sz w:val="20"/>
                <w:szCs w:val="20"/>
                <w:lang w:val="en-US"/>
              </w:rPr>
              <w:t xml:space="preserve"> of the Court</w:t>
            </w:r>
            <w:r w:rsidR="00B10535" w:rsidRPr="00C9465D">
              <w:rPr>
                <w:noProof/>
                <w:webHidden/>
                <w:lang w:val="en-US"/>
              </w:rPr>
              <w:tab/>
            </w:r>
            <w:r w:rsidR="00B10535" w:rsidRPr="00C9465D">
              <w:rPr>
                <w:noProof/>
                <w:webHidden/>
                <w:lang w:val="en-US"/>
              </w:rPr>
              <w:fldChar w:fldCharType="begin"/>
            </w:r>
            <w:r w:rsidR="00B10535" w:rsidRPr="00C9465D">
              <w:rPr>
                <w:noProof/>
                <w:webHidden/>
                <w:lang w:val="en-US"/>
              </w:rPr>
              <w:instrText xml:space="preserve"> PAGEREF _Toc74298448 \h </w:instrText>
            </w:r>
            <w:r w:rsidR="00B10535" w:rsidRPr="00C9465D">
              <w:rPr>
                <w:noProof/>
                <w:webHidden/>
                <w:lang w:val="en-US"/>
              </w:rPr>
            </w:r>
            <w:r w:rsidR="00B10535" w:rsidRPr="00C9465D">
              <w:rPr>
                <w:noProof/>
                <w:webHidden/>
                <w:lang w:val="en-US"/>
              </w:rPr>
              <w:fldChar w:fldCharType="separate"/>
            </w:r>
            <w:r w:rsidR="00707742" w:rsidRPr="00C9465D">
              <w:rPr>
                <w:noProof/>
                <w:webHidden/>
                <w:lang w:val="en-US"/>
              </w:rPr>
              <w:t>2</w:t>
            </w:r>
            <w:r w:rsidR="002819CE" w:rsidRPr="00C9465D">
              <w:rPr>
                <w:noProof/>
                <w:webHidden/>
                <w:lang w:val="en-US"/>
              </w:rPr>
              <w:t>0</w:t>
            </w:r>
            <w:r w:rsidR="00B10535" w:rsidRPr="00C9465D">
              <w:rPr>
                <w:noProof/>
                <w:webHidden/>
                <w:lang w:val="en-US"/>
              </w:rPr>
              <w:fldChar w:fldCharType="end"/>
            </w:r>
          </w:hyperlink>
        </w:p>
        <w:p w14:paraId="417DE1F8" w14:textId="4EA4478C" w:rsidR="00B10535" w:rsidRPr="00C9465D" w:rsidRDefault="003C0F5F" w:rsidP="00B10535">
          <w:pPr>
            <w:pStyle w:val="TOC3"/>
            <w:tabs>
              <w:tab w:val="clear" w:pos="284"/>
              <w:tab w:val="clear" w:pos="709"/>
              <w:tab w:val="left" w:pos="0"/>
              <w:tab w:val="left" w:pos="567"/>
              <w:tab w:val="left" w:pos="660"/>
            </w:tabs>
            <w:ind w:left="0"/>
            <w:rPr>
              <w:rFonts w:ascii="Verdana" w:eastAsiaTheme="minorEastAsia" w:hAnsi="Verdana"/>
              <w:noProof/>
              <w:sz w:val="20"/>
              <w:szCs w:val="20"/>
              <w:lang w:val="en-US" w:eastAsia="es-CR"/>
            </w:rPr>
          </w:pPr>
          <w:hyperlink w:anchor="_Toc74298449" w:history="1">
            <w:r w:rsidR="00B10535" w:rsidRPr="00C9465D">
              <w:rPr>
                <w:rStyle w:val="Hyperlink"/>
                <w:rFonts w:ascii="Verdana" w:hAnsi="Verdana"/>
                <w:noProof/>
                <w:sz w:val="20"/>
                <w:szCs w:val="20"/>
                <w:lang w:val="en-US"/>
              </w:rPr>
              <w:t xml:space="preserve">B.1 </w:t>
            </w:r>
            <w:r w:rsidR="00B10535" w:rsidRPr="00C9465D">
              <w:rPr>
                <w:rFonts w:ascii="Verdana" w:eastAsiaTheme="minorEastAsia" w:hAnsi="Verdana"/>
                <w:noProof/>
                <w:sz w:val="20"/>
                <w:szCs w:val="20"/>
                <w:lang w:val="en-US" w:eastAsia="es-CR"/>
              </w:rPr>
              <w:tab/>
            </w:r>
            <w:r w:rsidR="00DE693F" w:rsidRPr="00C9465D">
              <w:rPr>
                <w:rStyle w:val="Hyperlink"/>
                <w:rFonts w:ascii="Verdana" w:hAnsi="Verdana"/>
                <w:noProof/>
                <w:sz w:val="20"/>
                <w:szCs w:val="20"/>
                <w:lang w:val="en-US"/>
              </w:rPr>
              <w:t>Disability as a category protected by</w:t>
            </w:r>
            <w:r w:rsidR="00B10535" w:rsidRPr="00C9465D">
              <w:rPr>
                <w:rStyle w:val="Hyperlink"/>
                <w:rFonts w:ascii="Verdana" w:hAnsi="Verdana"/>
                <w:noProof/>
                <w:sz w:val="20"/>
                <w:szCs w:val="20"/>
                <w:lang w:val="en-US"/>
              </w:rPr>
              <w:t xml:space="preserve"> </w:t>
            </w:r>
            <w:r w:rsidR="00577DE0" w:rsidRPr="00C9465D">
              <w:rPr>
                <w:rStyle w:val="Hyperlink"/>
                <w:rFonts w:ascii="Verdana" w:hAnsi="Verdana"/>
                <w:noProof/>
                <w:sz w:val="20"/>
                <w:szCs w:val="20"/>
                <w:lang w:val="en-US"/>
              </w:rPr>
              <w:t>Article 1(1)</w:t>
            </w:r>
            <w:r w:rsidR="00193CBB" w:rsidRPr="00C9465D">
              <w:rPr>
                <w:rStyle w:val="Hyperlink"/>
                <w:rFonts w:ascii="Verdana" w:hAnsi="Verdana"/>
                <w:noProof/>
                <w:sz w:val="20"/>
                <w:szCs w:val="20"/>
                <w:lang w:val="en-US"/>
              </w:rPr>
              <w:t xml:space="preserve"> of the Convention</w:t>
            </w:r>
            <w:r w:rsidR="00B10535" w:rsidRPr="00C9465D">
              <w:rPr>
                <w:rFonts w:ascii="Verdana" w:hAnsi="Verdana"/>
                <w:noProof/>
                <w:webHidden/>
                <w:sz w:val="20"/>
                <w:szCs w:val="20"/>
                <w:lang w:val="en-US"/>
              </w:rPr>
              <w:tab/>
            </w:r>
            <w:r w:rsidR="00B10535" w:rsidRPr="00C9465D">
              <w:rPr>
                <w:rFonts w:ascii="Verdana" w:hAnsi="Verdana"/>
                <w:noProof/>
                <w:webHidden/>
                <w:sz w:val="20"/>
                <w:szCs w:val="20"/>
                <w:lang w:val="en-US"/>
              </w:rPr>
              <w:fldChar w:fldCharType="begin"/>
            </w:r>
            <w:r w:rsidR="00B10535" w:rsidRPr="00C9465D">
              <w:rPr>
                <w:rFonts w:ascii="Verdana" w:hAnsi="Verdana"/>
                <w:noProof/>
                <w:webHidden/>
                <w:sz w:val="20"/>
                <w:szCs w:val="20"/>
                <w:lang w:val="en-US"/>
              </w:rPr>
              <w:instrText xml:space="preserve"> PAGEREF _Toc74298449 \h </w:instrText>
            </w:r>
            <w:r w:rsidR="00B10535" w:rsidRPr="00C9465D">
              <w:rPr>
                <w:rFonts w:ascii="Verdana" w:hAnsi="Verdana"/>
                <w:noProof/>
                <w:webHidden/>
                <w:sz w:val="20"/>
                <w:szCs w:val="20"/>
                <w:lang w:val="en-US"/>
              </w:rPr>
            </w:r>
            <w:r w:rsidR="00B10535" w:rsidRPr="00C9465D">
              <w:rPr>
                <w:rFonts w:ascii="Verdana" w:hAnsi="Verdana"/>
                <w:noProof/>
                <w:webHidden/>
                <w:sz w:val="20"/>
                <w:szCs w:val="20"/>
                <w:lang w:val="en-US"/>
              </w:rPr>
              <w:fldChar w:fldCharType="separate"/>
            </w:r>
            <w:r w:rsidR="00707742" w:rsidRPr="00C9465D">
              <w:rPr>
                <w:rFonts w:ascii="Verdana" w:hAnsi="Verdana"/>
                <w:noProof/>
                <w:webHidden/>
                <w:sz w:val="20"/>
                <w:szCs w:val="20"/>
                <w:lang w:val="en-US"/>
              </w:rPr>
              <w:t>2</w:t>
            </w:r>
            <w:r w:rsidR="002819CE" w:rsidRPr="00C9465D">
              <w:rPr>
                <w:rFonts w:ascii="Verdana" w:hAnsi="Verdana"/>
                <w:noProof/>
                <w:webHidden/>
                <w:sz w:val="20"/>
                <w:szCs w:val="20"/>
                <w:lang w:val="en-US"/>
              </w:rPr>
              <w:t>1</w:t>
            </w:r>
            <w:r w:rsidR="00B10535" w:rsidRPr="00C9465D">
              <w:rPr>
                <w:rFonts w:ascii="Verdana" w:hAnsi="Verdana"/>
                <w:noProof/>
                <w:webHidden/>
                <w:sz w:val="20"/>
                <w:szCs w:val="20"/>
                <w:lang w:val="en-US"/>
              </w:rPr>
              <w:fldChar w:fldCharType="end"/>
            </w:r>
          </w:hyperlink>
        </w:p>
        <w:p w14:paraId="1552C62E" w14:textId="7B2E14C2" w:rsidR="00B10535" w:rsidRPr="00C9465D" w:rsidRDefault="003C0F5F" w:rsidP="00B10535">
          <w:pPr>
            <w:pStyle w:val="TOC3"/>
            <w:tabs>
              <w:tab w:val="clear" w:pos="284"/>
              <w:tab w:val="clear" w:pos="709"/>
              <w:tab w:val="left" w:pos="0"/>
              <w:tab w:val="left" w:pos="567"/>
              <w:tab w:val="left" w:pos="660"/>
            </w:tabs>
            <w:ind w:left="0"/>
            <w:rPr>
              <w:rFonts w:ascii="Verdana" w:eastAsiaTheme="minorEastAsia" w:hAnsi="Verdana"/>
              <w:noProof/>
              <w:sz w:val="20"/>
              <w:szCs w:val="20"/>
              <w:lang w:val="en-US" w:eastAsia="es-CR"/>
            </w:rPr>
          </w:pPr>
          <w:hyperlink w:anchor="_Toc74298450" w:history="1">
            <w:r w:rsidR="00B10535" w:rsidRPr="00C9465D">
              <w:rPr>
                <w:rStyle w:val="Hyperlink"/>
                <w:rFonts w:ascii="Verdana" w:hAnsi="Verdana"/>
                <w:noProof/>
                <w:sz w:val="20"/>
                <w:szCs w:val="20"/>
                <w:lang w:val="en-US"/>
              </w:rPr>
              <w:t xml:space="preserve">B.2 </w:t>
            </w:r>
            <w:r w:rsidR="00B10535" w:rsidRPr="00C9465D">
              <w:rPr>
                <w:rFonts w:ascii="Verdana" w:eastAsiaTheme="minorEastAsia" w:hAnsi="Verdana"/>
                <w:noProof/>
                <w:sz w:val="20"/>
                <w:szCs w:val="20"/>
                <w:lang w:val="en-US" w:eastAsia="es-CR"/>
              </w:rPr>
              <w:tab/>
            </w:r>
            <w:r w:rsidR="00D85850" w:rsidRPr="00C9465D">
              <w:rPr>
                <w:rStyle w:val="Hyperlink"/>
                <w:rFonts w:ascii="Verdana" w:hAnsi="Verdana"/>
                <w:noProof/>
                <w:sz w:val="20"/>
                <w:szCs w:val="20"/>
                <w:lang w:val="en-US"/>
              </w:rPr>
              <w:t>General obligations with regard to persons with disabilities</w:t>
            </w:r>
            <w:r w:rsidR="00B10535" w:rsidRPr="00C9465D">
              <w:rPr>
                <w:rFonts w:ascii="Verdana" w:hAnsi="Verdana"/>
                <w:noProof/>
                <w:webHidden/>
                <w:sz w:val="20"/>
                <w:szCs w:val="20"/>
                <w:lang w:val="en-US"/>
              </w:rPr>
              <w:tab/>
            </w:r>
            <w:r w:rsidR="00B10535" w:rsidRPr="00C9465D">
              <w:rPr>
                <w:rFonts w:ascii="Verdana" w:hAnsi="Verdana"/>
                <w:noProof/>
                <w:webHidden/>
                <w:sz w:val="20"/>
                <w:szCs w:val="20"/>
                <w:lang w:val="en-US"/>
              </w:rPr>
              <w:fldChar w:fldCharType="begin"/>
            </w:r>
            <w:r w:rsidR="00B10535" w:rsidRPr="00C9465D">
              <w:rPr>
                <w:rFonts w:ascii="Verdana" w:hAnsi="Verdana"/>
                <w:noProof/>
                <w:webHidden/>
                <w:sz w:val="20"/>
                <w:szCs w:val="20"/>
                <w:lang w:val="en-US"/>
              </w:rPr>
              <w:instrText xml:space="preserve"> PAGEREF _Toc74298450 \h </w:instrText>
            </w:r>
            <w:r w:rsidR="00B10535" w:rsidRPr="00C9465D">
              <w:rPr>
                <w:rFonts w:ascii="Verdana" w:hAnsi="Verdana"/>
                <w:noProof/>
                <w:webHidden/>
                <w:sz w:val="20"/>
                <w:szCs w:val="20"/>
                <w:lang w:val="en-US"/>
              </w:rPr>
            </w:r>
            <w:r w:rsidR="00B10535" w:rsidRPr="00C9465D">
              <w:rPr>
                <w:rFonts w:ascii="Verdana" w:hAnsi="Verdana"/>
                <w:noProof/>
                <w:webHidden/>
                <w:sz w:val="20"/>
                <w:szCs w:val="20"/>
                <w:lang w:val="en-US"/>
              </w:rPr>
              <w:fldChar w:fldCharType="separate"/>
            </w:r>
            <w:r w:rsidR="00707742" w:rsidRPr="00C9465D">
              <w:rPr>
                <w:rFonts w:ascii="Verdana" w:hAnsi="Verdana"/>
                <w:noProof/>
                <w:webHidden/>
                <w:sz w:val="20"/>
                <w:szCs w:val="20"/>
                <w:lang w:val="en-US"/>
              </w:rPr>
              <w:t>2</w:t>
            </w:r>
            <w:r w:rsidR="002819CE" w:rsidRPr="00C9465D">
              <w:rPr>
                <w:rFonts w:ascii="Verdana" w:hAnsi="Verdana"/>
                <w:noProof/>
                <w:webHidden/>
                <w:sz w:val="20"/>
                <w:szCs w:val="20"/>
                <w:lang w:val="en-US"/>
              </w:rPr>
              <w:t>3</w:t>
            </w:r>
            <w:r w:rsidR="00B10535" w:rsidRPr="00C9465D">
              <w:rPr>
                <w:rFonts w:ascii="Verdana" w:hAnsi="Verdana"/>
                <w:noProof/>
                <w:webHidden/>
                <w:sz w:val="20"/>
                <w:szCs w:val="20"/>
                <w:lang w:val="en-US"/>
              </w:rPr>
              <w:fldChar w:fldCharType="end"/>
            </w:r>
          </w:hyperlink>
        </w:p>
        <w:p w14:paraId="23899972" w14:textId="5F1E8D9E" w:rsidR="00B10535" w:rsidRPr="00C9465D" w:rsidRDefault="003C0F5F" w:rsidP="00416109">
          <w:pPr>
            <w:pStyle w:val="TOC1"/>
            <w:rPr>
              <w:rFonts w:ascii="Verdana" w:eastAsiaTheme="minorEastAsia" w:hAnsi="Verdana"/>
              <w:noProof/>
              <w:sz w:val="20"/>
              <w:szCs w:val="20"/>
              <w:lang w:val="en-US" w:eastAsia="es-CR"/>
            </w:rPr>
          </w:pPr>
          <w:hyperlink w:anchor="_Toc74298451" w:history="1">
            <w:r w:rsidR="00B10535" w:rsidRPr="00C9465D">
              <w:rPr>
                <w:rStyle w:val="Hyperlink"/>
                <w:rFonts w:ascii="Verdana" w:hAnsi="Verdana"/>
                <w:noProof/>
                <w:sz w:val="20"/>
                <w:szCs w:val="20"/>
                <w:lang w:val="en-US"/>
              </w:rPr>
              <w:t xml:space="preserve">VII-2 </w:t>
            </w:r>
            <w:r w:rsidR="00AB2038" w:rsidRPr="00C9465D">
              <w:rPr>
                <w:rStyle w:val="Hyperlink"/>
                <w:rFonts w:ascii="Verdana" w:hAnsi="Verdana"/>
                <w:noProof/>
                <w:sz w:val="20"/>
                <w:szCs w:val="20"/>
                <w:lang w:val="en-US"/>
              </w:rPr>
              <w:t>RIGHTS TO</w:t>
            </w:r>
            <w:r w:rsidR="00B10535" w:rsidRPr="00C9465D">
              <w:rPr>
                <w:rStyle w:val="Hyperlink"/>
                <w:rFonts w:ascii="Verdana" w:hAnsi="Verdana"/>
                <w:noProof/>
                <w:sz w:val="20"/>
                <w:szCs w:val="20"/>
                <w:lang w:val="en-US"/>
              </w:rPr>
              <w:t xml:space="preserve"> </w:t>
            </w:r>
            <w:r w:rsidR="00D12C0E" w:rsidRPr="00C9465D">
              <w:rPr>
                <w:rStyle w:val="Hyperlink"/>
                <w:rFonts w:ascii="Verdana" w:hAnsi="Verdana"/>
                <w:noProof/>
                <w:sz w:val="20"/>
                <w:szCs w:val="20"/>
                <w:lang w:val="en-US"/>
              </w:rPr>
              <w:t>RECOGNITION OF JURIDICAL PERSONALITY</w:t>
            </w:r>
            <w:r w:rsidR="00B10535" w:rsidRPr="00C9465D">
              <w:rPr>
                <w:rStyle w:val="Hyperlink"/>
                <w:rFonts w:ascii="Verdana" w:hAnsi="Verdana"/>
                <w:noProof/>
                <w:sz w:val="20"/>
                <w:szCs w:val="20"/>
                <w:lang w:val="en-US"/>
              </w:rPr>
              <w:t>,</w:t>
            </w:r>
            <w:r w:rsidR="00D12C0E" w:rsidRPr="00C9465D">
              <w:rPr>
                <w:rStyle w:val="Hyperlink"/>
                <w:rFonts w:ascii="Verdana" w:hAnsi="Verdana"/>
                <w:noProof/>
                <w:sz w:val="20"/>
                <w:szCs w:val="20"/>
                <w:lang w:val="en-US"/>
              </w:rPr>
              <w:t xml:space="preserve"> </w:t>
            </w:r>
            <w:r w:rsidR="003B1089" w:rsidRPr="00C9465D">
              <w:rPr>
                <w:rStyle w:val="Hyperlink"/>
                <w:rFonts w:ascii="Verdana" w:hAnsi="Verdana"/>
                <w:noProof/>
                <w:sz w:val="20"/>
                <w:szCs w:val="20"/>
                <w:lang w:val="en-US"/>
              </w:rPr>
              <w:t>LIFE</w:t>
            </w:r>
            <w:r w:rsidR="00B10535" w:rsidRPr="00C9465D">
              <w:rPr>
                <w:rStyle w:val="Hyperlink"/>
                <w:rFonts w:ascii="Verdana" w:hAnsi="Verdana"/>
                <w:noProof/>
                <w:sz w:val="20"/>
                <w:szCs w:val="20"/>
                <w:lang w:val="en-US"/>
              </w:rPr>
              <w:t xml:space="preserve">, </w:t>
            </w:r>
            <w:r w:rsidR="00D12C0E" w:rsidRPr="00C9465D">
              <w:rPr>
                <w:rStyle w:val="Hyperlink"/>
                <w:rFonts w:ascii="Verdana" w:hAnsi="Verdana"/>
                <w:noProof/>
                <w:sz w:val="20"/>
                <w:szCs w:val="20"/>
                <w:lang w:val="en-US"/>
              </w:rPr>
              <w:t>INTEGRITY</w:t>
            </w:r>
            <w:r w:rsidR="00B10535" w:rsidRPr="00C9465D">
              <w:rPr>
                <w:rStyle w:val="Hyperlink"/>
                <w:rFonts w:ascii="Verdana" w:hAnsi="Verdana"/>
                <w:noProof/>
                <w:sz w:val="20"/>
                <w:szCs w:val="20"/>
                <w:lang w:val="en-US"/>
              </w:rPr>
              <w:t xml:space="preserve">, </w:t>
            </w:r>
            <w:r w:rsidR="00D12C0E" w:rsidRPr="00C9465D">
              <w:rPr>
                <w:rStyle w:val="Hyperlink"/>
                <w:rFonts w:ascii="Verdana" w:hAnsi="Verdana"/>
                <w:noProof/>
                <w:sz w:val="20"/>
                <w:szCs w:val="20"/>
                <w:lang w:val="en-US"/>
              </w:rPr>
              <w:t>PERSONAL LIBERTY</w:t>
            </w:r>
            <w:r w:rsidR="00B10535" w:rsidRPr="00C9465D">
              <w:rPr>
                <w:rStyle w:val="Hyperlink"/>
                <w:rFonts w:ascii="Verdana" w:hAnsi="Verdana"/>
                <w:noProof/>
                <w:sz w:val="20"/>
                <w:szCs w:val="20"/>
                <w:lang w:val="en-US"/>
              </w:rPr>
              <w:t xml:space="preserve">, </w:t>
            </w:r>
            <w:r w:rsidR="00D12C0E" w:rsidRPr="00C9465D">
              <w:rPr>
                <w:rStyle w:val="Hyperlink"/>
                <w:rFonts w:ascii="Verdana" w:hAnsi="Verdana"/>
                <w:noProof/>
                <w:sz w:val="20"/>
                <w:szCs w:val="20"/>
                <w:lang w:val="en-US"/>
              </w:rPr>
              <w:t>DIGNITY</w:t>
            </w:r>
            <w:r w:rsidR="00193CBB" w:rsidRPr="00C9465D">
              <w:rPr>
                <w:rStyle w:val="Hyperlink"/>
                <w:rFonts w:ascii="Verdana" w:hAnsi="Verdana"/>
                <w:noProof/>
                <w:sz w:val="20"/>
                <w:szCs w:val="20"/>
                <w:lang w:val="en-US"/>
              </w:rPr>
              <w:t xml:space="preserve"> </w:t>
            </w:r>
            <w:r w:rsidR="003B1089" w:rsidRPr="00C9465D">
              <w:rPr>
                <w:rStyle w:val="Hyperlink"/>
                <w:rFonts w:ascii="Verdana" w:hAnsi="Verdana"/>
                <w:noProof/>
                <w:sz w:val="20"/>
                <w:szCs w:val="20"/>
                <w:lang w:val="en-US"/>
              </w:rPr>
              <w:t>AND</w:t>
            </w:r>
            <w:r w:rsidR="00193CBB" w:rsidRPr="00C9465D">
              <w:rPr>
                <w:rStyle w:val="Hyperlink"/>
                <w:rFonts w:ascii="Verdana" w:hAnsi="Verdana"/>
                <w:noProof/>
                <w:sz w:val="20"/>
                <w:szCs w:val="20"/>
                <w:lang w:val="en-US"/>
              </w:rPr>
              <w:t xml:space="preserve"> </w:t>
            </w:r>
            <w:r w:rsidR="00D12C0E" w:rsidRPr="00C9465D">
              <w:rPr>
                <w:rStyle w:val="Hyperlink"/>
                <w:rFonts w:ascii="Verdana" w:hAnsi="Verdana"/>
                <w:noProof/>
                <w:sz w:val="20"/>
                <w:szCs w:val="20"/>
                <w:lang w:val="en-US"/>
              </w:rPr>
              <w:t>PRIVACY</w:t>
            </w:r>
            <w:r w:rsidR="00B10535" w:rsidRPr="00C9465D">
              <w:rPr>
                <w:rStyle w:val="Hyperlink"/>
                <w:rFonts w:ascii="Verdana" w:hAnsi="Verdana"/>
                <w:noProof/>
                <w:sz w:val="20"/>
                <w:szCs w:val="20"/>
                <w:lang w:val="en-US"/>
              </w:rPr>
              <w:t xml:space="preserve">, </w:t>
            </w:r>
            <w:r w:rsidR="00D12C0E" w:rsidRPr="00C9465D">
              <w:rPr>
                <w:rStyle w:val="Hyperlink"/>
                <w:rFonts w:ascii="Verdana" w:hAnsi="Verdana"/>
                <w:noProof/>
                <w:sz w:val="20"/>
                <w:szCs w:val="20"/>
                <w:lang w:val="en-US"/>
              </w:rPr>
              <w:t>ACCESS TO INFORMATI</w:t>
            </w:r>
            <w:r w:rsidR="003B1089" w:rsidRPr="00C9465D">
              <w:rPr>
                <w:rStyle w:val="Hyperlink"/>
                <w:rFonts w:ascii="Verdana" w:hAnsi="Verdana"/>
                <w:noProof/>
                <w:sz w:val="20"/>
                <w:szCs w:val="20"/>
                <w:lang w:val="en-US"/>
              </w:rPr>
              <w:t>ON</w:t>
            </w:r>
            <w:r w:rsidR="00770064" w:rsidRPr="00C9465D">
              <w:rPr>
                <w:rStyle w:val="Hyperlink"/>
                <w:rFonts w:ascii="Verdana" w:hAnsi="Verdana"/>
                <w:noProof/>
                <w:sz w:val="20"/>
                <w:szCs w:val="20"/>
                <w:lang w:val="en-US"/>
              </w:rPr>
              <w:t>,</w:t>
            </w:r>
            <w:r w:rsidR="003B1089" w:rsidRPr="00C9465D">
              <w:rPr>
                <w:rStyle w:val="Hyperlink"/>
                <w:rFonts w:ascii="Verdana" w:hAnsi="Verdana"/>
                <w:noProof/>
                <w:sz w:val="20"/>
                <w:szCs w:val="20"/>
                <w:lang w:val="en-US"/>
              </w:rPr>
              <w:t xml:space="preserve"> AND </w:t>
            </w:r>
            <w:r w:rsidR="00D12C0E" w:rsidRPr="00C9465D">
              <w:rPr>
                <w:rStyle w:val="Hyperlink"/>
                <w:rFonts w:ascii="Verdana" w:hAnsi="Verdana"/>
                <w:noProof/>
                <w:sz w:val="20"/>
                <w:szCs w:val="20"/>
                <w:lang w:val="en-US"/>
              </w:rPr>
              <w:t>HEALTH</w:t>
            </w:r>
            <w:r w:rsidR="00B10535" w:rsidRPr="00C9465D">
              <w:rPr>
                <w:rStyle w:val="Hyperlink"/>
                <w:rFonts w:ascii="Verdana" w:hAnsi="Verdana"/>
                <w:noProof/>
                <w:sz w:val="20"/>
                <w:szCs w:val="20"/>
                <w:lang w:val="en-US"/>
              </w:rPr>
              <w:t xml:space="preserve">, </w:t>
            </w:r>
            <w:r w:rsidR="00AB2038" w:rsidRPr="00C9465D">
              <w:rPr>
                <w:rStyle w:val="Hyperlink"/>
                <w:rFonts w:ascii="Verdana" w:hAnsi="Verdana"/>
                <w:noProof/>
                <w:sz w:val="20"/>
                <w:szCs w:val="20"/>
                <w:lang w:val="en-US"/>
              </w:rPr>
              <w:t>IN RELATION TO THE OBLIGATION TO RESPECT AND</w:t>
            </w:r>
            <w:r w:rsidR="00193CBB" w:rsidRPr="00C9465D">
              <w:rPr>
                <w:rStyle w:val="Hyperlink"/>
                <w:rFonts w:ascii="Verdana" w:hAnsi="Verdana"/>
                <w:noProof/>
                <w:sz w:val="20"/>
                <w:szCs w:val="20"/>
                <w:lang w:val="en-US"/>
              </w:rPr>
              <w:t xml:space="preserve"> </w:t>
            </w:r>
            <w:r w:rsidR="004D337E" w:rsidRPr="00C9465D">
              <w:rPr>
                <w:rStyle w:val="Hyperlink"/>
                <w:rFonts w:ascii="Verdana" w:hAnsi="Verdana"/>
                <w:noProof/>
                <w:sz w:val="20"/>
                <w:szCs w:val="20"/>
                <w:lang w:val="en-US"/>
              </w:rPr>
              <w:t>TO ENSURE</w:t>
            </w:r>
            <w:r w:rsidR="00AB2038" w:rsidRPr="00C9465D">
              <w:rPr>
                <w:rStyle w:val="Hyperlink"/>
                <w:rFonts w:ascii="Verdana" w:hAnsi="Verdana"/>
                <w:noProof/>
                <w:sz w:val="20"/>
                <w:szCs w:val="20"/>
                <w:lang w:val="en-US"/>
              </w:rPr>
              <w:t xml:space="preserve"> RIGHTS</w:t>
            </w:r>
            <w:r w:rsidR="00193CBB" w:rsidRPr="00C9465D">
              <w:rPr>
                <w:rStyle w:val="Hyperlink"/>
                <w:rFonts w:ascii="Verdana" w:hAnsi="Verdana"/>
                <w:noProof/>
                <w:sz w:val="20"/>
                <w:szCs w:val="20"/>
                <w:lang w:val="en-US"/>
              </w:rPr>
              <w:t xml:space="preserve"> </w:t>
            </w:r>
            <w:r w:rsidR="00AB2038" w:rsidRPr="00C9465D">
              <w:rPr>
                <w:rStyle w:val="Hyperlink"/>
                <w:rFonts w:ascii="Verdana" w:hAnsi="Verdana"/>
                <w:noProof/>
                <w:sz w:val="20"/>
                <w:szCs w:val="20"/>
                <w:lang w:val="en-US"/>
              </w:rPr>
              <w:t>AND THE OBLIGATION TO ADOPT DOMESTIC LEGAL PROVISIONS</w:t>
            </w:r>
            <w:r w:rsidR="00B10535" w:rsidRPr="00C9465D">
              <w:rPr>
                <w:rFonts w:ascii="Verdana" w:hAnsi="Verdana"/>
                <w:noProof/>
                <w:webHidden/>
                <w:sz w:val="20"/>
                <w:szCs w:val="20"/>
                <w:lang w:val="en-US"/>
              </w:rPr>
              <w:tab/>
            </w:r>
            <w:r w:rsidR="00B10535" w:rsidRPr="00C9465D">
              <w:rPr>
                <w:rFonts w:ascii="Verdana" w:hAnsi="Verdana"/>
                <w:noProof/>
                <w:webHidden/>
                <w:sz w:val="20"/>
                <w:szCs w:val="20"/>
                <w:lang w:val="en-US"/>
              </w:rPr>
              <w:fldChar w:fldCharType="begin"/>
            </w:r>
            <w:r w:rsidR="00B10535" w:rsidRPr="00C9465D">
              <w:rPr>
                <w:rFonts w:ascii="Verdana" w:hAnsi="Verdana"/>
                <w:noProof/>
                <w:webHidden/>
                <w:sz w:val="20"/>
                <w:szCs w:val="20"/>
                <w:lang w:val="en-US"/>
              </w:rPr>
              <w:instrText xml:space="preserve"> PAGEREF _Toc74298451 \h </w:instrText>
            </w:r>
            <w:r w:rsidR="00B10535" w:rsidRPr="00C9465D">
              <w:rPr>
                <w:rFonts w:ascii="Verdana" w:hAnsi="Verdana"/>
                <w:noProof/>
                <w:webHidden/>
                <w:sz w:val="20"/>
                <w:szCs w:val="20"/>
                <w:lang w:val="en-US"/>
              </w:rPr>
            </w:r>
            <w:r w:rsidR="00B10535" w:rsidRPr="00C9465D">
              <w:rPr>
                <w:rFonts w:ascii="Verdana" w:hAnsi="Verdana"/>
                <w:noProof/>
                <w:webHidden/>
                <w:sz w:val="20"/>
                <w:szCs w:val="20"/>
                <w:lang w:val="en-US"/>
              </w:rPr>
              <w:fldChar w:fldCharType="separate"/>
            </w:r>
            <w:r w:rsidR="00707742" w:rsidRPr="00C9465D">
              <w:rPr>
                <w:rFonts w:ascii="Verdana" w:hAnsi="Verdana"/>
                <w:noProof/>
                <w:webHidden/>
                <w:sz w:val="20"/>
                <w:szCs w:val="20"/>
                <w:lang w:val="en-US"/>
              </w:rPr>
              <w:t>2</w:t>
            </w:r>
            <w:r w:rsidR="002819CE" w:rsidRPr="00C9465D">
              <w:rPr>
                <w:rFonts w:ascii="Verdana" w:hAnsi="Verdana"/>
                <w:noProof/>
                <w:webHidden/>
                <w:sz w:val="20"/>
                <w:szCs w:val="20"/>
                <w:lang w:val="en-US"/>
              </w:rPr>
              <w:t>6</w:t>
            </w:r>
            <w:r w:rsidR="00B10535" w:rsidRPr="00C9465D">
              <w:rPr>
                <w:rFonts w:ascii="Verdana" w:hAnsi="Verdana"/>
                <w:noProof/>
                <w:webHidden/>
                <w:sz w:val="20"/>
                <w:szCs w:val="20"/>
                <w:lang w:val="en-US"/>
              </w:rPr>
              <w:fldChar w:fldCharType="end"/>
            </w:r>
          </w:hyperlink>
        </w:p>
        <w:p w14:paraId="70D06FDF" w14:textId="52EDDC2B" w:rsidR="00B10535" w:rsidRPr="00C9465D" w:rsidRDefault="003C0F5F" w:rsidP="003676D9">
          <w:pPr>
            <w:pStyle w:val="TOC2"/>
            <w:rPr>
              <w:rFonts w:eastAsiaTheme="minorEastAsia"/>
              <w:noProof/>
              <w:lang w:val="en-US" w:eastAsia="es-CR"/>
            </w:rPr>
          </w:pPr>
          <w:hyperlink w:anchor="_Toc74298452" w:history="1">
            <w:r w:rsidR="00B10535" w:rsidRPr="00C9465D">
              <w:rPr>
                <w:rStyle w:val="Hyperlink"/>
                <w:rFonts w:ascii="Verdana" w:hAnsi="Verdana"/>
                <w:noProof/>
                <w:sz w:val="20"/>
                <w:szCs w:val="20"/>
                <w:lang w:val="en-US"/>
              </w:rPr>
              <w:t>A.</w:t>
            </w:r>
            <w:r w:rsidR="00B10535" w:rsidRPr="00C9465D">
              <w:rPr>
                <w:rFonts w:eastAsiaTheme="minorEastAsia"/>
                <w:noProof/>
                <w:lang w:val="en-US" w:eastAsia="es-CR"/>
              </w:rPr>
              <w:tab/>
            </w:r>
            <w:r w:rsidR="009E5D69" w:rsidRPr="00C9465D">
              <w:rPr>
                <w:rStyle w:val="Hyperlink"/>
                <w:rFonts w:ascii="Verdana" w:hAnsi="Verdana"/>
                <w:noProof/>
                <w:sz w:val="20"/>
                <w:szCs w:val="20"/>
                <w:lang w:val="en-US"/>
              </w:rPr>
              <w:t>Arguments of the parties</w:t>
            </w:r>
            <w:r w:rsidR="00193CBB" w:rsidRPr="00C9465D">
              <w:rPr>
                <w:rStyle w:val="Hyperlink"/>
                <w:rFonts w:ascii="Verdana" w:hAnsi="Verdana"/>
                <w:noProof/>
                <w:sz w:val="20"/>
                <w:szCs w:val="20"/>
                <w:lang w:val="en-US"/>
              </w:rPr>
              <w:t xml:space="preserve"> and the Commission</w:t>
            </w:r>
            <w:r w:rsidR="00B10535" w:rsidRPr="00C9465D">
              <w:rPr>
                <w:noProof/>
                <w:webHidden/>
                <w:lang w:val="en-US"/>
              </w:rPr>
              <w:tab/>
            </w:r>
            <w:r w:rsidR="00B10535" w:rsidRPr="00C9465D">
              <w:rPr>
                <w:noProof/>
                <w:webHidden/>
                <w:lang w:val="en-US"/>
              </w:rPr>
              <w:fldChar w:fldCharType="begin"/>
            </w:r>
            <w:r w:rsidR="00B10535" w:rsidRPr="00C9465D">
              <w:rPr>
                <w:noProof/>
                <w:webHidden/>
                <w:lang w:val="en-US"/>
              </w:rPr>
              <w:instrText xml:space="preserve"> PAGEREF _Toc74298452 \h </w:instrText>
            </w:r>
            <w:r w:rsidR="00B10535" w:rsidRPr="00C9465D">
              <w:rPr>
                <w:noProof/>
                <w:webHidden/>
                <w:lang w:val="en-US"/>
              </w:rPr>
            </w:r>
            <w:r w:rsidR="00B10535" w:rsidRPr="00C9465D">
              <w:rPr>
                <w:noProof/>
                <w:webHidden/>
                <w:lang w:val="en-US"/>
              </w:rPr>
              <w:fldChar w:fldCharType="separate"/>
            </w:r>
            <w:r w:rsidR="00707742" w:rsidRPr="00C9465D">
              <w:rPr>
                <w:noProof/>
                <w:webHidden/>
                <w:lang w:val="en-US"/>
              </w:rPr>
              <w:t>2</w:t>
            </w:r>
            <w:r w:rsidR="002819CE" w:rsidRPr="00C9465D">
              <w:rPr>
                <w:noProof/>
                <w:webHidden/>
                <w:lang w:val="en-US"/>
              </w:rPr>
              <w:t>7</w:t>
            </w:r>
            <w:r w:rsidR="00B10535" w:rsidRPr="00C9465D">
              <w:rPr>
                <w:noProof/>
                <w:webHidden/>
                <w:lang w:val="en-US"/>
              </w:rPr>
              <w:fldChar w:fldCharType="end"/>
            </w:r>
          </w:hyperlink>
        </w:p>
        <w:p w14:paraId="0760A677" w14:textId="49BB926B" w:rsidR="00B10535" w:rsidRPr="00C9465D" w:rsidRDefault="003C0F5F" w:rsidP="003676D9">
          <w:pPr>
            <w:pStyle w:val="TOC2"/>
            <w:rPr>
              <w:rFonts w:eastAsiaTheme="minorEastAsia"/>
              <w:noProof/>
              <w:lang w:val="en-US" w:eastAsia="es-CR"/>
            </w:rPr>
          </w:pPr>
          <w:hyperlink w:anchor="_Toc74298453" w:history="1">
            <w:r w:rsidR="00B10535" w:rsidRPr="00C9465D">
              <w:rPr>
                <w:rStyle w:val="Hyperlink"/>
                <w:rFonts w:ascii="Verdana" w:hAnsi="Verdana"/>
                <w:noProof/>
                <w:sz w:val="20"/>
                <w:szCs w:val="20"/>
                <w:lang w:val="en-US"/>
              </w:rPr>
              <w:t>B.</w:t>
            </w:r>
            <w:r w:rsidR="00B10535" w:rsidRPr="00C9465D">
              <w:rPr>
                <w:rFonts w:eastAsiaTheme="minorEastAsia"/>
                <w:noProof/>
                <w:lang w:val="en-US" w:eastAsia="es-CR"/>
              </w:rPr>
              <w:tab/>
            </w:r>
            <w:r w:rsidR="007540C2" w:rsidRPr="00C9465D">
              <w:rPr>
                <w:rStyle w:val="Hyperlink"/>
                <w:rFonts w:ascii="Verdana" w:hAnsi="Verdana"/>
                <w:noProof/>
                <w:sz w:val="20"/>
                <w:szCs w:val="20"/>
                <w:lang w:val="en-US"/>
              </w:rPr>
              <w:t>Considerations</w:t>
            </w:r>
            <w:r w:rsidR="00193CBB" w:rsidRPr="00C9465D">
              <w:rPr>
                <w:rStyle w:val="Hyperlink"/>
                <w:rFonts w:ascii="Verdana" w:hAnsi="Verdana"/>
                <w:noProof/>
                <w:sz w:val="20"/>
                <w:szCs w:val="20"/>
                <w:lang w:val="en-US"/>
              </w:rPr>
              <w:t xml:space="preserve"> of the Court</w:t>
            </w:r>
            <w:r w:rsidR="00B10535" w:rsidRPr="00C9465D">
              <w:rPr>
                <w:noProof/>
                <w:webHidden/>
                <w:lang w:val="en-US"/>
              </w:rPr>
              <w:tab/>
            </w:r>
            <w:r w:rsidR="002819CE" w:rsidRPr="00C9465D">
              <w:rPr>
                <w:noProof/>
                <w:webHidden/>
                <w:lang w:val="en-US"/>
              </w:rPr>
              <w:t>28</w:t>
            </w:r>
          </w:hyperlink>
        </w:p>
        <w:p w14:paraId="21DEDECD" w14:textId="0B0296A3" w:rsidR="00B10535" w:rsidRPr="00C9465D" w:rsidRDefault="003C0F5F" w:rsidP="00B10535">
          <w:pPr>
            <w:pStyle w:val="TOC3"/>
            <w:tabs>
              <w:tab w:val="clear" w:pos="284"/>
              <w:tab w:val="clear" w:pos="709"/>
              <w:tab w:val="left" w:pos="0"/>
              <w:tab w:val="left" w:pos="567"/>
              <w:tab w:val="left" w:pos="660"/>
            </w:tabs>
            <w:ind w:left="0"/>
            <w:rPr>
              <w:rFonts w:ascii="Verdana" w:eastAsiaTheme="minorEastAsia" w:hAnsi="Verdana"/>
              <w:noProof/>
              <w:sz w:val="20"/>
              <w:szCs w:val="20"/>
              <w:lang w:val="en-US" w:eastAsia="es-CR"/>
            </w:rPr>
          </w:pPr>
          <w:hyperlink w:anchor="_Toc74298454" w:history="1">
            <w:r w:rsidR="00B10535" w:rsidRPr="00C9465D">
              <w:rPr>
                <w:rStyle w:val="Hyperlink"/>
                <w:rFonts w:ascii="Verdana" w:hAnsi="Verdana"/>
                <w:noProof/>
                <w:sz w:val="20"/>
                <w:szCs w:val="20"/>
                <w:lang w:val="en-US"/>
              </w:rPr>
              <w:t>B.1</w:t>
            </w:r>
            <w:r w:rsidR="003B1089" w:rsidRPr="00C9465D">
              <w:rPr>
                <w:rStyle w:val="Hyperlink"/>
                <w:rFonts w:ascii="Verdana" w:hAnsi="Verdana"/>
                <w:noProof/>
                <w:sz w:val="20"/>
                <w:szCs w:val="20"/>
                <w:lang w:val="en-US"/>
              </w:rPr>
              <w:t xml:space="preserve"> </w:t>
            </w:r>
            <w:r w:rsidR="003B1089" w:rsidRPr="00C9465D">
              <w:rPr>
                <w:rStyle w:val="Hyperlink"/>
                <w:rFonts w:ascii="Verdana" w:hAnsi="Verdana"/>
                <w:noProof/>
                <w:sz w:val="20"/>
                <w:szCs w:val="20"/>
                <w:lang w:val="en-US"/>
              </w:rPr>
              <w:tab/>
            </w:r>
            <w:r w:rsidR="00197FB3" w:rsidRPr="00C9465D">
              <w:rPr>
                <w:rStyle w:val="Hyperlink"/>
                <w:rFonts w:ascii="Verdana" w:hAnsi="Verdana"/>
                <w:noProof/>
                <w:sz w:val="20"/>
                <w:szCs w:val="20"/>
                <w:lang w:val="en-US"/>
              </w:rPr>
              <w:t>The right to informed consent</w:t>
            </w:r>
            <w:r w:rsidR="00B10535" w:rsidRPr="00C9465D">
              <w:rPr>
                <w:rFonts w:ascii="Verdana" w:hAnsi="Verdana"/>
                <w:noProof/>
                <w:webHidden/>
                <w:sz w:val="20"/>
                <w:szCs w:val="20"/>
                <w:lang w:val="en-US"/>
              </w:rPr>
              <w:tab/>
            </w:r>
            <w:r w:rsidR="00B10535" w:rsidRPr="00C9465D">
              <w:rPr>
                <w:rFonts w:ascii="Verdana" w:hAnsi="Verdana"/>
                <w:noProof/>
                <w:webHidden/>
                <w:sz w:val="20"/>
                <w:szCs w:val="20"/>
                <w:lang w:val="en-US"/>
              </w:rPr>
              <w:fldChar w:fldCharType="begin"/>
            </w:r>
            <w:r w:rsidR="00B10535" w:rsidRPr="00C9465D">
              <w:rPr>
                <w:rFonts w:ascii="Verdana" w:hAnsi="Verdana"/>
                <w:noProof/>
                <w:webHidden/>
                <w:sz w:val="20"/>
                <w:szCs w:val="20"/>
                <w:lang w:val="en-US"/>
              </w:rPr>
              <w:instrText xml:space="preserve"> PAGEREF _Toc74298454 \h </w:instrText>
            </w:r>
            <w:r w:rsidR="00B10535" w:rsidRPr="00C9465D">
              <w:rPr>
                <w:rFonts w:ascii="Verdana" w:hAnsi="Verdana"/>
                <w:noProof/>
                <w:webHidden/>
                <w:sz w:val="20"/>
                <w:szCs w:val="20"/>
                <w:lang w:val="en-US"/>
              </w:rPr>
            </w:r>
            <w:r w:rsidR="00B10535" w:rsidRPr="00C9465D">
              <w:rPr>
                <w:rFonts w:ascii="Verdana" w:hAnsi="Verdana"/>
                <w:noProof/>
                <w:webHidden/>
                <w:sz w:val="20"/>
                <w:szCs w:val="20"/>
                <w:lang w:val="en-US"/>
              </w:rPr>
              <w:fldChar w:fldCharType="separate"/>
            </w:r>
            <w:r w:rsidR="00707742" w:rsidRPr="00C9465D">
              <w:rPr>
                <w:rFonts w:ascii="Verdana" w:hAnsi="Verdana"/>
                <w:noProof/>
                <w:webHidden/>
                <w:sz w:val="20"/>
                <w:szCs w:val="20"/>
                <w:lang w:val="en-US"/>
              </w:rPr>
              <w:t>3</w:t>
            </w:r>
            <w:r w:rsidR="002819CE" w:rsidRPr="00C9465D">
              <w:rPr>
                <w:rFonts w:ascii="Verdana" w:hAnsi="Verdana"/>
                <w:noProof/>
                <w:webHidden/>
                <w:sz w:val="20"/>
                <w:szCs w:val="20"/>
                <w:lang w:val="en-US"/>
              </w:rPr>
              <w:t>2</w:t>
            </w:r>
            <w:r w:rsidR="00B10535" w:rsidRPr="00C9465D">
              <w:rPr>
                <w:rFonts w:ascii="Verdana" w:hAnsi="Verdana"/>
                <w:noProof/>
                <w:webHidden/>
                <w:sz w:val="20"/>
                <w:szCs w:val="20"/>
                <w:lang w:val="en-US"/>
              </w:rPr>
              <w:fldChar w:fldCharType="end"/>
            </w:r>
          </w:hyperlink>
        </w:p>
        <w:p w14:paraId="7E162175" w14:textId="4FEC4751" w:rsidR="00B10535" w:rsidRPr="00C9465D" w:rsidRDefault="003C0F5F" w:rsidP="00B10535">
          <w:pPr>
            <w:pStyle w:val="TOC3"/>
            <w:tabs>
              <w:tab w:val="clear" w:pos="284"/>
              <w:tab w:val="clear" w:pos="709"/>
              <w:tab w:val="left" w:pos="0"/>
              <w:tab w:val="left" w:pos="567"/>
              <w:tab w:val="left" w:pos="660"/>
            </w:tabs>
            <w:ind w:left="0"/>
            <w:rPr>
              <w:rFonts w:ascii="Verdana" w:eastAsiaTheme="minorEastAsia" w:hAnsi="Verdana"/>
              <w:noProof/>
              <w:sz w:val="20"/>
              <w:szCs w:val="20"/>
              <w:lang w:val="en-US" w:eastAsia="es-CR"/>
            </w:rPr>
          </w:pPr>
          <w:hyperlink w:anchor="_Toc74298455" w:history="1">
            <w:r w:rsidR="00B10535" w:rsidRPr="00C9465D">
              <w:rPr>
                <w:rStyle w:val="Hyperlink"/>
                <w:rFonts w:ascii="Verdana" w:hAnsi="Verdana"/>
                <w:noProof/>
                <w:sz w:val="20"/>
                <w:szCs w:val="20"/>
                <w:lang w:val="en-US"/>
              </w:rPr>
              <w:t xml:space="preserve">B.2 </w:t>
            </w:r>
            <w:r w:rsidR="00B10535" w:rsidRPr="00C9465D">
              <w:rPr>
                <w:rFonts w:ascii="Verdana" w:eastAsiaTheme="minorEastAsia" w:hAnsi="Verdana"/>
                <w:noProof/>
                <w:sz w:val="20"/>
                <w:szCs w:val="20"/>
                <w:lang w:val="en-US" w:eastAsia="es-CR"/>
              </w:rPr>
              <w:tab/>
            </w:r>
            <w:r w:rsidR="00007024" w:rsidRPr="00C9465D">
              <w:rPr>
                <w:rStyle w:val="Hyperlink"/>
                <w:rFonts w:ascii="Verdana" w:hAnsi="Verdana"/>
                <w:noProof/>
                <w:sz w:val="20"/>
                <w:szCs w:val="20"/>
                <w:lang w:val="en-US"/>
              </w:rPr>
              <w:t>Medical treatment received by</w:t>
            </w:r>
            <w:r w:rsidR="00B10535" w:rsidRPr="00C9465D">
              <w:rPr>
                <w:rStyle w:val="Hyperlink"/>
                <w:rFonts w:ascii="Verdana" w:hAnsi="Verdana"/>
                <w:noProof/>
                <w:sz w:val="20"/>
                <w:szCs w:val="20"/>
                <w:lang w:val="en-US"/>
              </w:rPr>
              <w:t xml:space="preserve"> </w:t>
            </w:r>
            <w:r w:rsidR="002F3237" w:rsidRPr="00C9465D">
              <w:rPr>
                <w:rStyle w:val="Hyperlink"/>
                <w:rFonts w:ascii="Verdana" w:hAnsi="Verdana"/>
                <w:noProof/>
                <w:sz w:val="20"/>
                <w:szCs w:val="20"/>
                <w:lang w:val="en-US"/>
              </w:rPr>
              <w:t>Mr. Guachalá</w:t>
            </w:r>
            <w:r w:rsidR="00B10535" w:rsidRPr="00C9465D">
              <w:rPr>
                <w:rStyle w:val="Hyperlink"/>
                <w:rFonts w:ascii="Verdana" w:hAnsi="Verdana"/>
                <w:noProof/>
                <w:sz w:val="20"/>
                <w:szCs w:val="20"/>
                <w:lang w:val="en-US"/>
              </w:rPr>
              <w:t xml:space="preserve"> Chimbo</w:t>
            </w:r>
            <w:r w:rsidR="00B10535" w:rsidRPr="00C9465D">
              <w:rPr>
                <w:rFonts w:ascii="Verdana" w:hAnsi="Verdana"/>
                <w:noProof/>
                <w:webHidden/>
                <w:sz w:val="20"/>
                <w:szCs w:val="20"/>
                <w:lang w:val="en-US"/>
              </w:rPr>
              <w:tab/>
            </w:r>
            <w:r w:rsidR="002819CE" w:rsidRPr="00C9465D">
              <w:rPr>
                <w:rFonts w:ascii="Verdana" w:hAnsi="Verdana"/>
                <w:noProof/>
                <w:webHidden/>
                <w:sz w:val="20"/>
                <w:szCs w:val="20"/>
                <w:lang w:val="en-US"/>
              </w:rPr>
              <w:t>39</w:t>
            </w:r>
          </w:hyperlink>
        </w:p>
        <w:p w14:paraId="320E6E2E" w14:textId="2403720F" w:rsidR="00B10535" w:rsidRPr="00C9465D" w:rsidRDefault="003C0F5F" w:rsidP="00B10535">
          <w:pPr>
            <w:pStyle w:val="TOC3"/>
            <w:tabs>
              <w:tab w:val="clear" w:pos="284"/>
              <w:tab w:val="clear" w:pos="709"/>
              <w:tab w:val="left" w:pos="0"/>
              <w:tab w:val="left" w:pos="567"/>
              <w:tab w:val="left" w:pos="660"/>
            </w:tabs>
            <w:ind w:left="0"/>
            <w:rPr>
              <w:rFonts w:ascii="Verdana" w:eastAsiaTheme="minorEastAsia" w:hAnsi="Verdana"/>
              <w:noProof/>
              <w:sz w:val="20"/>
              <w:szCs w:val="20"/>
              <w:lang w:val="en-US" w:eastAsia="es-CR"/>
            </w:rPr>
          </w:pPr>
          <w:hyperlink w:anchor="_Toc74298456" w:history="1">
            <w:r w:rsidR="00B10535" w:rsidRPr="00C9465D">
              <w:rPr>
                <w:rStyle w:val="Hyperlink"/>
                <w:rFonts w:ascii="Verdana" w:hAnsi="Verdana"/>
                <w:noProof/>
                <w:sz w:val="20"/>
                <w:szCs w:val="20"/>
                <w:lang w:val="en-US"/>
              </w:rPr>
              <w:t xml:space="preserve">B.3 </w:t>
            </w:r>
            <w:r w:rsidR="00B10535" w:rsidRPr="00C9465D">
              <w:rPr>
                <w:rFonts w:ascii="Verdana" w:eastAsiaTheme="minorEastAsia" w:hAnsi="Verdana"/>
                <w:noProof/>
                <w:sz w:val="20"/>
                <w:szCs w:val="20"/>
                <w:lang w:val="en-US" w:eastAsia="es-CR"/>
              </w:rPr>
              <w:tab/>
            </w:r>
            <w:r w:rsidR="00BF6AD0" w:rsidRPr="00C9465D">
              <w:rPr>
                <w:rStyle w:val="Hyperlink"/>
                <w:rFonts w:ascii="Verdana" w:hAnsi="Verdana"/>
                <w:noProof/>
                <w:sz w:val="20"/>
                <w:szCs w:val="20"/>
                <w:lang w:val="en-US"/>
              </w:rPr>
              <w:t>The disappearance of</w:t>
            </w:r>
            <w:r w:rsidR="002F3237" w:rsidRPr="00C9465D">
              <w:rPr>
                <w:rStyle w:val="Hyperlink"/>
                <w:rFonts w:ascii="Verdana" w:hAnsi="Verdana"/>
                <w:noProof/>
                <w:sz w:val="20"/>
                <w:szCs w:val="20"/>
                <w:lang w:val="en-US"/>
              </w:rPr>
              <w:t xml:space="preserve"> Mr. Guachalá</w:t>
            </w:r>
            <w:r w:rsidR="00B10535" w:rsidRPr="00C9465D">
              <w:rPr>
                <w:rFonts w:ascii="Verdana" w:hAnsi="Verdana"/>
                <w:noProof/>
                <w:webHidden/>
                <w:sz w:val="20"/>
                <w:szCs w:val="20"/>
                <w:lang w:val="en-US"/>
              </w:rPr>
              <w:tab/>
            </w:r>
            <w:r w:rsidR="00B10535" w:rsidRPr="00C9465D">
              <w:rPr>
                <w:rFonts w:ascii="Verdana" w:hAnsi="Verdana"/>
                <w:noProof/>
                <w:webHidden/>
                <w:sz w:val="20"/>
                <w:szCs w:val="20"/>
                <w:lang w:val="en-US"/>
              </w:rPr>
              <w:fldChar w:fldCharType="begin"/>
            </w:r>
            <w:r w:rsidR="00B10535" w:rsidRPr="00C9465D">
              <w:rPr>
                <w:rFonts w:ascii="Verdana" w:hAnsi="Verdana"/>
                <w:noProof/>
                <w:webHidden/>
                <w:sz w:val="20"/>
                <w:szCs w:val="20"/>
                <w:lang w:val="en-US"/>
              </w:rPr>
              <w:instrText xml:space="preserve"> PAGEREF _Toc74298456 \h </w:instrText>
            </w:r>
            <w:r w:rsidR="00B10535" w:rsidRPr="00C9465D">
              <w:rPr>
                <w:rFonts w:ascii="Verdana" w:hAnsi="Verdana"/>
                <w:noProof/>
                <w:webHidden/>
                <w:sz w:val="20"/>
                <w:szCs w:val="20"/>
                <w:lang w:val="en-US"/>
              </w:rPr>
            </w:r>
            <w:r w:rsidR="00B10535" w:rsidRPr="00C9465D">
              <w:rPr>
                <w:rFonts w:ascii="Verdana" w:hAnsi="Verdana"/>
                <w:noProof/>
                <w:webHidden/>
                <w:sz w:val="20"/>
                <w:szCs w:val="20"/>
                <w:lang w:val="en-US"/>
              </w:rPr>
              <w:fldChar w:fldCharType="separate"/>
            </w:r>
            <w:r w:rsidR="00707742" w:rsidRPr="00C9465D">
              <w:rPr>
                <w:rFonts w:ascii="Verdana" w:hAnsi="Verdana"/>
                <w:noProof/>
                <w:webHidden/>
                <w:sz w:val="20"/>
                <w:szCs w:val="20"/>
                <w:lang w:val="en-US"/>
              </w:rPr>
              <w:t>4</w:t>
            </w:r>
            <w:r w:rsidR="002819CE" w:rsidRPr="00C9465D">
              <w:rPr>
                <w:rFonts w:ascii="Verdana" w:hAnsi="Verdana"/>
                <w:noProof/>
                <w:webHidden/>
                <w:sz w:val="20"/>
                <w:szCs w:val="20"/>
                <w:lang w:val="en-US"/>
              </w:rPr>
              <w:t>3</w:t>
            </w:r>
            <w:r w:rsidR="00B10535" w:rsidRPr="00C9465D">
              <w:rPr>
                <w:rFonts w:ascii="Verdana" w:hAnsi="Verdana"/>
                <w:noProof/>
                <w:webHidden/>
                <w:sz w:val="20"/>
                <w:szCs w:val="20"/>
                <w:lang w:val="en-US"/>
              </w:rPr>
              <w:fldChar w:fldCharType="end"/>
            </w:r>
          </w:hyperlink>
        </w:p>
        <w:p w14:paraId="6EA5AB1B" w14:textId="4831FE29" w:rsidR="00B10535" w:rsidRPr="00C9465D" w:rsidRDefault="003C0F5F" w:rsidP="00B10535">
          <w:pPr>
            <w:pStyle w:val="TOC3"/>
            <w:tabs>
              <w:tab w:val="clear" w:pos="284"/>
              <w:tab w:val="clear" w:pos="709"/>
              <w:tab w:val="left" w:pos="0"/>
              <w:tab w:val="left" w:pos="567"/>
              <w:tab w:val="left" w:pos="660"/>
            </w:tabs>
            <w:ind w:left="0"/>
            <w:rPr>
              <w:rFonts w:ascii="Verdana" w:eastAsiaTheme="minorEastAsia" w:hAnsi="Verdana"/>
              <w:noProof/>
              <w:sz w:val="20"/>
              <w:szCs w:val="20"/>
              <w:lang w:val="en-US" w:eastAsia="es-CR"/>
            </w:rPr>
          </w:pPr>
          <w:hyperlink w:anchor="_Toc74298457" w:history="1">
            <w:r w:rsidR="00B10535" w:rsidRPr="00C9465D">
              <w:rPr>
                <w:rStyle w:val="Hyperlink"/>
                <w:rFonts w:ascii="Verdana" w:hAnsi="Verdana"/>
                <w:noProof/>
                <w:sz w:val="20"/>
                <w:szCs w:val="20"/>
                <w:lang w:val="en-US"/>
              </w:rPr>
              <w:t>B.</w:t>
            </w:r>
            <w:r w:rsidR="002819CE" w:rsidRPr="00C9465D">
              <w:rPr>
                <w:rStyle w:val="Hyperlink"/>
                <w:rFonts w:ascii="Verdana" w:hAnsi="Verdana"/>
                <w:noProof/>
                <w:sz w:val="20"/>
                <w:szCs w:val="20"/>
                <w:lang w:val="en-US"/>
              </w:rPr>
              <w:t>4</w:t>
            </w:r>
            <w:r w:rsidR="00B10535" w:rsidRPr="00C9465D">
              <w:rPr>
                <w:rStyle w:val="Hyperlink"/>
                <w:rFonts w:ascii="Verdana" w:hAnsi="Verdana"/>
                <w:noProof/>
                <w:sz w:val="20"/>
                <w:szCs w:val="20"/>
                <w:lang w:val="en-US"/>
              </w:rPr>
              <w:t xml:space="preserve"> </w:t>
            </w:r>
            <w:r w:rsidR="00B10535" w:rsidRPr="00C9465D">
              <w:rPr>
                <w:rFonts w:ascii="Verdana" w:eastAsiaTheme="minorEastAsia" w:hAnsi="Verdana"/>
                <w:noProof/>
                <w:sz w:val="20"/>
                <w:szCs w:val="20"/>
                <w:lang w:val="en-US" w:eastAsia="es-CR"/>
              </w:rPr>
              <w:tab/>
            </w:r>
            <w:r w:rsidR="00C55255" w:rsidRPr="00C9465D">
              <w:rPr>
                <w:rStyle w:val="Hyperlink"/>
                <w:rFonts w:ascii="Verdana" w:hAnsi="Verdana"/>
                <w:noProof/>
                <w:sz w:val="20"/>
                <w:szCs w:val="20"/>
                <w:lang w:val="en-US"/>
              </w:rPr>
              <w:t>The scope of the discrimination that occurred in this case</w:t>
            </w:r>
            <w:r w:rsidR="00B10535" w:rsidRPr="00C9465D">
              <w:rPr>
                <w:rFonts w:ascii="Verdana" w:hAnsi="Verdana"/>
                <w:noProof/>
                <w:webHidden/>
                <w:sz w:val="20"/>
                <w:szCs w:val="20"/>
                <w:lang w:val="en-US"/>
              </w:rPr>
              <w:tab/>
            </w:r>
            <w:r w:rsidR="002819CE" w:rsidRPr="00C9465D">
              <w:rPr>
                <w:rFonts w:ascii="Verdana" w:hAnsi="Verdana"/>
                <w:noProof/>
                <w:webHidden/>
                <w:sz w:val="20"/>
                <w:szCs w:val="20"/>
                <w:lang w:val="en-US"/>
              </w:rPr>
              <w:t>45</w:t>
            </w:r>
          </w:hyperlink>
        </w:p>
        <w:p w14:paraId="64A22730" w14:textId="5E2D9E62" w:rsidR="00B10535" w:rsidRPr="00C9465D" w:rsidRDefault="003C0F5F" w:rsidP="00B10535">
          <w:pPr>
            <w:pStyle w:val="TOC3"/>
            <w:tabs>
              <w:tab w:val="clear" w:pos="284"/>
              <w:tab w:val="clear" w:pos="709"/>
              <w:tab w:val="left" w:pos="0"/>
              <w:tab w:val="left" w:pos="567"/>
              <w:tab w:val="left" w:pos="660"/>
            </w:tabs>
            <w:ind w:left="0"/>
            <w:rPr>
              <w:rFonts w:ascii="Verdana" w:eastAsiaTheme="minorEastAsia" w:hAnsi="Verdana"/>
              <w:noProof/>
              <w:sz w:val="20"/>
              <w:szCs w:val="20"/>
              <w:lang w:val="en-US" w:eastAsia="es-CR"/>
            </w:rPr>
          </w:pPr>
          <w:hyperlink w:anchor="_Toc74298458" w:history="1">
            <w:r w:rsidR="00B10535" w:rsidRPr="00C9465D">
              <w:rPr>
                <w:rStyle w:val="Hyperlink"/>
                <w:rFonts w:ascii="Verdana" w:hAnsi="Verdana"/>
                <w:noProof/>
                <w:sz w:val="20"/>
                <w:szCs w:val="20"/>
                <w:lang w:val="en-US"/>
              </w:rPr>
              <w:t xml:space="preserve">B.5 </w:t>
            </w:r>
            <w:r w:rsidR="00B10535" w:rsidRPr="00C9465D">
              <w:rPr>
                <w:rFonts w:ascii="Verdana" w:eastAsiaTheme="minorEastAsia" w:hAnsi="Verdana"/>
                <w:noProof/>
                <w:sz w:val="20"/>
                <w:szCs w:val="20"/>
                <w:lang w:val="en-US" w:eastAsia="es-CR"/>
              </w:rPr>
              <w:tab/>
            </w:r>
            <w:r w:rsidR="0033742F" w:rsidRPr="00C9465D">
              <w:rPr>
                <w:rStyle w:val="Hyperlink"/>
                <w:rFonts w:ascii="Verdana" w:hAnsi="Verdana"/>
                <w:noProof/>
                <w:sz w:val="20"/>
                <w:szCs w:val="20"/>
                <w:lang w:val="en-US"/>
              </w:rPr>
              <w:t>General conclusion on this chapter</w:t>
            </w:r>
            <w:r w:rsidR="00B10535" w:rsidRPr="00C9465D">
              <w:rPr>
                <w:rFonts w:ascii="Verdana" w:hAnsi="Verdana"/>
                <w:noProof/>
                <w:webHidden/>
                <w:sz w:val="20"/>
                <w:szCs w:val="20"/>
                <w:lang w:val="en-US"/>
              </w:rPr>
              <w:tab/>
            </w:r>
            <w:r w:rsidR="002819CE" w:rsidRPr="00C9465D">
              <w:rPr>
                <w:rFonts w:ascii="Verdana" w:hAnsi="Verdana"/>
                <w:noProof/>
                <w:webHidden/>
                <w:sz w:val="20"/>
                <w:szCs w:val="20"/>
                <w:lang w:val="en-US"/>
              </w:rPr>
              <w:t>48</w:t>
            </w:r>
          </w:hyperlink>
        </w:p>
        <w:p w14:paraId="3BC64A5C" w14:textId="10B6D203" w:rsidR="00B10535" w:rsidRPr="00C9465D" w:rsidRDefault="003C0F5F" w:rsidP="00416109">
          <w:pPr>
            <w:pStyle w:val="TOC1"/>
            <w:rPr>
              <w:rFonts w:ascii="Verdana" w:eastAsiaTheme="minorEastAsia" w:hAnsi="Verdana"/>
              <w:noProof/>
              <w:sz w:val="20"/>
              <w:szCs w:val="20"/>
              <w:lang w:val="en-US" w:eastAsia="es-CR"/>
            </w:rPr>
          </w:pPr>
          <w:hyperlink w:anchor="_Toc74298459" w:history="1">
            <w:r w:rsidR="00B10535" w:rsidRPr="00C9465D">
              <w:rPr>
                <w:rStyle w:val="Hyperlink"/>
                <w:rFonts w:ascii="Verdana" w:hAnsi="Verdana"/>
                <w:noProof/>
                <w:sz w:val="20"/>
                <w:szCs w:val="20"/>
                <w:lang w:val="en-US"/>
              </w:rPr>
              <w:t xml:space="preserve">VII-3 </w:t>
            </w:r>
            <w:r w:rsidR="00D7655F" w:rsidRPr="00C9465D">
              <w:rPr>
                <w:rStyle w:val="Hyperlink"/>
                <w:rFonts w:ascii="Verdana" w:hAnsi="Verdana"/>
                <w:noProof/>
                <w:sz w:val="20"/>
                <w:szCs w:val="20"/>
                <w:lang w:val="en-US"/>
              </w:rPr>
              <w:t>RIGHTS TO JUDICIAL</w:t>
            </w:r>
            <w:r w:rsidR="00D12C0E" w:rsidRPr="00C9465D">
              <w:rPr>
                <w:rStyle w:val="Hyperlink"/>
                <w:rFonts w:ascii="Verdana" w:hAnsi="Verdana"/>
                <w:noProof/>
                <w:sz w:val="20"/>
                <w:szCs w:val="20"/>
                <w:lang w:val="en-US"/>
              </w:rPr>
              <w:t xml:space="preserve"> GUARANTEES</w:t>
            </w:r>
            <w:r w:rsidR="00193CBB" w:rsidRPr="00C9465D">
              <w:rPr>
                <w:rStyle w:val="Hyperlink"/>
                <w:rFonts w:ascii="Verdana" w:hAnsi="Verdana"/>
                <w:noProof/>
                <w:sz w:val="20"/>
                <w:szCs w:val="20"/>
                <w:lang w:val="en-US"/>
              </w:rPr>
              <w:t xml:space="preserve"> </w:t>
            </w:r>
            <w:r w:rsidR="00D7655F" w:rsidRPr="00C9465D">
              <w:rPr>
                <w:rStyle w:val="Hyperlink"/>
                <w:rFonts w:ascii="Verdana" w:hAnsi="Verdana"/>
                <w:noProof/>
                <w:sz w:val="20"/>
                <w:szCs w:val="20"/>
                <w:lang w:val="en-US"/>
              </w:rPr>
              <w:t>AND TO JUDICIAL</w:t>
            </w:r>
            <w:r w:rsidR="00D12C0E" w:rsidRPr="00C9465D">
              <w:rPr>
                <w:rStyle w:val="Hyperlink"/>
                <w:rFonts w:ascii="Verdana" w:hAnsi="Verdana"/>
                <w:noProof/>
                <w:sz w:val="20"/>
                <w:szCs w:val="20"/>
                <w:lang w:val="en-US"/>
              </w:rPr>
              <w:t xml:space="preserve"> PROTECTION</w:t>
            </w:r>
            <w:r w:rsidR="00B10535" w:rsidRPr="00C9465D">
              <w:rPr>
                <w:rFonts w:ascii="Verdana" w:hAnsi="Verdana"/>
                <w:noProof/>
                <w:webHidden/>
                <w:sz w:val="20"/>
                <w:szCs w:val="20"/>
                <w:lang w:val="en-US"/>
              </w:rPr>
              <w:tab/>
            </w:r>
            <w:r w:rsidR="002819CE" w:rsidRPr="00C9465D">
              <w:rPr>
                <w:rFonts w:ascii="Verdana" w:hAnsi="Verdana"/>
                <w:noProof/>
                <w:webHidden/>
                <w:sz w:val="20"/>
                <w:szCs w:val="20"/>
                <w:lang w:val="en-US"/>
              </w:rPr>
              <w:t>48</w:t>
            </w:r>
          </w:hyperlink>
        </w:p>
        <w:p w14:paraId="411F70CE" w14:textId="1DC350B4" w:rsidR="00B10535" w:rsidRPr="00C9465D" w:rsidRDefault="003C0F5F" w:rsidP="003676D9">
          <w:pPr>
            <w:pStyle w:val="TOC2"/>
            <w:rPr>
              <w:rFonts w:eastAsiaTheme="minorEastAsia"/>
              <w:noProof/>
              <w:lang w:val="en-US" w:eastAsia="es-CR"/>
            </w:rPr>
          </w:pPr>
          <w:hyperlink w:anchor="_Toc74298460" w:history="1">
            <w:r w:rsidR="00B10535" w:rsidRPr="00C9465D">
              <w:rPr>
                <w:rStyle w:val="Hyperlink"/>
                <w:rFonts w:ascii="Verdana" w:hAnsi="Verdana"/>
                <w:noProof/>
                <w:sz w:val="20"/>
                <w:szCs w:val="20"/>
                <w:lang w:val="en-US"/>
              </w:rPr>
              <w:t>A.</w:t>
            </w:r>
            <w:r w:rsidR="00B10535" w:rsidRPr="00C9465D">
              <w:rPr>
                <w:rFonts w:eastAsiaTheme="minorEastAsia"/>
                <w:noProof/>
                <w:lang w:val="en-US" w:eastAsia="es-CR"/>
              </w:rPr>
              <w:tab/>
            </w:r>
            <w:r w:rsidR="00D7655F" w:rsidRPr="00C9465D">
              <w:rPr>
                <w:rStyle w:val="Hyperlink"/>
                <w:rFonts w:ascii="Verdana" w:hAnsi="Verdana"/>
                <w:noProof/>
                <w:sz w:val="20"/>
                <w:szCs w:val="20"/>
                <w:lang w:val="en-US"/>
              </w:rPr>
              <w:t>Arguments of the Commission and the parties</w:t>
            </w:r>
            <w:r w:rsidR="00B10535" w:rsidRPr="00C9465D">
              <w:rPr>
                <w:noProof/>
                <w:webHidden/>
                <w:lang w:val="en-US"/>
              </w:rPr>
              <w:tab/>
            </w:r>
            <w:r w:rsidR="002819CE" w:rsidRPr="00C9465D">
              <w:rPr>
                <w:noProof/>
                <w:webHidden/>
                <w:lang w:val="en-US"/>
              </w:rPr>
              <w:t>48</w:t>
            </w:r>
          </w:hyperlink>
        </w:p>
        <w:p w14:paraId="6E377051" w14:textId="51C05030" w:rsidR="00B10535" w:rsidRPr="00C9465D" w:rsidRDefault="003C0F5F" w:rsidP="003676D9">
          <w:pPr>
            <w:pStyle w:val="TOC2"/>
            <w:rPr>
              <w:rFonts w:eastAsiaTheme="minorEastAsia"/>
              <w:noProof/>
              <w:lang w:val="en-US" w:eastAsia="es-CR"/>
            </w:rPr>
          </w:pPr>
          <w:hyperlink w:anchor="_Toc74298461" w:history="1">
            <w:r w:rsidR="00B10535" w:rsidRPr="00C9465D">
              <w:rPr>
                <w:rStyle w:val="Hyperlink"/>
                <w:rFonts w:ascii="Verdana" w:hAnsi="Verdana"/>
                <w:bCs/>
                <w:noProof/>
                <w:sz w:val="20"/>
                <w:szCs w:val="20"/>
                <w:lang w:val="en-US"/>
              </w:rPr>
              <w:t>B.</w:t>
            </w:r>
            <w:r w:rsidR="00B10535" w:rsidRPr="00C9465D">
              <w:rPr>
                <w:rFonts w:eastAsiaTheme="minorEastAsia"/>
                <w:noProof/>
                <w:lang w:val="en-US" w:eastAsia="es-CR"/>
              </w:rPr>
              <w:tab/>
            </w:r>
            <w:r w:rsidR="007540C2" w:rsidRPr="00C9465D">
              <w:rPr>
                <w:rStyle w:val="Hyperlink"/>
                <w:rFonts w:ascii="Verdana" w:hAnsi="Verdana"/>
                <w:bCs/>
                <w:noProof/>
                <w:sz w:val="20"/>
                <w:szCs w:val="20"/>
                <w:lang w:val="en-US"/>
              </w:rPr>
              <w:t>Considerations</w:t>
            </w:r>
            <w:r w:rsidR="00193CBB" w:rsidRPr="00C9465D">
              <w:rPr>
                <w:rStyle w:val="Hyperlink"/>
                <w:rFonts w:ascii="Verdana" w:hAnsi="Verdana"/>
                <w:bCs/>
                <w:noProof/>
                <w:sz w:val="20"/>
                <w:szCs w:val="20"/>
                <w:lang w:val="en-US"/>
              </w:rPr>
              <w:t xml:space="preserve"> of the Court</w:t>
            </w:r>
            <w:r w:rsidR="00B10535" w:rsidRPr="00C9465D">
              <w:rPr>
                <w:noProof/>
                <w:webHidden/>
                <w:lang w:val="en-US"/>
              </w:rPr>
              <w:tab/>
            </w:r>
            <w:r w:rsidR="00313380" w:rsidRPr="00C9465D">
              <w:rPr>
                <w:noProof/>
                <w:webHidden/>
                <w:lang w:val="en-US"/>
              </w:rPr>
              <w:t>49</w:t>
            </w:r>
          </w:hyperlink>
        </w:p>
        <w:p w14:paraId="5FDCB954" w14:textId="4749965E" w:rsidR="00B10535" w:rsidRPr="00C9465D" w:rsidRDefault="003C0F5F" w:rsidP="00B10535">
          <w:pPr>
            <w:pStyle w:val="TOC3"/>
            <w:tabs>
              <w:tab w:val="clear" w:pos="284"/>
              <w:tab w:val="clear" w:pos="709"/>
              <w:tab w:val="left" w:pos="0"/>
              <w:tab w:val="left" w:pos="567"/>
            </w:tabs>
            <w:ind w:left="0"/>
            <w:rPr>
              <w:rFonts w:ascii="Verdana" w:eastAsiaTheme="minorEastAsia" w:hAnsi="Verdana"/>
              <w:noProof/>
              <w:sz w:val="20"/>
              <w:szCs w:val="20"/>
              <w:lang w:val="en-US" w:eastAsia="es-CR"/>
            </w:rPr>
          </w:pPr>
          <w:hyperlink w:anchor="_Toc74298462" w:history="1">
            <w:r w:rsidR="00B10535" w:rsidRPr="00C9465D">
              <w:rPr>
                <w:rStyle w:val="Hyperlink"/>
                <w:rFonts w:ascii="Verdana" w:hAnsi="Verdana"/>
                <w:noProof/>
                <w:sz w:val="20"/>
                <w:szCs w:val="20"/>
                <w:lang w:val="en-US"/>
              </w:rPr>
              <w:t xml:space="preserve">B.1 </w:t>
            </w:r>
            <w:r w:rsidR="00B10535" w:rsidRPr="00C9465D">
              <w:rPr>
                <w:rFonts w:ascii="Verdana" w:eastAsiaTheme="minorEastAsia" w:hAnsi="Verdana"/>
                <w:noProof/>
                <w:sz w:val="20"/>
                <w:szCs w:val="20"/>
                <w:lang w:val="en-US" w:eastAsia="es-CR"/>
              </w:rPr>
              <w:tab/>
            </w:r>
            <w:r w:rsidR="000A73DA" w:rsidRPr="00C9465D">
              <w:rPr>
                <w:rStyle w:val="Hyperlink"/>
                <w:rFonts w:ascii="Verdana" w:hAnsi="Verdana"/>
                <w:noProof/>
                <w:sz w:val="20"/>
                <w:szCs w:val="20"/>
                <w:lang w:val="en-US"/>
              </w:rPr>
              <w:t xml:space="preserve">Obligation to open an investigation </w:t>
            </w:r>
            <w:r w:rsidR="000A73DA" w:rsidRPr="00C9465D">
              <w:rPr>
                <w:rStyle w:val="Hyperlink"/>
                <w:rFonts w:ascii="Verdana" w:hAnsi="Verdana"/>
                <w:i/>
                <w:iCs/>
                <w:noProof/>
                <w:sz w:val="20"/>
                <w:szCs w:val="20"/>
                <w:lang w:val="en-US"/>
              </w:rPr>
              <w:t>ex officio</w:t>
            </w:r>
            <w:r w:rsidR="00B10535" w:rsidRPr="00C9465D">
              <w:rPr>
                <w:rFonts w:ascii="Verdana" w:hAnsi="Verdana"/>
                <w:noProof/>
                <w:webHidden/>
                <w:sz w:val="20"/>
                <w:szCs w:val="20"/>
                <w:lang w:val="en-US"/>
              </w:rPr>
              <w:tab/>
            </w:r>
            <w:r w:rsidR="00B10535" w:rsidRPr="00C9465D">
              <w:rPr>
                <w:rFonts w:ascii="Verdana" w:hAnsi="Verdana"/>
                <w:noProof/>
                <w:webHidden/>
                <w:sz w:val="20"/>
                <w:szCs w:val="20"/>
                <w:lang w:val="en-US"/>
              </w:rPr>
              <w:fldChar w:fldCharType="begin"/>
            </w:r>
            <w:r w:rsidR="00B10535" w:rsidRPr="00C9465D">
              <w:rPr>
                <w:rFonts w:ascii="Verdana" w:hAnsi="Verdana"/>
                <w:noProof/>
                <w:webHidden/>
                <w:sz w:val="20"/>
                <w:szCs w:val="20"/>
                <w:lang w:val="en-US"/>
              </w:rPr>
              <w:instrText xml:space="preserve"> PAGEREF _Toc74298462 \h </w:instrText>
            </w:r>
            <w:r w:rsidR="00B10535" w:rsidRPr="00C9465D">
              <w:rPr>
                <w:rFonts w:ascii="Verdana" w:hAnsi="Verdana"/>
                <w:noProof/>
                <w:webHidden/>
                <w:sz w:val="20"/>
                <w:szCs w:val="20"/>
                <w:lang w:val="en-US"/>
              </w:rPr>
            </w:r>
            <w:r w:rsidR="00B10535" w:rsidRPr="00C9465D">
              <w:rPr>
                <w:rFonts w:ascii="Verdana" w:hAnsi="Verdana"/>
                <w:noProof/>
                <w:webHidden/>
                <w:sz w:val="20"/>
                <w:szCs w:val="20"/>
                <w:lang w:val="en-US"/>
              </w:rPr>
              <w:fldChar w:fldCharType="separate"/>
            </w:r>
            <w:r w:rsidR="00707742" w:rsidRPr="00C9465D">
              <w:rPr>
                <w:rFonts w:ascii="Verdana" w:hAnsi="Verdana"/>
                <w:noProof/>
                <w:webHidden/>
                <w:sz w:val="20"/>
                <w:szCs w:val="20"/>
                <w:lang w:val="en-US"/>
              </w:rPr>
              <w:t>5</w:t>
            </w:r>
            <w:r w:rsidR="00313380" w:rsidRPr="00C9465D">
              <w:rPr>
                <w:rFonts w:ascii="Verdana" w:hAnsi="Verdana"/>
                <w:noProof/>
                <w:webHidden/>
                <w:sz w:val="20"/>
                <w:szCs w:val="20"/>
                <w:lang w:val="en-US"/>
              </w:rPr>
              <w:t>0</w:t>
            </w:r>
            <w:r w:rsidR="00B10535" w:rsidRPr="00C9465D">
              <w:rPr>
                <w:rFonts w:ascii="Verdana" w:hAnsi="Verdana"/>
                <w:noProof/>
                <w:webHidden/>
                <w:sz w:val="20"/>
                <w:szCs w:val="20"/>
                <w:lang w:val="en-US"/>
              </w:rPr>
              <w:fldChar w:fldCharType="end"/>
            </w:r>
          </w:hyperlink>
        </w:p>
        <w:p w14:paraId="31BEA68E" w14:textId="2B956217" w:rsidR="00B10535" w:rsidRPr="00C9465D" w:rsidRDefault="003C0F5F" w:rsidP="00B10535">
          <w:pPr>
            <w:pStyle w:val="TOC3"/>
            <w:tabs>
              <w:tab w:val="clear" w:pos="284"/>
              <w:tab w:val="clear" w:pos="709"/>
              <w:tab w:val="left" w:pos="0"/>
              <w:tab w:val="left" w:pos="567"/>
            </w:tabs>
            <w:ind w:left="0"/>
            <w:rPr>
              <w:rFonts w:ascii="Verdana" w:eastAsiaTheme="minorEastAsia" w:hAnsi="Verdana"/>
              <w:noProof/>
              <w:sz w:val="20"/>
              <w:szCs w:val="20"/>
              <w:lang w:val="en-US" w:eastAsia="es-CR"/>
            </w:rPr>
          </w:pPr>
          <w:hyperlink w:anchor="_Toc74298463" w:history="1">
            <w:r w:rsidR="00B10535" w:rsidRPr="00C9465D">
              <w:rPr>
                <w:rStyle w:val="Hyperlink"/>
                <w:rFonts w:ascii="Verdana" w:hAnsi="Verdana"/>
                <w:noProof/>
                <w:sz w:val="20"/>
                <w:szCs w:val="20"/>
                <w:lang w:val="en-US"/>
              </w:rPr>
              <w:t xml:space="preserve">B.2 </w:t>
            </w:r>
            <w:r w:rsidR="00B10535" w:rsidRPr="00C9465D">
              <w:rPr>
                <w:rFonts w:ascii="Verdana" w:eastAsiaTheme="minorEastAsia" w:hAnsi="Verdana"/>
                <w:noProof/>
                <w:sz w:val="20"/>
                <w:szCs w:val="20"/>
                <w:lang w:val="en-US" w:eastAsia="es-CR"/>
              </w:rPr>
              <w:tab/>
            </w:r>
            <w:r w:rsidR="000A73DA" w:rsidRPr="00C9465D">
              <w:rPr>
                <w:rStyle w:val="Hyperlink"/>
                <w:rFonts w:ascii="Verdana" w:hAnsi="Verdana"/>
                <w:noProof/>
                <w:sz w:val="20"/>
                <w:szCs w:val="20"/>
                <w:lang w:val="en-US"/>
              </w:rPr>
              <w:t>Omission in the efforts to search for</w:t>
            </w:r>
            <w:r w:rsidR="002F3237" w:rsidRPr="00C9465D">
              <w:rPr>
                <w:rStyle w:val="Hyperlink"/>
                <w:rFonts w:ascii="Verdana" w:hAnsi="Verdana"/>
                <w:noProof/>
                <w:sz w:val="20"/>
                <w:szCs w:val="20"/>
                <w:lang w:val="en-US"/>
              </w:rPr>
              <w:t xml:space="preserve"> Mr. Guachalá</w:t>
            </w:r>
            <w:r w:rsidR="00B10535" w:rsidRPr="00C9465D">
              <w:rPr>
                <w:rStyle w:val="Hyperlink"/>
                <w:rFonts w:ascii="Verdana" w:hAnsi="Verdana"/>
                <w:noProof/>
                <w:sz w:val="20"/>
                <w:szCs w:val="20"/>
                <w:lang w:val="en-US"/>
              </w:rPr>
              <w:t xml:space="preserve"> Chimbo</w:t>
            </w:r>
            <w:r w:rsidR="00B10535" w:rsidRPr="00C9465D">
              <w:rPr>
                <w:rFonts w:ascii="Verdana" w:hAnsi="Verdana"/>
                <w:noProof/>
                <w:webHidden/>
                <w:sz w:val="20"/>
                <w:szCs w:val="20"/>
                <w:lang w:val="en-US"/>
              </w:rPr>
              <w:tab/>
            </w:r>
            <w:r w:rsidR="00B10535" w:rsidRPr="00C9465D">
              <w:rPr>
                <w:rFonts w:ascii="Verdana" w:hAnsi="Verdana"/>
                <w:noProof/>
                <w:webHidden/>
                <w:sz w:val="20"/>
                <w:szCs w:val="20"/>
                <w:lang w:val="en-US"/>
              </w:rPr>
              <w:fldChar w:fldCharType="begin"/>
            </w:r>
            <w:r w:rsidR="00B10535" w:rsidRPr="00C9465D">
              <w:rPr>
                <w:rFonts w:ascii="Verdana" w:hAnsi="Verdana"/>
                <w:noProof/>
                <w:webHidden/>
                <w:sz w:val="20"/>
                <w:szCs w:val="20"/>
                <w:lang w:val="en-US"/>
              </w:rPr>
              <w:instrText xml:space="preserve"> PAGEREF _Toc74298463 \h </w:instrText>
            </w:r>
            <w:r w:rsidR="00B10535" w:rsidRPr="00C9465D">
              <w:rPr>
                <w:rFonts w:ascii="Verdana" w:hAnsi="Verdana"/>
                <w:noProof/>
                <w:webHidden/>
                <w:sz w:val="20"/>
                <w:szCs w:val="20"/>
                <w:lang w:val="en-US"/>
              </w:rPr>
            </w:r>
            <w:r w:rsidR="00B10535" w:rsidRPr="00C9465D">
              <w:rPr>
                <w:rFonts w:ascii="Verdana" w:hAnsi="Verdana"/>
                <w:noProof/>
                <w:webHidden/>
                <w:sz w:val="20"/>
                <w:szCs w:val="20"/>
                <w:lang w:val="en-US"/>
              </w:rPr>
              <w:fldChar w:fldCharType="separate"/>
            </w:r>
            <w:r w:rsidR="00707742" w:rsidRPr="00C9465D">
              <w:rPr>
                <w:rFonts w:ascii="Verdana" w:hAnsi="Verdana"/>
                <w:noProof/>
                <w:webHidden/>
                <w:sz w:val="20"/>
                <w:szCs w:val="20"/>
                <w:lang w:val="en-US"/>
              </w:rPr>
              <w:t>5</w:t>
            </w:r>
            <w:r w:rsidR="00313380" w:rsidRPr="00C9465D">
              <w:rPr>
                <w:rFonts w:ascii="Verdana" w:hAnsi="Verdana"/>
                <w:noProof/>
                <w:webHidden/>
                <w:sz w:val="20"/>
                <w:szCs w:val="20"/>
                <w:lang w:val="en-US"/>
              </w:rPr>
              <w:t>0</w:t>
            </w:r>
            <w:r w:rsidR="00B10535" w:rsidRPr="00C9465D">
              <w:rPr>
                <w:rFonts w:ascii="Verdana" w:hAnsi="Verdana"/>
                <w:noProof/>
                <w:webHidden/>
                <w:sz w:val="20"/>
                <w:szCs w:val="20"/>
                <w:lang w:val="en-US"/>
              </w:rPr>
              <w:fldChar w:fldCharType="end"/>
            </w:r>
          </w:hyperlink>
        </w:p>
        <w:p w14:paraId="7A0863A8" w14:textId="78C9B668" w:rsidR="00B10535" w:rsidRPr="00C9465D" w:rsidRDefault="003C0F5F" w:rsidP="00B10535">
          <w:pPr>
            <w:pStyle w:val="TOC3"/>
            <w:tabs>
              <w:tab w:val="clear" w:pos="284"/>
              <w:tab w:val="clear" w:pos="709"/>
              <w:tab w:val="left" w:pos="0"/>
              <w:tab w:val="left" w:pos="567"/>
            </w:tabs>
            <w:ind w:left="0"/>
            <w:rPr>
              <w:rFonts w:ascii="Verdana" w:eastAsiaTheme="minorEastAsia" w:hAnsi="Verdana"/>
              <w:noProof/>
              <w:sz w:val="20"/>
              <w:szCs w:val="20"/>
              <w:lang w:val="en-US" w:eastAsia="es-CR"/>
            </w:rPr>
          </w:pPr>
          <w:hyperlink w:anchor="_Toc74298464" w:history="1">
            <w:r w:rsidR="00B10535" w:rsidRPr="00C9465D">
              <w:rPr>
                <w:rStyle w:val="Hyperlink"/>
                <w:rFonts w:ascii="Verdana" w:hAnsi="Verdana"/>
                <w:noProof/>
                <w:sz w:val="20"/>
                <w:szCs w:val="20"/>
                <w:lang w:val="en-US"/>
              </w:rPr>
              <w:t xml:space="preserve">B.3 </w:t>
            </w:r>
            <w:r w:rsidR="00B10535" w:rsidRPr="00C9465D">
              <w:rPr>
                <w:rFonts w:ascii="Verdana" w:eastAsiaTheme="minorEastAsia" w:hAnsi="Verdana"/>
                <w:noProof/>
                <w:sz w:val="20"/>
                <w:szCs w:val="20"/>
                <w:lang w:val="en-US" w:eastAsia="es-CR"/>
              </w:rPr>
              <w:tab/>
            </w:r>
            <w:r w:rsidR="00B10535" w:rsidRPr="00C9465D">
              <w:rPr>
                <w:rStyle w:val="Hyperlink"/>
                <w:rFonts w:ascii="Verdana" w:hAnsi="Verdana"/>
                <w:noProof/>
                <w:sz w:val="20"/>
                <w:szCs w:val="20"/>
                <w:lang w:val="en-US"/>
              </w:rPr>
              <w:t>D</w:t>
            </w:r>
            <w:r w:rsidR="00770064" w:rsidRPr="00C9465D">
              <w:rPr>
                <w:rStyle w:val="Hyperlink"/>
                <w:rFonts w:ascii="Verdana" w:hAnsi="Verdana"/>
                <w:noProof/>
                <w:sz w:val="20"/>
                <w:szCs w:val="20"/>
                <w:lang w:val="en-US"/>
              </w:rPr>
              <w:t>ue diligence i</w:t>
            </w:r>
            <w:r w:rsidR="000A73DA" w:rsidRPr="00C9465D">
              <w:rPr>
                <w:rStyle w:val="Hyperlink"/>
                <w:rFonts w:ascii="Verdana" w:hAnsi="Verdana"/>
                <w:noProof/>
                <w:sz w:val="20"/>
                <w:szCs w:val="20"/>
                <w:lang w:val="en-US"/>
              </w:rPr>
              <w:t>n the investigation</w:t>
            </w:r>
            <w:r w:rsidR="00B10535" w:rsidRPr="00C9465D">
              <w:rPr>
                <w:rFonts w:ascii="Verdana" w:hAnsi="Verdana"/>
                <w:noProof/>
                <w:webHidden/>
                <w:sz w:val="20"/>
                <w:szCs w:val="20"/>
                <w:lang w:val="en-US"/>
              </w:rPr>
              <w:tab/>
            </w:r>
            <w:r w:rsidR="00B10535" w:rsidRPr="00C9465D">
              <w:rPr>
                <w:rFonts w:ascii="Verdana" w:hAnsi="Verdana"/>
                <w:noProof/>
                <w:webHidden/>
                <w:sz w:val="20"/>
                <w:szCs w:val="20"/>
                <w:lang w:val="en-US"/>
              </w:rPr>
              <w:fldChar w:fldCharType="begin"/>
            </w:r>
            <w:r w:rsidR="00B10535" w:rsidRPr="00C9465D">
              <w:rPr>
                <w:rFonts w:ascii="Verdana" w:hAnsi="Verdana"/>
                <w:noProof/>
                <w:webHidden/>
                <w:sz w:val="20"/>
                <w:szCs w:val="20"/>
                <w:lang w:val="en-US"/>
              </w:rPr>
              <w:instrText xml:space="preserve"> PAGEREF _Toc74298464 \h </w:instrText>
            </w:r>
            <w:r w:rsidR="00B10535" w:rsidRPr="00C9465D">
              <w:rPr>
                <w:rFonts w:ascii="Verdana" w:hAnsi="Verdana"/>
                <w:noProof/>
                <w:webHidden/>
                <w:sz w:val="20"/>
                <w:szCs w:val="20"/>
                <w:lang w:val="en-US"/>
              </w:rPr>
            </w:r>
            <w:r w:rsidR="00B10535" w:rsidRPr="00C9465D">
              <w:rPr>
                <w:rFonts w:ascii="Verdana" w:hAnsi="Verdana"/>
                <w:noProof/>
                <w:webHidden/>
                <w:sz w:val="20"/>
                <w:szCs w:val="20"/>
                <w:lang w:val="en-US"/>
              </w:rPr>
              <w:fldChar w:fldCharType="separate"/>
            </w:r>
            <w:r w:rsidR="00707742" w:rsidRPr="00C9465D">
              <w:rPr>
                <w:rFonts w:ascii="Verdana" w:hAnsi="Verdana"/>
                <w:noProof/>
                <w:webHidden/>
                <w:sz w:val="20"/>
                <w:szCs w:val="20"/>
                <w:lang w:val="en-US"/>
              </w:rPr>
              <w:t>5</w:t>
            </w:r>
            <w:r w:rsidR="00313380" w:rsidRPr="00C9465D">
              <w:rPr>
                <w:rFonts w:ascii="Verdana" w:hAnsi="Verdana"/>
                <w:noProof/>
                <w:webHidden/>
                <w:sz w:val="20"/>
                <w:szCs w:val="20"/>
                <w:lang w:val="en-US"/>
              </w:rPr>
              <w:t>2</w:t>
            </w:r>
            <w:r w:rsidR="00B10535" w:rsidRPr="00C9465D">
              <w:rPr>
                <w:rFonts w:ascii="Verdana" w:hAnsi="Verdana"/>
                <w:noProof/>
                <w:webHidden/>
                <w:sz w:val="20"/>
                <w:szCs w:val="20"/>
                <w:lang w:val="en-US"/>
              </w:rPr>
              <w:fldChar w:fldCharType="end"/>
            </w:r>
          </w:hyperlink>
        </w:p>
        <w:p w14:paraId="2EE42E93" w14:textId="3AFB4420" w:rsidR="00B10535" w:rsidRPr="00C9465D" w:rsidRDefault="003C0F5F" w:rsidP="00B10535">
          <w:pPr>
            <w:pStyle w:val="TOC3"/>
            <w:tabs>
              <w:tab w:val="clear" w:pos="284"/>
              <w:tab w:val="clear" w:pos="709"/>
              <w:tab w:val="left" w:pos="0"/>
              <w:tab w:val="left" w:pos="567"/>
            </w:tabs>
            <w:ind w:left="0"/>
            <w:rPr>
              <w:rFonts w:ascii="Verdana" w:eastAsiaTheme="minorEastAsia" w:hAnsi="Verdana"/>
              <w:noProof/>
              <w:sz w:val="20"/>
              <w:szCs w:val="20"/>
              <w:lang w:val="en-US" w:eastAsia="es-CR"/>
            </w:rPr>
          </w:pPr>
          <w:hyperlink w:anchor="_Toc74298465" w:history="1">
            <w:r w:rsidR="00B10535" w:rsidRPr="00C9465D">
              <w:rPr>
                <w:rStyle w:val="Hyperlink"/>
                <w:rFonts w:ascii="Verdana" w:hAnsi="Verdana"/>
                <w:noProof/>
                <w:sz w:val="20"/>
                <w:szCs w:val="20"/>
                <w:lang w:val="en-US"/>
              </w:rPr>
              <w:t xml:space="preserve">B.4 </w:t>
            </w:r>
            <w:r w:rsidR="00B10535" w:rsidRPr="00C9465D">
              <w:rPr>
                <w:rFonts w:ascii="Verdana" w:eastAsiaTheme="minorEastAsia" w:hAnsi="Verdana"/>
                <w:noProof/>
                <w:sz w:val="20"/>
                <w:szCs w:val="20"/>
                <w:lang w:val="en-US" w:eastAsia="es-CR"/>
              </w:rPr>
              <w:tab/>
            </w:r>
            <w:r w:rsidR="000A73DA" w:rsidRPr="00C9465D">
              <w:rPr>
                <w:rStyle w:val="Hyperlink"/>
                <w:rFonts w:ascii="Verdana" w:hAnsi="Verdana"/>
                <w:noProof/>
                <w:sz w:val="20"/>
                <w:szCs w:val="20"/>
                <w:lang w:val="en-US"/>
              </w:rPr>
              <w:t xml:space="preserve">Effectiveness of the application for </w:t>
            </w:r>
            <w:r w:rsidR="00721A86" w:rsidRPr="00C9465D">
              <w:rPr>
                <w:rStyle w:val="Hyperlink"/>
                <w:rFonts w:ascii="Verdana" w:hAnsi="Verdana"/>
                <w:i/>
                <w:noProof/>
                <w:sz w:val="20"/>
                <w:szCs w:val="20"/>
                <w:lang w:val="en-US"/>
              </w:rPr>
              <w:t>habeas corpus</w:t>
            </w:r>
            <w:r w:rsidR="00B10535" w:rsidRPr="00C9465D">
              <w:rPr>
                <w:rFonts w:ascii="Verdana" w:hAnsi="Verdana"/>
                <w:noProof/>
                <w:webHidden/>
                <w:sz w:val="20"/>
                <w:szCs w:val="20"/>
                <w:lang w:val="en-US"/>
              </w:rPr>
              <w:tab/>
            </w:r>
            <w:r w:rsidR="00B10535" w:rsidRPr="00C9465D">
              <w:rPr>
                <w:rFonts w:ascii="Verdana" w:hAnsi="Verdana"/>
                <w:noProof/>
                <w:webHidden/>
                <w:sz w:val="20"/>
                <w:szCs w:val="20"/>
                <w:lang w:val="en-US"/>
              </w:rPr>
              <w:fldChar w:fldCharType="begin"/>
            </w:r>
            <w:r w:rsidR="00B10535" w:rsidRPr="00C9465D">
              <w:rPr>
                <w:rFonts w:ascii="Verdana" w:hAnsi="Verdana"/>
                <w:noProof/>
                <w:webHidden/>
                <w:sz w:val="20"/>
                <w:szCs w:val="20"/>
                <w:lang w:val="en-US"/>
              </w:rPr>
              <w:instrText xml:space="preserve"> PAGEREF _Toc74298465 \h </w:instrText>
            </w:r>
            <w:r w:rsidR="00B10535" w:rsidRPr="00C9465D">
              <w:rPr>
                <w:rFonts w:ascii="Verdana" w:hAnsi="Verdana"/>
                <w:noProof/>
                <w:webHidden/>
                <w:sz w:val="20"/>
                <w:szCs w:val="20"/>
                <w:lang w:val="en-US"/>
              </w:rPr>
            </w:r>
            <w:r w:rsidR="00B10535" w:rsidRPr="00C9465D">
              <w:rPr>
                <w:rFonts w:ascii="Verdana" w:hAnsi="Verdana"/>
                <w:noProof/>
                <w:webHidden/>
                <w:sz w:val="20"/>
                <w:szCs w:val="20"/>
                <w:lang w:val="en-US"/>
              </w:rPr>
              <w:fldChar w:fldCharType="separate"/>
            </w:r>
            <w:r w:rsidR="00707742" w:rsidRPr="00C9465D">
              <w:rPr>
                <w:rFonts w:ascii="Verdana" w:hAnsi="Verdana"/>
                <w:noProof/>
                <w:webHidden/>
                <w:sz w:val="20"/>
                <w:szCs w:val="20"/>
                <w:lang w:val="en-US"/>
              </w:rPr>
              <w:t>5</w:t>
            </w:r>
            <w:r w:rsidR="00313380" w:rsidRPr="00C9465D">
              <w:rPr>
                <w:rFonts w:ascii="Verdana" w:hAnsi="Verdana"/>
                <w:noProof/>
                <w:webHidden/>
                <w:sz w:val="20"/>
                <w:szCs w:val="20"/>
                <w:lang w:val="en-US"/>
              </w:rPr>
              <w:t>3</w:t>
            </w:r>
            <w:r w:rsidR="00B10535" w:rsidRPr="00C9465D">
              <w:rPr>
                <w:rFonts w:ascii="Verdana" w:hAnsi="Verdana"/>
                <w:noProof/>
                <w:webHidden/>
                <w:sz w:val="20"/>
                <w:szCs w:val="20"/>
                <w:lang w:val="en-US"/>
              </w:rPr>
              <w:fldChar w:fldCharType="end"/>
            </w:r>
          </w:hyperlink>
        </w:p>
        <w:p w14:paraId="02DB91B3" w14:textId="40F83FE0" w:rsidR="00B10535" w:rsidRPr="00C9465D" w:rsidRDefault="003C0F5F" w:rsidP="00B10535">
          <w:pPr>
            <w:pStyle w:val="TOC3"/>
            <w:tabs>
              <w:tab w:val="clear" w:pos="284"/>
              <w:tab w:val="clear" w:pos="709"/>
              <w:tab w:val="left" w:pos="0"/>
              <w:tab w:val="left" w:pos="567"/>
            </w:tabs>
            <w:ind w:left="0"/>
            <w:rPr>
              <w:rFonts w:ascii="Verdana" w:eastAsiaTheme="minorEastAsia" w:hAnsi="Verdana"/>
              <w:noProof/>
              <w:sz w:val="20"/>
              <w:szCs w:val="20"/>
              <w:lang w:val="en-US" w:eastAsia="es-CR"/>
            </w:rPr>
          </w:pPr>
          <w:hyperlink w:anchor="_Toc74298466" w:history="1">
            <w:r w:rsidR="00B10535" w:rsidRPr="00C9465D">
              <w:rPr>
                <w:rStyle w:val="Hyperlink"/>
                <w:rFonts w:ascii="Verdana" w:hAnsi="Verdana"/>
                <w:noProof/>
                <w:sz w:val="20"/>
                <w:szCs w:val="20"/>
                <w:lang w:val="en-US"/>
              </w:rPr>
              <w:t xml:space="preserve">B.5 </w:t>
            </w:r>
            <w:r w:rsidR="00B10535" w:rsidRPr="00C9465D">
              <w:rPr>
                <w:rFonts w:ascii="Verdana" w:eastAsiaTheme="minorEastAsia" w:hAnsi="Verdana"/>
                <w:noProof/>
                <w:sz w:val="20"/>
                <w:szCs w:val="20"/>
                <w:lang w:val="en-US" w:eastAsia="es-CR"/>
              </w:rPr>
              <w:tab/>
            </w:r>
            <w:r w:rsidR="00CB19F4" w:rsidRPr="00C9465D">
              <w:rPr>
                <w:rStyle w:val="Hyperlink"/>
                <w:rFonts w:ascii="Verdana" w:hAnsi="Verdana"/>
                <w:noProof/>
                <w:sz w:val="20"/>
                <w:szCs w:val="20"/>
                <w:lang w:val="en-US"/>
              </w:rPr>
              <w:t>Reasonable time and right to know the truth</w:t>
            </w:r>
            <w:r w:rsidR="00B10535" w:rsidRPr="00C9465D">
              <w:rPr>
                <w:rFonts w:ascii="Verdana" w:hAnsi="Verdana"/>
                <w:noProof/>
                <w:webHidden/>
                <w:sz w:val="20"/>
                <w:szCs w:val="20"/>
                <w:lang w:val="en-US"/>
              </w:rPr>
              <w:tab/>
            </w:r>
            <w:r w:rsidR="00313380" w:rsidRPr="00C9465D">
              <w:rPr>
                <w:rFonts w:ascii="Verdana" w:hAnsi="Verdana"/>
                <w:noProof/>
                <w:webHidden/>
                <w:sz w:val="20"/>
                <w:szCs w:val="20"/>
                <w:lang w:val="en-US"/>
              </w:rPr>
              <w:t>55</w:t>
            </w:r>
          </w:hyperlink>
        </w:p>
        <w:p w14:paraId="3C7140C4" w14:textId="229BABD3" w:rsidR="00B10535" w:rsidRPr="00C9465D" w:rsidRDefault="003C0F5F" w:rsidP="00B10535">
          <w:pPr>
            <w:pStyle w:val="TOC3"/>
            <w:tabs>
              <w:tab w:val="clear" w:pos="284"/>
              <w:tab w:val="clear" w:pos="709"/>
              <w:tab w:val="left" w:pos="0"/>
              <w:tab w:val="left" w:pos="567"/>
            </w:tabs>
            <w:ind w:left="0"/>
            <w:rPr>
              <w:rFonts w:ascii="Verdana" w:eastAsiaTheme="minorEastAsia" w:hAnsi="Verdana"/>
              <w:noProof/>
              <w:sz w:val="20"/>
              <w:szCs w:val="20"/>
              <w:lang w:val="en-US" w:eastAsia="es-CR"/>
            </w:rPr>
          </w:pPr>
          <w:hyperlink w:anchor="_Toc74298467" w:history="1">
            <w:r w:rsidR="00B10535" w:rsidRPr="00C9465D">
              <w:rPr>
                <w:rStyle w:val="Hyperlink"/>
                <w:rFonts w:ascii="Verdana" w:hAnsi="Verdana"/>
                <w:noProof/>
                <w:sz w:val="20"/>
                <w:szCs w:val="20"/>
                <w:lang w:val="en-US"/>
              </w:rPr>
              <w:t xml:space="preserve">B.6 </w:t>
            </w:r>
            <w:r w:rsidR="00B10535" w:rsidRPr="00C9465D">
              <w:rPr>
                <w:rFonts w:ascii="Verdana" w:eastAsiaTheme="minorEastAsia" w:hAnsi="Verdana"/>
                <w:noProof/>
                <w:sz w:val="20"/>
                <w:szCs w:val="20"/>
                <w:lang w:val="en-US" w:eastAsia="es-CR"/>
              </w:rPr>
              <w:tab/>
            </w:r>
            <w:r w:rsidR="00B10535" w:rsidRPr="00C9465D">
              <w:rPr>
                <w:rStyle w:val="Hyperlink"/>
                <w:rFonts w:ascii="Verdana" w:hAnsi="Verdana"/>
                <w:noProof/>
                <w:sz w:val="20"/>
                <w:szCs w:val="20"/>
                <w:lang w:val="en-US"/>
              </w:rPr>
              <w:t>Conclusi</w:t>
            </w:r>
            <w:r w:rsidR="00770064" w:rsidRPr="00C9465D">
              <w:rPr>
                <w:rStyle w:val="Hyperlink"/>
                <w:rFonts w:ascii="Verdana" w:hAnsi="Verdana"/>
                <w:noProof/>
                <w:sz w:val="20"/>
                <w:szCs w:val="20"/>
                <w:lang w:val="en-US"/>
              </w:rPr>
              <w:t>o</w:t>
            </w:r>
            <w:r w:rsidR="00B10535" w:rsidRPr="00C9465D">
              <w:rPr>
                <w:rStyle w:val="Hyperlink"/>
                <w:rFonts w:ascii="Verdana" w:hAnsi="Verdana"/>
                <w:noProof/>
                <w:sz w:val="20"/>
                <w:szCs w:val="20"/>
                <w:lang w:val="en-US"/>
              </w:rPr>
              <w:t>n</w:t>
            </w:r>
            <w:r w:rsidR="00B10535" w:rsidRPr="00C9465D">
              <w:rPr>
                <w:rFonts w:ascii="Verdana" w:hAnsi="Verdana"/>
                <w:noProof/>
                <w:webHidden/>
                <w:sz w:val="20"/>
                <w:szCs w:val="20"/>
                <w:lang w:val="en-US"/>
              </w:rPr>
              <w:tab/>
            </w:r>
            <w:r w:rsidR="00313380" w:rsidRPr="00C9465D">
              <w:rPr>
                <w:rFonts w:ascii="Verdana" w:hAnsi="Verdana"/>
                <w:noProof/>
                <w:webHidden/>
                <w:sz w:val="20"/>
                <w:szCs w:val="20"/>
                <w:lang w:val="en-US"/>
              </w:rPr>
              <w:t>56</w:t>
            </w:r>
          </w:hyperlink>
        </w:p>
        <w:p w14:paraId="5FCE76A5" w14:textId="4015ED94" w:rsidR="00B10535" w:rsidRPr="00C9465D" w:rsidRDefault="003C0F5F" w:rsidP="00416109">
          <w:pPr>
            <w:pStyle w:val="TOC1"/>
            <w:rPr>
              <w:rFonts w:ascii="Verdana" w:eastAsiaTheme="minorEastAsia" w:hAnsi="Verdana"/>
              <w:noProof/>
              <w:sz w:val="20"/>
              <w:szCs w:val="20"/>
              <w:lang w:val="en-US" w:eastAsia="es-CR"/>
            </w:rPr>
          </w:pPr>
          <w:hyperlink w:anchor="_Toc74298468" w:history="1">
            <w:r w:rsidR="00B10535" w:rsidRPr="00C9465D">
              <w:rPr>
                <w:rStyle w:val="Hyperlink"/>
                <w:rFonts w:ascii="Verdana" w:hAnsi="Verdana"/>
                <w:noProof/>
                <w:sz w:val="20"/>
                <w:szCs w:val="20"/>
                <w:lang w:val="en-US"/>
              </w:rPr>
              <w:t xml:space="preserve">VII-5 </w:t>
            </w:r>
            <w:r w:rsidR="001E19EC" w:rsidRPr="00C9465D">
              <w:rPr>
                <w:rStyle w:val="Hyperlink"/>
                <w:rFonts w:ascii="Verdana" w:hAnsi="Verdana"/>
                <w:noProof/>
                <w:sz w:val="20"/>
                <w:szCs w:val="20"/>
                <w:lang w:val="en-US"/>
              </w:rPr>
              <w:t>RIGHT TO PERSONAL INTEGRITY OF THE FAMILY MEMBERS</w:t>
            </w:r>
            <w:r w:rsidR="00B10535" w:rsidRPr="00C9465D">
              <w:rPr>
                <w:rFonts w:ascii="Verdana" w:hAnsi="Verdana"/>
                <w:noProof/>
                <w:webHidden/>
                <w:sz w:val="20"/>
                <w:szCs w:val="20"/>
                <w:lang w:val="en-US"/>
              </w:rPr>
              <w:tab/>
            </w:r>
            <w:r w:rsidR="00313380" w:rsidRPr="00C9465D">
              <w:rPr>
                <w:rFonts w:ascii="Verdana" w:hAnsi="Verdana"/>
                <w:noProof/>
                <w:webHidden/>
                <w:sz w:val="20"/>
                <w:szCs w:val="20"/>
                <w:lang w:val="en-US"/>
              </w:rPr>
              <w:t>57</w:t>
            </w:r>
          </w:hyperlink>
        </w:p>
        <w:p w14:paraId="0EAA87D0" w14:textId="08E6146F" w:rsidR="00B10535" w:rsidRPr="00C9465D" w:rsidRDefault="003C0F5F" w:rsidP="003676D9">
          <w:pPr>
            <w:pStyle w:val="TOC2"/>
            <w:rPr>
              <w:rFonts w:eastAsiaTheme="minorEastAsia"/>
              <w:noProof/>
              <w:lang w:val="en-US" w:eastAsia="es-CR"/>
            </w:rPr>
          </w:pPr>
          <w:hyperlink w:anchor="_Toc74298469" w:history="1">
            <w:r w:rsidR="00B10535" w:rsidRPr="00C9465D">
              <w:rPr>
                <w:rStyle w:val="Hyperlink"/>
                <w:rFonts w:ascii="Verdana" w:hAnsi="Verdana"/>
                <w:noProof/>
                <w:sz w:val="20"/>
                <w:szCs w:val="20"/>
                <w:lang w:val="en-US"/>
              </w:rPr>
              <w:t>A.</w:t>
            </w:r>
            <w:r w:rsidR="00B10535" w:rsidRPr="00C9465D">
              <w:rPr>
                <w:rFonts w:eastAsiaTheme="minorEastAsia"/>
                <w:noProof/>
                <w:lang w:val="en-US" w:eastAsia="es-CR"/>
              </w:rPr>
              <w:tab/>
            </w:r>
            <w:r w:rsidR="009E5D69" w:rsidRPr="00C9465D">
              <w:rPr>
                <w:rStyle w:val="Hyperlink"/>
                <w:rFonts w:ascii="Verdana" w:hAnsi="Verdana"/>
                <w:noProof/>
                <w:sz w:val="20"/>
                <w:szCs w:val="20"/>
                <w:lang w:val="en-US"/>
              </w:rPr>
              <w:t>Arguments of the parties</w:t>
            </w:r>
            <w:r w:rsidR="00193CBB" w:rsidRPr="00C9465D">
              <w:rPr>
                <w:rStyle w:val="Hyperlink"/>
                <w:rFonts w:ascii="Verdana" w:hAnsi="Verdana"/>
                <w:noProof/>
                <w:sz w:val="20"/>
                <w:szCs w:val="20"/>
                <w:lang w:val="en-US"/>
              </w:rPr>
              <w:t xml:space="preserve"> and the Commission</w:t>
            </w:r>
            <w:r w:rsidR="00B10535" w:rsidRPr="00C9465D">
              <w:rPr>
                <w:noProof/>
                <w:webHidden/>
                <w:lang w:val="en-US"/>
              </w:rPr>
              <w:tab/>
            </w:r>
            <w:r w:rsidR="00313380" w:rsidRPr="00C9465D">
              <w:rPr>
                <w:noProof/>
                <w:webHidden/>
                <w:lang w:val="en-US"/>
              </w:rPr>
              <w:t>57</w:t>
            </w:r>
          </w:hyperlink>
        </w:p>
        <w:p w14:paraId="3F28F14F" w14:textId="0812CD3C" w:rsidR="00B10535" w:rsidRPr="00C9465D" w:rsidRDefault="003C0F5F" w:rsidP="003676D9">
          <w:pPr>
            <w:pStyle w:val="TOC2"/>
            <w:rPr>
              <w:rFonts w:eastAsiaTheme="minorEastAsia"/>
              <w:noProof/>
              <w:lang w:val="en-US" w:eastAsia="es-CR"/>
            </w:rPr>
          </w:pPr>
          <w:hyperlink w:anchor="_Toc74298470" w:history="1">
            <w:r w:rsidR="00B10535" w:rsidRPr="00C9465D">
              <w:rPr>
                <w:rStyle w:val="Hyperlink"/>
                <w:rFonts w:ascii="Verdana" w:hAnsi="Verdana"/>
                <w:noProof/>
                <w:sz w:val="20"/>
                <w:szCs w:val="20"/>
                <w:lang w:val="en-US"/>
              </w:rPr>
              <w:t>B.</w:t>
            </w:r>
            <w:r w:rsidR="00B10535" w:rsidRPr="00C9465D">
              <w:rPr>
                <w:rFonts w:eastAsiaTheme="minorEastAsia"/>
                <w:noProof/>
                <w:lang w:val="en-US" w:eastAsia="es-CR"/>
              </w:rPr>
              <w:tab/>
            </w:r>
            <w:r w:rsidR="007540C2" w:rsidRPr="00C9465D">
              <w:rPr>
                <w:rStyle w:val="Hyperlink"/>
                <w:rFonts w:ascii="Verdana" w:hAnsi="Verdana"/>
                <w:noProof/>
                <w:sz w:val="20"/>
                <w:szCs w:val="20"/>
                <w:lang w:val="en-US"/>
              </w:rPr>
              <w:t>Considerations</w:t>
            </w:r>
            <w:r w:rsidR="00193CBB" w:rsidRPr="00C9465D">
              <w:rPr>
                <w:rStyle w:val="Hyperlink"/>
                <w:rFonts w:ascii="Verdana" w:hAnsi="Verdana"/>
                <w:noProof/>
                <w:sz w:val="20"/>
                <w:szCs w:val="20"/>
                <w:lang w:val="en-US"/>
              </w:rPr>
              <w:t xml:space="preserve"> of the Court</w:t>
            </w:r>
            <w:r w:rsidR="00B10535" w:rsidRPr="00C9465D">
              <w:rPr>
                <w:noProof/>
                <w:webHidden/>
                <w:lang w:val="en-US"/>
              </w:rPr>
              <w:tab/>
            </w:r>
            <w:r w:rsidR="00313380" w:rsidRPr="00C9465D">
              <w:rPr>
                <w:noProof/>
                <w:webHidden/>
                <w:lang w:val="en-US"/>
              </w:rPr>
              <w:t>57</w:t>
            </w:r>
          </w:hyperlink>
        </w:p>
        <w:p w14:paraId="20BE26C3" w14:textId="0700F8B1" w:rsidR="00B10535" w:rsidRPr="00C9465D" w:rsidRDefault="003C0F5F" w:rsidP="00416109">
          <w:pPr>
            <w:pStyle w:val="TOC1"/>
            <w:rPr>
              <w:rFonts w:ascii="Verdana" w:eastAsiaTheme="minorEastAsia" w:hAnsi="Verdana"/>
              <w:noProof/>
              <w:sz w:val="20"/>
              <w:szCs w:val="20"/>
              <w:lang w:val="en-US" w:eastAsia="es-CR"/>
            </w:rPr>
          </w:pPr>
          <w:hyperlink w:anchor="_Toc74298471" w:history="1">
            <w:r w:rsidR="00B10535" w:rsidRPr="00C9465D">
              <w:rPr>
                <w:rStyle w:val="Hyperlink"/>
                <w:rFonts w:ascii="Verdana" w:hAnsi="Verdana"/>
                <w:noProof/>
                <w:sz w:val="20"/>
                <w:szCs w:val="20"/>
                <w:lang w:val="en-US"/>
              </w:rPr>
              <w:t xml:space="preserve">VIII </w:t>
            </w:r>
            <w:r w:rsidR="00CF54BB" w:rsidRPr="00C9465D">
              <w:rPr>
                <w:rStyle w:val="Hyperlink"/>
                <w:rFonts w:ascii="Verdana" w:hAnsi="Verdana"/>
                <w:noProof/>
                <w:sz w:val="20"/>
                <w:szCs w:val="20"/>
                <w:lang w:val="en-US"/>
              </w:rPr>
              <w:t>REPARATIONS</w:t>
            </w:r>
            <w:r w:rsidR="00B10535" w:rsidRPr="00C9465D">
              <w:rPr>
                <w:rFonts w:ascii="Verdana" w:hAnsi="Verdana"/>
                <w:noProof/>
                <w:webHidden/>
                <w:sz w:val="20"/>
                <w:szCs w:val="20"/>
                <w:lang w:val="en-US"/>
              </w:rPr>
              <w:tab/>
            </w:r>
            <w:r w:rsidR="00313380" w:rsidRPr="00C9465D">
              <w:rPr>
                <w:rFonts w:ascii="Verdana" w:hAnsi="Verdana"/>
                <w:noProof/>
                <w:webHidden/>
                <w:sz w:val="20"/>
                <w:szCs w:val="20"/>
                <w:lang w:val="en-US"/>
              </w:rPr>
              <w:t>58</w:t>
            </w:r>
          </w:hyperlink>
        </w:p>
        <w:p w14:paraId="39E1D01F" w14:textId="181DE05E" w:rsidR="00B10535" w:rsidRPr="00C9465D" w:rsidRDefault="003C0F5F" w:rsidP="003676D9">
          <w:pPr>
            <w:pStyle w:val="TOC2"/>
            <w:rPr>
              <w:rFonts w:eastAsiaTheme="minorEastAsia"/>
              <w:noProof/>
              <w:lang w:val="en-US" w:eastAsia="es-CR"/>
            </w:rPr>
          </w:pPr>
          <w:hyperlink w:anchor="_Toc74298472" w:history="1">
            <w:r w:rsidR="00B10535" w:rsidRPr="00C9465D">
              <w:rPr>
                <w:rStyle w:val="Hyperlink"/>
                <w:rFonts w:ascii="Verdana" w:hAnsi="Verdana"/>
                <w:noProof/>
                <w:sz w:val="20"/>
                <w:szCs w:val="20"/>
                <w:lang w:val="en-US" w:eastAsia="es-ES"/>
              </w:rPr>
              <w:t>A.</w:t>
            </w:r>
            <w:r w:rsidR="00B10535" w:rsidRPr="00C9465D">
              <w:rPr>
                <w:rFonts w:eastAsiaTheme="minorEastAsia"/>
                <w:noProof/>
                <w:lang w:val="en-US" w:eastAsia="es-CR"/>
              </w:rPr>
              <w:tab/>
            </w:r>
            <w:r w:rsidR="00CF54BB" w:rsidRPr="00C9465D">
              <w:rPr>
                <w:rStyle w:val="Hyperlink"/>
                <w:rFonts w:ascii="Verdana" w:hAnsi="Verdana"/>
                <w:noProof/>
                <w:sz w:val="20"/>
                <w:szCs w:val="20"/>
                <w:lang w:val="en-US"/>
              </w:rPr>
              <w:t>Injured party</w:t>
            </w:r>
            <w:r w:rsidR="00B10535" w:rsidRPr="00C9465D">
              <w:rPr>
                <w:noProof/>
                <w:webHidden/>
                <w:lang w:val="en-US"/>
              </w:rPr>
              <w:tab/>
            </w:r>
            <w:r w:rsidR="00313380" w:rsidRPr="00C9465D">
              <w:rPr>
                <w:noProof/>
                <w:webHidden/>
                <w:lang w:val="en-US"/>
              </w:rPr>
              <w:t>59</w:t>
            </w:r>
          </w:hyperlink>
        </w:p>
        <w:p w14:paraId="26FA0177" w14:textId="25A6CEB4" w:rsidR="00B10535" w:rsidRPr="00C9465D" w:rsidRDefault="003C0F5F" w:rsidP="003676D9">
          <w:pPr>
            <w:pStyle w:val="TOC2"/>
            <w:rPr>
              <w:rFonts w:eastAsiaTheme="minorEastAsia"/>
              <w:noProof/>
              <w:lang w:val="en-US" w:eastAsia="es-CR"/>
            </w:rPr>
          </w:pPr>
          <w:hyperlink w:anchor="_Toc74298473" w:history="1">
            <w:r w:rsidR="00B10535" w:rsidRPr="00C9465D">
              <w:rPr>
                <w:rStyle w:val="Hyperlink"/>
                <w:rFonts w:ascii="Verdana" w:hAnsi="Verdana"/>
                <w:noProof/>
                <w:sz w:val="20"/>
                <w:szCs w:val="20"/>
                <w:lang w:val="en-US"/>
              </w:rPr>
              <w:t>B.</w:t>
            </w:r>
            <w:r w:rsidR="00B10535" w:rsidRPr="00C9465D">
              <w:rPr>
                <w:rFonts w:eastAsiaTheme="minorEastAsia"/>
                <w:noProof/>
                <w:lang w:val="en-US" w:eastAsia="es-CR"/>
              </w:rPr>
              <w:tab/>
            </w:r>
            <w:r w:rsidR="00CF54BB" w:rsidRPr="00C9465D">
              <w:rPr>
                <w:rStyle w:val="Hyperlink"/>
                <w:rFonts w:ascii="Verdana" w:hAnsi="Verdana"/>
                <w:noProof/>
                <w:sz w:val="20"/>
                <w:szCs w:val="20"/>
                <w:lang w:val="en-US"/>
              </w:rPr>
              <w:t>Obligation to investigate the facts and identify, prosecute and punish, as appropriate, those responsible</w:t>
            </w:r>
            <w:r w:rsidR="00B10535" w:rsidRPr="00C9465D">
              <w:rPr>
                <w:rStyle w:val="Hyperlink"/>
                <w:rFonts w:ascii="Verdana" w:hAnsi="Verdana"/>
                <w:noProof/>
                <w:sz w:val="20"/>
                <w:szCs w:val="20"/>
                <w:lang w:val="en-US"/>
              </w:rPr>
              <w:t xml:space="preserve">, </w:t>
            </w:r>
            <w:r w:rsidR="00CF54BB" w:rsidRPr="00C9465D">
              <w:rPr>
                <w:rStyle w:val="Hyperlink"/>
                <w:rFonts w:ascii="Verdana" w:hAnsi="Verdana"/>
                <w:noProof/>
                <w:sz w:val="20"/>
                <w:szCs w:val="20"/>
                <w:lang w:val="en-US"/>
              </w:rPr>
              <w:t>as well as to determine the whereabouts</w:t>
            </w:r>
            <w:r w:rsidR="00092D8C" w:rsidRPr="00C9465D">
              <w:rPr>
                <w:rStyle w:val="Hyperlink"/>
                <w:rFonts w:ascii="Verdana" w:hAnsi="Verdana"/>
                <w:noProof/>
                <w:sz w:val="20"/>
                <w:szCs w:val="20"/>
                <w:lang w:val="en-US"/>
              </w:rPr>
              <w:t xml:space="preserve"> of the </w:t>
            </w:r>
            <w:r w:rsidR="00577DE0" w:rsidRPr="00C9465D">
              <w:rPr>
                <w:rStyle w:val="Hyperlink"/>
                <w:rFonts w:ascii="Verdana" w:hAnsi="Verdana"/>
                <w:noProof/>
                <w:sz w:val="20"/>
                <w:szCs w:val="20"/>
                <w:lang w:val="en-US"/>
              </w:rPr>
              <w:t>victim</w:t>
            </w:r>
            <w:r w:rsidR="00B10535" w:rsidRPr="00C9465D">
              <w:rPr>
                <w:noProof/>
                <w:webHidden/>
                <w:lang w:val="en-US"/>
              </w:rPr>
              <w:tab/>
            </w:r>
            <w:r w:rsidR="00313380" w:rsidRPr="00C9465D">
              <w:rPr>
                <w:noProof/>
                <w:webHidden/>
                <w:lang w:val="en-US"/>
              </w:rPr>
              <w:t>59</w:t>
            </w:r>
          </w:hyperlink>
        </w:p>
        <w:p w14:paraId="601701A7" w14:textId="30801E29" w:rsidR="00B10535" w:rsidRPr="00C9465D" w:rsidRDefault="003C0F5F" w:rsidP="00B10535">
          <w:pPr>
            <w:pStyle w:val="TOC3"/>
            <w:tabs>
              <w:tab w:val="clear" w:pos="284"/>
              <w:tab w:val="clear" w:pos="709"/>
              <w:tab w:val="left" w:pos="0"/>
              <w:tab w:val="left" w:pos="567"/>
              <w:tab w:val="left" w:pos="1100"/>
            </w:tabs>
            <w:ind w:left="0"/>
            <w:rPr>
              <w:rFonts w:ascii="Verdana" w:eastAsiaTheme="minorEastAsia" w:hAnsi="Verdana"/>
              <w:noProof/>
              <w:sz w:val="20"/>
              <w:szCs w:val="20"/>
              <w:lang w:val="en-US" w:eastAsia="es-CR"/>
            </w:rPr>
          </w:pPr>
          <w:hyperlink w:anchor="_Toc74298474" w:history="1">
            <w:r w:rsidR="00B10535" w:rsidRPr="00C9465D">
              <w:rPr>
                <w:rStyle w:val="Hyperlink"/>
                <w:rFonts w:ascii="Verdana" w:hAnsi="Verdana"/>
                <w:noProof/>
                <w:sz w:val="20"/>
                <w:szCs w:val="20"/>
                <w:lang w:val="en-US"/>
              </w:rPr>
              <w:t xml:space="preserve">B.1 </w:t>
            </w:r>
            <w:r w:rsidR="00B10535" w:rsidRPr="00C9465D">
              <w:rPr>
                <w:rFonts w:ascii="Verdana" w:eastAsiaTheme="minorEastAsia" w:hAnsi="Verdana"/>
                <w:noProof/>
                <w:sz w:val="20"/>
                <w:szCs w:val="20"/>
                <w:lang w:val="en-US" w:eastAsia="es-CR"/>
              </w:rPr>
              <w:tab/>
            </w:r>
            <w:r w:rsidR="00AB607A" w:rsidRPr="00C9465D">
              <w:rPr>
                <w:rStyle w:val="Hyperlink"/>
                <w:rFonts w:ascii="Verdana" w:hAnsi="Verdana"/>
                <w:noProof/>
                <w:sz w:val="20"/>
                <w:szCs w:val="20"/>
                <w:lang w:val="en-US"/>
              </w:rPr>
              <w:t>Investigation, determination, prosecution</w:t>
            </w:r>
            <w:r w:rsidR="00B10535" w:rsidRPr="00C9465D">
              <w:rPr>
                <w:rStyle w:val="Hyperlink"/>
                <w:rFonts w:ascii="Verdana" w:hAnsi="Verdana"/>
                <w:noProof/>
                <w:sz w:val="20"/>
                <w:szCs w:val="20"/>
                <w:lang w:val="en-US"/>
              </w:rPr>
              <w:t xml:space="preserve"> </w:t>
            </w:r>
            <w:r w:rsidR="00AB607A" w:rsidRPr="00C9465D">
              <w:rPr>
                <w:rStyle w:val="Hyperlink"/>
                <w:rFonts w:ascii="Verdana" w:hAnsi="Verdana"/>
                <w:noProof/>
                <w:sz w:val="20"/>
                <w:szCs w:val="20"/>
                <w:lang w:val="en-US"/>
              </w:rPr>
              <w:t>and punishment, as appropriate, of those responsible</w:t>
            </w:r>
            <w:r w:rsidR="00B10535" w:rsidRPr="00C9465D">
              <w:rPr>
                <w:rFonts w:ascii="Verdana" w:hAnsi="Verdana"/>
                <w:noProof/>
                <w:webHidden/>
                <w:sz w:val="20"/>
                <w:szCs w:val="20"/>
                <w:lang w:val="en-US"/>
              </w:rPr>
              <w:tab/>
            </w:r>
            <w:r w:rsidR="00313380" w:rsidRPr="00C9465D">
              <w:rPr>
                <w:rFonts w:ascii="Verdana" w:hAnsi="Verdana"/>
                <w:noProof/>
                <w:webHidden/>
                <w:sz w:val="20"/>
                <w:szCs w:val="20"/>
                <w:lang w:val="en-US"/>
              </w:rPr>
              <w:t>59</w:t>
            </w:r>
          </w:hyperlink>
        </w:p>
        <w:p w14:paraId="6DA7522F" w14:textId="656B42A5" w:rsidR="00B10535" w:rsidRPr="00C9465D" w:rsidRDefault="003C0F5F" w:rsidP="00B10535">
          <w:pPr>
            <w:pStyle w:val="TOC3"/>
            <w:tabs>
              <w:tab w:val="clear" w:pos="284"/>
              <w:tab w:val="clear" w:pos="709"/>
              <w:tab w:val="left" w:pos="0"/>
              <w:tab w:val="left" w:pos="567"/>
            </w:tabs>
            <w:ind w:left="0"/>
            <w:rPr>
              <w:rFonts w:ascii="Verdana" w:eastAsiaTheme="minorEastAsia" w:hAnsi="Verdana"/>
              <w:noProof/>
              <w:sz w:val="20"/>
              <w:szCs w:val="20"/>
              <w:lang w:val="en-US" w:eastAsia="es-CR"/>
            </w:rPr>
          </w:pPr>
          <w:hyperlink w:anchor="_Toc74298475" w:history="1">
            <w:r w:rsidR="00B10535" w:rsidRPr="00C9465D">
              <w:rPr>
                <w:rStyle w:val="Hyperlink"/>
                <w:rFonts w:ascii="Verdana" w:hAnsi="Verdana"/>
                <w:noProof/>
                <w:sz w:val="20"/>
                <w:szCs w:val="20"/>
                <w:lang w:val="en-US"/>
              </w:rPr>
              <w:t xml:space="preserve">B.2 </w:t>
            </w:r>
            <w:r w:rsidR="00B10535" w:rsidRPr="00C9465D">
              <w:rPr>
                <w:rFonts w:ascii="Verdana" w:eastAsiaTheme="minorEastAsia" w:hAnsi="Verdana"/>
                <w:noProof/>
                <w:sz w:val="20"/>
                <w:szCs w:val="20"/>
                <w:lang w:val="en-US" w:eastAsia="es-CR"/>
              </w:rPr>
              <w:tab/>
            </w:r>
            <w:r w:rsidR="00FC6426" w:rsidRPr="00C9465D">
              <w:rPr>
                <w:rStyle w:val="Hyperlink"/>
                <w:rFonts w:ascii="Verdana" w:hAnsi="Verdana"/>
                <w:noProof/>
                <w:sz w:val="20"/>
                <w:szCs w:val="20"/>
                <w:lang w:val="en-US"/>
              </w:rPr>
              <w:t>Determination of the victim’s whereabouts</w:t>
            </w:r>
            <w:r w:rsidR="00B10535" w:rsidRPr="00C9465D">
              <w:rPr>
                <w:rFonts w:ascii="Verdana" w:hAnsi="Verdana"/>
                <w:noProof/>
                <w:webHidden/>
                <w:sz w:val="20"/>
                <w:szCs w:val="20"/>
                <w:lang w:val="en-US"/>
              </w:rPr>
              <w:tab/>
            </w:r>
            <w:r w:rsidR="00B10535" w:rsidRPr="00C9465D">
              <w:rPr>
                <w:rFonts w:ascii="Verdana" w:hAnsi="Verdana"/>
                <w:noProof/>
                <w:webHidden/>
                <w:sz w:val="20"/>
                <w:szCs w:val="20"/>
                <w:lang w:val="en-US"/>
              </w:rPr>
              <w:fldChar w:fldCharType="begin"/>
            </w:r>
            <w:r w:rsidR="00B10535" w:rsidRPr="00C9465D">
              <w:rPr>
                <w:rFonts w:ascii="Verdana" w:hAnsi="Verdana"/>
                <w:noProof/>
                <w:webHidden/>
                <w:sz w:val="20"/>
                <w:szCs w:val="20"/>
                <w:lang w:val="en-US"/>
              </w:rPr>
              <w:instrText xml:space="preserve"> PAGEREF _Toc74298475 \h </w:instrText>
            </w:r>
            <w:r w:rsidR="00B10535" w:rsidRPr="00C9465D">
              <w:rPr>
                <w:rFonts w:ascii="Verdana" w:hAnsi="Verdana"/>
                <w:noProof/>
                <w:webHidden/>
                <w:sz w:val="20"/>
                <w:szCs w:val="20"/>
                <w:lang w:val="en-US"/>
              </w:rPr>
            </w:r>
            <w:r w:rsidR="00B10535" w:rsidRPr="00C9465D">
              <w:rPr>
                <w:rFonts w:ascii="Verdana" w:hAnsi="Verdana"/>
                <w:noProof/>
                <w:webHidden/>
                <w:sz w:val="20"/>
                <w:szCs w:val="20"/>
                <w:lang w:val="en-US"/>
              </w:rPr>
              <w:fldChar w:fldCharType="separate"/>
            </w:r>
            <w:r w:rsidR="00707742" w:rsidRPr="00C9465D">
              <w:rPr>
                <w:rFonts w:ascii="Verdana" w:hAnsi="Verdana"/>
                <w:noProof/>
                <w:webHidden/>
                <w:sz w:val="20"/>
                <w:szCs w:val="20"/>
                <w:lang w:val="en-US"/>
              </w:rPr>
              <w:t>6</w:t>
            </w:r>
            <w:r w:rsidR="00313380" w:rsidRPr="00C9465D">
              <w:rPr>
                <w:rFonts w:ascii="Verdana" w:hAnsi="Verdana"/>
                <w:noProof/>
                <w:webHidden/>
                <w:sz w:val="20"/>
                <w:szCs w:val="20"/>
                <w:lang w:val="en-US"/>
              </w:rPr>
              <w:t>0</w:t>
            </w:r>
            <w:r w:rsidR="00B10535" w:rsidRPr="00C9465D">
              <w:rPr>
                <w:rFonts w:ascii="Verdana" w:hAnsi="Verdana"/>
                <w:noProof/>
                <w:webHidden/>
                <w:sz w:val="20"/>
                <w:szCs w:val="20"/>
                <w:lang w:val="en-US"/>
              </w:rPr>
              <w:fldChar w:fldCharType="end"/>
            </w:r>
          </w:hyperlink>
        </w:p>
        <w:p w14:paraId="4708D234" w14:textId="1FF7C541" w:rsidR="00B10535" w:rsidRPr="00C9465D" w:rsidRDefault="003C0F5F" w:rsidP="003676D9">
          <w:pPr>
            <w:pStyle w:val="TOC2"/>
            <w:rPr>
              <w:rFonts w:eastAsiaTheme="minorEastAsia"/>
              <w:noProof/>
              <w:lang w:val="en-US" w:eastAsia="es-CR"/>
            </w:rPr>
          </w:pPr>
          <w:hyperlink w:anchor="_Toc74298476" w:history="1">
            <w:r w:rsidR="00B10535" w:rsidRPr="00C9465D">
              <w:rPr>
                <w:rStyle w:val="Hyperlink"/>
                <w:rFonts w:ascii="Verdana" w:hAnsi="Verdana"/>
                <w:noProof/>
                <w:sz w:val="20"/>
                <w:szCs w:val="20"/>
                <w:lang w:val="en-US"/>
              </w:rPr>
              <w:t>C.</w:t>
            </w:r>
            <w:r w:rsidR="00B10535" w:rsidRPr="00C9465D">
              <w:rPr>
                <w:rFonts w:eastAsiaTheme="minorEastAsia"/>
                <w:noProof/>
                <w:lang w:val="en-US" w:eastAsia="es-CR"/>
              </w:rPr>
              <w:tab/>
            </w:r>
            <w:r w:rsidR="00A57F4A" w:rsidRPr="00C9465D">
              <w:rPr>
                <w:rStyle w:val="Hyperlink"/>
                <w:rFonts w:ascii="Verdana" w:hAnsi="Verdana"/>
                <w:noProof/>
                <w:sz w:val="20"/>
                <w:szCs w:val="20"/>
                <w:lang w:val="en-US"/>
              </w:rPr>
              <w:t>Measures of rehabilitation</w:t>
            </w:r>
            <w:r w:rsidR="00B10535" w:rsidRPr="00C9465D">
              <w:rPr>
                <w:noProof/>
                <w:webHidden/>
                <w:lang w:val="en-US"/>
              </w:rPr>
              <w:tab/>
            </w:r>
            <w:r w:rsidR="00B10535" w:rsidRPr="00C9465D">
              <w:rPr>
                <w:noProof/>
                <w:webHidden/>
                <w:lang w:val="en-US"/>
              </w:rPr>
              <w:fldChar w:fldCharType="begin"/>
            </w:r>
            <w:r w:rsidR="00B10535" w:rsidRPr="00C9465D">
              <w:rPr>
                <w:noProof/>
                <w:webHidden/>
                <w:lang w:val="en-US"/>
              </w:rPr>
              <w:instrText xml:space="preserve"> PAGEREF _Toc74298476 \h </w:instrText>
            </w:r>
            <w:r w:rsidR="00B10535" w:rsidRPr="00C9465D">
              <w:rPr>
                <w:noProof/>
                <w:webHidden/>
                <w:lang w:val="en-US"/>
              </w:rPr>
            </w:r>
            <w:r w:rsidR="00B10535" w:rsidRPr="00C9465D">
              <w:rPr>
                <w:noProof/>
                <w:webHidden/>
                <w:lang w:val="en-US"/>
              </w:rPr>
              <w:fldChar w:fldCharType="separate"/>
            </w:r>
            <w:r w:rsidR="00707742" w:rsidRPr="00C9465D">
              <w:rPr>
                <w:noProof/>
                <w:webHidden/>
                <w:lang w:val="en-US"/>
              </w:rPr>
              <w:t>6</w:t>
            </w:r>
            <w:r w:rsidR="00313380" w:rsidRPr="00C9465D">
              <w:rPr>
                <w:noProof/>
                <w:webHidden/>
                <w:lang w:val="en-US"/>
              </w:rPr>
              <w:t>1</w:t>
            </w:r>
            <w:r w:rsidR="00B10535" w:rsidRPr="00C9465D">
              <w:rPr>
                <w:noProof/>
                <w:webHidden/>
                <w:lang w:val="en-US"/>
              </w:rPr>
              <w:fldChar w:fldCharType="end"/>
            </w:r>
          </w:hyperlink>
        </w:p>
        <w:p w14:paraId="3874FBEB" w14:textId="4A6AA1D5" w:rsidR="00B10535" w:rsidRPr="00C9465D" w:rsidRDefault="003C0F5F" w:rsidP="003676D9">
          <w:pPr>
            <w:pStyle w:val="TOC2"/>
            <w:rPr>
              <w:rFonts w:eastAsiaTheme="minorEastAsia"/>
              <w:noProof/>
              <w:lang w:val="en-US" w:eastAsia="es-CR"/>
            </w:rPr>
          </w:pPr>
          <w:hyperlink w:anchor="_Toc74298477" w:history="1">
            <w:r w:rsidR="00B10535" w:rsidRPr="00C9465D">
              <w:rPr>
                <w:rStyle w:val="Hyperlink"/>
                <w:rFonts w:ascii="Verdana" w:hAnsi="Verdana"/>
                <w:noProof/>
                <w:sz w:val="20"/>
                <w:szCs w:val="20"/>
                <w:lang w:val="en-US" w:eastAsia="es-ES"/>
              </w:rPr>
              <w:t>D.</w:t>
            </w:r>
            <w:r w:rsidR="00B10535" w:rsidRPr="00C9465D">
              <w:rPr>
                <w:rFonts w:eastAsiaTheme="minorEastAsia"/>
                <w:noProof/>
                <w:lang w:val="en-US" w:eastAsia="es-CR"/>
              </w:rPr>
              <w:tab/>
            </w:r>
            <w:r w:rsidR="00391119" w:rsidRPr="00C9465D">
              <w:rPr>
                <w:rStyle w:val="Hyperlink"/>
                <w:rFonts w:ascii="Verdana" w:hAnsi="Verdana"/>
                <w:noProof/>
                <w:sz w:val="20"/>
                <w:szCs w:val="20"/>
                <w:lang w:val="en-US"/>
              </w:rPr>
              <w:t>Measures of satisfaction</w:t>
            </w:r>
            <w:r w:rsidR="00B10535" w:rsidRPr="00C9465D">
              <w:rPr>
                <w:noProof/>
                <w:webHidden/>
                <w:lang w:val="en-US"/>
              </w:rPr>
              <w:tab/>
            </w:r>
            <w:r w:rsidR="00B10535" w:rsidRPr="00C9465D">
              <w:rPr>
                <w:noProof/>
                <w:webHidden/>
                <w:lang w:val="en-US"/>
              </w:rPr>
              <w:fldChar w:fldCharType="begin"/>
            </w:r>
            <w:r w:rsidR="00B10535" w:rsidRPr="00C9465D">
              <w:rPr>
                <w:noProof/>
                <w:webHidden/>
                <w:lang w:val="en-US"/>
              </w:rPr>
              <w:instrText xml:space="preserve"> PAGEREF _Toc74298477 \h </w:instrText>
            </w:r>
            <w:r w:rsidR="00B10535" w:rsidRPr="00C9465D">
              <w:rPr>
                <w:noProof/>
                <w:webHidden/>
                <w:lang w:val="en-US"/>
              </w:rPr>
            </w:r>
            <w:r w:rsidR="00B10535" w:rsidRPr="00C9465D">
              <w:rPr>
                <w:noProof/>
                <w:webHidden/>
                <w:lang w:val="en-US"/>
              </w:rPr>
              <w:fldChar w:fldCharType="separate"/>
            </w:r>
            <w:r w:rsidR="00707742" w:rsidRPr="00C9465D">
              <w:rPr>
                <w:noProof/>
                <w:webHidden/>
                <w:lang w:val="en-US"/>
              </w:rPr>
              <w:t>6</w:t>
            </w:r>
            <w:r w:rsidR="00313380" w:rsidRPr="00C9465D">
              <w:rPr>
                <w:noProof/>
                <w:webHidden/>
                <w:lang w:val="en-US"/>
              </w:rPr>
              <w:t>2</w:t>
            </w:r>
            <w:r w:rsidR="00B10535" w:rsidRPr="00C9465D">
              <w:rPr>
                <w:noProof/>
                <w:webHidden/>
                <w:lang w:val="en-US"/>
              </w:rPr>
              <w:fldChar w:fldCharType="end"/>
            </w:r>
          </w:hyperlink>
        </w:p>
        <w:p w14:paraId="7AF136D7" w14:textId="68738A40" w:rsidR="00B10535" w:rsidRPr="00C9465D" w:rsidRDefault="003C0F5F" w:rsidP="00B10535">
          <w:pPr>
            <w:pStyle w:val="TOC3"/>
            <w:tabs>
              <w:tab w:val="clear" w:pos="284"/>
              <w:tab w:val="clear" w:pos="709"/>
              <w:tab w:val="left" w:pos="0"/>
              <w:tab w:val="left" w:pos="567"/>
            </w:tabs>
            <w:ind w:left="0"/>
            <w:rPr>
              <w:rFonts w:ascii="Verdana" w:eastAsiaTheme="minorEastAsia" w:hAnsi="Verdana"/>
              <w:noProof/>
              <w:sz w:val="20"/>
              <w:szCs w:val="20"/>
              <w:lang w:val="en-US" w:eastAsia="es-CR"/>
            </w:rPr>
          </w:pPr>
          <w:hyperlink w:anchor="_Toc74298478" w:history="1">
            <w:r w:rsidR="00B10535" w:rsidRPr="00C9465D">
              <w:rPr>
                <w:rStyle w:val="Hyperlink"/>
                <w:rFonts w:ascii="Verdana" w:hAnsi="Verdana"/>
                <w:noProof/>
                <w:sz w:val="20"/>
                <w:szCs w:val="20"/>
                <w:lang w:val="en-US"/>
              </w:rPr>
              <w:t xml:space="preserve">D.1 </w:t>
            </w:r>
            <w:r w:rsidR="00B10535" w:rsidRPr="00C9465D">
              <w:rPr>
                <w:rFonts w:ascii="Verdana" w:eastAsiaTheme="minorEastAsia" w:hAnsi="Verdana"/>
                <w:noProof/>
                <w:sz w:val="20"/>
                <w:szCs w:val="20"/>
                <w:lang w:val="en-US" w:eastAsia="es-CR"/>
              </w:rPr>
              <w:tab/>
            </w:r>
            <w:r w:rsidR="00391119" w:rsidRPr="00C9465D">
              <w:rPr>
                <w:rStyle w:val="Hyperlink"/>
                <w:rFonts w:ascii="Verdana" w:hAnsi="Verdana"/>
                <w:noProof/>
                <w:sz w:val="20"/>
                <w:szCs w:val="20"/>
                <w:lang w:val="en-US"/>
              </w:rPr>
              <w:t>Publication</w:t>
            </w:r>
            <w:r w:rsidR="00B10535" w:rsidRPr="00C9465D">
              <w:rPr>
                <w:rStyle w:val="Hyperlink"/>
                <w:rFonts w:ascii="Verdana" w:hAnsi="Verdana"/>
                <w:noProof/>
                <w:sz w:val="20"/>
                <w:szCs w:val="20"/>
                <w:lang w:val="en-US"/>
              </w:rPr>
              <w:t xml:space="preserve"> </w:t>
            </w:r>
            <w:r w:rsidR="008F17CD" w:rsidRPr="00C9465D">
              <w:rPr>
                <w:rStyle w:val="Hyperlink"/>
                <w:rFonts w:ascii="Verdana" w:hAnsi="Verdana"/>
                <w:noProof/>
                <w:sz w:val="20"/>
                <w:szCs w:val="20"/>
                <w:lang w:val="en-US"/>
              </w:rPr>
              <w:t>of the judgment</w:t>
            </w:r>
            <w:r w:rsidR="00B10535" w:rsidRPr="00C9465D">
              <w:rPr>
                <w:rFonts w:ascii="Verdana" w:hAnsi="Verdana"/>
                <w:noProof/>
                <w:webHidden/>
                <w:sz w:val="20"/>
                <w:szCs w:val="20"/>
                <w:lang w:val="en-US"/>
              </w:rPr>
              <w:tab/>
            </w:r>
            <w:r w:rsidR="00B10535" w:rsidRPr="00C9465D">
              <w:rPr>
                <w:rFonts w:ascii="Verdana" w:hAnsi="Verdana"/>
                <w:noProof/>
                <w:webHidden/>
                <w:sz w:val="20"/>
                <w:szCs w:val="20"/>
                <w:lang w:val="en-US"/>
              </w:rPr>
              <w:fldChar w:fldCharType="begin"/>
            </w:r>
            <w:r w:rsidR="00B10535" w:rsidRPr="00C9465D">
              <w:rPr>
                <w:rFonts w:ascii="Verdana" w:hAnsi="Verdana"/>
                <w:noProof/>
                <w:webHidden/>
                <w:sz w:val="20"/>
                <w:szCs w:val="20"/>
                <w:lang w:val="en-US"/>
              </w:rPr>
              <w:instrText xml:space="preserve"> PAGEREF _Toc74298478 \h </w:instrText>
            </w:r>
            <w:r w:rsidR="00B10535" w:rsidRPr="00C9465D">
              <w:rPr>
                <w:rFonts w:ascii="Verdana" w:hAnsi="Verdana"/>
                <w:noProof/>
                <w:webHidden/>
                <w:sz w:val="20"/>
                <w:szCs w:val="20"/>
                <w:lang w:val="en-US"/>
              </w:rPr>
            </w:r>
            <w:r w:rsidR="00B10535" w:rsidRPr="00C9465D">
              <w:rPr>
                <w:rFonts w:ascii="Verdana" w:hAnsi="Verdana"/>
                <w:noProof/>
                <w:webHidden/>
                <w:sz w:val="20"/>
                <w:szCs w:val="20"/>
                <w:lang w:val="en-US"/>
              </w:rPr>
              <w:fldChar w:fldCharType="separate"/>
            </w:r>
            <w:r w:rsidR="00707742" w:rsidRPr="00C9465D">
              <w:rPr>
                <w:rFonts w:ascii="Verdana" w:hAnsi="Verdana"/>
                <w:noProof/>
                <w:webHidden/>
                <w:sz w:val="20"/>
                <w:szCs w:val="20"/>
                <w:lang w:val="en-US"/>
              </w:rPr>
              <w:t>6</w:t>
            </w:r>
            <w:r w:rsidR="00313380" w:rsidRPr="00C9465D">
              <w:rPr>
                <w:rFonts w:ascii="Verdana" w:hAnsi="Verdana"/>
                <w:noProof/>
                <w:webHidden/>
                <w:sz w:val="20"/>
                <w:szCs w:val="20"/>
                <w:lang w:val="en-US"/>
              </w:rPr>
              <w:t>2</w:t>
            </w:r>
            <w:r w:rsidR="00B10535" w:rsidRPr="00C9465D">
              <w:rPr>
                <w:rFonts w:ascii="Verdana" w:hAnsi="Verdana"/>
                <w:noProof/>
                <w:webHidden/>
                <w:sz w:val="20"/>
                <w:szCs w:val="20"/>
                <w:lang w:val="en-US"/>
              </w:rPr>
              <w:fldChar w:fldCharType="end"/>
            </w:r>
          </w:hyperlink>
        </w:p>
        <w:p w14:paraId="12D1D975" w14:textId="522A53EF" w:rsidR="00B10535" w:rsidRPr="00C9465D" w:rsidRDefault="003C0F5F" w:rsidP="00B10535">
          <w:pPr>
            <w:pStyle w:val="TOC3"/>
            <w:tabs>
              <w:tab w:val="clear" w:pos="284"/>
              <w:tab w:val="clear" w:pos="709"/>
              <w:tab w:val="left" w:pos="0"/>
              <w:tab w:val="left" w:pos="567"/>
            </w:tabs>
            <w:ind w:left="0"/>
            <w:rPr>
              <w:rFonts w:ascii="Verdana" w:eastAsiaTheme="minorEastAsia" w:hAnsi="Verdana"/>
              <w:noProof/>
              <w:sz w:val="20"/>
              <w:szCs w:val="20"/>
              <w:lang w:val="en-US" w:eastAsia="es-CR"/>
            </w:rPr>
          </w:pPr>
          <w:hyperlink w:anchor="_Toc74298479" w:history="1">
            <w:r w:rsidR="00B10535" w:rsidRPr="00C9465D">
              <w:rPr>
                <w:rStyle w:val="Hyperlink"/>
                <w:rFonts w:ascii="Verdana" w:hAnsi="Verdana"/>
                <w:noProof/>
                <w:sz w:val="20"/>
                <w:szCs w:val="20"/>
                <w:lang w:val="en-US"/>
              </w:rPr>
              <w:t xml:space="preserve">D.2 </w:t>
            </w:r>
            <w:r w:rsidR="00B10535" w:rsidRPr="00C9465D">
              <w:rPr>
                <w:rFonts w:ascii="Verdana" w:eastAsiaTheme="minorEastAsia" w:hAnsi="Verdana"/>
                <w:noProof/>
                <w:sz w:val="20"/>
                <w:szCs w:val="20"/>
                <w:lang w:val="en-US" w:eastAsia="es-CR"/>
              </w:rPr>
              <w:tab/>
            </w:r>
            <w:r w:rsidR="00644DD4" w:rsidRPr="00C9465D">
              <w:rPr>
                <w:rStyle w:val="Hyperlink"/>
                <w:rFonts w:ascii="Verdana" w:hAnsi="Verdana"/>
                <w:noProof/>
                <w:sz w:val="20"/>
                <w:szCs w:val="20"/>
                <w:lang w:val="en-US"/>
              </w:rPr>
              <w:t>Public act to acknowledge international responsibility</w:t>
            </w:r>
            <w:r w:rsidR="00B10535" w:rsidRPr="00C9465D">
              <w:rPr>
                <w:rFonts w:ascii="Verdana" w:hAnsi="Verdana"/>
                <w:noProof/>
                <w:webHidden/>
                <w:sz w:val="20"/>
                <w:szCs w:val="20"/>
                <w:lang w:val="en-US"/>
              </w:rPr>
              <w:tab/>
            </w:r>
            <w:r w:rsidR="00B10535" w:rsidRPr="00C9465D">
              <w:rPr>
                <w:rFonts w:ascii="Verdana" w:hAnsi="Verdana"/>
                <w:noProof/>
                <w:webHidden/>
                <w:sz w:val="20"/>
                <w:szCs w:val="20"/>
                <w:lang w:val="en-US"/>
              </w:rPr>
              <w:fldChar w:fldCharType="begin"/>
            </w:r>
            <w:r w:rsidR="00B10535" w:rsidRPr="00C9465D">
              <w:rPr>
                <w:rFonts w:ascii="Verdana" w:hAnsi="Verdana"/>
                <w:noProof/>
                <w:webHidden/>
                <w:sz w:val="20"/>
                <w:szCs w:val="20"/>
                <w:lang w:val="en-US"/>
              </w:rPr>
              <w:instrText xml:space="preserve"> PAGEREF _Toc74298479 \h </w:instrText>
            </w:r>
            <w:r w:rsidR="00B10535" w:rsidRPr="00C9465D">
              <w:rPr>
                <w:rFonts w:ascii="Verdana" w:hAnsi="Verdana"/>
                <w:noProof/>
                <w:webHidden/>
                <w:sz w:val="20"/>
                <w:szCs w:val="20"/>
                <w:lang w:val="en-US"/>
              </w:rPr>
            </w:r>
            <w:r w:rsidR="00B10535" w:rsidRPr="00C9465D">
              <w:rPr>
                <w:rFonts w:ascii="Verdana" w:hAnsi="Verdana"/>
                <w:noProof/>
                <w:webHidden/>
                <w:sz w:val="20"/>
                <w:szCs w:val="20"/>
                <w:lang w:val="en-US"/>
              </w:rPr>
              <w:fldChar w:fldCharType="separate"/>
            </w:r>
            <w:r w:rsidR="00707742" w:rsidRPr="00C9465D">
              <w:rPr>
                <w:rFonts w:ascii="Verdana" w:hAnsi="Verdana"/>
                <w:noProof/>
                <w:webHidden/>
                <w:sz w:val="20"/>
                <w:szCs w:val="20"/>
                <w:lang w:val="en-US"/>
              </w:rPr>
              <w:t>6</w:t>
            </w:r>
            <w:r w:rsidR="00313380" w:rsidRPr="00C9465D">
              <w:rPr>
                <w:rFonts w:ascii="Verdana" w:hAnsi="Verdana"/>
                <w:noProof/>
                <w:webHidden/>
                <w:sz w:val="20"/>
                <w:szCs w:val="20"/>
                <w:lang w:val="en-US"/>
              </w:rPr>
              <w:t>2</w:t>
            </w:r>
            <w:r w:rsidR="00B10535" w:rsidRPr="00C9465D">
              <w:rPr>
                <w:rFonts w:ascii="Verdana" w:hAnsi="Verdana"/>
                <w:noProof/>
                <w:webHidden/>
                <w:sz w:val="20"/>
                <w:szCs w:val="20"/>
                <w:lang w:val="en-US"/>
              </w:rPr>
              <w:fldChar w:fldCharType="end"/>
            </w:r>
          </w:hyperlink>
        </w:p>
        <w:p w14:paraId="17902104" w14:textId="660DA75B" w:rsidR="00B10535" w:rsidRPr="00C9465D" w:rsidRDefault="003C0F5F" w:rsidP="003676D9">
          <w:pPr>
            <w:pStyle w:val="TOC2"/>
            <w:rPr>
              <w:rFonts w:eastAsiaTheme="minorEastAsia"/>
              <w:noProof/>
              <w:lang w:val="en-US" w:eastAsia="es-CR"/>
            </w:rPr>
          </w:pPr>
          <w:hyperlink w:anchor="_Toc74298480" w:history="1">
            <w:r w:rsidR="00B10535" w:rsidRPr="00C9465D">
              <w:rPr>
                <w:rStyle w:val="Hyperlink"/>
                <w:rFonts w:ascii="Verdana" w:hAnsi="Verdana"/>
                <w:noProof/>
                <w:sz w:val="20"/>
                <w:szCs w:val="20"/>
                <w:lang w:val="en-US"/>
              </w:rPr>
              <w:t>E.</w:t>
            </w:r>
            <w:r w:rsidR="00B10535" w:rsidRPr="00C9465D">
              <w:rPr>
                <w:rFonts w:eastAsiaTheme="minorEastAsia"/>
                <w:noProof/>
                <w:lang w:val="en-US" w:eastAsia="es-CR"/>
              </w:rPr>
              <w:tab/>
            </w:r>
            <w:r w:rsidR="00644DD4" w:rsidRPr="00C9465D">
              <w:rPr>
                <w:rStyle w:val="Hyperlink"/>
                <w:rFonts w:ascii="Verdana" w:hAnsi="Verdana"/>
                <w:noProof/>
                <w:sz w:val="20"/>
                <w:szCs w:val="20"/>
                <w:lang w:val="en-US"/>
              </w:rPr>
              <w:t>Guarantees of non-repetition</w:t>
            </w:r>
            <w:r w:rsidR="00B10535" w:rsidRPr="00C9465D">
              <w:rPr>
                <w:noProof/>
                <w:webHidden/>
                <w:lang w:val="en-US"/>
              </w:rPr>
              <w:tab/>
            </w:r>
            <w:r w:rsidR="00B10535" w:rsidRPr="00C9465D">
              <w:rPr>
                <w:noProof/>
                <w:webHidden/>
                <w:lang w:val="en-US"/>
              </w:rPr>
              <w:fldChar w:fldCharType="begin"/>
            </w:r>
            <w:r w:rsidR="00B10535" w:rsidRPr="00C9465D">
              <w:rPr>
                <w:noProof/>
                <w:webHidden/>
                <w:lang w:val="en-US"/>
              </w:rPr>
              <w:instrText xml:space="preserve"> PAGEREF _Toc74298480 \h </w:instrText>
            </w:r>
            <w:r w:rsidR="00B10535" w:rsidRPr="00C9465D">
              <w:rPr>
                <w:noProof/>
                <w:webHidden/>
                <w:lang w:val="en-US"/>
              </w:rPr>
            </w:r>
            <w:r w:rsidR="00B10535" w:rsidRPr="00C9465D">
              <w:rPr>
                <w:noProof/>
                <w:webHidden/>
                <w:lang w:val="en-US"/>
              </w:rPr>
              <w:fldChar w:fldCharType="separate"/>
            </w:r>
            <w:r w:rsidR="00707742" w:rsidRPr="00C9465D">
              <w:rPr>
                <w:noProof/>
                <w:webHidden/>
                <w:lang w:val="en-US"/>
              </w:rPr>
              <w:t>6</w:t>
            </w:r>
            <w:r w:rsidR="00313380" w:rsidRPr="00C9465D">
              <w:rPr>
                <w:noProof/>
                <w:webHidden/>
                <w:lang w:val="en-US"/>
              </w:rPr>
              <w:t>3</w:t>
            </w:r>
            <w:r w:rsidR="00B10535" w:rsidRPr="00C9465D">
              <w:rPr>
                <w:noProof/>
                <w:webHidden/>
                <w:lang w:val="en-US"/>
              </w:rPr>
              <w:fldChar w:fldCharType="end"/>
            </w:r>
          </w:hyperlink>
        </w:p>
        <w:p w14:paraId="0F4F632F" w14:textId="34DF7EB0" w:rsidR="00B10535" w:rsidRPr="00C9465D" w:rsidRDefault="003C0F5F" w:rsidP="00B10535">
          <w:pPr>
            <w:pStyle w:val="TOC3"/>
            <w:tabs>
              <w:tab w:val="clear" w:pos="284"/>
              <w:tab w:val="clear" w:pos="709"/>
              <w:tab w:val="left" w:pos="0"/>
              <w:tab w:val="left" w:pos="567"/>
            </w:tabs>
            <w:ind w:left="0"/>
            <w:rPr>
              <w:rFonts w:ascii="Verdana" w:eastAsiaTheme="minorEastAsia" w:hAnsi="Verdana"/>
              <w:noProof/>
              <w:sz w:val="20"/>
              <w:szCs w:val="20"/>
              <w:lang w:val="en-US" w:eastAsia="es-CR"/>
            </w:rPr>
          </w:pPr>
          <w:hyperlink w:anchor="_Toc74298481" w:history="1">
            <w:r w:rsidR="00B10535" w:rsidRPr="00C9465D">
              <w:rPr>
                <w:rStyle w:val="Hyperlink"/>
                <w:rFonts w:ascii="Verdana" w:hAnsi="Verdana"/>
                <w:noProof/>
                <w:sz w:val="20"/>
                <w:szCs w:val="20"/>
                <w:lang w:val="en-US"/>
              </w:rPr>
              <w:t xml:space="preserve">E.1 </w:t>
            </w:r>
            <w:r w:rsidR="00B10535" w:rsidRPr="00C9465D">
              <w:rPr>
                <w:rFonts w:ascii="Verdana" w:eastAsiaTheme="minorEastAsia" w:hAnsi="Verdana"/>
                <w:noProof/>
                <w:sz w:val="20"/>
                <w:szCs w:val="20"/>
                <w:lang w:val="en-US" w:eastAsia="es-CR"/>
              </w:rPr>
              <w:tab/>
            </w:r>
            <w:r w:rsidR="00644DD4" w:rsidRPr="00C9465D">
              <w:rPr>
                <w:rStyle w:val="Hyperlink"/>
                <w:rFonts w:ascii="Verdana" w:hAnsi="Verdana"/>
                <w:noProof/>
                <w:sz w:val="20"/>
                <w:szCs w:val="20"/>
                <w:lang w:val="en-US"/>
              </w:rPr>
              <w:t>Adaptation of existing laws</w:t>
            </w:r>
            <w:r w:rsidR="00B10535" w:rsidRPr="00C9465D">
              <w:rPr>
                <w:rFonts w:ascii="Verdana" w:hAnsi="Verdana"/>
                <w:noProof/>
                <w:webHidden/>
                <w:sz w:val="20"/>
                <w:szCs w:val="20"/>
                <w:lang w:val="en-US"/>
              </w:rPr>
              <w:tab/>
            </w:r>
            <w:r w:rsidR="00B10535" w:rsidRPr="00C9465D">
              <w:rPr>
                <w:rFonts w:ascii="Verdana" w:hAnsi="Verdana"/>
                <w:noProof/>
                <w:webHidden/>
                <w:sz w:val="20"/>
                <w:szCs w:val="20"/>
                <w:lang w:val="en-US"/>
              </w:rPr>
              <w:fldChar w:fldCharType="begin"/>
            </w:r>
            <w:r w:rsidR="00B10535" w:rsidRPr="00C9465D">
              <w:rPr>
                <w:rFonts w:ascii="Verdana" w:hAnsi="Verdana"/>
                <w:noProof/>
                <w:webHidden/>
                <w:sz w:val="20"/>
                <w:szCs w:val="20"/>
                <w:lang w:val="en-US"/>
              </w:rPr>
              <w:instrText xml:space="preserve"> PAGEREF _Toc74298481 \h </w:instrText>
            </w:r>
            <w:r w:rsidR="00B10535" w:rsidRPr="00C9465D">
              <w:rPr>
                <w:rFonts w:ascii="Verdana" w:hAnsi="Verdana"/>
                <w:noProof/>
                <w:webHidden/>
                <w:sz w:val="20"/>
                <w:szCs w:val="20"/>
                <w:lang w:val="en-US"/>
              </w:rPr>
            </w:r>
            <w:r w:rsidR="00B10535" w:rsidRPr="00C9465D">
              <w:rPr>
                <w:rFonts w:ascii="Verdana" w:hAnsi="Verdana"/>
                <w:noProof/>
                <w:webHidden/>
                <w:sz w:val="20"/>
                <w:szCs w:val="20"/>
                <w:lang w:val="en-US"/>
              </w:rPr>
              <w:fldChar w:fldCharType="separate"/>
            </w:r>
            <w:r w:rsidR="00707742" w:rsidRPr="00C9465D">
              <w:rPr>
                <w:rFonts w:ascii="Verdana" w:hAnsi="Verdana"/>
                <w:noProof/>
                <w:webHidden/>
                <w:sz w:val="20"/>
                <w:szCs w:val="20"/>
                <w:lang w:val="en-US"/>
              </w:rPr>
              <w:t>6</w:t>
            </w:r>
            <w:r w:rsidR="00313380" w:rsidRPr="00C9465D">
              <w:rPr>
                <w:rFonts w:ascii="Verdana" w:hAnsi="Verdana"/>
                <w:noProof/>
                <w:webHidden/>
                <w:sz w:val="20"/>
                <w:szCs w:val="20"/>
                <w:lang w:val="en-US"/>
              </w:rPr>
              <w:t>3</w:t>
            </w:r>
            <w:r w:rsidR="00B10535" w:rsidRPr="00C9465D">
              <w:rPr>
                <w:rFonts w:ascii="Verdana" w:hAnsi="Verdana"/>
                <w:noProof/>
                <w:webHidden/>
                <w:sz w:val="20"/>
                <w:szCs w:val="20"/>
                <w:lang w:val="en-US"/>
              </w:rPr>
              <w:fldChar w:fldCharType="end"/>
            </w:r>
          </w:hyperlink>
        </w:p>
        <w:p w14:paraId="739CB58C" w14:textId="4D97670A" w:rsidR="00B10535" w:rsidRPr="00C9465D" w:rsidRDefault="003C0F5F" w:rsidP="00B10535">
          <w:pPr>
            <w:pStyle w:val="TOC3"/>
            <w:tabs>
              <w:tab w:val="clear" w:pos="284"/>
              <w:tab w:val="clear" w:pos="709"/>
              <w:tab w:val="left" w:pos="0"/>
              <w:tab w:val="left" w:pos="567"/>
            </w:tabs>
            <w:ind w:left="0"/>
            <w:rPr>
              <w:rFonts w:ascii="Verdana" w:eastAsiaTheme="minorEastAsia" w:hAnsi="Verdana"/>
              <w:noProof/>
              <w:sz w:val="20"/>
              <w:szCs w:val="20"/>
              <w:lang w:val="en-US" w:eastAsia="es-CR"/>
            </w:rPr>
          </w:pPr>
          <w:hyperlink w:anchor="_Toc74298482" w:history="1">
            <w:r w:rsidR="00B10535" w:rsidRPr="00C9465D">
              <w:rPr>
                <w:rStyle w:val="Hyperlink"/>
                <w:rFonts w:ascii="Verdana" w:hAnsi="Verdana"/>
                <w:noProof/>
                <w:sz w:val="20"/>
                <w:szCs w:val="20"/>
                <w:lang w:val="en-US"/>
              </w:rPr>
              <w:t xml:space="preserve">E.2 </w:t>
            </w:r>
            <w:r w:rsidR="00B10535" w:rsidRPr="00C9465D">
              <w:rPr>
                <w:rFonts w:ascii="Verdana" w:eastAsiaTheme="minorEastAsia" w:hAnsi="Verdana"/>
                <w:noProof/>
                <w:sz w:val="20"/>
                <w:szCs w:val="20"/>
                <w:lang w:val="en-US" w:eastAsia="es-CR"/>
              </w:rPr>
              <w:tab/>
            </w:r>
            <w:r w:rsidR="007866C0" w:rsidRPr="00C9465D">
              <w:rPr>
                <w:rStyle w:val="Hyperlink"/>
                <w:rFonts w:ascii="Verdana" w:hAnsi="Verdana"/>
                <w:noProof/>
                <w:sz w:val="20"/>
                <w:szCs w:val="20"/>
                <w:lang w:val="en-US"/>
              </w:rPr>
              <w:t>Training</w:t>
            </w:r>
            <w:r w:rsidR="00B10535" w:rsidRPr="00C9465D">
              <w:rPr>
                <w:rFonts w:ascii="Verdana" w:hAnsi="Verdana"/>
                <w:noProof/>
                <w:webHidden/>
                <w:sz w:val="20"/>
                <w:szCs w:val="20"/>
                <w:lang w:val="en-US"/>
              </w:rPr>
              <w:tab/>
            </w:r>
            <w:r w:rsidR="00B10535" w:rsidRPr="00C9465D">
              <w:rPr>
                <w:rFonts w:ascii="Verdana" w:hAnsi="Verdana"/>
                <w:noProof/>
                <w:webHidden/>
                <w:sz w:val="20"/>
                <w:szCs w:val="20"/>
                <w:lang w:val="en-US"/>
              </w:rPr>
              <w:fldChar w:fldCharType="begin"/>
            </w:r>
            <w:r w:rsidR="00B10535" w:rsidRPr="00C9465D">
              <w:rPr>
                <w:rFonts w:ascii="Verdana" w:hAnsi="Verdana"/>
                <w:noProof/>
                <w:webHidden/>
                <w:sz w:val="20"/>
                <w:szCs w:val="20"/>
                <w:lang w:val="en-US"/>
              </w:rPr>
              <w:instrText xml:space="preserve"> PAGEREF _Toc74298482 \h </w:instrText>
            </w:r>
            <w:r w:rsidR="00B10535" w:rsidRPr="00C9465D">
              <w:rPr>
                <w:rFonts w:ascii="Verdana" w:hAnsi="Verdana"/>
                <w:noProof/>
                <w:webHidden/>
                <w:sz w:val="20"/>
                <w:szCs w:val="20"/>
                <w:lang w:val="en-US"/>
              </w:rPr>
            </w:r>
            <w:r w:rsidR="00B10535" w:rsidRPr="00C9465D">
              <w:rPr>
                <w:rFonts w:ascii="Verdana" w:hAnsi="Verdana"/>
                <w:noProof/>
                <w:webHidden/>
                <w:sz w:val="20"/>
                <w:szCs w:val="20"/>
                <w:lang w:val="en-US"/>
              </w:rPr>
              <w:fldChar w:fldCharType="separate"/>
            </w:r>
            <w:r w:rsidR="00707742" w:rsidRPr="00C9465D">
              <w:rPr>
                <w:rFonts w:ascii="Verdana" w:hAnsi="Verdana"/>
                <w:noProof/>
                <w:webHidden/>
                <w:sz w:val="20"/>
                <w:szCs w:val="20"/>
                <w:lang w:val="en-US"/>
              </w:rPr>
              <w:t>6</w:t>
            </w:r>
            <w:r w:rsidR="00313380" w:rsidRPr="00C9465D">
              <w:rPr>
                <w:rFonts w:ascii="Verdana" w:hAnsi="Verdana"/>
                <w:noProof/>
                <w:webHidden/>
                <w:sz w:val="20"/>
                <w:szCs w:val="20"/>
                <w:lang w:val="en-US"/>
              </w:rPr>
              <w:t>3</w:t>
            </w:r>
            <w:r w:rsidR="00B10535" w:rsidRPr="00C9465D">
              <w:rPr>
                <w:rFonts w:ascii="Verdana" w:hAnsi="Verdana"/>
                <w:noProof/>
                <w:webHidden/>
                <w:sz w:val="20"/>
                <w:szCs w:val="20"/>
                <w:lang w:val="en-US"/>
              </w:rPr>
              <w:fldChar w:fldCharType="end"/>
            </w:r>
          </w:hyperlink>
        </w:p>
        <w:p w14:paraId="5DEDB3E5" w14:textId="1A59BFF2" w:rsidR="00B10535" w:rsidRPr="00C9465D" w:rsidRDefault="003C0F5F" w:rsidP="00B10535">
          <w:pPr>
            <w:pStyle w:val="TOC3"/>
            <w:tabs>
              <w:tab w:val="clear" w:pos="284"/>
              <w:tab w:val="clear" w:pos="709"/>
              <w:tab w:val="left" w:pos="0"/>
              <w:tab w:val="left" w:pos="567"/>
            </w:tabs>
            <w:ind w:left="0"/>
            <w:rPr>
              <w:rFonts w:ascii="Verdana" w:eastAsiaTheme="minorEastAsia" w:hAnsi="Verdana"/>
              <w:noProof/>
              <w:sz w:val="20"/>
              <w:szCs w:val="20"/>
              <w:lang w:val="en-US" w:eastAsia="es-CR"/>
            </w:rPr>
          </w:pPr>
          <w:hyperlink w:anchor="_Toc74298483" w:history="1">
            <w:r w:rsidR="00B10535" w:rsidRPr="00C9465D">
              <w:rPr>
                <w:rStyle w:val="Hyperlink"/>
                <w:rFonts w:ascii="Verdana" w:hAnsi="Verdana"/>
                <w:noProof/>
                <w:sz w:val="20"/>
                <w:szCs w:val="20"/>
                <w:lang w:val="en-US"/>
              </w:rPr>
              <w:t xml:space="preserve">E.3 </w:t>
            </w:r>
            <w:r w:rsidR="00B10535" w:rsidRPr="00C9465D">
              <w:rPr>
                <w:rFonts w:ascii="Verdana" w:eastAsiaTheme="minorEastAsia" w:hAnsi="Verdana"/>
                <w:noProof/>
                <w:sz w:val="20"/>
                <w:szCs w:val="20"/>
                <w:lang w:val="en-US" w:eastAsia="es-CR"/>
              </w:rPr>
              <w:tab/>
            </w:r>
            <w:r w:rsidR="00532E10" w:rsidRPr="00C9465D">
              <w:rPr>
                <w:rStyle w:val="Hyperlink"/>
                <w:rFonts w:ascii="Verdana" w:hAnsi="Verdana"/>
                <w:noProof/>
                <w:sz w:val="20"/>
                <w:szCs w:val="20"/>
                <w:lang w:val="en-US"/>
              </w:rPr>
              <w:t>Action protocol for public health officials when</w:t>
            </w:r>
            <w:r w:rsidR="00B10535" w:rsidRPr="00C9465D">
              <w:rPr>
                <w:rStyle w:val="Hyperlink"/>
                <w:rFonts w:ascii="Verdana" w:hAnsi="Verdana"/>
                <w:noProof/>
                <w:sz w:val="20"/>
                <w:szCs w:val="20"/>
                <w:lang w:val="en-US"/>
              </w:rPr>
              <w:t xml:space="preserve"> </w:t>
            </w:r>
            <w:r w:rsidR="00532E10" w:rsidRPr="00C9465D">
              <w:rPr>
                <w:rStyle w:val="Hyperlink"/>
                <w:rFonts w:ascii="Verdana" w:hAnsi="Verdana"/>
                <w:noProof/>
                <w:sz w:val="20"/>
                <w:szCs w:val="20"/>
                <w:lang w:val="en-US"/>
              </w:rPr>
              <w:t xml:space="preserve">a disappearance </w:t>
            </w:r>
            <w:r w:rsidR="00283AF9" w:rsidRPr="00C9465D">
              <w:rPr>
                <w:rStyle w:val="Hyperlink"/>
                <w:rFonts w:ascii="Verdana" w:hAnsi="Verdana"/>
                <w:noProof/>
                <w:sz w:val="20"/>
                <w:szCs w:val="20"/>
                <w:lang w:val="en-US"/>
              </w:rPr>
              <w:t>occur</w:t>
            </w:r>
            <w:r w:rsidR="00532E10" w:rsidRPr="00C9465D">
              <w:rPr>
                <w:rStyle w:val="Hyperlink"/>
                <w:rFonts w:ascii="Verdana" w:hAnsi="Verdana"/>
                <w:noProof/>
                <w:sz w:val="20"/>
                <w:szCs w:val="20"/>
                <w:lang w:val="en-US"/>
              </w:rPr>
              <w:t>s</w:t>
            </w:r>
            <w:r w:rsidR="00B10535" w:rsidRPr="00C9465D">
              <w:rPr>
                <w:rFonts w:ascii="Verdana" w:hAnsi="Verdana"/>
                <w:noProof/>
                <w:webHidden/>
                <w:sz w:val="20"/>
                <w:szCs w:val="20"/>
                <w:lang w:val="en-US"/>
              </w:rPr>
              <w:tab/>
            </w:r>
            <w:r w:rsidR="00B10535" w:rsidRPr="00C9465D">
              <w:rPr>
                <w:rFonts w:ascii="Verdana" w:hAnsi="Verdana"/>
                <w:noProof/>
                <w:webHidden/>
                <w:sz w:val="20"/>
                <w:szCs w:val="20"/>
                <w:lang w:val="en-US"/>
              </w:rPr>
              <w:fldChar w:fldCharType="begin"/>
            </w:r>
            <w:r w:rsidR="00B10535" w:rsidRPr="00C9465D">
              <w:rPr>
                <w:rFonts w:ascii="Verdana" w:hAnsi="Verdana"/>
                <w:noProof/>
                <w:webHidden/>
                <w:sz w:val="20"/>
                <w:szCs w:val="20"/>
                <w:lang w:val="en-US"/>
              </w:rPr>
              <w:instrText xml:space="preserve"> PAGEREF _Toc74298483 \h </w:instrText>
            </w:r>
            <w:r w:rsidR="00B10535" w:rsidRPr="00C9465D">
              <w:rPr>
                <w:rFonts w:ascii="Verdana" w:hAnsi="Verdana"/>
                <w:noProof/>
                <w:webHidden/>
                <w:sz w:val="20"/>
                <w:szCs w:val="20"/>
                <w:lang w:val="en-US"/>
              </w:rPr>
            </w:r>
            <w:r w:rsidR="00B10535" w:rsidRPr="00C9465D">
              <w:rPr>
                <w:rFonts w:ascii="Verdana" w:hAnsi="Verdana"/>
                <w:noProof/>
                <w:webHidden/>
                <w:sz w:val="20"/>
                <w:szCs w:val="20"/>
                <w:lang w:val="en-US"/>
              </w:rPr>
              <w:fldChar w:fldCharType="separate"/>
            </w:r>
            <w:r w:rsidR="00707742" w:rsidRPr="00C9465D">
              <w:rPr>
                <w:rFonts w:ascii="Verdana" w:hAnsi="Verdana"/>
                <w:noProof/>
                <w:webHidden/>
                <w:sz w:val="20"/>
                <w:szCs w:val="20"/>
                <w:lang w:val="en-US"/>
              </w:rPr>
              <w:t>6</w:t>
            </w:r>
            <w:r w:rsidR="00313380" w:rsidRPr="00C9465D">
              <w:rPr>
                <w:rFonts w:ascii="Verdana" w:hAnsi="Verdana"/>
                <w:noProof/>
                <w:webHidden/>
                <w:sz w:val="20"/>
                <w:szCs w:val="20"/>
                <w:lang w:val="en-US"/>
              </w:rPr>
              <w:t>4</w:t>
            </w:r>
            <w:r w:rsidR="00B10535" w:rsidRPr="00C9465D">
              <w:rPr>
                <w:rFonts w:ascii="Verdana" w:hAnsi="Verdana"/>
                <w:noProof/>
                <w:webHidden/>
                <w:sz w:val="20"/>
                <w:szCs w:val="20"/>
                <w:lang w:val="en-US"/>
              </w:rPr>
              <w:fldChar w:fldCharType="end"/>
            </w:r>
          </w:hyperlink>
        </w:p>
        <w:p w14:paraId="031B31BC" w14:textId="6BF7A0FF" w:rsidR="00B10535" w:rsidRPr="00C9465D" w:rsidRDefault="003C0F5F" w:rsidP="003676D9">
          <w:pPr>
            <w:pStyle w:val="TOC2"/>
            <w:rPr>
              <w:rFonts w:eastAsiaTheme="minorEastAsia"/>
              <w:noProof/>
              <w:lang w:val="en-US" w:eastAsia="es-CR"/>
            </w:rPr>
          </w:pPr>
          <w:hyperlink w:anchor="_Toc74298484" w:history="1">
            <w:r w:rsidR="00B10535" w:rsidRPr="00C9465D">
              <w:rPr>
                <w:rStyle w:val="Hyperlink"/>
                <w:rFonts w:ascii="Verdana" w:hAnsi="Verdana"/>
                <w:noProof/>
                <w:sz w:val="20"/>
                <w:szCs w:val="20"/>
                <w:lang w:val="en-US"/>
              </w:rPr>
              <w:t>F.</w:t>
            </w:r>
            <w:r w:rsidR="00B10535" w:rsidRPr="00C9465D">
              <w:rPr>
                <w:rFonts w:eastAsiaTheme="minorEastAsia"/>
                <w:noProof/>
                <w:lang w:val="en-US" w:eastAsia="es-CR"/>
              </w:rPr>
              <w:tab/>
            </w:r>
            <w:r w:rsidR="005069F4" w:rsidRPr="00C9465D">
              <w:rPr>
                <w:rStyle w:val="Hyperlink"/>
                <w:rFonts w:ascii="Verdana" w:hAnsi="Verdana"/>
                <w:noProof/>
                <w:sz w:val="20"/>
                <w:szCs w:val="20"/>
                <w:lang w:val="en-US"/>
              </w:rPr>
              <w:t>Compensation</w:t>
            </w:r>
            <w:r w:rsidR="00B10535" w:rsidRPr="00C9465D">
              <w:rPr>
                <w:noProof/>
                <w:webHidden/>
                <w:lang w:val="en-US"/>
              </w:rPr>
              <w:tab/>
            </w:r>
            <w:r w:rsidR="00B10535" w:rsidRPr="00C9465D">
              <w:rPr>
                <w:noProof/>
                <w:webHidden/>
                <w:lang w:val="en-US"/>
              </w:rPr>
              <w:fldChar w:fldCharType="begin"/>
            </w:r>
            <w:r w:rsidR="00B10535" w:rsidRPr="00C9465D">
              <w:rPr>
                <w:noProof/>
                <w:webHidden/>
                <w:lang w:val="en-US"/>
              </w:rPr>
              <w:instrText xml:space="preserve"> PAGEREF _Toc74298484 \h </w:instrText>
            </w:r>
            <w:r w:rsidR="00B10535" w:rsidRPr="00C9465D">
              <w:rPr>
                <w:noProof/>
                <w:webHidden/>
                <w:lang w:val="en-US"/>
              </w:rPr>
            </w:r>
            <w:r w:rsidR="00B10535" w:rsidRPr="00C9465D">
              <w:rPr>
                <w:noProof/>
                <w:webHidden/>
                <w:lang w:val="en-US"/>
              </w:rPr>
              <w:fldChar w:fldCharType="separate"/>
            </w:r>
            <w:r w:rsidR="00313380" w:rsidRPr="00C9465D">
              <w:rPr>
                <w:noProof/>
                <w:webHidden/>
                <w:lang w:val="en-US"/>
              </w:rPr>
              <w:t>65</w:t>
            </w:r>
            <w:r w:rsidR="00B10535" w:rsidRPr="00C9465D">
              <w:rPr>
                <w:noProof/>
                <w:webHidden/>
                <w:lang w:val="en-US"/>
              </w:rPr>
              <w:fldChar w:fldCharType="end"/>
            </w:r>
          </w:hyperlink>
        </w:p>
        <w:p w14:paraId="454FAF18" w14:textId="59BBB155" w:rsidR="00B10535" w:rsidRPr="00C9465D" w:rsidRDefault="003C0F5F" w:rsidP="00B10535">
          <w:pPr>
            <w:pStyle w:val="TOC3"/>
            <w:tabs>
              <w:tab w:val="clear" w:pos="284"/>
              <w:tab w:val="clear" w:pos="709"/>
              <w:tab w:val="left" w:pos="567"/>
            </w:tabs>
            <w:ind w:left="0"/>
            <w:rPr>
              <w:rFonts w:ascii="Verdana" w:eastAsiaTheme="minorEastAsia" w:hAnsi="Verdana"/>
              <w:noProof/>
              <w:sz w:val="20"/>
              <w:szCs w:val="20"/>
              <w:lang w:val="en-US" w:eastAsia="es-CR"/>
            </w:rPr>
          </w:pPr>
          <w:hyperlink w:anchor="_Toc74298485" w:history="1">
            <w:r w:rsidR="00B10535" w:rsidRPr="00C9465D">
              <w:rPr>
                <w:rStyle w:val="Hyperlink"/>
                <w:rFonts w:ascii="Verdana" w:hAnsi="Verdana"/>
                <w:noProof/>
                <w:sz w:val="20"/>
                <w:szCs w:val="20"/>
                <w:lang w:val="en-US"/>
              </w:rPr>
              <w:t xml:space="preserve">F.1 </w:t>
            </w:r>
            <w:r w:rsidR="00B10535" w:rsidRPr="00C9465D">
              <w:rPr>
                <w:rStyle w:val="Hyperlink"/>
                <w:rFonts w:ascii="Verdana" w:hAnsi="Verdana"/>
                <w:noProof/>
                <w:sz w:val="20"/>
                <w:szCs w:val="20"/>
                <w:lang w:val="en-US"/>
              </w:rPr>
              <w:tab/>
            </w:r>
            <w:r w:rsidR="005069F4" w:rsidRPr="00C9465D">
              <w:rPr>
                <w:rStyle w:val="Hyperlink"/>
                <w:rFonts w:ascii="Verdana" w:hAnsi="Verdana"/>
                <w:noProof/>
                <w:sz w:val="20"/>
                <w:szCs w:val="20"/>
                <w:lang w:val="en-US"/>
              </w:rPr>
              <w:t>Pecuniary damage</w:t>
            </w:r>
            <w:r w:rsidR="00B10535" w:rsidRPr="00C9465D">
              <w:rPr>
                <w:rFonts w:ascii="Verdana" w:hAnsi="Verdana"/>
                <w:noProof/>
                <w:webHidden/>
                <w:sz w:val="20"/>
                <w:szCs w:val="20"/>
                <w:lang w:val="en-US"/>
              </w:rPr>
              <w:tab/>
            </w:r>
            <w:r w:rsidR="00313380" w:rsidRPr="00C9465D">
              <w:rPr>
                <w:rFonts w:ascii="Verdana" w:hAnsi="Verdana"/>
                <w:noProof/>
                <w:webHidden/>
                <w:sz w:val="20"/>
                <w:szCs w:val="20"/>
                <w:lang w:val="en-US"/>
              </w:rPr>
              <w:t>65</w:t>
            </w:r>
          </w:hyperlink>
        </w:p>
        <w:p w14:paraId="1CFD1599" w14:textId="6038E137" w:rsidR="00B10535" w:rsidRPr="00C9465D" w:rsidRDefault="003C0F5F" w:rsidP="00B10535">
          <w:pPr>
            <w:pStyle w:val="TOC3"/>
            <w:tabs>
              <w:tab w:val="clear" w:pos="284"/>
              <w:tab w:val="clear" w:pos="709"/>
              <w:tab w:val="left" w:pos="567"/>
            </w:tabs>
            <w:ind w:left="0"/>
            <w:rPr>
              <w:rFonts w:ascii="Verdana" w:eastAsiaTheme="minorEastAsia" w:hAnsi="Verdana"/>
              <w:noProof/>
              <w:sz w:val="20"/>
              <w:szCs w:val="20"/>
              <w:lang w:val="en-US" w:eastAsia="es-CR"/>
            </w:rPr>
          </w:pPr>
          <w:hyperlink w:anchor="_Toc74298486" w:history="1">
            <w:r w:rsidR="00B10535" w:rsidRPr="00C9465D">
              <w:rPr>
                <w:rStyle w:val="Hyperlink"/>
                <w:rFonts w:ascii="Verdana" w:hAnsi="Verdana"/>
                <w:noProof/>
                <w:sz w:val="20"/>
                <w:szCs w:val="20"/>
                <w:lang w:val="en-US"/>
              </w:rPr>
              <w:t xml:space="preserve">F.2 </w:t>
            </w:r>
            <w:r w:rsidR="00B10535" w:rsidRPr="00C9465D">
              <w:rPr>
                <w:rStyle w:val="Hyperlink"/>
                <w:rFonts w:ascii="Verdana" w:hAnsi="Verdana"/>
                <w:noProof/>
                <w:sz w:val="20"/>
                <w:szCs w:val="20"/>
                <w:lang w:val="en-US"/>
              </w:rPr>
              <w:tab/>
            </w:r>
            <w:r w:rsidR="005069F4" w:rsidRPr="00C9465D">
              <w:rPr>
                <w:rStyle w:val="Hyperlink"/>
                <w:rFonts w:ascii="Verdana" w:hAnsi="Verdana"/>
                <w:noProof/>
                <w:sz w:val="20"/>
                <w:szCs w:val="20"/>
                <w:lang w:val="en-US"/>
              </w:rPr>
              <w:t>Non-pecuniary damage</w:t>
            </w:r>
            <w:r w:rsidR="00B10535" w:rsidRPr="00C9465D">
              <w:rPr>
                <w:rFonts w:ascii="Verdana" w:hAnsi="Verdana"/>
                <w:noProof/>
                <w:webHidden/>
                <w:sz w:val="20"/>
                <w:szCs w:val="20"/>
                <w:lang w:val="en-US"/>
              </w:rPr>
              <w:tab/>
            </w:r>
            <w:r w:rsidR="00313380" w:rsidRPr="00C9465D">
              <w:rPr>
                <w:rFonts w:ascii="Verdana" w:hAnsi="Verdana"/>
                <w:noProof/>
                <w:webHidden/>
                <w:sz w:val="20"/>
                <w:szCs w:val="20"/>
                <w:lang w:val="en-US"/>
              </w:rPr>
              <w:t>65</w:t>
            </w:r>
          </w:hyperlink>
        </w:p>
        <w:p w14:paraId="34324BF3" w14:textId="5CBDCF19" w:rsidR="00B10535" w:rsidRPr="00C9465D" w:rsidRDefault="003C0F5F" w:rsidP="003676D9">
          <w:pPr>
            <w:pStyle w:val="TOC2"/>
            <w:rPr>
              <w:rFonts w:eastAsiaTheme="minorEastAsia"/>
              <w:noProof/>
              <w:lang w:val="en-US" w:eastAsia="es-CR"/>
            </w:rPr>
          </w:pPr>
          <w:hyperlink w:anchor="_Toc74298487" w:history="1">
            <w:r w:rsidR="00B10535" w:rsidRPr="00C9465D">
              <w:rPr>
                <w:rStyle w:val="Hyperlink"/>
                <w:rFonts w:ascii="Verdana" w:hAnsi="Verdana"/>
                <w:noProof/>
                <w:sz w:val="20"/>
                <w:szCs w:val="20"/>
                <w:lang w:val="en-US"/>
              </w:rPr>
              <w:t>G.</w:t>
            </w:r>
            <w:r w:rsidR="00B10535" w:rsidRPr="00C9465D">
              <w:rPr>
                <w:rFonts w:eastAsiaTheme="minorEastAsia"/>
                <w:noProof/>
                <w:lang w:val="en-US" w:eastAsia="es-CR"/>
              </w:rPr>
              <w:tab/>
            </w:r>
            <w:r w:rsidR="00C1326A" w:rsidRPr="00C9465D">
              <w:rPr>
                <w:rStyle w:val="Hyperlink"/>
                <w:rFonts w:ascii="Verdana" w:hAnsi="Verdana"/>
                <w:noProof/>
                <w:sz w:val="20"/>
                <w:szCs w:val="20"/>
                <w:lang w:val="en-US"/>
              </w:rPr>
              <w:t>Other measures requested</w:t>
            </w:r>
            <w:r w:rsidR="00B10535" w:rsidRPr="00C9465D">
              <w:rPr>
                <w:noProof/>
                <w:webHidden/>
                <w:lang w:val="en-US"/>
              </w:rPr>
              <w:tab/>
            </w:r>
            <w:r w:rsidR="00313380" w:rsidRPr="00C9465D">
              <w:rPr>
                <w:noProof/>
                <w:webHidden/>
                <w:lang w:val="en-US"/>
              </w:rPr>
              <w:t>66</w:t>
            </w:r>
          </w:hyperlink>
        </w:p>
        <w:p w14:paraId="08987A0E" w14:textId="33E382B1" w:rsidR="00B10535" w:rsidRPr="00C9465D" w:rsidRDefault="003C0F5F" w:rsidP="003676D9">
          <w:pPr>
            <w:pStyle w:val="TOC2"/>
            <w:rPr>
              <w:rFonts w:eastAsiaTheme="minorEastAsia"/>
              <w:noProof/>
              <w:lang w:val="en-US" w:eastAsia="es-CR"/>
            </w:rPr>
          </w:pPr>
          <w:hyperlink w:anchor="_Toc74298488" w:history="1">
            <w:r w:rsidR="00B10535" w:rsidRPr="00C9465D">
              <w:rPr>
                <w:rStyle w:val="Hyperlink"/>
                <w:rFonts w:ascii="Verdana" w:hAnsi="Verdana"/>
                <w:noProof/>
                <w:sz w:val="20"/>
                <w:szCs w:val="20"/>
                <w:lang w:val="en-US"/>
              </w:rPr>
              <w:t>H.</w:t>
            </w:r>
            <w:r w:rsidR="00B10535" w:rsidRPr="00C9465D">
              <w:rPr>
                <w:rFonts w:eastAsiaTheme="minorEastAsia"/>
                <w:noProof/>
                <w:lang w:val="en-US" w:eastAsia="es-CR"/>
              </w:rPr>
              <w:tab/>
            </w:r>
            <w:r w:rsidR="00CF3A9D" w:rsidRPr="00C9465D">
              <w:rPr>
                <w:rStyle w:val="Hyperlink"/>
                <w:rFonts w:ascii="Verdana" w:hAnsi="Verdana"/>
                <w:noProof/>
                <w:sz w:val="20"/>
                <w:szCs w:val="20"/>
                <w:lang w:val="en-US"/>
              </w:rPr>
              <w:t>Costs and expenses</w:t>
            </w:r>
            <w:r w:rsidR="00B10535" w:rsidRPr="00C9465D">
              <w:rPr>
                <w:noProof/>
                <w:webHidden/>
                <w:lang w:val="en-US"/>
              </w:rPr>
              <w:tab/>
            </w:r>
            <w:r w:rsidR="00313380" w:rsidRPr="00C9465D">
              <w:rPr>
                <w:noProof/>
                <w:webHidden/>
                <w:lang w:val="en-US"/>
              </w:rPr>
              <w:t>67</w:t>
            </w:r>
          </w:hyperlink>
        </w:p>
        <w:p w14:paraId="5C8F1738" w14:textId="4CDBEE26" w:rsidR="00B10535" w:rsidRPr="00C9465D" w:rsidRDefault="003C0F5F" w:rsidP="003676D9">
          <w:pPr>
            <w:pStyle w:val="TOC2"/>
            <w:rPr>
              <w:rFonts w:eastAsiaTheme="minorEastAsia"/>
              <w:noProof/>
              <w:lang w:val="en-US" w:eastAsia="es-CR"/>
            </w:rPr>
          </w:pPr>
          <w:hyperlink w:anchor="_Toc74298489" w:history="1">
            <w:r w:rsidR="00B10535" w:rsidRPr="00C9465D">
              <w:rPr>
                <w:rStyle w:val="Hyperlink"/>
                <w:rFonts w:ascii="Verdana" w:hAnsi="Verdana"/>
                <w:noProof/>
                <w:sz w:val="20"/>
                <w:szCs w:val="20"/>
                <w:lang w:val="en-US"/>
              </w:rPr>
              <w:t>I.</w:t>
            </w:r>
            <w:r w:rsidR="00B10535" w:rsidRPr="00C9465D">
              <w:rPr>
                <w:rFonts w:eastAsiaTheme="minorEastAsia"/>
                <w:noProof/>
                <w:lang w:val="en-US" w:eastAsia="es-CR"/>
              </w:rPr>
              <w:tab/>
            </w:r>
            <w:r w:rsidR="002562FC" w:rsidRPr="00C9465D">
              <w:rPr>
                <w:rStyle w:val="Hyperlink"/>
                <w:rFonts w:ascii="Verdana" w:hAnsi="Verdana"/>
                <w:noProof/>
                <w:sz w:val="20"/>
                <w:szCs w:val="20"/>
                <w:lang w:val="en-US"/>
              </w:rPr>
              <w:t>Reimbursement of expenses to the</w:t>
            </w:r>
            <w:r w:rsidR="00B10535" w:rsidRPr="00C9465D">
              <w:rPr>
                <w:rStyle w:val="Hyperlink"/>
                <w:rFonts w:ascii="Verdana" w:hAnsi="Verdana"/>
                <w:noProof/>
                <w:sz w:val="20"/>
                <w:szCs w:val="20"/>
                <w:lang w:val="en-US"/>
              </w:rPr>
              <w:t xml:space="preserve"> </w:t>
            </w:r>
            <w:r w:rsidR="00F42E0C" w:rsidRPr="00C9465D">
              <w:rPr>
                <w:rStyle w:val="Hyperlink"/>
                <w:rFonts w:ascii="Verdana" w:hAnsi="Verdana"/>
                <w:noProof/>
                <w:sz w:val="20"/>
                <w:szCs w:val="20"/>
                <w:lang w:val="en-US"/>
              </w:rPr>
              <w:t>Victims’ Legal Assistance Fund</w:t>
            </w:r>
            <w:r w:rsidR="00B10535" w:rsidRPr="00C9465D">
              <w:rPr>
                <w:noProof/>
                <w:webHidden/>
                <w:lang w:val="en-US"/>
              </w:rPr>
              <w:tab/>
            </w:r>
            <w:r w:rsidR="00313380" w:rsidRPr="00C9465D">
              <w:rPr>
                <w:noProof/>
                <w:webHidden/>
                <w:lang w:val="en-US"/>
              </w:rPr>
              <w:t>68</w:t>
            </w:r>
          </w:hyperlink>
        </w:p>
        <w:p w14:paraId="787A98A8" w14:textId="40E1774D" w:rsidR="00B10535" w:rsidRPr="00C9465D" w:rsidRDefault="003C0F5F" w:rsidP="003676D9">
          <w:pPr>
            <w:pStyle w:val="TOC2"/>
            <w:rPr>
              <w:rFonts w:eastAsiaTheme="minorEastAsia"/>
              <w:noProof/>
              <w:lang w:val="en-US" w:eastAsia="es-CR"/>
            </w:rPr>
          </w:pPr>
          <w:hyperlink w:anchor="_Toc74298490" w:history="1">
            <w:r w:rsidR="00B10535" w:rsidRPr="00C9465D">
              <w:rPr>
                <w:rStyle w:val="Hyperlink"/>
                <w:rFonts w:ascii="Verdana" w:hAnsi="Verdana"/>
                <w:noProof/>
                <w:sz w:val="20"/>
                <w:szCs w:val="20"/>
                <w:lang w:val="en-US"/>
              </w:rPr>
              <w:t>J.</w:t>
            </w:r>
            <w:r w:rsidR="00B10535" w:rsidRPr="00C9465D">
              <w:rPr>
                <w:rFonts w:eastAsiaTheme="minorEastAsia"/>
                <w:noProof/>
                <w:lang w:val="en-US" w:eastAsia="es-CR"/>
              </w:rPr>
              <w:tab/>
            </w:r>
            <w:r w:rsidR="00B32A87" w:rsidRPr="00C9465D">
              <w:rPr>
                <w:rStyle w:val="Hyperlink"/>
                <w:rFonts w:ascii="Verdana" w:hAnsi="Verdana"/>
                <w:noProof/>
                <w:sz w:val="20"/>
                <w:szCs w:val="20"/>
                <w:lang w:val="en-US"/>
              </w:rPr>
              <w:t>Method of compliance with the payments ordered</w:t>
            </w:r>
            <w:r w:rsidR="00B10535" w:rsidRPr="00C9465D">
              <w:rPr>
                <w:noProof/>
                <w:webHidden/>
                <w:lang w:val="en-US"/>
              </w:rPr>
              <w:tab/>
            </w:r>
            <w:r w:rsidR="00C60660" w:rsidRPr="00C9465D">
              <w:rPr>
                <w:noProof/>
                <w:webHidden/>
                <w:lang w:val="en-US"/>
              </w:rPr>
              <w:t>69</w:t>
            </w:r>
          </w:hyperlink>
        </w:p>
        <w:p w14:paraId="123F52A8" w14:textId="17B4CE06" w:rsidR="00B10535" w:rsidRPr="00C9465D" w:rsidRDefault="003C0F5F" w:rsidP="00416109">
          <w:pPr>
            <w:pStyle w:val="TOC1"/>
            <w:rPr>
              <w:rFonts w:ascii="Verdana" w:eastAsiaTheme="minorEastAsia" w:hAnsi="Verdana"/>
              <w:noProof/>
              <w:sz w:val="20"/>
              <w:szCs w:val="20"/>
              <w:lang w:val="en-US" w:eastAsia="es-CR"/>
            </w:rPr>
          </w:pPr>
          <w:hyperlink w:anchor="_Toc74298491" w:history="1">
            <w:r w:rsidR="00B10535" w:rsidRPr="00C9465D">
              <w:rPr>
                <w:rStyle w:val="Hyperlink"/>
                <w:rFonts w:ascii="Verdana" w:hAnsi="Verdana"/>
                <w:noProof/>
                <w:w w:val="99"/>
                <w:sz w:val="20"/>
                <w:szCs w:val="20"/>
                <w:lang w:val="en-US"/>
              </w:rPr>
              <w:t xml:space="preserve">IX </w:t>
            </w:r>
            <w:r w:rsidR="00E2299F" w:rsidRPr="00C9465D">
              <w:rPr>
                <w:rStyle w:val="Hyperlink"/>
                <w:rFonts w:ascii="Verdana" w:hAnsi="Verdana"/>
                <w:noProof/>
                <w:sz w:val="20"/>
                <w:szCs w:val="20"/>
                <w:lang w:val="en-US"/>
              </w:rPr>
              <w:t>OPERATIVE PARAGRAPHS</w:t>
            </w:r>
            <w:r w:rsidR="00B10535" w:rsidRPr="00C9465D">
              <w:rPr>
                <w:rFonts w:ascii="Verdana" w:hAnsi="Verdana"/>
                <w:noProof/>
                <w:webHidden/>
                <w:sz w:val="20"/>
                <w:szCs w:val="20"/>
                <w:lang w:val="en-US"/>
              </w:rPr>
              <w:tab/>
            </w:r>
            <w:r w:rsidR="00C60660" w:rsidRPr="00C9465D">
              <w:rPr>
                <w:rFonts w:ascii="Verdana" w:hAnsi="Verdana"/>
                <w:noProof/>
                <w:webHidden/>
                <w:sz w:val="20"/>
                <w:szCs w:val="20"/>
                <w:lang w:val="en-US"/>
              </w:rPr>
              <w:t>69</w:t>
            </w:r>
          </w:hyperlink>
        </w:p>
        <w:p w14:paraId="45302C09" w14:textId="4A038544" w:rsidR="000303FF" w:rsidRPr="00C9465D" w:rsidRDefault="000303FF" w:rsidP="00E5784B">
          <w:pPr>
            <w:tabs>
              <w:tab w:val="left" w:pos="567"/>
            </w:tabs>
            <w:spacing w:after="0" w:line="276" w:lineRule="auto"/>
            <w:rPr>
              <w:rFonts w:ascii="Verdana" w:hAnsi="Verdana"/>
              <w:sz w:val="20"/>
              <w:szCs w:val="20"/>
              <w:lang w:val="en-US"/>
            </w:rPr>
          </w:pPr>
          <w:r w:rsidRPr="00C9465D">
            <w:rPr>
              <w:rFonts w:ascii="Verdana" w:hAnsi="Verdana"/>
              <w:b/>
              <w:bCs/>
              <w:sz w:val="20"/>
              <w:szCs w:val="20"/>
              <w:lang w:val="en-US"/>
            </w:rPr>
            <w:fldChar w:fldCharType="end"/>
          </w:r>
        </w:p>
      </w:sdtContent>
    </w:sdt>
    <w:p w14:paraId="532DEDED" w14:textId="77777777" w:rsidR="000303FF" w:rsidRPr="00C9465D" w:rsidRDefault="000303FF" w:rsidP="0040694D">
      <w:pPr>
        <w:rPr>
          <w:rFonts w:ascii="Verdana" w:hAnsi="Verdana"/>
          <w:sz w:val="20"/>
          <w:szCs w:val="20"/>
          <w:lang w:val="en-US"/>
        </w:rPr>
      </w:pPr>
    </w:p>
    <w:p w14:paraId="3D01DD8D" w14:textId="3AD7441B" w:rsidR="000303FF" w:rsidRPr="00C9465D" w:rsidRDefault="000303FF" w:rsidP="0040694D">
      <w:pPr>
        <w:rPr>
          <w:rFonts w:ascii="Verdana" w:hAnsi="Verdana"/>
          <w:sz w:val="20"/>
          <w:szCs w:val="20"/>
          <w:lang w:val="en-US"/>
        </w:rPr>
      </w:pPr>
    </w:p>
    <w:p w14:paraId="6F5CA02A" w14:textId="439E56BB" w:rsidR="0015476E" w:rsidRPr="00C9465D" w:rsidRDefault="0015476E" w:rsidP="0040694D">
      <w:pPr>
        <w:rPr>
          <w:rFonts w:ascii="Verdana" w:hAnsi="Verdana"/>
          <w:lang w:val="en-US"/>
        </w:rPr>
      </w:pPr>
    </w:p>
    <w:p w14:paraId="2C7219A7" w14:textId="3157A187" w:rsidR="00F514B2" w:rsidRPr="00C9465D" w:rsidRDefault="00F514B2" w:rsidP="0040694D">
      <w:pPr>
        <w:rPr>
          <w:rFonts w:ascii="Verdana" w:hAnsi="Verdana"/>
          <w:lang w:val="en-US"/>
        </w:rPr>
      </w:pPr>
    </w:p>
    <w:p w14:paraId="09DC87B2" w14:textId="4CF19AE6" w:rsidR="00F514B2" w:rsidRPr="00C9465D" w:rsidRDefault="00F514B2" w:rsidP="0040694D">
      <w:pPr>
        <w:rPr>
          <w:rFonts w:ascii="Verdana" w:hAnsi="Verdana"/>
          <w:lang w:val="en-US"/>
        </w:rPr>
      </w:pPr>
    </w:p>
    <w:p w14:paraId="6BD04FD4" w14:textId="47515847" w:rsidR="00F514B2" w:rsidRPr="00C9465D" w:rsidRDefault="00F514B2" w:rsidP="0040694D">
      <w:pPr>
        <w:rPr>
          <w:rFonts w:ascii="Verdana" w:hAnsi="Verdana"/>
          <w:lang w:val="en-US"/>
        </w:rPr>
      </w:pPr>
    </w:p>
    <w:p w14:paraId="289909AD" w14:textId="5545F92D" w:rsidR="00A5429E" w:rsidRPr="00C9465D" w:rsidRDefault="00A5429E" w:rsidP="00E5784B">
      <w:pPr>
        <w:pStyle w:val="Heading1"/>
        <w:rPr>
          <w:lang w:val="en-US"/>
        </w:rPr>
      </w:pPr>
      <w:bookmarkStart w:id="8" w:name="_Toc74298429"/>
      <w:r w:rsidRPr="00C9465D">
        <w:rPr>
          <w:lang w:val="en-US"/>
        </w:rPr>
        <w:lastRenderedPageBreak/>
        <w:t>I</w:t>
      </w:r>
      <w:r w:rsidR="00016774" w:rsidRPr="00C9465D">
        <w:rPr>
          <w:lang w:val="en-US"/>
        </w:rPr>
        <w:br/>
      </w:r>
      <w:r w:rsidR="00193CBB" w:rsidRPr="00C9465D">
        <w:rPr>
          <w:lang w:val="en-US"/>
        </w:rPr>
        <w:t>INTRODUCTION OF THE CASE AND PURPOSE OF THE DISPUTE</w:t>
      </w:r>
      <w:bookmarkEnd w:id="8"/>
    </w:p>
    <w:p w14:paraId="3C02A12A" w14:textId="348A3C4C" w:rsidR="002F3237" w:rsidRPr="00C9465D" w:rsidRDefault="00E2299F" w:rsidP="00AA3C22">
      <w:pPr>
        <w:pStyle w:val="Numberedparagraphs"/>
        <w:rPr>
          <w:rFonts w:eastAsiaTheme="minorHAnsi"/>
          <w:lang w:val="en-US"/>
        </w:rPr>
      </w:pPr>
      <w:r w:rsidRPr="00C9465D">
        <w:rPr>
          <w:i/>
          <w:iCs/>
          <w:lang w:val="en-US"/>
        </w:rPr>
        <w:t>The case submitted to</w:t>
      </w:r>
      <w:r w:rsidR="003E680F" w:rsidRPr="00C9465D">
        <w:rPr>
          <w:i/>
          <w:iCs/>
          <w:lang w:val="en-US"/>
        </w:rPr>
        <w:t xml:space="preserve"> </w:t>
      </w:r>
      <w:r w:rsidR="00193CBB" w:rsidRPr="00C9465D">
        <w:rPr>
          <w:i/>
          <w:iCs/>
          <w:lang w:val="en-US"/>
        </w:rPr>
        <w:t>the Court</w:t>
      </w:r>
      <w:r w:rsidR="00A83BB2" w:rsidRPr="00C9465D">
        <w:rPr>
          <w:i/>
          <w:iCs/>
          <w:lang w:val="en-US"/>
        </w:rPr>
        <w:t xml:space="preserve">. </w:t>
      </w:r>
      <w:r w:rsidR="003E680F" w:rsidRPr="00C9465D">
        <w:rPr>
          <w:lang w:val="en-US"/>
        </w:rPr>
        <w:t xml:space="preserve"> </w:t>
      </w:r>
      <w:r w:rsidRPr="00C9465D">
        <w:rPr>
          <w:lang w:val="en-US"/>
        </w:rPr>
        <w:t>On July 11,</w:t>
      </w:r>
      <w:r w:rsidR="003E680F" w:rsidRPr="00C9465D">
        <w:rPr>
          <w:lang w:val="en-US"/>
        </w:rPr>
        <w:t xml:space="preserve"> 2019</w:t>
      </w:r>
      <w:r w:rsidRPr="00C9465D">
        <w:rPr>
          <w:lang w:val="en-US"/>
        </w:rPr>
        <w:t>,</w:t>
      </w:r>
      <w:r w:rsidR="003E680F" w:rsidRPr="00C9465D">
        <w:rPr>
          <w:lang w:val="en-US"/>
        </w:rPr>
        <w:t xml:space="preserve"> </w:t>
      </w:r>
      <w:r w:rsidR="00193CBB" w:rsidRPr="00C9465D">
        <w:rPr>
          <w:lang w:val="en-US"/>
        </w:rPr>
        <w:t>the Inter-American Commission on Human Rights</w:t>
      </w:r>
      <w:r w:rsidR="003E680F" w:rsidRPr="00C9465D">
        <w:rPr>
          <w:lang w:val="en-US"/>
        </w:rPr>
        <w:t xml:space="preserve"> (</w:t>
      </w:r>
      <w:r w:rsidR="00193CBB" w:rsidRPr="00C9465D">
        <w:rPr>
          <w:lang w:val="en-US"/>
        </w:rPr>
        <w:t>hereinafter</w:t>
      </w:r>
      <w:r w:rsidR="003E680F" w:rsidRPr="00C9465D">
        <w:rPr>
          <w:lang w:val="en-US"/>
        </w:rPr>
        <w:t xml:space="preserve"> “</w:t>
      </w:r>
      <w:r w:rsidR="00193CBB" w:rsidRPr="00C9465D">
        <w:rPr>
          <w:lang w:val="en-US"/>
        </w:rPr>
        <w:t>the Inter-American Commission</w:t>
      </w:r>
      <w:r w:rsidR="003E680F" w:rsidRPr="00C9465D">
        <w:rPr>
          <w:lang w:val="en-US"/>
        </w:rPr>
        <w:t>” o</w:t>
      </w:r>
      <w:r w:rsidRPr="00C9465D">
        <w:rPr>
          <w:lang w:val="en-US"/>
        </w:rPr>
        <w:t>r</w:t>
      </w:r>
      <w:r w:rsidR="003E680F" w:rsidRPr="00C9465D">
        <w:rPr>
          <w:lang w:val="en-US"/>
        </w:rPr>
        <w:t xml:space="preserve"> “</w:t>
      </w:r>
      <w:r w:rsidR="00193CBB" w:rsidRPr="00C9465D">
        <w:rPr>
          <w:lang w:val="en-US"/>
        </w:rPr>
        <w:t>the Commission</w:t>
      </w:r>
      <w:r w:rsidR="003E680F" w:rsidRPr="00C9465D">
        <w:rPr>
          <w:lang w:val="en-US"/>
        </w:rPr>
        <w:t xml:space="preserve">”) </w:t>
      </w:r>
      <w:r w:rsidRPr="00C9465D">
        <w:rPr>
          <w:lang w:val="en-US"/>
        </w:rPr>
        <w:t xml:space="preserve">submitted to the jurisdiction </w:t>
      </w:r>
      <w:r w:rsidR="00193CBB" w:rsidRPr="00C9465D">
        <w:rPr>
          <w:lang w:val="en-US"/>
        </w:rPr>
        <w:t>of the Court</w:t>
      </w:r>
      <w:r w:rsidR="003E680F" w:rsidRPr="00C9465D">
        <w:rPr>
          <w:lang w:val="en-US"/>
        </w:rPr>
        <w:t xml:space="preserve"> </w:t>
      </w:r>
      <w:r w:rsidRPr="00C9465D">
        <w:rPr>
          <w:lang w:val="en-US"/>
        </w:rPr>
        <w:t>the case of</w:t>
      </w:r>
      <w:r w:rsidR="003E680F" w:rsidRPr="00C9465D">
        <w:rPr>
          <w:lang w:val="en-US"/>
        </w:rPr>
        <w:t xml:space="preserve"> </w:t>
      </w:r>
      <w:r w:rsidR="003E680F" w:rsidRPr="00C9465D">
        <w:rPr>
          <w:i/>
          <w:lang w:val="en-US"/>
        </w:rPr>
        <w:t>Luis Eduardo Guachalá Chimbo</w:t>
      </w:r>
      <w:r w:rsidR="00193CBB" w:rsidRPr="00C9465D">
        <w:rPr>
          <w:i/>
          <w:lang w:val="en-US"/>
        </w:rPr>
        <w:t xml:space="preserve"> and </w:t>
      </w:r>
      <w:r w:rsidRPr="00C9465D">
        <w:rPr>
          <w:i/>
          <w:lang w:val="en-US"/>
        </w:rPr>
        <w:t>next of kin</w:t>
      </w:r>
      <w:r w:rsidR="003E680F" w:rsidRPr="00C9465D">
        <w:rPr>
          <w:i/>
          <w:lang w:val="en-US"/>
        </w:rPr>
        <w:t xml:space="preserve"> </w:t>
      </w:r>
      <w:r w:rsidRPr="00C9465D">
        <w:rPr>
          <w:i/>
          <w:lang w:val="en-US"/>
        </w:rPr>
        <w:t>with regard to the Republic of</w:t>
      </w:r>
      <w:r w:rsidR="003E680F" w:rsidRPr="00C9465D">
        <w:rPr>
          <w:i/>
          <w:lang w:val="en-US"/>
        </w:rPr>
        <w:t xml:space="preserve"> Ecuador </w:t>
      </w:r>
      <w:r w:rsidR="003E680F" w:rsidRPr="00C9465D">
        <w:rPr>
          <w:lang w:val="en-US"/>
        </w:rPr>
        <w:t>(</w:t>
      </w:r>
      <w:r w:rsidR="00193CBB" w:rsidRPr="00C9465D">
        <w:rPr>
          <w:lang w:val="en-US"/>
        </w:rPr>
        <w:t>hereinafter</w:t>
      </w:r>
      <w:r w:rsidR="003E680F" w:rsidRPr="00C9465D">
        <w:rPr>
          <w:lang w:val="en-US"/>
        </w:rPr>
        <w:t xml:space="preserve"> “</w:t>
      </w:r>
      <w:r w:rsidR="00193CBB" w:rsidRPr="00C9465D">
        <w:rPr>
          <w:lang w:val="en-US"/>
        </w:rPr>
        <w:t>the State</w:t>
      </w:r>
      <w:r w:rsidR="003E680F" w:rsidRPr="00C9465D">
        <w:rPr>
          <w:lang w:val="en-US"/>
        </w:rPr>
        <w:t>” o</w:t>
      </w:r>
      <w:r w:rsidRPr="00C9465D">
        <w:rPr>
          <w:lang w:val="en-US"/>
        </w:rPr>
        <w:t>r</w:t>
      </w:r>
      <w:r w:rsidR="003E680F" w:rsidRPr="00C9465D">
        <w:rPr>
          <w:lang w:val="en-US"/>
        </w:rPr>
        <w:t xml:space="preserve"> “</w:t>
      </w:r>
      <w:r w:rsidR="00A83BB2" w:rsidRPr="00C9465D">
        <w:rPr>
          <w:lang w:val="en-US"/>
        </w:rPr>
        <w:t>Ecuador</w:t>
      </w:r>
      <w:r w:rsidR="003E680F" w:rsidRPr="00C9465D">
        <w:rPr>
          <w:lang w:val="en-US"/>
        </w:rPr>
        <w:t xml:space="preserve">”). </w:t>
      </w:r>
      <w:r w:rsidR="00193CBB" w:rsidRPr="00C9465D">
        <w:rPr>
          <w:lang w:val="en-US"/>
        </w:rPr>
        <w:t>The Commission</w:t>
      </w:r>
      <w:r w:rsidR="003E680F" w:rsidRPr="00C9465D">
        <w:rPr>
          <w:lang w:val="en-US"/>
        </w:rPr>
        <w:t xml:space="preserve"> </w:t>
      </w:r>
      <w:r w:rsidRPr="00C9465D">
        <w:rPr>
          <w:lang w:val="en-US"/>
        </w:rPr>
        <w:t>indicated that the case related to the</w:t>
      </w:r>
      <w:r w:rsidR="003E680F" w:rsidRPr="00C9465D">
        <w:rPr>
          <w:lang w:val="en-US"/>
        </w:rPr>
        <w:t xml:space="preserve"> “</w:t>
      </w:r>
      <w:r w:rsidRPr="00C9465D">
        <w:rPr>
          <w:lang w:val="en-US"/>
        </w:rPr>
        <w:t>disappearance of</w:t>
      </w:r>
      <w:r w:rsidR="003E680F" w:rsidRPr="00C9465D">
        <w:rPr>
          <w:lang w:val="en-US"/>
        </w:rPr>
        <w:t xml:space="preserve"> Luis Eduardo Guachalá Chimb</w:t>
      </w:r>
      <w:r w:rsidR="00D61212" w:rsidRPr="00C9465D">
        <w:rPr>
          <w:lang w:val="en-US"/>
        </w:rPr>
        <w:t>o</w:t>
      </w:r>
      <w:r w:rsidRPr="00C9465D">
        <w:rPr>
          <w:lang w:val="en-US"/>
        </w:rPr>
        <w:t xml:space="preserve">, a person with mental disabilities, in January 2004, while he was in a public psychiatric hospital in </w:t>
      </w:r>
      <w:r w:rsidR="002F3237" w:rsidRPr="00C9465D">
        <w:rPr>
          <w:lang w:val="en-US"/>
        </w:rPr>
        <w:t>Quito,”</w:t>
      </w:r>
      <w:r w:rsidRPr="00C9465D">
        <w:rPr>
          <w:lang w:val="en-US"/>
        </w:rPr>
        <w:t xml:space="preserve"> </w:t>
      </w:r>
      <w:r w:rsidR="002F3237" w:rsidRPr="00C9465D">
        <w:rPr>
          <w:lang w:val="en-US"/>
        </w:rPr>
        <w:t xml:space="preserve">as well as the absence of informed consent for the hospitalization and the treatment received. </w:t>
      </w:r>
      <w:r w:rsidR="00193CBB" w:rsidRPr="00C9465D">
        <w:rPr>
          <w:lang w:val="en-US"/>
        </w:rPr>
        <w:t>The Commission</w:t>
      </w:r>
      <w:r w:rsidR="003E680F" w:rsidRPr="00C9465D">
        <w:rPr>
          <w:lang w:val="en-US"/>
        </w:rPr>
        <w:t xml:space="preserve"> conclu</w:t>
      </w:r>
      <w:r w:rsidR="002F3237" w:rsidRPr="00C9465D">
        <w:rPr>
          <w:lang w:val="en-US"/>
        </w:rPr>
        <w:t xml:space="preserve">ded that the State was responsible for the violation of </w:t>
      </w:r>
      <w:r w:rsidR="00770064" w:rsidRPr="00C9465D">
        <w:rPr>
          <w:rFonts w:eastAsiaTheme="minorHAnsi"/>
          <w:lang w:val="en-US"/>
        </w:rPr>
        <w:t xml:space="preserve">Mr. </w:t>
      </w:r>
      <w:r w:rsidR="00770064" w:rsidRPr="00C9465D">
        <w:rPr>
          <w:lang w:val="en-US"/>
        </w:rPr>
        <w:t>Guachalá Chimbo’s</w:t>
      </w:r>
      <w:r w:rsidR="002F3237" w:rsidRPr="00C9465D">
        <w:rPr>
          <w:lang w:val="en-US"/>
        </w:rPr>
        <w:t xml:space="preserve"> rights to recognition of juridical personality, life, personal integrity, personal liberty, judicial guarantees, access to information to provide informed consent on health-</w:t>
      </w:r>
      <w:r w:rsidR="002F3237" w:rsidRPr="00C9465D">
        <w:rPr>
          <w:rFonts w:eastAsiaTheme="minorHAnsi"/>
          <w:lang w:val="en-US"/>
        </w:rPr>
        <w:t>related matters, equality and non-discrimination, judicial protection</w:t>
      </w:r>
      <w:r w:rsidR="00770064" w:rsidRPr="00C9465D">
        <w:rPr>
          <w:rFonts w:eastAsiaTheme="minorHAnsi"/>
          <w:lang w:val="en-US"/>
        </w:rPr>
        <w:t>,</w:t>
      </w:r>
      <w:r w:rsidR="002F3237" w:rsidRPr="00C9465D">
        <w:rPr>
          <w:rFonts w:eastAsiaTheme="minorHAnsi"/>
          <w:lang w:val="en-US"/>
        </w:rPr>
        <w:t xml:space="preserve"> and health</w:t>
      </w:r>
      <w:r w:rsidR="00770064" w:rsidRPr="00C9465D">
        <w:rPr>
          <w:rFonts w:eastAsiaTheme="minorHAnsi"/>
          <w:lang w:val="en-US"/>
        </w:rPr>
        <w:t>.</w:t>
      </w:r>
      <w:r w:rsidR="002F3237" w:rsidRPr="00C9465D">
        <w:rPr>
          <w:rFonts w:eastAsiaTheme="minorHAnsi"/>
          <w:lang w:val="en-US"/>
        </w:rPr>
        <w:t xml:space="preserve"> </w:t>
      </w:r>
      <w:r w:rsidR="002F3237" w:rsidRPr="00C9465D">
        <w:rPr>
          <w:lang w:val="en-US"/>
        </w:rPr>
        <w:t>The Commission also concluded that Ecuador had violated the right to personal integrity of Mr. Guachalá’s mother and his immediate family because they had “suffered greatly due to the disappearance of their loved one, which had been further aggravated by the failure to clarify the facts and the lack of justice with regard to what happened.”</w:t>
      </w:r>
    </w:p>
    <w:p w14:paraId="051681A7" w14:textId="1C8AAC93" w:rsidR="003E680F" w:rsidRPr="00C9465D" w:rsidRDefault="002F3237" w:rsidP="00AA3C22">
      <w:pPr>
        <w:pStyle w:val="Numberedparagraphs"/>
        <w:rPr>
          <w:lang w:val="en-US"/>
        </w:rPr>
      </w:pPr>
      <w:r w:rsidRPr="00C9465D">
        <w:rPr>
          <w:i/>
          <w:iCs/>
          <w:lang w:val="en-US"/>
        </w:rPr>
        <w:t>Procedure before</w:t>
      </w:r>
      <w:r w:rsidR="003E680F" w:rsidRPr="00C9465D">
        <w:rPr>
          <w:i/>
          <w:iCs/>
          <w:lang w:val="en-US"/>
        </w:rPr>
        <w:t xml:space="preserve"> </w:t>
      </w:r>
      <w:r w:rsidR="00193CBB" w:rsidRPr="00C9465D">
        <w:rPr>
          <w:i/>
          <w:iCs/>
          <w:lang w:val="en-US"/>
        </w:rPr>
        <w:t>the Commission</w:t>
      </w:r>
      <w:r w:rsidR="003E680F" w:rsidRPr="00C9465D">
        <w:rPr>
          <w:i/>
          <w:iCs/>
          <w:lang w:val="en-US"/>
        </w:rPr>
        <w:t xml:space="preserve">. </w:t>
      </w:r>
      <w:r w:rsidRPr="00C9465D">
        <w:rPr>
          <w:lang w:val="en-US"/>
        </w:rPr>
        <w:t>The procedure before</w:t>
      </w:r>
      <w:r w:rsidR="003E680F" w:rsidRPr="00C9465D">
        <w:rPr>
          <w:lang w:val="en-US"/>
        </w:rPr>
        <w:t xml:space="preserve"> </w:t>
      </w:r>
      <w:r w:rsidR="00193CBB" w:rsidRPr="00C9465D">
        <w:rPr>
          <w:lang w:val="en-US"/>
        </w:rPr>
        <w:t>the Commission</w:t>
      </w:r>
      <w:r w:rsidR="003E680F" w:rsidRPr="00C9465D">
        <w:rPr>
          <w:lang w:val="en-US"/>
        </w:rPr>
        <w:t xml:space="preserve"> </w:t>
      </w:r>
      <w:r w:rsidRPr="00C9465D">
        <w:rPr>
          <w:lang w:val="en-US"/>
        </w:rPr>
        <w:t>was as follows:</w:t>
      </w:r>
    </w:p>
    <w:p w14:paraId="4B7889A8" w14:textId="137144DD" w:rsidR="003E680F" w:rsidRPr="00C9465D" w:rsidRDefault="003E680F" w:rsidP="00D47F8D">
      <w:pPr>
        <w:pStyle w:val="ListParagraph"/>
        <w:numPr>
          <w:ilvl w:val="1"/>
          <w:numId w:val="2"/>
        </w:numPr>
        <w:tabs>
          <w:tab w:val="num" w:pos="567"/>
        </w:tabs>
        <w:spacing w:before="120" w:after="120" w:line="240" w:lineRule="auto"/>
        <w:ind w:left="1077" w:hanging="357"/>
        <w:contextualSpacing w:val="0"/>
        <w:rPr>
          <w:lang w:val="en-US"/>
        </w:rPr>
      </w:pPr>
      <w:r w:rsidRPr="00C9465D">
        <w:rPr>
          <w:i/>
          <w:lang w:val="en-US"/>
        </w:rPr>
        <w:t>Peti</w:t>
      </w:r>
      <w:r w:rsidR="002F3237" w:rsidRPr="00C9465D">
        <w:rPr>
          <w:i/>
          <w:lang w:val="en-US"/>
        </w:rPr>
        <w:t>tio</w:t>
      </w:r>
      <w:r w:rsidRPr="00C9465D">
        <w:rPr>
          <w:i/>
          <w:lang w:val="en-US"/>
        </w:rPr>
        <w:t>n.</w:t>
      </w:r>
      <w:r w:rsidRPr="00C9465D">
        <w:rPr>
          <w:lang w:val="en-US"/>
        </w:rPr>
        <w:t xml:space="preserve"> </w:t>
      </w:r>
      <w:r w:rsidR="002F3237" w:rsidRPr="00C9465D">
        <w:rPr>
          <w:lang w:val="en-US"/>
        </w:rPr>
        <w:t>On March 1,</w:t>
      </w:r>
      <w:r w:rsidRPr="00C9465D">
        <w:rPr>
          <w:lang w:val="en-US"/>
        </w:rPr>
        <w:t xml:space="preserve"> 2007</w:t>
      </w:r>
      <w:r w:rsidR="00577DE0" w:rsidRPr="00C9465D">
        <w:rPr>
          <w:lang w:val="en-US"/>
        </w:rPr>
        <w:t>,</w:t>
      </w:r>
      <w:r w:rsidRPr="00C9465D">
        <w:rPr>
          <w:lang w:val="en-US"/>
        </w:rPr>
        <w:t xml:space="preserve"> </w:t>
      </w:r>
      <w:r w:rsidR="00577DE0" w:rsidRPr="00C9465D">
        <w:rPr>
          <w:lang w:val="en-US"/>
        </w:rPr>
        <w:t>the Human Rights Clinic of the</w:t>
      </w:r>
      <w:r w:rsidRPr="00C9465D">
        <w:rPr>
          <w:lang w:val="en-US"/>
        </w:rPr>
        <w:t xml:space="preserve"> Pontificia Universidad Católica del Ecuador, </w:t>
      </w:r>
      <w:r w:rsidR="00577DE0" w:rsidRPr="00C9465D">
        <w:rPr>
          <w:lang w:val="en-US"/>
        </w:rPr>
        <w:t xml:space="preserve">the </w:t>
      </w:r>
      <w:r w:rsidRPr="00C9465D">
        <w:rPr>
          <w:lang w:val="en-US"/>
        </w:rPr>
        <w:t>Fundación Regional de Asesoría en Derechos Humanos</w:t>
      </w:r>
      <w:r w:rsidR="00193CBB" w:rsidRPr="00C9465D">
        <w:rPr>
          <w:lang w:val="en-US"/>
        </w:rPr>
        <w:t xml:space="preserve"> and the Com</w:t>
      </w:r>
      <w:r w:rsidR="00577DE0" w:rsidRPr="00C9465D">
        <w:rPr>
          <w:lang w:val="en-US"/>
        </w:rPr>
        <w:t>isió</w:t>
      </w:r>
      <w:r w:rsidR="00193CBB" w:rsidRPr="00C9465D">
        <w:rPr>
          <w:lang w:val="en-US"/>
        </w:rPr>
        <w:t>n</w:t>
      </w:r>
      <w:r w:rsidRPr="00C9465D">
        <w:rPr>
          <w:lang w:val="en-US"/>
        </w:rPr>
        <w:t xml:space="preserve"> Ecuménica de Derechos Humanos </w:t>
      </w:r>
      <w:r w:rsidR="00577DE0" w:rsidRPr="00C9465D">
        <w:rPr>
          <w:lang w:val="en-US"/>
        </w:rPr>
        <w:t>lodged the initial petition in representation of the presumed victims</w:t>
      </w:r>
      <w:r w:rsidRPr="00C9465D">
        <w:rPr>
          <w:lang w:val="en-US"/>
        </w:rPr>
        <w:t xml:space="preserve">. </w:t>
      </w:r>
    </w:p>
    <w:p w14:paraId="6A45CF64" w14:textId="484A30E9" w:rsidR="003E680F" w:rsidRPr="00C9465D" w:rsidRDefault="00577DE0" w:rsidP="00D47F8D">
      <w:pPr>
        <w:pStyle w:val="ListParagraph"/>
        <w:numPr>
          <w:ilvl w:val="1"/>
          <w:numId w:val="2"/>
        </w:numPr>
        <w:tabs>
          <w:tab w:val="num" w:pos="567"/>
        </w:tabs>
        <w:spacing w:before="120" w:after="120" w:line="240" w:lineRule="auto"/>
        <w:ind w:left="1077" w:hanging="357"/>
        <w:contextualSpacing w:val="0"/>
        <w:rPr>
          <w:lang w:val="en-US"/>
        </w:rPr>
      </w:pPr>
      <w:r w:rsidRPr="00C9465D">
        <w:rPr>
          <w:i/>
          <w:lang w:val="en-US"/>
        </w:rPr>
        <w:t>Admissibility Report</w:t>
      </w:r>
      <w:r w:rsidR="003E680F" w:rsidRPr="00C9465D">
        <w:rPr>
          <w:i/>
          <w:lang w:val="en-US"/>
        </w:rPr>
        <w:t>.</w:t>
      </w:r>
      <w:r w:rsidR="003E680F" w:rsidRPr="00C9465D">
        <w:rPr>
          <w:lang w:val="en-US"/>
        </w:rPr>
        <w:t xml:space="preserve"> </w:t>
      </w:r>
      <w:r w:rsidRPr="00C9465D">
        <w:rPr>
          <w:lang w:val="en-US"/>
        </w:rPr>
        <w:t>On</w:t>
      </w:r>
      <w:r w:rsidR="003E680F" w:rsidRPr="00C9465D">
        <w:rPr>
          <w:lang w:val="en-US"/>
        </w:rPr>
        <w:t xml:space="preserve"> </w:t>
      </w:r>
      <w:r w:rsidRPr="00C9465D">
        <w:rPr>
          <w:lang w:val="en-US"/>
        </w:rPr>
        <w:t>November 1,</w:t>
      </w:r>
      <w:r w:rsidR="003E680F" w:rsidRPr="00C9465D">
        <w:rPr>
          <w:lang w:val="en-US"/>
        </w:rPr>
        <w:t xml:space="preserve"> 2010</w:t>
      </w:r>
      <w:r w:rsidRPr="00C9465D">
        <w:rPr>
          <w:lang w:val="en-US"/>
        </w:rPr>
        <w:t>,</w:t>
      </w:r>
      <w:r w:rsidR="003E680F" w:rsidRPr="00C9465D">
        <w:rPr>
          <w:lang w:val="en-US"/>
        </w:rPr>
        <w:t xml:space="preserve"> </w:t>
      </w:r>
      <w:r w:rsidR="00193CBB" w:rsidRPr="00C9465D">
        <w:rPr>
          <w:lang w:val="en-US"/>
        </w:rPr>
        <w:t>the Commission</w:t>
      </w:r>
      <w:r w:rsidR="003E680F" w:rsidRPr="00C9465D">
        <w:rPr>
          <w:lang w:val="en-US"/>
        </w:rPr>
        <w:t xml:space="preserve"> </w:t>
      </w:r>
      <w:r w:rsidRPr="00C9465D">
        <w:rPr>
          <w:lang w:val="en-US"/>
        </w:rPr>
        <w:t>adopted</w:t>
      </w:r>
      <w:r w:rsidR="003E680F" w:rsidRPr="00C9465D">
        <w:rPr>
          <w:lang w:val="en-US"/>
        </w:rPr>
        <w:t xml:space="preserve"> </w:t>
      </w:r>
      <w:r w:rsidRPr="00C9465D">
        <w:rPr>
          <w:lang w:val="en-US"/>
        </w:rPr>
        <w:t>Admissibility Report</w:t>
      </w:r>
      <w:r w:rsidR="00B10535" w:rsidRPr="00C9465D">
        <w:rPr>
          <w:lang w:val="en-US"/>
        </w:rPr>
        <w:t xml:space="preserve"> </w:t>
      </w:r>
      <w:r w:rsidRPr="00C9465D">
        <w:rPr>
          <w:lang w:val="en-US"/>
        </w:rPr>
        <w:t>No.</w:t>
      </w:r>
      <w:r w:rsidR="00B10535" w:rsidRPr="00C9465D">
        <w:rPr>
          <w:lang w:val="en-US"/>
        </w:rPr>
        <w:t xml:space="preserve"> </w:t>
      </w:r>
      <w:r w:rsidR="005B6DA6" w:rsidRPr="00C9465D">
        <w:rPr>
          <w:lang w:val="en-US"/>
        </w:rPr>
        <w:t>141/10</w:t>
      </w:r>
      <w:r w:rsidR="003E680F" w:rsidRPr="00C9465D">
        <w:rPr>
          <w:lang w:val="en-US"/>
        </w:rPr>
        <w:t xml:space="preserve">, </w:t>
      </w:r>
      <w:r w:rsidRPr="00C9465D">
        <w:rPr>
          <w:lang w:val="en-US"/>
        </w:rPr>
        <w:t>in which it concluded that the petition was admissible.</w:t>
      </w:r>
    </w:p>
    <w:p w14:paraId="1332159C" w14:textId="2F109516" w:rsidR="003E680F" w:rsidRPr="00C9465D" w:rsidRDefault="00577DE0" w:rsidP="00D47F8D">
      <w:pPr>
        <w:pStyle w:val="ListParagraph"/>
        <w:numPr>
          <w:ilvl w:val="1"/>
          <w:numId w:val="2"/>
        </w:numPr>
        <w:tabs>
          <w:tab w:val="num" w:pos="567"/>
        </w:tabs>
        <w:spacing w:before="120" w:after="120" w:line="240" w:lineRule="auto"/>
        <w:ind w:left="1077" w:hanging="357"/>
        <w:contextualSpacing w:val="0"/>
        <w:rPr>
          <w:lang w:val="en-US"/>
        </w:rPr>
      </w:pPr>
      <w:r w:rsidRPr="00C9465D">
        <w:rPr>
          <w:i/>
          <w:lang w:val="en-US"/>
        </w:rPr>
        <w:t>Merits Report</w:t>
      </w:r>
      <w:r w:rsidR="003E680F" w:rsidRPr="00C9465D">
        <w:rPr>
          <w:lang w:val="en-US"/>
        </w:rPr>
        <w:t xml:space="preserve">. </w:t>
      </w:r>
      <w:r w:rsidRPr="00C9465D">
        <w:rPr>
          <w:lang w:val="en-US"/>
        </w:rPr>
        <w:t>On</w:t>
      </w:r>
      <w:r w:rsidR="003E680F" w:rsidRPr="00C9465D">
        <w:rPr>
          <w:lang w:val="en-US"/>
        </w:rPr>
        <w:t xml:space="preserve"> </w:t>
      </w:r>
      <w:r w:rsidRPr="00C9465D">
        <w:rPr>
          <w:lang w:val="en-US"/>
        </w:rPr>
        <w:t>October 5,</w:t>
      </w:r>
      <w:r w:rsidR="003E680F" w:rsidRPr="00C9465D">
        <w:rPr>
          <w:lang w:val="en-US"/>
        </w:rPr>
        <w:t xml:space="preserve"> 2018</w:t>
      </w:r>
      <w:r w:rsidRPr="00C9465D">
        <w:rPr>
          <w:lang w:val="en-US"/>
        </w:rPr>
        <w:t>,</w:t>
      </w:r>
      <w:r w:rsidR="003E680F" w:rsidRPr="00C9465D">
        <w:rPr>
          <w:lang w:val="en-US"/>
        </w:rPr>
        <w:t xml:space="preserve"> </w:t>
      </w:r>
      <w:r w:rsidR="00193CBB" w:rsidRPr="00C9465D">
        <w:rPr>
          <w:lang w:val="en-US"/>
        </w:rPr>
        <w:t>the Commission</w:t>
      </w:r>
      <w:r w:rsidR="003E680F" w:rsidRPr="00C9465D">
        <w:rPr>
          <w:lang w:val="en-US"/>
        </w:rPr>
        <w:t xml:space="preserve"> </w:t>
      </w:r>
      <w:r w:rsidRPr="00C9465D">
        <w:rPr>
          <w:lang w:val="en-US"/>
        </w:rPr>
        <w:t>adopted</w:t>
      </w:r>
      <w:r w:rsidR="003E680F" w:rsidRPr="00C9465D">
        <w:rPr>
          <w:lang w:val="en-US"/>
        </w:rPr>
        <w:t xml:space="preserve"> </w:t>
      </w:r>
      <w:r w:rsidRPr="00C9465D">
        <w:rPr>
          <w:lang w:val="en-US"/>
        </w:rPr>
        <w:t>Merits Report</w:t>
      </w:r>
      <w:r w:rsidR="003E680F" w:rsidRPr="00C9465D">
        <w:rPr>
          <w:lang w:val="en-US"/>
        </w:rPr>
        <w:t xml:space="preserve"> No. 111/18, </w:t>
      </w:r>
      <w:r w:rsidRPr="00C9465D">
        <w:rPr>
          <w:lang w:val="en-US"/>
        </w:rPr>
        <w:t>in which it reached a s</w:t>
      </w:r>
      <w:r w:rsidR="00E2299F" w:rsidRPr="00C9465D">
        <w:rPr>
          <w:lang w:val="en-US"/>
        </w:rPr>
        <w:t xml:space="preserve">eries </w:t>
      </w:r>
      <w:r w:rsidRPr="00C9465D">
        <w:rPr>
          <w:lang w:val="en-US"/>
        </w:rPr>
        <w:t>of</w:t>
      </w:r>
      <w:r w:rsidR="003E680F" w:rsidRPr="00C9465D">
        <w:rPr>
          <w:lang w:val="en-US"/>
        </w:rPr>
        <w:t xml:space="preserve"> conclusions</w:t>
      </w:r>
      <w:r w:rsidR="003E680F" w:rsidRPr="00C9465D">
        <w:rPr>
          <w:rStyle w:val="FootnoteReference"/>
          <w:lang w:val="en-US"/>
        </w:rPr>
        <w:footnoteReference w:id="2"/>
      </w:r>
      <w:r w:rsidR="00193CBB" w:rsidRPr="00C9465D">
        <w:rPr>
          <w:lang w:val="en-US"/>
        </w:rPr>
        <w:t xml:space="preserve"> and </w:t>
      </w:r>
      <w:r w:rsidRPr="00C9465D">
        <w:rPr>
          <w:lang w:val="en-US"/>
        </w:rPr>
        <w:t>made several recommendations to the State.</w:t>
      </w:r>
    </w:p>
    <w:p w14:paraId="6517109C" w14:textId="09E7F803" w:rsidR="00577DE0" w:rsidRPr="00C9465D" w:rsidRDefault="003E680F" w:rsidP="00AA3C22">
      <w:pPr>
        <w:pStyle w:val="Numberedparagraphs"/>
        <w:rPr>
          <w:lang w:val="en-US"/>
        </w:rPr>
      </w:pPr>
      <w:r w:rsidRPr="00C9465D">
        <w:rPr>
          <w:i/>
          <w:iCs/>
          <w:lang w:val="en-US"/>
        </w:rPr>
        <w:t>Notifica</w:t>
      </w:r>
      <w:r w:rsidR="00577DE0" w:rsidRPr="00C9465D">
        <w:rPr>
          <w:i/>
          <w:iCs/>
          <w:lang w:val="en-US"/>
        </w:rPr>
        <w:t>tio</w:t>
      </w:r>
      <w:r w:rsidRPr="00C9465D">
        <w:rPr>
          <w:i/>
          <w:iCs/>
          <w:lang w:val="en-US"/>
        </w:rPr>
        <w:t xml:space="preserve">n </w:t>
      </w:r>
      <w:r w:rsidR="00577DE0" w:rsidRPr="00C9465D">
        <w:rPr>
          <w:i/>
          <w:iCs/>
          <w:lang w:val="en-US"/>
        </w:rPr>
        <w:t>to the State</w:t>
      </w:r>
      <w:r w:rsidRPr="00C9465D">
        <w:rPr>
          <w:i/>
          <w:iCs/>
          <w:lang w:val="en-US"/>
        </w:rPr>
        <w:t>.</w:t>
      </w:r>
      <w:r w:rsidRPr="00C9465D">
        <w:rPr>
          <w:lang w:val="en-US"/>
        </w:rPr>
        <w:t xml:space="preserve"> </w:t>
      </w:r>
      <w:r w:rsidR="00577DE0" w:rsidRPr="00C9465D">
        <w:rPr>
          <w:lang w:val="en-US"/>
        </w:rPr>
        <w:t>The</w:t>
      </w:r>
      <w:r w:rsidRPr="00C9465D">
        <w:rPr>
          <w:lang w:val="en-US"/>
        </w:rPr>
        <w:t xml:space="preserve"> </w:t>
      </w:r>
      <w:r w:rsidR="00577DE0" w:rsidRPr="00C9465D">
        <w:rPr>
          <w:lang w:val="en-US"/>
        </w:rPr>
        <w:t>Merits Report</w:t>
      </w:r>
      <w:r w:rsidRPr="00C9465D">
        <w:rPr>
          <w:lang w:val="en-US"/>
        </w:rPr>
        <w:t xml:space="preserve"> </w:t>
      </w:r>
      <w:r w:rsidR="00577DE0" w:rsidRPr="00C9465D">
        <w:rPr>
          <w:lang w:val="en-US"/>
        </w:rPr>
        <w:t>was notified</w:t>
      </w:r>
      <w:r w:rsidRPr="00C9465D">
        <w:rPr>
          <w:lang w:val="en-US"/>
        </w:rPr>
        <w:t xml:space="preserve"> </w:t>
      </w:r>
      <w:r w:rsidR="00577DE0" w:rsidRPr="00C9465D">
        <w:rPr>
          <w:lang w:val="en-US"/>
        </w:rPr>
        <w:t>to the State</w:t>
      </w:r>
      <w:r w:rsidRPr="00C9465D">
        <w:rPr>
          <w:lang w:val="en-US"/>
        </w:rPr>
        <w:t xml:space="preserve"> </w:t>
      </w:r>
      <w:r w:rsidR="00577DE0" w:rsidRPr="00C9465D">
        <w:rPr>
          <w:lang w:val="en-US"/>
        </w:rPr>
        <w:t>on January 11,</w:t>
      </w:r>
      <w:r w:rsidRPr="00C9465D">
        <w:rPr>
          <w:lang w:val="en-US"/>
        </w:rPr>
        <w:t xml:space="preserve"> 2019, </w:t>
      </w:r>
      <w:r w:rsidR="00577DE0" w:rsidRPr="00C9465D">
        <w:rPr>
          <w:lang w:val="en-US"/>
        </w:rPr>
        <w:t>granting it two months to report on compliance with the recommendations. After granting the State a three-month extension of th</w:t>
      </w:r>
      <w:r w:rsidR="00570194" w:rsidRPr="00C9465D">
        <w:rPr>
          <w:lang w:val="en-US"/>
        </w:rPr>
        <w:t>e</w:t>
      </w:r>
      <w:r w:rsidR="00577DE0" w:rsidRPr="00C9465D">
        <w:rPr>
          <w:lang w:val="en-US"/>
        </w:rPr>
        <w:t xml:space="preserve"> time frame, the Commission indicated that the State had “failed to provide detailed and updated information on specific progress in complying with all the recommendations, particularly those relating to integral reparation, the search for the [presumed] victim, and with regard to investigation and justice.”</w:t>
      </w:r>
    </w:p>
    <w:p w14:paraId="7D09BF0E" w14:textId="19F51495" w:rsidR="003E680F" w:rsidRPr="00C9465D" w:rsidRDefault="003E680F" w:rsidP="00AA3C22">
      <w:pPr>
        <w:pStyle w:val="Numberedparagraphs"/>
        <w:rPr>
          <w:lang w:val="en-US"/>
        </w:rPr>
      </w:pPr>
      <w:r w:rsidRPr="00C9465D">
        <w:rPr>
          <w:i/>
          <w:iCs/>
          <w:lang w:val="en-US"/>
        </w:rPr>
        <w:t>S</w:t>
      </w:r>
      <w:r w:rsidR="00577DE0" w:rsidRPr="00C9465D">
        <w:rPr>
          <w:i/>
          <w:iCs/>
          <w:lang w:val="en-US"/>
        </w:rPr>
        <w:t>ubmission to</w:t>
      </w:r>
      <w:r w:rsidRPr="00C9465D">
        <w:rPr>
          <w:i/>
          <w:iCs/>
          <w:lang w:val="en-US"/>
        </w:rPr>
        <w:t xml:space="preserve"> </w:t>
      </w:r>
      <w:r w:rsidR="00193CBB" w:rsidRPr="00C9465D">
        <w:rPr>
          <w:i/>
          <w:iCs/>
          <w:lang w:val="en-US"/>
        </w:rPr>
        <w:t>the Court</w:t>
      </w:r>
      <w:r w:rsidRPr="00C9465D">
        <w:rPr>
          <w:i/>
          <w:iCs/>
          <w:lang w:val="en-US"/>
        </w:rPr>
        <w:t xml:space="preserve">. </w:t>
      </w:r>
      <w:r w:rsidR="00577DE0" w:rsidRPr="00C9465D">
        <w:rPr>
          <w:lang w:val="en-US"/>
        </w:rPr>
        <w:t>On July 11,</w:t>
      </w:r>
      <w:r w:rsidRPr="00C9465D">
        <w:rPr>
          <w:lang w:val="en-US"/>
        </w:rPr>
        <w:t xml:space="preserve"> 2019</w:t>
      </w:r>
      <w:r w:rsidR="00577DE0" w:rsidRPr="00C9465D">
        <w:rPr>
          <w:lang w:val="en-US"/>
        </w:rPr>
        <w:t>,</w:t>
      </w:r>
      <w:r w:rsidRPr="00C9465D">
        <w:rPr>
          <w:lang w:val="en-US"/>
        </w:rPr>
        <w:t xml:space="preserve"> </w:t>
      </w:r>
      <w:r w:rsidR="00193CBB" w:rsidRPr="00C9465D">
        <w:rPr>
          <w:lang w:val="en-US"/>
        </w:rPr>
        <w:t>the Commission</w:t>
      </w:r>
      <w:r w:rsidRPr="00C9465D">
        <w:rPr>
          <w:lang w:val="en-US"/>
        </w:rPr>
        <w:t xml:space="preserve"> s</w:t>
      </w:r>
      <w:r w:rsidR="00577DE0" w:rsidRPr="00C9465D">
        <w:rPr>
          <w:lang w:val="en-US"/>
        </w:rPr>
        <w:t>ubmitted the case to the Court owing to “the need to obtain justice for the [presumed] victims.</w:t>
      </w:r>
      <w:r w:rsidRPr="00C9465D">
        <w:rPr>
          <w:lang w:val="en-US"/>
        </w:rPr>
        <w:t>”</w:t>
      </w:r>
      <w:r w:rsidRPr="00C9465D">
        <w:rPr>
          <w:rStyle w:val="FootnoteReference"/>
          <w:lang w:val="en-US"/>
        </w:rPr>
        <w:footnoteReference w:id="3"/>
      </w:r>
      <w:r w:rsidR="00577DE0" w:rsidRPr="00C9465D">
        <w:rPr>
          <w:lang w:val="en-US"/>
        </w:rPr>
        <w:t xml:space="preserve"> The Court notes with concern that more than 12 years elapsed between the lodging of the initial petition before the Commission and the submission of the case to the Court.</w:t>
      </w:r>
    </w:p>
    <w:p w14:paraId="2AC19CF9" w14:textId="28DD714F" w:rsidR="003E680F" w:rsidRPr="00C9465D" w:rsidRDefault="00CF3A9D" w:rsidP="00AA3C22">
      <w:pPr>
        <w:pStyle w:val="Numberedparagraphs"/>
        <w:rPr>
          <w:lang w:val="en-US"/>
        </w:rPr>
      </w:pPr>
      <w:r w:rsidRPr="00C9465D">
        <w:rPr>
          <w:i/>
          <w:iCs/>
          <w:lang w:val="en-US"/>
        </w:rPr>
        <w:t>The</w:t>
      </w:r>
      <w:r w:rsidR="00193CBB" w:rsidRPr="00C9465D">
        <w:rPr>
          <w:i/>
          <w:iCs/>
          <w:lang w:val="en-US"/>
        </w:rPr>
        <w:t xml:space="preserve"> Commission</w:t>
      </w:r>
      <w:r w:rsidRPr="00C9465D">
        <w:rPr>
          <w:i/>
          <w:iCs/>
          <w:lang w:val="en-US"/>
        </w:rPr>
        <w:t>’s requests</w:t>
      </w:r>
      <w:r w:rsidR="003E680F" w:rsidRPr="00C9465D">
        <w:rPr>
          <w:i/>
          <w:iCs/>
          <w:lang w:val="en-US"/>
        </w:rPr>
        <w:t xml:space="preserve">. </w:t>
      </w:r>
      <w:r w:rsidRPr="00C9465D">
        <w:rPr>
          <w:lang w:val="en-US"/>
        </w:rPr>
        <w:t>Based on the above,</w:t>
      </w:r>
      <w:r w:rsidR="003E680F" w:rsidRPr="00C9465D">
        <w:rPr>
          <w:lang w:val="en-US"/>
        </w:rPr>
        <w:t xml:space="preserve"> </w:t>
      </w:r>
      <w:r w:rsidR="00193CBB" w:rsidRPr="00C9465D">
        <w:rPr>
          <w:lang w:val="en-US"/>
        </w:rPr>
        <w:t>the Inter-American Commission</w:t>
      </w:r>
      <w:r w:rsidR="003E680F" w:rsidRPr="00C9465D">
        <w:rPr>
          <w:lang w:val="en-US"/>
        </w:rPr>
        <w:t xml:space="preserve"> </w:t>
      </w:r>
      <w:r w:rsidRPr="00C9465D">
        <w:rPr>
          <w:lang w:val="en-US"/>
        </w:rPr>
        <w:t xml:space="preserve">asked the Court to find and declare the State’s international responsibility for the violations contained in its </w:t>
      </w:r>
      <w:r w:rsidR="00577DE0" w:rsidRPr="00C9465D">
        <w:rPr>
          <w:lang w:val="en-US"/>
        </w:rPr>
        <w:t>Merits Report</w:t>
      </w:r>
      <w:r w:rsidR="00193CBB" w:rsidRPr="00C9465D">
        <w:rPr>
          <w:lang w:val="en-US"/>
        </w:rPr>
        <w:t xml:space="preserve"> and </w:t>
      </w:r>
      <w:r w:rsidRPr="00C9465D">
        <w:rPr>
          <w:lang w:val="en-US"/>
        </w:rPr>
        <w:t xml:space="preserve">to order </w:t>
      </w:r>
      <w:r w:rsidR="00577DE0" w:rsidRPr="00C9465D">
        <w:rPr>
          <w:lang w:val="en-US"/>
        </w:rPr>
        <w:t>the State</w:t>
      </w:r>
      <w:r w:rsidR="003E680F" w:rsidRPr="00C9465D">
        <w:rPr>
          <w:lang w:val="en-US"/>
        </w:rPr>
        <w:t xml:space="preserve">, </w:t>
      </w:r>
      <w:r w:rsidRPr="00C9465D">
        <w:rPr>
          <w:lang w:val="en-US"/>
        </w:rPr>
        <w:t xml:space="preserve">as measures of reparation, to comply with the </w:t>
      </w:r>
      <w:r w:rsidRPr="00C9465D">
        <w:rPr>
          <w:lang w:val="en-US"/>
        </w:rPr>
        <w:lastRenderedPageBreak/>
        <w:t xml:space="preserve">recommendations included in the said report, which will be described and examined in Chapter </w:t>
      </w:r>
      <w:r w:rsidR="00C96D92" w:rsidRPr="00C9465D">
        <w:rPr>
          <w:lang w:val="en-US"/>
        </w:rPr>
        <w:t xml:space="preserve">VIII </w:t>
      </w:r>
      <w:r w:rsidRPr="00C9465D">
        <w:rPr>
          <w:lang w:val="en-US"/>
        </w:rPr>
        <w:t>of this judgment</w:t>
      </w:r>
      <w:r w:rsidR="00C96D92" w:rsidRPr="00C9465D">
        <w:rPr>
          <w:lang w:val="en-US"/>
        </w:rPr>
        <w:t xml:space="preserve">. </w:t>
      </w:r>
    </w:p>
    <w:p w14:paraId="1DE02E3B" w14:textId="187B28F9" w:rsidR="003E680F" w:rsidRPr="00C9465D" w:rsidRDefault="00A5429E" w:rsidP="00E5784B">
      <w:pPr>
        <w:pStyle w:val="Heading1"/>
        <w:rPr>
          <w:lang w:val="en-US"/>
        </w:rPr>
      </w:pPr>
      <w:bookmarkStart w:id="9" w:name="_Toc74298430"/>
      <w:r w:rsidRPr="00C9465D">
        <w:rPr>
          <w:lang w:val="en-US"/>
        </w:rPr>
        <w:t>II</w:t>
      </w:r>
      <w:r w:rsidR="00016774" w:rsidRPr="00C9465D">
        <w:rPr>
          <w:lang w:val="en-US"/>
        </w:rPr>
        <w:br/>
      </w:r>
      <w:r w:rsidR="00E2299F" w:rsidRPr="00C9465D">
        <w:rPr>
          <w:lang w:val="en-US"/>
        </w:rPr>
        <w:t>PROCEEDINGS BEFORE THE</w:t>
      </w:r>
      <w:r w:rsidR="00193CBB" w:rsidRPr="00C9465D">
        <w:rPr>
          <w:lang w:val="en-US"/>
        </w:rPr>
        <w:t xml:space="preserve"> COURT</w:t>
      </w:r>
      <w:bookmarkEnd w:id="9"/>
    </w:p>
    <w:p w14:paraId="2C079D1B" w14:textId="178BF113" w:rsidR="003E680F" w:rsidRPr="00C9465D" w:rsidRDefault="00E5784B" w:rsidP="00AA3C22">
      <w:pPr>
        <w:pStyle w:val="Numberedparagraphs"/>
        <w:rPr>
          <w:b/>
          <w:lang w:val="en-US"/>
        </w:rPr>
      </w:pPr>
      <w:r w:rsidRPr="00C9465D">
        <w:rPr>
          <w:i/>
          <w:iCs/>
          <w:lang w:val="en-US"/>
        </w:rPr>
        <w:t>Notifica</w:t>
      </w:r>
      <w:r w:rsidR="00CF3A9D" w:rsidRPr="00C9465D">
        <w:rPr>
          <w:i/>
          <w:iCs/>
          <w:lang w:val="en-US"/>
        </w:rPr>
        <w:t>tio</w:t>
      </w:r>
      <w:r w:rsidRPr="00C9465D">
        <w:rPr>
          <w:i/>
          <w:iCs/>
          <w:lang w:val="en-US"/>
        </w:rPr>
        <w:t xml:space="preserve">n </w:t>
      </w:r>
      <w:r w:rsidR="00577DE0" w:rsidRPr="00C9465D">
        <w:rPr>
          <w:i/>
          <w:iCs/>
          <w:lang w:val="en-US"/>
        </w:rPr>
        <w:t>to the State</w:t>
      </w:r>
      <w:r w:rsidR="00193CBB" w:rsidRPr="00C9465D">
        <w:rPr>
          <w:i/>
          <w:iCs/>
          <w:lang w:val="en-US"/>
        </w:rPr>
        <w:t xml:space="preserve"> and</w:t>
      </w:r>
      <w:r w:rsidRPr="00C9465D">
        <w:rPr>
          <w:i/>
          <w:iCs/>
          <w:lang w:val="en-US"/>
        </w:rPr>
        <w:t xml:space="preserve"> </w:t>
      </w:r>
      <w:r w:rsidR="00193CBB" w:rsidRPr="00C9465D">
        <w:rPr>
          <w:i/>
          <w:iCs/>
          <w:lang w:val="en-US"/>
        </w:rPr>
        <w:t>the representatives</w:t>
      </w:r>
      <w:r w:rsidR="003E680F" w:rsidRPr="00C9465D">
        <w:rPr>
          <w:i/>
          <w:iCs/>
          <w:lang w:val="en-US"/>
        </w:rPr>
        <w:t>.</w:t>
      </w:r>
      <w:r w:rsidR="003E680F" w:rsidRPr="00C9465D">
        <w:rPr>
          <w:lang w:val="en-US"/>
        </w:rPr>
        <w:t xml:space="preserve"> </w:t>
      </w:r>
      <w:r w:rsidR="00CF3A9D" w:rsidRPr="00C9465D">
        <w:rPr>
          <w:lang w:val="en-US"/>
        </w:rPr>
        <w:t xml:space="preserve">The submission of the case was notified </w:t>
      </w:r>
      <w:r w:rsidR="00577DE0" w:rsidRPr="00C9465D">
        <w:rPr>
          <w:lang w:val="en-US"/>
        </w:rPr>
        <w:t>to the State</w:t>
      </w:r>
      <w:r w:rsidR="00193CBB" w:rsidRPr="00C9465D">
        <w:rPr>
          <w:lang w:val="en-US"/>
        </w:rPr>
        <w:t xml:space="preserve"> and the representatives</w:t>
      </w:r>
      <w:r w:rsidR="003E680F" w:rsidRPr="00C9465D">
        <w:rPr>
          <w:lang w:val="en-US"/>
        </w:rPr>
        <w:t xml:space="preserve"> </w:t>
      </w:r>
      <w:r w:rsidR="00CF3A9D" w:rsidRPr="00C9465D">
        <w:rPr>
          <w:lang w:val="en-US"/>
        </w:rPr>
        <w:t xml:space="preserve">of </w:t>
      </w:r>
      <w:r w:rsidR="00577DE0" w:rsidRPr="00C9465D">
        <w:rPr>
          <w:lang w:val="en-US"/>
        </w:rPr>
        <w:t>the presumed victims</w:t>
      </w:r>
      <w:r w:rsidR="003E680F" w:rsidRPr="00C9465D">
        <w:rPr>
          <w:lang w:val="en-US"/>
        </w:rPr>
        <w:t xml:space="preserve"> </w:t>
      </w:r>
      <w:r w:rsidR="00CF3A9D" w:rsidRPr="00C9465D">
        <w:rPr>
          <w:lang w:val="en-US"/>
        </w:rPr>
        <w:t>on September 25,</w:t>
      </w:r>
      <w:r w:rsidR="003E680F" w:rsidRPr="00C9465D">
        <w:rPr>
          <w:lang w:val="en-US"/>
        </w:rPr>
        <w:t xml:space="preserve"> 2019. </w:t>
      </w:r>
    </w:p>
    <w:p w14:paraId="411CA22C" w14:textId="00DC6AC4" w:rsidR="003E680F" w:rsidRPr="00C9465D" w:rsidRDefault="00CF3A9D" w:rsidP="00AA3C22">
      <w:pPr>
        <w:pStyle w:val="Numberedparagraphs"/>
        <w:rPr>
          <w:b/>
          <w:lang w:val="en-US"/>
        </w:rPr>
      </w:pPr>
      <w:r w:rsidRPr="00C9465D">
        <w:rPr>
          <w:i/>
          <w:iCs/>
          <w:lang w:val="en-US"/>
        </w:rPr>
        <w:t>Brief with pleadings, motions and evidence</w:t>
      </w:r>
      <w:r w:rsidR="003E680F" w:rsidRPr="00C9465D">
        <w:rPr>
          <w:i/>
          <w:iCs/>
          <w:lang w:val="en-US"/>
        </w:rPr>
        <w:t xml:space="preserve">. </w:t>
      </w:r>
      <w:r w:rsidRPr="00C9465D">
        <w:rPr>
          <w:lang w:val="en-US"/>
        </w:rPr>
        <w:t>On November 26,</w:t>
      </w:r>
      <w:r w:rsidR="003E680F" w:rsidRPr="00C9465D">
        <w:rPr>
          <w:lang w:val="en-US"/>
        </w:rPr>
        <w:t xml:space="preserve"> 2019</w:t>
      </w:r>
      <w:r w:rsidRPr="00C9465D">
        <w:rPr>
          <w:lang w:val="en-US"/>
        </w:rPr>
        <w:t>,</w:t>
      </w:r>
      <w:r w:rsidR="003E680F" w:rsidRPr="00C9465D">
        <w:rPr>
          <w:lang w:val="en-US"/>
        </w:rPr>
        <w:t xml:space="preserve"> </w:t>
      </w:r>
      <w:r w:rsidRPr="00C9465D">
        <w:rPr>
          <w:lang w:val="en-US"/>
        </w:rPr>
        <w:t>the</w:t>
      </w:r>
      <w:r w:rsidR="003E680F" w:rsidRPr="00C9465D">
        <w:rPr>
          <w:lang w:val="en-US"/>
        </w:rPr>
        <w:t xml:space="preserve"> Fundación Regional de Asesoría en Derechos Humanos</w:t>
      </w:r>
      <w:r w:rsidR="003E680F" w:rsidRPr="00C9465D">
        <w:rPr>
          <w:i/>
          <w:iCs/>
          <w:lang w:val="en-US"/>
        </w:rPr>
        <w:t xml:space="preserve"> </w:t>
      </w:r>
      <w:r w:rsidR="003E680F" w:rsidRPr="00C9465D">
        <w:rPr>
          <w:lang w:val="en-US"/>
        </w:rPr>
        <w:t>(INREDH)</w:t>
      </w:r>
      <w:r w:rsidR="00193CBB" w:rsidRPr="00C9465D">
        <w:rPr>
          <w:lang w:val="en-US"/>
        </w:rPr>
        <w:t xml:space="preserve"> and </w:t>
      </w:r>
      <w:r w:rsidRPr="00C9465D">
        <w:rPr>
          <w:lang w:val="en-US"/>
        </w:rPr>
        <w:t>the</w:t>
      </w:r>
      <w:r w:rsidR="003E680F" w:rsidRPr="00C9465D">
        <w:rPr>
          <w:lang w:val="en-US"/>
        </w:rPr>
        <w:t xml:space="preserve"> </w:t>
      </w:r>
      <w:r w:rsidRPr="00C9465D">
        <w:rPr>
          <w:lang w:val="en-US"/>
        </w:rPr>
        <w:t>Human Rights Clinic of the</w:t>
      </w:r>
      <w:r w:rsidR="003E680F" w:rsidRPr="00C9465D">
        <w:rPr>
          <w:lang w:val="en-US"/>
        </w:rPr>
        <w:t xml:space="preserve"> Pontificia Universidad Católica del Ecuador (</w:t>
      </w:r>
      <w:r w:rsidR="00193CBB" w:rsidRPr="00C9465D">
        <w:rPr>
          <w:lang w:val="en-US"/>
        </w:rPr>
        <w:t>hereinafter</w:t>
      </w:r>
      <w:r w:rsidR="003E680F" w:rsidRPr="00C9465D">
        <w:rPr>
          <w:lang w:val="en-US"/>
        </w:rPr>
        <w:t xml:space="preserve"> “</w:t>
      </w:r>
      <w:r w:rsidR="00193CBB" w:rsidRPr="00C9465D">
        <w:rPr>
          <w:lang w:val="en-US"/>
        </w:rPr>
        <w:t>the representatives</w:t>
      </w:r>
      <w:r w:rsidR="003E680F" w:rsidRPr="00C9465D">
        <w:rPr>
          <w:lang w:val="en-US"/>
        </w:rPr>
        <w:t xml:space="preserve">”) </w:t>
      </w:r>
      <w:r w:rsidRPr="00C9465D">
        <w:rPr>
          <w:lang w:val="en-US"/>
        </w:rPr>
        <w:t>presented their</w:t>
      </w:r>
      <w:r w:rsidR="003E680F" w:rsidRPr="00C9465D">
        <w:rPr>
          <w:lang w:val="en-US"/>
        </w:rPr>
        <w:t xml:space="preserve"> </w:t>
      </w:r>
      <w:r w:rsidRPr="00C9465D">
        <w:rPr>
          <w:lang w:val="en-US"/>
        </w:rPr>
        <w:t>brief with pleadings, motions and evidence</w:t>
      </w:r>
      <w:r w:rsidR="003E680F" w:rsidRPr="00C9465D">
        <w:rPr>
          <w:lang w:val="en-US"/>
        </w:rPr>
        <w:t xml:space="preserve"> (</w:t>
      </w:r>
      <w:r w:rsidR="00193CBB" w:rsidRPr="00C9465D">
        <w:rPr>
          <w:lang w:val="en-US"/>
        </w:rPr>
        <w:t>hereinafter</w:t>
      </w:r>
      <w:r w:rsidR="003E680F" w:rsidRPr="00C9465D">
        <w:rPr>
          <w:lang w:val="en-US"/>
        </w:rPr>
        <w:t xml:space="preserve"> “</w:t>
      </w:r>
      <w:r w:rsidRPr="00C9465D">
        <w:rPr>
          <w:lang w:val="en-US"/>
        </w:rPr>
        <w:t>the pleadings and motions brief</w:t>
      </w:r>
      <w:r w:rsidR="003E680F" w:rsidRPr="00C9465D">
        <w:rPr>
          <w:lang w:val="en-US"/>
        </w:rPr>
        <w:t xml:space="preserve">”), </w:t>
      </w:r>
      <w:r w:rsidR="00570194" w:rsidRPr="00C9465D">
        <w:rPr>
          <w:lang w:val="en-US"/>
        </w:rPr>
        <w:t xml:space="preserve">under </w:t>
      </w:r>
      <w:r w:rsidR="00193CBB" w:rsidRPr="00C9465D">
        <w:rPr>
          <w:lang w:val="en-US"/>
        </w:rPr>
        <w:t>Articles</w:t>
      </w:r>
      <w:r w:rsidR="003E680F" w:rsidRPr="00C9465D">
        <w:rPr>
          <w:lang w:val="en-US"/>
        </w:rPr>
        <w:t xml:space="preserve"> 25</w:t>
      </w:r>
      <w:r w:rsidR="00193CBB" w:rsidRPr="00C9465D">
        <w:rPr>
          <w:lang w:val="en-US"/>
        </w:rPr>
        <w:t xml:space="preserve"> and </w:t>
      </w:r>
      <w:r w:rsidR="003E680F" w:rsidRPr="00C9465D">
        <w:rPr>
          <w:lang w:val="en-US"/>
        </w:rPr>
        <w:t>40</w:t>
      </w:r>
      <w:r w:rsidR="00193CBB" w:rsidRPr="00C9465D">
        <w:rPr>
          <w:lang w:val="en-US"/>
        </w:rPr>
        <w:t xml:space="preserve"> of the </w:t>
      </w:r>
      <w:r w:rsidRPr="00C9465D">
        <w:rPr>
          <w:lang w:val="en-US"/>
        </w:rPr>
        <w:t xml:space="preserve">Court’s </w:t>
      </w:r>
      <w:r w:rsidR="00193CBB" w:rsidRPr="00C9465D">
        <w:rPr>
          <w:lang w:val="en-US"/>
        </w:rPr>
        <w:t>Rules of Procedure</w:t>
      </w:r>
      <w:r w:rsidR="003E680F" w:rsidRPr="00C9465D">
        <w:rPr>
          <w:lang w:val="en-US"/>
        </w:rPr>
        <w:t xml:space="preserve">. </w:t>
      </w:r>
      <w:r w:rsidR="00193CBB" w:rsidRPr="00C9465D">
        <w:rPr>
          <w:lang w:val="en-US"/>
        </w:rPr>
        <w:t>The representatives</w:t>
      </w:r>
      <w:r w:rsidR="003E680F" w:rsidRPr="00C9465D">
        <w:rPr>
          <w:lang w:val="en-US"/>
        </w:rPr>
        <w:t xml:space="preserve"> </w:t>
      </w:r>
      <w:r w:rsidRPr="00C9465D">
        <w:rPr>
          <w:lang w:val="en-US"/>
        </w:rPr>
        <w:t>agreed with the allegations made by</w:t>
      </w:r>
      <w:r w:rsidR="003E680F" w:rsidRPr="00C9465D">
        <w:rPr>
          <w:lang w:val="en-US"/>
        </w:rPr>
        <w:t xml:space="preserve"> </w:t>
      </w:r>
      <w:r w:rsidR="00193CBB" w:rsidRPr="00C9465D">
        <w:rPr>
          <w:lang w:val="en-US"/>
        </w:rPr>
        <w:t>the Commission</w:t>
      </w:r>
      <w:r w:rsidR="003E680F" w:rsidRPr="00C9465D">
        <w:rPr>
          <w:lang w:val="en-US"/>
        </w:rPr>
        <w:t xml:space="preserve">, </w:t>
      </w:r>
      <w:r w:rsidRPr="00C9465D">
        <w:rPr>
          <w:lang w:val="en-US"/>
        </w:rPr>
        <w:t xml:space="preserve">but categorized what had occurred </w:t>
      </w:r>
      <w:r w:rsidR="002F3237" w:rsidRPr="00C9465D">
        <w:rPr>
          <w:lang w:val="en-US"/>
        </w:rPr>
        <w:t>to Mr. Guachalá</w:t>
      </w:r>
      <w:r w:rsidR="003E680F" w:rsidRPr="00C9465D">
        <w:rPr>
          <w:lang w:val="en-US"/>
        </w:rPr>
        <w:t xml:space="preserve"> Chimbo </w:t>
      </w:r>
      <w:r w:rsidRPr="00C9465D">
        <w:rPr>
          <w:lang w:val="en-US"/>
        </w:rPr>
        <w:t>as forced disappearance</w:t>
      </w:r>
      <w:r w:rsidR="003E680F" w:rsidRPr="00C9465D">
        <w:rPr>
          <w:lang w:val="en-US"/>
        </w:rPr>
        <w:t xml:space="preserve">. </w:t>
      </w:r>
      <w:r w:rsidRPr="00C9465D">
        <w:rPr>
          <w:lang w:val="en-US"/>
        </w:rPr>
        <w:t>They also asked that the Court order the State to adopt various measures of reparation and to reimburse certain</w:t>
      </w:r>
      <w:r w:rsidR="003E680F" w:rsidRPr="00C9465D">
        <w:rPr>
          <w:lang w:val="en-US"/>
        </w:rPr>
        <w:t xml:space="preserve"> </w:t>
      </w:r>
      <w:r w:rsidRPr="00C9465D">
        <w:rPr>
          <w:lang w:val="en-US"/>
        </w:rPr>
        <w:t>costs and expenses</w:t>
      </w:r>
      <w:r w:rsidR="003E680F" w:rsidRPr="00C9465D">
        <w:rPr>
          <w:lang w:val="en-US"/>
        </w:rPr>
        <w:t>.</w:t>
      </w:r>
    </w:p>
    <w:p w14:paraId="76FA9998" w14:textId="30B2884F" w:rsidR="003E680F" w:rsidRPr="00C9465D" w:rsidRDefault="00CF3A9D" w:rsidP="00AA3C22">
      <w:pPr>
        <w:pStyle w:val="Numberedparagraphs"/>
        <w:rPr>
          <w:lang w:val="en-US"/>
        </w:rPr>
      </w:pPr>
      <w:r w:rsidRPr="00C9465D">
        <w:rPr>
          <w:i/>
          <w:iCs/>
          <w:lang w:val="en-US"/>
        </w:rPr>
        <w:t>Answering brief</w:t>
      </w:r>
      <w:r w:rsidR="003E680F" w:rsidRPr="00C9465D">
        <w:rPr>
          <w:i/>
          <w:iCs/>
          <w:lang w:val="en-US"/>
        </w:rPr>
        <w:t>.</w:t>
      </w:r>
      <w:r w:rsidR="003E680F" w:rsidRPr="00C9465D">
        <w:rPr>
          <w:lang w:val="en-US"/>
        </w:rPr>
        <w:t xml:space="preserve"> </w:t>
      </w:r>
      <w:r w:rsidRPr="00C9465D">
        <w:rPr>
          <w:lang w:val="en-US"/>
        </w:rPr>
        <w:t>On February 6,</w:t>
      </w:r>
      <w:r w:rsidR="003E680F" w:rsidRPr="00C9465D">
        <w:rPr>
          <w:lang w:val="en-US"/>
        </w:rPr>
        <w:t xml:space="preserve"> 2020</w:t>
      </w:r>
      <w:r w:rsidRPr="00C9465D">
        <w:rPr>
          <w:lang w:val="en-US"/>
        </w:rPr>
        <w:t>,</w:t>
      </w:r>
      <w:r w:rsidR="003E680F" w:rsidRPr="00C9465D">
        <w:rPr>
          <w:lang w:val="en-US"/>
        </w:rPr>
        <w:t xml:space="preserve"> </w:t>
      </w:r>
      <w:r w:rsidR="00193CBB" w:rsidRPr="00C9465D">
        <w:rPr>
          <w:lang w:val="en-US"/>
        </w:rPr>
        <w:t>the State</w:t>
      </w:r>
      <w:r w:rsidR="003E680F" w:rsidRPr="00C9465D">
        <w:rPr>
          <w:lang w:val="en-US"/>
        </w:rPr>
        <w:t xml:space="preserve"> </w:t>
      </w:r>
      <w:r w:rsidRPr="00C9465D">
        <w:rPr>
          <w:lang w:val="en-US"/>
        </w:rPr>
        <w:t>submitted to</w:t>
      </w:r>
      <w:r w:rsidR="003E680F" w:rsidRPr="00C9465D">
        <w:rPr>
          <w:lang w:val="en-US"/>
        </w:rPr>
        <w:t xml:space="preserve"> </w:t>
      </w:r>
      <w:r w:rsidR="00193CBB" w:rsidRPr="00C9465D">
        <w:rPr>
          <w:lang w:val="en-US"/>
        </w:rPr>
        <w:t>the Court</w:t>
      </w:r>
      <w:r w:rsidR="003E680F" w:rsidRPr="00C9465D">
        <w:rPr>
          <w:lang w:val="en-US"/>
        </w:rPr>
        <w:t xml:space="preserve"> </w:t>
      </w:r>
      <w:r w:rsidRPr="00C9465D">
        <w:rPr>
          <w:lang w:val="en-US"/>
        </w:rPr>
        <w:t>its brief answering the Commission’s submission of the case, and with its observations on the pleadings and motions brief</w:t>
      </w:r>
      <w:r w:rsidR="003E680F" w:rsidRPr="00C9465D">
        <w:rPr>
          <w:lang w:val="en-US"/>
        </w:rPr>
        <w:t xml:space="preserve"> (</w:t>
      </w:r>
      <w:r w:rsidR="00193CBB" w:rsidRPr="00C9465D">
        <w:rPr>
          <w:lang w:val="en-US"/>
        </w:rPr>
        <w:t>hereinafter</w:t>
      </w:r>
      <w:r w:rsidR="003E680F" w:rsidRPr="00C9465D">
        <w:rPr>
          <w:lang w:val="en-US"/>
        </w:rPr>
        <w:t xml:space="preserve"> “</w:t>
      </w:r>
      <w:r w:rsidRPr="00C9465D">
        <w:rPr>
          <w:lang w:val="en-US"/>
        </w:rPr>
        <w:t>the answering brief</w:t>
      </w:r>
      <w:r w:rsidR="003E680F" w:rsidRPr="00C9465D">
        <w:rPr>
          <w:lang w:val="en-US"/>
        </w:rPr>
        <w:t xml:space="preserve">”). </w:t>
      </w:r>
      <w:r w:rsidRPr="00C9465D">
        <w:rPr>
          <w:lang w:val="en-US"/>
        </w:rPr>
        <w:t>In this brief, the State contested the alleged violations and the requests for measures of reparation</w:t>
      </w:r>
      <w:r w:rsidR="00193CBB" w:rsidRPr="00C9465D">
        <w:rPr>
          <w:lang w:val="en-US"/>
        </w:rPr>
        <w:t xml:space="preserve"> </w:t>
      </w:r>
      <w:r w:rsidR="00570194" w:rsidRPr="00C9465D">
        <w:rPr>
          <w:lang w:val="en-US"/>
        </w:rPr>
        <w:t>presented by</w:t>
      </w:r>
      <w:r w:rsidR="00193CBB" w:rsidRPr="00C9465D">
        <w:rPr>
          <w:lang w:val="en-US"/>
        </w:rPr>
        <w:t xml:space="preserve"> the Commission and the representatives</w:t>
      </w:r>
      <w:r w:rsidR="003E680F" w:rsidRPr="00C9465D">
        <w:rPr>
          <w:lang w:val="en-US"/>
        </w:rPr>
        <w:t xml:space="preserve">. </w:t>
      </w:r>
    </w:p>
    <w:p w14:paraId="5B0747CA" w14:textId="03AAF654" w:rsidR="003E680F" w:rsidRPr="00C9465D" w:rsidRDefault="00CF3A9D" w:rsidP="00CF3A9D">
      <w:pPr>
        <w:pStyle w:val="Numberedparagraphs"/>
        <w:rPr>
          <w:lang w:val="en-US"/>
        </w:rPr>
      </w:pPr>
      <w:bookmarkStart w:id="10" w:name="_Ref446678625"/>
      <w:r w:rsidRPr="00C9465D">
        <w:rPr>
          <w:i/>
          <w:iCs/>
          <w:lang w:val="en-US"/>
        </w:rPr>
        <w:t>Public hearing</w:t>
      </w:r>
      <w:r w:rsidR="003E680F" w:rsidRPr="00C9465D">
        <w:rPr>
          <w:i/>
          <w:iCs/>
          <w:lang w:val="en-US"/>
        </w:rPr>
        <w:t>.</w:t>
      </w:r>
      <w:r w:rsidR="003E680F" w:rsidRPr="00C9465D">
        <w:rPr>
          <w:lang w:val="en-US"/>
        </w:rPr>
        <w:t xml:space="preserve"> </w:t>
      </w:r>
      <w:r w:rsidRPr="00C9465D">
        <w:rPr>
          <w:lang w:val="en-US"/>
        </w:rPr>
        <w:t>On October 9,</w:t>
      </w:r>
      <w:r w:rsidR="003E680F" w:rsidRPr="00C9465D">
        <w:rPr>
          <w:lang w:val="en-US"/>
        </w:rPr>
        <w:t xml:space="preserve"> 2020</w:t>
      </w:r>
      <w:r w:rsidRPr="00C9465D">
        <w:rPr>
          <w:lang w:val="en-US"/>
        </w:rPr>
        <w:t>,</w:t>
      </w:r>
      <w:r w:rsidR="003E680F" w:rsidRPr="00C9465D">
        <w:rPr>
          <w:lang w:val="en-US"/>
        </w:rPr>
        <w:t xml:space="preserve"> </w:t>
      </w:r>
      <w:r w:rsidRPr="00C9465D">
        <w:rPr>
          <w:lang w:val="en-US"/>
        </w:rPr>
        <w:t>the President</w:t>
      </w:r>
      <w:r w:rsidR="00193CBB" w:rsidRPr="00C9465D">
        <w:rPr>
          <w:lang w:val="en-US"/>
        </w:rPr>
        <w:t xml:space="preserve"> of the Court</w:t>
      </w:r>
      <w:r w:rsidR="003E680F" w:rsidRPr="00C9465D">
        <w:rPr>
          <w:lang w:val="en-US"/>
        </w:rPr>
        <w:t xml:space="preserve"> </w:t>
      </w:r>
      <w:r w:rsidRPr="00C9465D">
        <w:rPr>
          <w:lang w:val="en-US"/>
        </w:rPr>
        <w:t xml:space="preserve">issued an order calling the parties </w:t>
      </w:r>
      <w:r w:rsidR="00193CBB" w:rsidRPr="00C9465D">
        <w:rPr>
          <w:lang w:val="en-US"/>
        </w:rPr>
        <w:t>and</w:t>
      </w:r>
      <w:r w:rsidR="003E680F" w:rsidRPr="00C9465D">
        <w:rPr>
          <w:lang w:val="en-US"/>
        </w:rPr>
        <w:t xml:space="preserve"> </w:t>
      </w:r>
      <w:r w:rsidR="00193CBB" w:rsidRPr="00C9465D">
        <w:rPr>
          <w:lang w:val="en-US"/>
        </w:rPr>
        <w:t>the Commission</w:t>
      </w:r>
      <w:r w:rsidR="003E680F" w:rsidRPr="00C9465D">
        <w:rPr>
          <w:lang w:val="en-US"/>
        </w:rPr>
        <w:t xml:space="preserve"> </w:t>
      </w:r>
      <w:r w:rsidRPr="00C9465D">
        <w:rPr>
          <w:lang w:val="en-US"/>
        </w:rPr>
        <w:t>to a</w:t>
      </w:r>
      <w:r w:rsidR="003E680F" w:rsidRPr="00C9465D">
        <w:rPr>
          <w:lang w:val="en-US"/>
        </w:rPr>
        <w:t xml:space="preserve"> </w:t>
      </w:r>
      <w:r w:rsidRPr="00C9465D">
        <w:rPr>
          <w:lang w:val="en-US"/>
        </w:rPr>
        <w:t>public hearing on the merits, and possible reparations and costs.</w:t>
      </w:r>
      <w:r w:rsidR="003E680F" w:rsidRPr="00C9465D">
        <w:rPr>
          <w:rStyle w:val="FootnoteReference"/>
          <w:lang w:val="en-US"/>
        </w:rPr>
        <w:footnoteReference w:id="4"/>
      </w:r>
      <w:r w:rsidRPr="00C9465D">
        <w:rPr>
          <w:lang w:val="en-US"/>
        </w:rPr>
        <w:t xml:space="preserve"> In addition, in this order, one presumed victim, one expert witness proposed by the State and one expert witness proposed by the Commissioned were called to testify before the public hearing, and one presumed victim, two witnesses and five expert witnesses were required to present their statements by affidavit; the</w:t>
      </w:r>
      <w:r w:rsidR="00570194" w:rsidRPr="00C9465D">
        <w:rPr>
          <w:lang w:val="en-US"/>
        </w:rPr>
        <w:t xml:space="preserve"> latter</w:t>
      </w:r>
      <w:r w:rsidRPr="00C9465D">
        <w:rPr>
          <w:lang w:val="en-US"/>
        </w:rPr>
        <w:t xml:space="preserve"> were presented on November 1, 2, 19 and 20, 2020. Owing to the exceptional circumstances </w:t>
      </w:r>
      <w:r w:rsidR="00570194" w:rsidRPr="00C9465D">
        <w:rPr>
          <w:lang w:val="en-US"/>
        </w:rPr>
        <w:t>resulting from</w:t>
      </w:r>
      <w:r w:rsidRPr="00C9465D">
        <w:rPr>
          <w:lang w:val="en-US"/>
        </w:rPr>
        <w:t xml:space="preserve"> the COVID-19 pandemic, the public hearing was held by videoconference, as established in the Court’s </w:t>
      </w:r>
      <w:r w:rsidR="00193CBB" w:rsidRPr="00C9465D">
        <w:rPr>
          <w:lang w:val="en-US"/>
        </w:rPr>
        <w:t>Rules of Procedure</w:t>
      </w:r>
      <w:r w:rsidR="003E680F" w:rsidRPr="00C9465D">
        <w:rPr>
          <w:lang w:val="en-US"/>
        </w:rPr>
        <w:t xml:space="preserve">, </w:t>
      </w:r>
      <w:r w:rsidRPr="00C9465D">
        <w:rPr>
          <w:lang w:val="en-US"/>
        </w:rPr>
        <w:t>on November</w:t>
      </w:r>
      <w:r w:rsidR="003E680F" w:rsidRPr="00C9465D">
        <w:rPr>
          <w:lang w:val="en-US"/>
        </w:rPr>
        <w:t xml:space="preserve"> 25</w:t>
      </w:r>
      <w:r w:rsidR="00193CBB" w:rsidRPr="00C9465D">
        <w:rPr>
          <w:lang w:val="en-US"/>
        </w:rPr>
        <w:t xml:space="preserve"> and </w:t>
      </w:r>
      <w:r w:rsidR="003E680F" w:rsidRPr="00C9465D">
        <w:rPr>
          <w:lang w:val="en-US"/>
        </w:rPr>
        <w:t>26</w:t>
      </w:r>
      <w:r w:rsidRPr="00C9465D">
        <w:rPr>
          <w:lang w:val="en-US"/>
        </w:rPr>
        <w:t xml:space="preserve">, </w:t>
      </w:r>
      <w:r w:rsidR="003E680F" w:rsidRPr="00C9465D">
        <w:rPr>
          <w:lang w:val="en-US"/>
        </w:rPr>
        <w:t xml:space="preserve">2020, </w:t>
      </w:r>
      <w:r w:rsidRPr="00C9465D">
        <w:rPr>
          <w:lang w:val="en-US"/>
        </w:rPr>
        <w:t xml:space="preserve">during </w:t>
      </w:r>
      <w:r w:rsidR="00570194" w:rsidRPr="00C9465D">
        <w:rPr>
          <w:lang w:val="en-US"/>
        </w:rPr>
        <w:t>its</w:t>
      </w:r>
      <w:r w:rsidR="003E680F" w:rsidRPr="00C9465D">
        <w:rPr>
          <w:lang w:val="en-US"/>
        </w:rPr>
        <w:t xml:space="preserve"> 138</w:t>
      </w:r>
      <w:r w:rsidRPr="00C9465D">
        <w:rPr>
          <w:vertAlign w:val="superscript"/>
          <w:lang w:val="en-US"/>
        </w:rPr>
        <w:t>th</w:t>
      </w:r>
      <w:r w:rsidRPr="00C9465D">
        <w:rPr>
          <w:lang w:val="en-US"/>
        </w:rPr>
        <w:t xml:space="preserve"> regular session.</w:t>
      </w:r>
      <w:r w:rsidR="003E680F" w:rsidRPr="00C9465D">
        <w:rPr>
          <w:rStyle w:val="FootnoteReference"/>
          <w:lang w:val="en-US"/>
        </w:rPr>
        <w:footnoteReference w:id="5"/>
      </w:r>
      <w:r w:rsidRPr="00C9465D">
        <w:rPr>
          <w:lang w:val="en-US"/>
        </w:rPr>
        <w:t xml:space="preserve"> During this hearing, the Court’s judges </w:t>
      </w:r>
      <w:r w:rsidR="00570194" w:rsidRPr="00C9465D">
        <w:rPr>
          <w:lang w:val="en-US"/>
        </w:rPr>
        <w:t>requested</w:t>
      </w:r>
      <w:r w:rsidRPr="00C9465D">
        <w:rPr>
          <w:lang w:val="en-US"/>
        </w:rPr>
        <w:t xml:space="preserve"> certain information and explanations from the parties </w:t>
      </w:r>
      <w:r w:rsidR="00193CBB" w:rsidRPr="00C9465D">
        <w:rPr>
          <w:lang w:val="en-US"/>
        </w:rPr>
        <w:t>and</w:t>
      </w:r>
      <w:r w:rsidR="003E680F" w:rsidRPr="00C9465D">
        <w:rPr>
          <w:lang w:val="en-US"/>
        </w:rPr>
        <w:t xml:space="preserve"> </w:t>
      </w:r>
      <w:r w:rsidR="00193CBB" w:rsidRPr="00C9465D">
        <w:rPr>
          <w:lang w:val="en-US"/>
        </w:rPr>
        <w:t>the Commission</w:t>
      </w:r>
      <w:r w:rsidR="003E680F" w:rsidRPr="00C9465D">
        <w:rPr>
          <w:lang w:val="en-US"/>
        </w:rPr>
        <w:t>.</w:t>
      </w:r>
      <w:bookmarkEnd w:id="10"/>
    </w:p>
    <w:p w14:paraId="31560010" w14:textId="009F74CA" w:rsidR="003E680F" w:rsidRPr="00C9465D" w:rsidRDefault="003E680F" w:rsidP="00972561">
      <w:pPr>
        <w:pStyle w:val="Numberedparagraphs"/>
        <w:rPr>
          <w:lang w:val="en-US"/>
        </w:rPr>
      </w:pPr>
      <w:r w:rsidRPr="00C9465D">
        <w:rPr>
          <w:i/>
          <w:iCs/>
          <w:lang w:val="en-US"/>
        </w:rPr>
        <w:t>Amici Curiae.</w:t>
      </w:r>
      <w:r w:rsidRPr="00C9465D">
        <w:rPr>
          <w:lang w:val="en-US"/>
        </w:rPr>
        <w:t xml:space="preserve"> </w:t>
      </w:r>
      <w:r w:rsidR="00CF3A9D" w:rsidRPr="00C9465D">
        <w:rPr>
          <w:lang w:val="en-US"/>
        </w:rPr>
        <w:t xml:space="preserve">The Court received seven </w:t>
      </w:r>
      <w:r w:rsidRPr="00C9465D">
        <w:rPr>
          <w:i/>
          <w:lang w:val="en-US"/>
        </w:rPr>
        <w:t>amicus curiae</w:t>
      </w:r>
      <w:r w:rsidR="00CF3A9D" w:rsidRPr="00C9465D">
        <w:rPr>
          <w:i/>
          <w:lang w:val="en-US"/>
        </w:rPr>
        <w:t xml:space="preserve"> </w:t>
      </w:r>
      <w:r w:rsidR="00CF3A9D" w:rsidRPr="00C9465D">
        <w:rPr>
          <w:iCs/>
          <w:lang w:val="en-US"/>
        </w:rPr>
        <w:t>briefs</w:t>
      </w:r>
      <w:r w:rsidR="00972561" w:rsidRPr="00C9465D">
        <w:rPr>
          <w:rStyle w:val="FootnoteReference"/>
          <w:lang w:val="en-US"/>
        </w:rPr>
        <w:footnoteReference w:id="6"/>
      </w:r>
      <w:r w:rsidRPr="00C9465D">
        <w:rPr>
          <w:lang w:val="en-US"/>
        </w:rPr>
        <w:t xml:space="preserve"> present</w:t>
      </w:r>
      <w:r w:rsidR="00CF3A9D" w:rsidRPr="00C9465D">
        <w:rPr>
          <w:lang w:val="en-US"/>
        </w:rPr>
        <w:t>ed by</w:t>
      </w:r>
      <w:r w:rsidRPr="00C9465D">
        <w:rPr>
          <w:lang w:val="en-US"/>
        </w:rPr>
        <w:t xml:space="preserve">: </w:t>
      </w:r>
      <w:r w:rsidR="00CF3A9D" w:rsidRPr="00C9465D">
        <w:rPr>
          <w:lang w:val="en-US"/>
        </w:rPr>
        <w:t>(</w:t>
      </w:r>
      <w:r w:rsidRPr="00C9465D">
        <w:rPr>
          <w:lang w:val="en-US"/>
        </w:rPr>
        <w:t>1)</w:t>
      </w:r>
      <w:r w:rsidR="00DC64D4" w:rsidRPr="00C9465D">
        <w:rPr>
          <w:lang w:val="en-US"/>
        </w:rPr>
        <w:t xml:space="preserve"> </w:t>
      </w:r>
      <w:r w:rsidR="00CF3A9D" w:rsidRPr="00C9465D">
        <w:rPr>
          <w:lang w:val="en-US"/>
        </w:rPr>
        <w:t xml:space="preserve">the Action Program for Equality and Social Inclusion of the Law Faculty of the </w:t>
      </w:r>
      <w:r w:rsidR="00DC64D4" w:rsidRPr="00C9465D">
        <w:rPr>
          <w:lang w:val="en-US"/>
        </w:rPr>
        <w:t xml:space="preserve">Universidad de los </w:t>
      </w:r>
      <w:r w:rsidR="00DC64D4" w:rsidRPr="00C9465D">
        <w:rPr>
          <w:lang w:val="en-US"/>
        </w:rPr>
        <w:lastRenderedPageBreak/>
        <w:t>Andes</w:t>
      </w:r>
      <w:r w:rsidR="00CF3A9D" w:rsidRPr="00C9465D">
        <w:rPr>
          <w:lang w:val="en-US"/>
        </w:rPr>
        <w:t>;</w:t>
      </w:r>
      <w:r w:rsidR="00DC64D4" w:rsidRPr="00C9465D">
        <w:rPr>
          <w:rStyle w:val="FootnoteReference"/>
          <w:lang w:val="en-US"/>
        </w:rPr>
        <w:footnoteReference w:id="7"/>
      </w:r>
      <w:r w:rsidRPr="00C9465D">
        <w:rPr>
          <w:lang w:val="en-US"/>
        </w:rPr>
        <w:t xml:space="preserve"> </w:t>
      </w:r>
      <w:r w:rsidR="00CF3A9D" w:rsidRPr="00C9465D">
        <w:rPr>
          <w:lang w:val="en-US"/>
        </w:rPr>
        <w:t>(</w:t>
      </w:r>
      <w:r w:rsidR="00DC64D4" w:rsidRPr="00C9465D">
        <w:rPr>
          <w:lang w:val="en-US"/>
        </w:rPr>
        <w:t xml:space="preserve">2) </w:t>
      </w:r>
      <w:r w:rsidR="00CF3A9D" w:rsidRPr="00C9465D">
        <w:rPr>
          <w:lang w:val="en-US"/>
        </w:rPr>
        <w:t>the</w:t>
      </w:r>
      <w:r w:rsidRPr="00C9465D">
        <w:rPr>
          <w:lang w:val="en-US"/>
        </w:rPr>
        <w:t xml:space="preserve"> Redesfera Latinoamericana de la Diversidad Psicosocial</w:t>
      </w:r>
      <w:r w:rsidR="00CF3A9D" w:rsidRPr="00C9465D">
        <w:rPr>
          <w:lang w:val="en-US"/>
        </w:rPr>
        <w:t>;</w:t>
      </w:r>
      <w:r w:rsidRPr="00C9465D">
        <w:rPr>
          <w:rStyle w:val="FootnoteReference"/>
          <w:lang w:val="en-US"/>
        </w:rPr>
        <w:footnoteReference w:id="8"/>
      </w:r>
      <w:r w:rsidRPr="00C9465D">
        <w:rPr>
          <w:lang w:val="en-US"/>
        </w:rPr>
        <w:t xml:space="preserve"> </w:t>
      </w:r>
      <w:r w:rsidR="00936B63" w:rsidRPr="00C9465D">
        <w:rPr>
          <w:lang w:val="en-US"/>
        </w:rPr>
        <w:t>(</w:t>
      </w:r>
      <w:r w:rsidR="00DC64D4" w:rsidRPr="00C9465D">
        <w:rPr>
          <w:lang w:val="en-US"/>
        </w:rPr>
        <w:t>3</w:t>
      </w:r>
      <w:r w:rsidRPr="00C9465D">
        <w:rPr>
          <w:lang w:val="en-US"/>
        </w:rPr>
        <w:t xml:space="preserve">) </w:t>
      </w:r>
      <w:r w:rsidR="00936B63" w:rsidRPr="00C9465D">
        <w:rPr>
          <w:lang w:val="en-US"/>
        </w:rPr>
        <w:t>the Human Rights Clinic of the</w:t>
      </w:r>
      <w:r w:rsidRPr="00C9465D">
        <w:rPr>
          <w:lang w:val="en-US"/>
        </w:rPr>
        <w:t xml:space="preserve"> Universidad de Santa Clara</w:t>
      </w:r>
      <w:r w:rsidR="00936B63" w:rsidRPr="00C9465D">
        <w:rPr>
          <w:lang w:val="en-US"/>
        </w:rPr>
        <w:t>;</w:t>
      </w:r>
      <w:r w:rsidRPr="00C9465D">
        <w:rPr>
          <w:rStyle w:val="FootnoteReference"/>
          <w:lang w:val="en-US"/>
        </w:rPr>
        <w:footnoteReference w:id="9"/>
      </w:r>
      <w:r w:rsidRPr="00C9465D">
        <w:rPr>
          <w:lang w:val="en-US"/>
        </w:rPr>
        <w:t xml:space="preserve"> </w:t>
      </w:r>
      <w:r w:rsidR="00936B63" w:rsidRPr="00C9465D">
        <w:rPr>
          <w:lang w:val="en-US"/>
        </w:rPr>
        <w:t>(</w:t>
      </w:r>
      <w:r w:rsidR="00DC64D4" w:rsidRPr="00C9465D">
        <w:rPr>
          <w:lang w:val="en-US"/>
        </w:rPr>
        <w:t>4</w:t>
      </w:r>
      <w:r w:rsidRPr="00C9465D">
        <w:rPr>
          <w:lang w:val="en-US"/>
        </w:rPr>
        <w:t xml:space="preserve">) </w:t>
      </w:r>
      <w:r w:rsidR="00936B63" w:rsidRPr="00C9465D">
        <w:rPr>
          <w:lang w:val="en-US"/>
        </w:rPr>
        <w:t xml:space="preserve">the International Human Rights </w:t>
      </w:r>
      <w:r w:rsidRPr="00C9465D">
        <w:rPr>
          <w:lang w:val="en-US"/>
        </w:rPr>
        <w:t xml:space="preserve">Practicum </w:t>
      </w:r>
      <w:r w:rsidR="00936B63" w:rsidRPr="00C9465D">
        <w:rPr>
          <w:lang w:val="en-US"/>
        </w:rPr>
        <w:t>of</w:t>
      </w:r>
      <w:r w:rsidRPr="00C9465D">
        <w:rPr>
          <w:lang w:val="en-US"/>
        </w:rPr>
        <w:t xml:space="preserve"> Boston College Law School</w:t>
      </w:r>
      <w:r w:rsidR="00936B63" w:rsidRPr="00C9465D">
        <w:rPr>
          <w:lang w:val="en-US"/>
        </w:rPr>
        <w:t>;</w:t>
      </w:r>
      <w:r w:rsidRPr="00C9465D">
        <w:rPr>
          <w:rStyle w:val="FootnoteReference"/>
          <w:lang w:val="en-US"/>
        </w:rPr>
        <w:footnoteReference w:id="10"/>
      </w:r>
      <w:r w:rsidRPr="00C9465D">
        <w:rPr>
          <w:lang w:val="en-US"/>
        </w:rPr>
        <w:t xml:space="preserve"> </w:t>
      </w:r>
      <w:r w:rsidR="00936B63" w:rsidRPr="00C9465D">
        <w:rPr>
          <w:lang w:val="en-US"/>
        </w:rPr>
        <w:t>(</w:t>
      </w:r>
      <w:r w:rsidR="00DC64D4" w:rsidRPr="00C9465D">
        <w:rPr>
          <w:lang w:val="en-US"/>
        </w:rPr>
        <w:t>5</w:t>
      </w:r>
      <w:r w:rsidRPr="00C9465D">
        <w:rPr>
          <w:lang w:val="en-US"/>
        </w:rPr>
        <w:t xml:space="preserve">) </w:t>
      </w:r>
      <w:r w:rsidR="00936B63" w:rsidRPr="00C9465D">
        <w:rPr>
          <w:lang w:val="en-US"/>
        </w:rPr>
        <w:t xml:space="preserve">the Legal Clinic on Disabilities and Human Rights of the Law Faculty of the </w:t>
      </w:r>
      <w:r w:rsidRPr="00C9465D">
        <w:rPr>
          <w:lang w:val="en-US"/>
        </w:rPr>
        <w:t xml:space="preserve">Pontificia Universidad Católica del </w:t>
      </w:r>
      <w:r w:rsidR="001902D2" w:rsidRPr="00C9465D">
        <w:rPr>
          <w:lang w:val="en-US"/>
        </w:rPr>
        <w:t>Peru</w:t>
      </w:r>
      <w:r w:rsidR="00936B63" w:rsidRPr="00C9465D">
        <w:rPr>
          <w:lang w:val="en-US"/>
        </w:rPr>
        <w:t>;</w:t>
      </w:r>
      <w:r w:rsidRPr="00C9465D">
        <w:rPr>
          <w:rStyle w:val="FootnoteReference"/>
          <w:lang w:val="en-US"/>
        </w:rPr>
        <w:footnoteReference w:id="11"/>
      </w:r>
      <w:r w:rsidRPr="00C9465D">
        <w:rPr>
          <w:lang w:val="en-US"/>
        </w:rPr>
        <w:t xml:space="preserve"> </w:t>
      </w:r>
      <w:r w:rsidR="00936B63" w:rsidRPr="00C9465D">
        <w:rPr>
          <w:lang w:val="en-US"/>
        </w:rPr>
        <w:t>(</w:t>
      </w:r>
      <w:r w:rsidR="00DC64D4" w:rsidRPr="00C9465D">
        <w:rPr>
          <w:lang w:val="en-US"/>
        </w:rPr>
        <w:t>6</w:t>
      </w:r>
      <w:r w:rsidRPr="00C9465D">
        <w:rPr>
          <w:lang w:val="en-US"/>
        </w:rPr>
        <w:t>)</w:t>
      </w:r>
      <w:r w:rsidR="00277424" w:rsidRPr="00C9465D">
        <w:rPr>
          <w:lang w:val="en-US"/>
        </w:rPr>
        <w:t xml:space="preserve"> </w:t>
      </w:r>
      <w:r w:rsidRPr="00C9465D">
        <w:rPr>
          <w:lang w:val="en-US"/>
        </w:rPr>
        <w:t>Dan Israel García Gutiérrez</w:t>
      </w:r>
      <w:r w:rsidR="00936B63" w:rsidRPr="00C9465D">
        <w:rPr>
          <w:lang w:val="en-US"/>
        </w:rPr>
        <w:t>,</w:t>
      </w:r>
      <w:r w:rsidRPr="00C9465D">
        <w:rPr>
          <w:rStyle w:val="FootnoteReference"/>
          <w:lang w:val="en-US"/>
        </w:rPr>
        <w:footnoteReference w:id="12"/>
      </w:r>
      <w:r w:rsidR="00193CBB" w:rsidRPr="00C9465D">
        <w:rPr>
          <w:lang w:val="en-US"/>
        </w:rPr>
        <w:t xml:space="preserve"> and </w:t>
      </w:r>
      <w:r w:rsidR="00936B63" w:rsidRPr="00C9465D">
        <w:rPr>
          <w:lang w:val="en-US"/>
        </w:rPr>
        <w:t>(</w:t>
      </w:r>
      <w:r w:rsidR="00DC64D4" w:rsidRPr="00C9465D">
        <w:rPr>
          <w:lang w:val="en-US"/>
        </w:rPr>
        <w:t>7</w:t>
      </w:r>
      <w:r w:rsidRPr="00C9465D">
        <w:rPr>
          <w:lang w:val="en-US"/>
        </w:rPr>
        <w:t xml:space="preserve">) </w:t>
      </w:r>
      <w:r w:rsidR="00936B63" w:rsidRPr="00C9465D">
        <w:rPr>
          <w:lang w:val="en-US"/>
        </w:rPr>
        <w:t xml:space="preserve">the </w:t>
      </w:r>
      <w:r w:rsidRPr="00C9465D">
        <w:rPr>
          <w:lang w:val="en-US"/>
        </w:rPr>
        <w:t>Asociación Civil por la Igualdad</w:t>
      </w:r>
      <w:r w:rsidR="00193CBB" w:rsidRPr="00C9465D">
        <w:rPr>
          <w:lang w:val="en-US"/>
        </w:rPr>
        <w:t xml:space="preserve"> </w:t>
      </w:r>
      <w:r w:rsidR="00936B63" w:rsidRPr="00C9465D">
        <w:rPr>
          <w:lang w:val="en-US"/>
        </w:rPr>
        <w:t>y</w:t>
      </w:r>
      <w:r w:rsidR="00193CBB" w:rsidRPr="00C9465D">
        <w:rPr>
          <w:lang w:val="en-US"/>
        </w:rPr>
        <w:t xml:space="preserve"> </w:t>
      </w:r>
      <w:r w:rsidRPr="00C9465D">
        <w:rPr>
          <w:lang w:val="en-US"/>
        </w:rPr>
        <w:t xml:space="preserve">la Justicia, </w:t>
      </w:r>
      <w:r w:rsidR="00936B63" w:rsidRPr="00C9465D">
        <w:rPr>
          <w:lang w:val="en-US"/>
        </w:rPr>
        <w:t>the</w:t>
      </w:r>
      <w:r w:rsidRPr="00C9465D">
        <w:rPr>
          <w:lang w:val="en-US"/>
        </w:rPr>
        <w:t xml:space="preserve"> Centro de Estudios Legales</w:t>
      </w:r>
      <w:r w:rsidR="00193CBB" w:rsidRPr="00C9465D">
        <w:rPr>
          <w:lang w:val="en-US"/>
        </w:rPr>
        <w:t xml:space="preserve"> </w:t>
      </w:r>
      <w:r w:rsidR="00570194" w:rsidRPr="00C9465D">
        <w:rPr>
          <w:lang w:val="en-US"/>
        </w:rPr>
        <w:t>y</w:t>
      </w:r>
      <w:r w:rsidR="00193CBB" w:rsidRPr="00C9465D">
        <w:rPr>
          <w:lang w:val="en-US"/>
        </w:rPr>
        <w:t xml:space="preserve"> </w:t>
      </w:r>
      <w:r w:rsidRPr="00C9465D">
        <w:rPr>
          <w:lang w:val="en-US"/>
        </w:rPr>
        <w:t xml:space="preserve">Sociales, </w:t>
      </w:r>
      <w:r w:rsidR="00193CBB" w:rsidRPr="00C9465D">
        <w:rPr>
          <w:lang w:val="en-US"/>
        </w:rPr>
        <w:t>the Com</w:t>
      </w:r>
      <w:r w:rsidR="00936B63" w:rsidRPr="00C9465D">
        <w:rPr>
          <w:lang w:val="en-US"/>
        </w:rPr>
        <w:t>isión</w:t>
      </w:r>
      <w:r w:rsidRPr="00C9465D">
        <w:rPr>
          <w:lang w:val="en-US"/>
        </w:rPr>
        <w:t xml:space="preserve"> Colombiana de Juristas, </w:t>
      </w:r>
      <w:r w:rsidR="00936B63" w:rsidRPr="00C9465D">
        <w:rPr>
          <w:lang w:val="en-US"/>
        </w:rPr>
        <w:t>the</w:t>
      </w:r>
      <w:r w:rsidRPr="00C9465D">
        <w:rPr>
          <w:lang w:val="en-US"/>
        </w:rPr>
        <w:t xml:space="preserve"> Centro de Estudios de Derecho, Justicia</w:t>
      </w:r>
      <w:r w:rsidR="00193CBB" w:rsidRPr="00C9465D">
        <w:rPr>
          <w:lang w:val="en-US"/>
        </w:rPr>
        <w:t xml:space="preserve"> </w:t>
      </w:r>
      <w:r w:rsidR="00936B63" w:rsidRPr="00C9465D">
        <w:rPr>
          <w:lang w:val="en-US"/>
        </w:rPr>
        <w:t>y</w:t>
      </w:r>
      <w:r w:rsidR="00193CBB" w:rsidRPr="00C9465D">
        <w:rPr>
          <w:lang w:val="en-US"/>
        </w:rPr>
        <w:t xml:space="preserve"> </w:t>
      </w:r>
      <w:r w:rsidRPr="00C9465D">
        <w:rPr>
          <w:lang w:val="en-US"/>
        </w:rPr>
        <w:t xml:space="preserve">Sociedad, </w:t>
      </w:r>
      <w:r w:rsidR="00936B63" w:rsidRPr="00C9465D">
        <w:rPr>
          <w:lang w:val="en-US"/>
        </w:rPr>
        <w:t xml:space="preserve">the </w:t>
      </w:r>
      <w:r w:rsidRPr="00C9465D">
        <w:rPr>
          <w:lang w:val="en-US"/>
        </w:rPr>
        <w:t xml:space="preserve">Harvard Law School Project on Disabilities, </w:t>
      </w:r>
      <w:r w:rsidR="00936B63" w:rsidRPr="00C9465D">
        <w:rPr>
          <w:lang w:val="en-US"/>
        </w:rPr>
        <w:t xml:space="preserve">the </w:t>
      </w:r>
      <w:r w:rsidRPr="00C9465D">
        <w:rPr>
          <w:lang w:val="en-US"/>
        </w:rPr>
        <w:t>Instituto de Estudios Legales</w:t>
      </w:r>
      <w:r w:rsidR="00193CBB" w:rsidRPr="00C9465D">
        <w:rPr>
          <w:lang w:val="en-US"/>
        </w:rPr>
        <w:t xml:space="preserve"> </w:t>
      </w:r>
      <w:r w:rsidR="00570194" w:rsidRPr="00C9465D">
        <w:rPr>
          <w:lang w:val="en-US"/>
        </w:rPr>
        <w:t>y</w:t>
      </w:r>
      <w:r w:rsidR="00193CBB" w:rsidRPr="00C9465D">
        <w:rPr>
          <w:lang w:val="en-US"/>
        </w:rPr>
        <w:t xml:space="preserve"> </w:t>
      </w:r>
      <w:r w:rsidRPr="00C9465D">
        <w:rPr>
          <w:lang w:val="en-US"/>
        </w:rPr>
        <w:t xml:space="preserve">Sociales </w:t>
      </w:r>
      <w:r w:rsidR="00570194" w:rsidRPr="00C9465D">
        <w:rPr>
          <w:lang w:val="en-US"/>
        </w:rPr>
        <w:t>de</w:t>
      </w:r>
      <w:r w:rsidRPr="00C9465D">
        <w:rPr>
          <w:lang w:val="en-US"/>
        </w:rPr>
        <w:t xml:space="preserve"> Urug</w:t>
      </w:r>
      <w:r w:rsidR="00DC64D4" w:rsidRPr="00C9465D">
        <w:rPr>
          <w:lang w:val="en-US"/>
        </w:rPr>
        <w:t>u</w:t>
      </w:r>
      <w:r w:rsidRPr="00C9465D">
        <w:rPr>
          <w:lang w:val="en-US"/>
        </w:rPr>
        <w:t>ay,</w:t>
      </w:r>
      <w:r w:rsidR="00193CBB" w:rsidRPr="00C9465D">
        <w:rPr>
          <w:lang w:val="en-US"/>
        </w:rPr>
        <w:t xml:space="preserve"> and </w:t>
      </w:r>
      <w:r w:rsidRPr="00C9465D">
        <w:rPr>
          <w:lang w:val="en-US"/>
        </w:rPr>
        <w:t>Justiça Global, coordina</w:t>
      </w:r>
      <w:r w:rsidR="00936B63" w:rsidRPr="00C9465D">
        <w:rPr>
          <w:lang w:val="en-US"/>
        </w:rPr>
        <w:t>ted by the Secretariat of the International Network for Economic, Social and Cultural Rights.</w:t>
      </w:r>
      <w:r w:rsidRPr="00C9465D">
        <w:rPr>
          <w:rStyle w:val="FootnoteReference"/>
          <w:lang w:val="en-US"/>
        </w:rPr>
        <w:footnoteReference w:id="13"/>
      </w:r>
      <w:r w:rsidRPr="00C9465D">
        <w:rPr>
          <w:lang w:val="en-US"/>
        </w:rPr>
        <w:t xml:space="preserve"> </w:t>
      </w:r>
      <w:r w:rsidR="00972561" w:rsidRPr="00C9465D">
        <w:rPr>
          <w:b/>
          <w:lang w:val="en-US"/>
        </w:rPr>
        <w:t xml:space="preserve"> </w:t>
      </w:r>
    </w:p>
    <w:p w14:paraId="6A064413" w14:textId="044C8B79" w:rsidR="003E680F" w:rsidRPr="00C9465D" w:rsidRDefault="00936B63" w:rsidP="00AA3C22">
      <w:pPr>
        <w:pStyle w:val="Numberedparagraphs"/>
        <w:rPr>
          <w:lang w:val="en-US"/>
        </w:rPr>
      </w:pPr>
      <w:r w:rsidRPr="00C9465D">
        <w:rPr>
          <w:i/>
          <w:iCs/>
          <w:lang w:val="en-US"/>
        </w:rPr>
        <w:t>Alleged supervening evidence</w:t>
      </w:r>
      <w:r w:rsidR="003E680F" w:rsidRPr="00C9465D">
        <w:rPr>
          <w:i/>
          <w:iCs/>
          <w:lang w:val="en-US"/>
        </w:rPr>
        <w:t>.</w:t>
      </w:r>
      <w:r w:rsidRPr="00C9465D">
        <w:rPr>
          <w:i/>
          <w:iCs/>
          <w:lang w:val="en-US"/>
        </w:rPr>
        <w:t xml:space="preserve"> </w:t>
      </w:r>
      <w:r w:rsidRPr="00C9465D">
        <w:rPr>
          <w:lang w:val="en-US"/>
        </w:rPr>
        <w:t>On November 23,</w:t>
      </w:r>
      <w:r w:rsidR="003E680F" w:rsidRPr="00C9465D">
        <w:rPr>
          <w:lang w:val="en-US"/>
        </w:rPr>
        <w:t xml:space="preserve"> 2020</w:t>
      </w:r>
      <w:r w:rsidRPr="00C9465D">
        <w:rPr>
          <w:lang w:val="en-US"/>
        </w:rPr>
        <w:t>,</w:t>
      </w:r>
      <w:r w:rsidR="003E680F" w:rsidRPr="00C9465D">
        <w:rPr>
          <w:lang w:val="en-US"/>
        </w:rPr>
        <w:t xml:space="preserve"> </w:t>
      </w:r>
      <w:r w:rsidR="00193CBB" w:rsidRPr="00C9465D">
        <w:rPr>
          <w:lang w:val="en-US"/>
        </w:rPr>
        <w:t>the representatives</w:t>
      </w:r>
      <w:r w:rsidR="003E680F" w:rsidRPr="00C9465D">
        <w:rPr>
          <w:lang w:val="en-US"/>
        </w:rPr>
        <w:t xml:space="preserve"> </w:t>
      </w:r>
      <w:r w:rsidRPr="00C9465D">
        <w:rPr>
          <w:lang w:val="en-US"/>
        </w:rPr>
        <w:t xml:space="preserve">forwarded information on the number of persons presumably disappeared from public hospitals in </w:t>
      </w:r>
      <w:r w:rsidR="003E680F" w:rsidRPr="00C9465D">
        <w:rPr>
          <w:lang w:val="en-US"/>
        </w:rPr>
        <w:t xml:space="preserve">Ecuador.  </w:t>
      </w:r>
    </w:p>
    <w:p w14:paraId="642841FD" w14:textId="4230219A" w:rsidR="003E680F" w:rsidRPr="00C9465D" w:rsidRDefault="00936B63" w:rsidP="00AA3C22">
      <w:pPr>
        <w:pStyle w:val="Numberedparagraphs"/>
        <w:rPr>
          <w:b/>
          <w:lang w:val="en-US"/>
        </w:rPr>
      </w:pPr>
      <w:r w:rsidRPr="00C9465D">
        <w:rPr>
          <w:i/>
          <w:iCs/>
          <w:lang w:val="en-US"/>
        </w:rPr>
        <w:t>Final written arguments and observations.</w:t>
      </w:r>
      <w:r w:rsidR="003E680F" w:rsidRPr="00C9465D">
        <w:rPr>
          <w:lang w:val="en-US"/>
        </w:rPr>
        <w:t xml:space="preserve"> </w:t>
      </w:r>
      <w:r w:rsidRPr="00C9465D">
        <w:rPr>
          <w:lang w:val="en-US"/>
        </w:rPr>
        <w:t>On January 5,</w:t>
      </w:r>
      <w:r w:rsidR="003E680F" w:rsidRPr="00C9465D">
        <w:rPr>
          <w:lang w:val="en-US"/>
        </w:rPr>
        <w:t xml:space="preserve"> 2021</w:t>
      </w:r>
      <w:r w:rsidRPr="00C9465D">
        <w:rPr>
          <w:lang w:val="en-US"/>
        </w:rPr>
        <w:t>,</w:t>
      </w:r>
      <w:r w:rsidR="003E680F" w:rsidRPr="00C9465D">
        <w:rPr>
          <w:lang w:val="en-US"/>
        </w:rPr>
        <w:t xml:space="preserve"> </w:t>
      </w:r>
      <w:r w:rsidR="00193CBB" w:rsidRPr="00C9465D">
        <w:rPr>
          <w:lang w:val="en-US"/>
        </w:rPr>
        <w:t>the State</w:t>
      </w:r>
      <w:r w:rsidR="003E680F" w:rsidRPr="00C9465D">
        <w:rPr>
          <w:lang w:val="en-US"/>
        </w:rPr>
        <w:t xml:space="preserve">, </w:t>
      </w:r>
      <w:r w:rsidR="00193CBB" w:rsidRPr="00C9465D">
        <w:rPr>
          <w:lang w:val="en-US"/>
        </w:rPr>
        <w:t>the representatives and the Commission</w:t>
      </w:r>
      <w:r w:rsidRPr="00C9465D">
        <w:rPr>
          <w:lang w:val="en-US"/>
        </w:rPr>
        <w:t xml:space="preserve"> forwarded, respectively, their final written arguments and final written observations, with annexes. In its final written arguments, the State presented its observations on the alleged supervening evidence presented by</w:t>
      </w:r>
      <w:r w:rsidR="003E680F" w:rsidRPr="00C9465D">
        <w:rPr>
          <w:lang w:val="en-US"/>
        </w:rPr>
        <w:t xml:space="preserve"> </w:t>
      </w:r>
      <w:r w:rsidR="00193CBB" w:rsidRPr="00C9465D">
        <w:rPr>
          <w:lang w:val="en-US"/>
        </w:rPr>
        <w:t>the representatives</w:t>
      </w:r>
      <w:r w:rsidR="003E680F" w:rsidRPr="00C9465D">
        <w:rPr>
          <w:lang w:val="en-US"/>
        </w:rPr>
        <w:t>.</w:t>
      </w:r>
      <w:r w:rsidR="00972561" w:rsidRPr="00C9465D">
        <w:rPr>
          <w:lang w:val="en-US"/>
        </w:rPr>
        <w:t xml:space="preserve"> </w:t>
      </w:r>
    </w:p>
    <w:p w14:paraId="634C3314" w14:textId="381E8602" w:rsidR="003E680F" w:rsidRPr="00C9465D" w:rsidRDefault="00936B63" w:rsidP="00AA3C22">
      <w:pPr>
        <w:pStyle w:val="Numberedparagraphs"/>
        <w:rPr>
          <w:lang w:val="en-US"/>
        </w:rPr>
      </w:pPr>
      <w:r w:rsidRPr="00C9465D">
        <w:rPr>
          <w:i/>
          <w:iCs/>
          <w:lang w:val="en-US"/>
        </w:rPr>
        <w:t>Observations</w:t>
      </w:r>
      <w:r w:rsidR="003E680F" w:rsidRPr="00C9465D">
        <w:rPr>
          <w:i/>
          <w:iCs/>
          <w:lang w:val="en-US"/>
        </w:rPr>
        <w:t xml:space="preserve"> </w:t>
      </w:r>
      <w:r w:rsidRPr="00C9465D">
        <w:rPr>
          <w:i/>
          <w:iCs/>
          <w:lang w:val="en-US"/>
        </w:rPr>
        <w:t>on the annexes to the final written arguments</w:t>
      </w:r>
      <w:r w:rsidR="003E680F" w:rsidRPr="00C9465D">
        <w:rPr>
          <w:i/>
          <w:iCs/>
          <w:lang w:val="en-US"/>
        </w:rPr>
        <w:t xml:space="preserve">. </w:t>
      </w:r>
      <w:r w:rsidRPr="00C9465D">
        <w:rPr>
          <w:lang w:val="en-US"/>
        </w:rPr>
        <w:t>On January</w:t>
      </w:r>
      <w:r w:rsidR="003E680F" w:rsidRPr="00C9465D">
        <w:rPr>
          <w:lang w:val="en-US"/>
        </w:rPr>
        <w:t xml:space="preserve"> </w:t>
      </w:r>
      <w:r w:rsidR="00E417FA" w:rsidRPr="00C9465D">
        <w:rPr>
          <w:lang w:val="en-US"/>
        </w:rPr>
        <w:t>25</w:t>
      </w:r>
      <w:r w:rsidR="00193CBB" w:rsidRPr="00C9465D">
        <w:rPr>
          <w:lang w:val="en-US"/>
        </w:rPr>
        <w:t xml:space="preserve"> and </w:t>
      </w:r>
      <w:r w:rsidR="00E417FA" w:rsidRPr="00C9465D">
        <w:rPr>
          <w:lang w:val="en-US"/>
        </w:rPr>
        <w:t>26</w:t>
      </w:r>
      <w:r w:rsidRPr="00C9465D">
        <w:rPr>
          <w:lang w:val="en-US"/>
        </w:rPr>
        <w:t xml:space="preserve">, </w:t>
      </w:r>
      <w:r w:rsidR="003E680F" w:rsidRPr="00C9465D">
        <w:rPr>
          <w:lang w:val="en-US"/>
        </w:rPr>
        <w:t>2021</w:t>
      </w:r>
      <w:r w:rsidRPr="00C9465D">
        <w:rPr>
          <w:lang w:val="en-US"/>
        </w:rPr>
        <w:t>,</w:t>
      </w:r>
      <w:r w:rsidR="003E680F" w:rsidRPr="00C9465D">
        <w:rPr>
          <w:lang w:val="en-US"/>
        </w:rPr>
        <w:t xml:space="preserve"> </w:t>
      </w:r>
      <w:r w:rsidR="00193CBB" w:rsidRPr="00C9465D">
        <w:rPr>
          <w:lang w:val="en-US"/>
        </w:rPr>
        <w:t>the representatives and the Commission</w:t>
      </w:r>
      <w:r w:rsidRPr="00C9465D">
        <w:rPr>
          <w:lang w:val="en-US"/>
        </w:rPr>
        <w:t>, respectively, presented their</w:t>
      </w:r>
      <w:r w:rsidR="00BD451E" w:rsidRPr="00C9465D">
        <w:rPr>
          <w:lang w:val="en-US"/>
        </w:rPr>
        <w:t xml:space="preserve"> </w:t>
      </w:r>
      <w:r w:rsidRPr="00C9465D">
        <w:rPr>
          <w:lang w:val="en-US"/>
        </w:rPr>
        <w:t>observations</w:t>
      </w:r>
      <w:r w:rsidR="00BD451E" w:rsidRPr="00C9465D">
        <w:rPr>
          <w:lang w:val="en-US"/>
        </w:rPr>
        <w:t xml:space="preserve"> </w:t>
      </w:r>
      <w:r w:rsidRPr="00C9465D">
        <w:rPr>
          <w:lang w:val="en-US"/>
        </w:rPr>
        <w:t>on the annexes remitted by the State with its final written arguments.</w:t>
      </w:r>
    </w:p>
    <w:p w14:paraId="4CC1A9AB" w14:textId="00502AA6" w:rsidR="00056A3C" w:rsidRPr="00C9465D" w:rsidRDefault="00936B63" w:rsidP="00056A3C">
      <w:pPr>
        <w:pStyle w:val="Numberedparagraphs"/>
        <w:rPr>
          <w:lang w:val="en-US"/>
        </w:rPr>
      </w:pPr>
      <w:r w:rsidRPr="00C9465D">
        <w:rPr>
          <w:i/>
          <w:iCs/>
          <w:lang w:val="en-US"/>
        </w:rPr>
        <w:t xml:space="preserve">Helpful information and evidence. </w:t>
      </w:r>
      <w:r w:rsidRPr="00C9465D">
        <w:rPr>
          <w:lang w:val="en-US"/>
        </w:rPr>
        <w:t>On January</w:t>
      </w:r>
      <w:r w:rsidR="003E680F" w:rsidRPr="00C9465D">
        <w:rPr>
          <w:lang w:val="en-US"/>
        </w:rPr>
        <w:t xml:space="preserve"> 27</w:t>
      </w:r>
      <w:r w:rsidRPr="00C9465D">
        <w:rPr>
          <w:lang w:val="en-US"/>
        </w:rPr>
        <w:t xml:space="preserve">, </w:t>
      </w:r>
      <w:r w:rsidR="003E680F" w:rsidRPr="00C9465D">
        <w:rPr>
          <w:lang w:val="en-US"/>
        </w:rPr>
        <w:t>2021</w:t>
      </w:r>
      <w:r w:rsidRPr="00C9465D">
        <w:rPr>
          <w:lang w:val="en-US"/>
        </w:rPr>
        <w:t>,</w:t>
      </w:r>
      <w:r w:rsidR="003E680F" w:rsidRPr="00C9465D">
        <w:rPr>
          <w:lang w:val="en-US"/>
        </w:rPr>
        <w:t xml:space="preserve"> </w:t>
      </w:r>
      <w:r w:rsidR="00CF3A9D" w:rsidRPr="00C9465D">
        <w:rPr>
          <w:lang w:val="en-US"/>
        </w:rPr>
        <w:t>the President</w:t>
      </w:r>
      <w:r w:rsidR="00193CBB" w:rsidRPr="00C9465D">
        <w:rPr>
          <w:lang w:val="en-US"/>
        </w:rPr>
        <w:t xml:space="preserve"> of the Court</w:t>
      </w:r>
      <w:r w:rsidR="003E680F" w:rsidRPr="00C9465D">
        <w:rPr>
          <w:lang w:val="en-US"/>
        </w:rPr>
        <w:t xml:space="preserve"> </w:t>
      </w:r>
      <w:r w:rsidRPr="00C9465D">
        <w:rPr>
          <w:lang w:val="en-US"/>
        </w:rPr>
        <w:t>asked</w:t>
      </w:r>
      <w:r w:rsidR="00577DE0" w:rsidRPr="00C9465D">
        <w:rPr>
          <w:lang w:val="en-US"/>
        </w:rPr>
        <w:t xml:space="preserve"> the State</w:t>
      </w:r>
      <w:r w:rsidR="003E680F" w:rsidRPr="00C9465D">
        <w:rPr>
          <w:lang w:val="en-US"/>
        </w:rPr>
        <w:t xml:space="preserve"> </w:t>
      </w:r>
      <w:r w:rsidRPr="00C9465D">
        <w:rPr>
          <w:lang w:val="en-US"/>
        </w:rPr>
        <w:t xml:space="preserve">to present helpful documentation. Ecuador presented this information on February 5, </w:t>
      </w:r>
      <w:r w:rsidR="003E680F" w:rsidRPr="00C9465D">
        <w:rPr>
          <w:lang w:val="en-US"/>
        </w:rPr>
        <w:t>2021.</w:t>
      </w:r>
      <w:r w:rsidR="00A53B46" w:rsidRPr="00C9465D">
        <w:rPr>
          <w:lang w:val="en-US"/>
        </w:rPr>
        <w:t xml:space="preserve"> </w:t>
      </w:r>
      <w:r w:rsidRPr="00C9465D">
        <w:rPr>
          <w:lang w:val="en-US"/>
        </w:rPr>
        <w:t>In addition, on February</w:t>
      </w:r>
      <w:r w:rsidR="00A53B46" w:rsidRPr="00C9465D">
        <w:rPr>
          <w:lang w:val="en-US"/>
        </w:rPr>
        <w:t xml:space="preserve"> 16</w:t>
      </w:r>
      <w:r w:rsidRPr="00C9465D">
        <w:rPr>
          <w:lang w:val="en-US"/>
        </w:rPr>
        <w:t xml:space="preserve">, </w:t>
      </w:r>
      <w:r w:rsidR="00A53B46" w:rsidRPr="00C9465D">
        <w:rPr>
          <w:lang w:val="en-US"/>
        </w:rPr>
        <w:t>2021</w:t>
      </w:r>
      <w:r w:rsidRPr="00C9465D">
        <w:rPr>
          <w:lang w:val="en-US"/>
        </w:rPr>
        <w:t xml:space="preserve">, </w:t>
      </w:r>
      <w:r w:rsidR="00193CBB" w:rsidRPr="00C9465D">
        <w:rPr>
          <w:lang w:val="en-US"/>
        </w:rPr>
        <w:t>the representatives</w:t>
      </w:r>
      <w:r w:rsidR="00A53B46" w:rsidRPr="00C9465D">
        <w:rPr>
          <w:lang w:val="en-US"/>
        </w:rPr>
        <w:t xml:space="preserve"> </w:t>
      </w:r>
      <w:r w:rsidRPr="00C9465D">
        <w:rPr>
          <w:lang w:val="en-US"/>
        </w:rPr>
        <w:t xml:space="preserve">were asked for a </w:t>
      </w:r>
      <w:r w:rsidR="00B63846" w:rsidRPr="00C9465D">
        <w:rPr>
          <w:lang w:val="en-US"/>
        </w:rPr>
        <w:t>clarification</w:t>
      </w:r>
      <w:r w:rsidRPr="00C9465D">
        <w:rPr>
          <w:lang w:val="en-US"/>
        </w:rPr>
        <w:t xml:space="preserve"> with regard to the next of kin of </w:t>
      </w:r>
      <w:r w:rsidR="00A53B46" w:rsidRPr="00C9465D">
        <w:rPr>
          <w:lang w:val="en-US"/>
        </w:rPr>
        <w:t xml:space="preserve">Luis Eduardo Guachalá Chimbo. </w:t>
      </w:r>
    </w:p>
    <w:p w14:paraId="44BF41FE" w14:textId="5DD550F4" w:rsidR="00016774" w:rsidRPr="00C9465D" w:rsidRDefault="003E680F" w:rsidP="00A53B46">
      <w:pPr>
        <w:pStyle w:val="Numberedparagraphs"/>
        <w:rPr>
          <w:lang w:val="en-US"/>
        </w:rPr>
      </w:pPr>
      <w:r w:rsidRPr="00C9465D">
        <w:rPr>
          <w:i/>
          <w:iCs/>
          <w:lang w:val="en-US"/>
        </w:rPr>
        <w:lastRenderedPageBreak/>
        <w:t>Delibera</w:t>
      </w:r>
      <w:r w:rsidR="00936B63" w:rsidRPr="00C9465D">
        <w:rPr>
          <w:i/>
          <w:iCs/>
          <w:lang w:val="en-US"/>
        </w:rPr>
        <w:t>tion of the case</w:t>
      </w:r>
      <w:r w:rsidRPr="00C9465D">
        <w:rPr>
          <w:i/>
          <w:iCs/>
          <w:lang w:val="en-US"/>
        </w:rPr>
        <w:t>.</w:t>
      </w:r>
      <w:r w:rsidRPr="00C9465D">
        <w:rPr>
          <w:lang w:val="en-US"/>
        </w:rPr>
        <w:t xml:space="preserve"> </w:t>
      </w:r>
      <w:r w:rsidR="00193CBB" w:rsidRPr="00C9465D">
        <w:rPr>
          <w:lang w:val="en-US"/>
        </w:rPr>
        <w:t>The Court</w:t>
      </w:r>
      <w:r w:rsidRPr="00C9465D">
        <w:rPr>
          <w:lang w:val="en-US"/>
        </w:rPr>
        <w:t xml:space="preserve"> </w:t>
      </w:r>
      <w:r w:rsidR="00936B63" w:rsidRPr="00C9465D">
        <w:rPr>
          <w:lang w:val="en-US"/>
        </w:rPr>
        <w:t xml:space="preserve">began to deliberate </w:t>
      </w:r>
      <w:r w:rsidR="00CF3A9D" w:rsidRPr="00C9465D">
        <w:rPr>
          <w:lang w:val="en-US"/>
        </w:rPr>
        <w:t>this judgment</w:t>
      </w:r>
      <w:r w:rsidR="00016774" w:rsidRPr="00C9465D">
        <w:rPr>
          <w:lang w:val="en-US"/>
        </w:rPr>
        <w:t xml:space="preserve"> </w:t>
      </w:r>
      <w:r w:rsidR="00936B63" w:rsidRPr="00C9465D">
        <w:rPr>
          <w:lang w:val="en-US"/>
        </w:rPr>
        <w:t xml:space="preserve">in a virtual session on March 16, </w:t>
      </w:r>
      <w:r w:rsidRPr="00C9465D">
        <w:rPr>
          <w:lang w:val="en-US"/>
        </w:rPr>
        <w:t>2021</w:t>
      </w:r>
      <w:r w:rsidR="00936B63" w:rsidRPr="00C9465D">
        <w:rPr>
          <w:lang w:val="en-US"/>
        </w:rPr>
        <w:t>.</w:t>
      </w:r>
      <w:r w:rsidRPr="00C9465D">
        <w:rPr>
          <w:rStyle w:val="FootnoteReference"/>
          <w:lang w:val="en-US"/>
        </w:rPr>
        <w:footnoteReference w:id="14"/>
      </w:r>
    </w:p>
    <w:p w14:paraId="2EEFA86D" w14:textId="69854F59" w:rsidR="00892398" w:rsidRPr="00C9465D" w:rsidRDefault="00A5429E" w:rsidP="00E5784B">
      <w:pPr>
        <w:pStyle w:val="Heading1"/>
        <w:rPr>
          <w:lang w:val="en-US"/>
        </w:rPr>
      </w:pPr>
      <w:bookmarkStart w:id="11" w:name="_Toc74298431"/>
      <w:r w:rsidRPr="00C9465D">
        <w:rPr>
          <w:lang w:val="en-US"/>
        </w:rPr>
        <w:t>III</w:t>
      </w:r>
      <w:r w:rsidR="00016774" w:rsidRPr="00C9465D">
        <w:rPr>
          <w:lang w:val="en-US"/>
        </w:rPr>
        <w:br/>
      </w:r>
      <w:r w:rsidR="00E2299F" w:rsidRPr="00C9465D">
        <w:rPr>
          <w:lang w:val="en-US"/>
        </w:rPr>
        <w:t>JURISDICTION</w:t>
      </w:r>
      <w:bookmarkEnd w:id="11"/>
    </w:p>
    <w:p w14:paraId="5206E465" w14:textId="6A1C9E38" w:rsidR="00A5429E" w:rsidRPr="00C9465D" w:rsidRDefault="00193CBB" w:rsidP="00AA3C22">
      <w:pPr>
        <w:pStyle w:val="Numberedparagraphs"/>
        <w:rPr>
          <w:lang w:val="en-US"/>
        </w:rPr>
      </w:pPr>
      <w:r w:rsidRPr="00C9465D">
        <w:rPr>
          <w:lang w:val="en-US"/>
        </w:rPr>
        <w:t>The Court</w:t>
      </w:r>
      <w:r w:rsidR="003E680F" w:rsidRPr="00C9465D">
        <w:rPr>
          <w:lang w:val="en-US"/>
        </w:rPr>
        <w:t xml:space="preserve"> </w:t>
      </w:r>
      <w:r w:rsidR="00936B63" w:rsidRPr="00C9465D">
        <w:rPr>
          <w:lang w:val="en-US"/>
        </w:rPr>
        <w:t xml:space="preserve">has jurisdiction to hear this case, pursuant to </w:t>
      </w:r>
      <w:r w:rsidRPr="00C9465D">
        <w:rPr>
          <w:lang w:val="en-US"/>
        </w:rPr>
        <w:t>Article</w:t>
      </w:r>
      <w:r w:rsidR="003E680F" w:rsidRPr="00C9465D">
        <w:rPr>
          <w:lang w:val="en-US"/>
        </w:rPr>
        <w:t xml:space="preserve"> 62</w:t>
      </w:r>
      <w:r w:rsidR="00936B63" w:rsidRPr="00C9465D">
        <w:rPr>
          <w:lang w:val="en-US"/>
        </w:rPr>
        <w:t>(</w:t>
      </w:r>
      <w:r w:rsidR="003E680F" w:rsidRPr="00C9465D">
        <w:rPr>
          <w:lang w:val="en-US"/>
        </w:rPr>
        <w:t>3</w:t>
      </w:r>
      <w:r w:rsidR="00936B63" w:rsidRPr="00C9465D">
        <w:rPr>
          <w:lang w:val="en-US"/>
        </w:rPr>
        <w:t>)</w:t>
      </w:r>
      <w:r w:rsidRPr="00C9465D">
        <w:rPr>
          <w:lang w:val="en-US"/>
        </w:rPr>
        <w:t xml:space="preserve"> of the Convention</w:t>
      </w:r>
      <w:r w:rsidR="003E680F" w:rsidRPr="00C9465D">
        <w:rPr>
          <w:lang w:val="en-US"/>
        </w:rPr>
        <w:t xml:space="preserve">, </w:t>
      </w:r>
      <w:r w:rsidR="00936B63" w:rsidRPr="00C9465D">
        <w:rPr>
          <w:lang w:val="en-US"/>
        </w:rPr>
        <w:t xml:space="preserve">because </w:t>
      </w:r>
      <w:r w:rsidR="003E680F" w:rsidRPr="00C9465D">
        <w:rPr>
          <w:lang w:val="en-US"/>
        </w:rPr>
        <w:t xml:space="preserve">Ecuador </w:t>
      </w:r>
      <w:r w:rsidR="00936B63" w:rsidRPr="00C9465D">
        <w:rPr>
          <w:lang w:val="en-US"/>
        </w:rPr>
        <w:t>has been a State Party to this instrument since December 28,</w:t>
      </w:r>
      <w:r w:rsidR="003E680F" w:rsidRPr="00C9465D">
        <w:rPr>
          <w:lang w:val="en-US"/>
        </w:rPr>
        <w:t xml:space="preserve"> 1977</w:t>
      </w:r>
      <w:r w:rsidR="00936B63" w:rsidRPr="00C9465D">
        <w:rPr>
          <w:lang w:val="en-US"/>
        </w:rPr>
        <w:t>,</w:t>
      </w:r>
      <w:r w:rsidRPr="00C9465D">
        <w:rPr>
          <w:lang w:val="en-US"/>
        </w:rPr>
        <w:t xml:space="preserve"> and </w:t>
      </w:r>
      <w:r w:rsidR="00936B63" w:rsidRPr="00C9465D">
        <w:rPr>
          <w:lang w:val="en-US"/>
        </w:rPr>
        <w:t xml:space="preserve">accepted the contentious jurisdiction </w:t>
      </w:r>
      <w:r w:rsidRPr="00C9465D">
        <w:rPr>
          <w:lang w:val="en-US"/>
        </w:rPr>
        <w:t>of the Court</w:t>
      </w:r>
      <w:r w:rsidR="003E680F" w:rsidRPr="00C9465D">
        <w:rPr>
          <w:lang w:val="en-US"/>
        </w:rPr>
        <w:t xml:space="preserve"> </w:t>
      </w:r>
      <w:r w:rsidR="00936B63" w:rsidRPr="00C9465D">
        <w:rPr>
          <w:lang w:val="en-US"/>
        </w:rPr>
        <w:t>on July 24,</w:t>
      </w:r>
      <w:r w:rsidR="003E680F" w:rsidRPr="00C9465D">
        <w:rPr>
          <w:lang w:val="en-US"/>
        </w:rPr>
        <w:t xml:space="preserve"> 1984. </w:t>
      </w:r>
    </w:p>
    <w:p w14:paraId="281CB6AC" w14:textId="513FD68B" w:rsidR="00AA3C22" w:rsidRPr="00C9465D" w:rsidRDefault="00630FC0" w:rsidP="00E5784B">
      <w:pPr>
        <w:pStyle w:val="Heading1"/>
        <w:rPr>
          <w:lang w:val="en-US"/>
        </w:rPr>
      </w:pPr>
      <w:bookmarkStart w:id="12" w:name="_Toc74298432"/>
      <w:r w:rsidRPr="00C9465D">
        <w:rPr>
          <w:lang w:val="en-US"/>
        </w:rPr>
        <w:t>I</w:t>
      </w:r>
      <w:r w:rsidR="00A5429E" w:rsidRPr="00C9465D">
        <w:rPr>
          <w:lang w:val="en-US"/>
        </w:rPr>
        <w:t>V</w:t>
      </w:r>
      <w:r w:rsidR="00C67B9A" w:rsidRPr="00C9465D">
        <w:rPr>
          <w:lang w:val="en-US"/>
        </w:rPr>
        <w:br/>
      </w:r>
      <w:r w:rsidR="00E2299F" w:rsidRPr="00C9465D">
        <w:rPr>
          <w:lang w:val="en-US"/>
        </w:rPr>
        <w:t>EVIDENCE</w:t>
      </w:r>
      <w:bookmarkEnd w:id="12"/>
    </w:p>
    <w:p w14:paraId="79E977C7" w14:textId="72906178" w:rsidR="00AA3C22" w:rsidRPr="00C9465D" w:rsidRDefault="007A3CA5" w:rsidP="00D47F8D">
      <w:pPr>
        <w:pStyle w:val="Heading2"/>
        <w:keepNext w:val="0"/>
        <w:numPr>
          <w:ilvl w:val="1"/>
          <w:numId w:val="1"/>
        </w:numPr>
        <w:tabs>
          <w:tab w:val="left" w:pos="1134"/>
        </w:tabs>
        <w:autoSpaceDE/>
        <w:autoSpaceDN/>
        <w:adjustRightInd/>
        <w:ind w:left="1134" w:hanging="567"/>
        <w:rPr>
          <w:lang w:val="en-US"/>
        </w:rPr>
      </w:pPr>
      <w:r w:rsidRPr="00C9465D">
        <w:rPr>
          <w:lang w:val="en-US"/>
        </w:rPr>
        <w:t>Admissibility of the documentary evidence</w:t>
      </w:r>
    </w:p>
    <w:p w14:paraId="2F7CFB7E" w14:textId="20894419" w:rsidR="00AA3C22" w:rsidRPr="00C9465D" w:rsidRDefault="007A3CA5" w:rsidP="007A3CA5">
      <w:pPr>
        <w:pStyle w:val="Numberedparagraphs"/>
        <w:rPr>
          <w:lang w:val="en-US"/>
        </w:rPr>
      </w:pPr>
      <w:r w:rsidRPr="00C9465D">
        <w:rPr>
          <w:lang w:val="en-US"/>
        </w:rPr>
        <w:t xml:space="preserve">The Court received diverse documents presented as evidence by </w:t>
      </w:r>
      <w:r w:rsidR="00193CBB" w:rsidRPr="00C9465D">
        <w:rPr>
          <w:lang w:val="en-US"/>
        </w:rPr>
        <w:t>the Commission</w:t>
      </w:r>
      <w:r w:rsidR="00AA3C22" w:rsidRPr="00C9465D">
        <w:rPr>
          <w:lang w:val="en-US"/>
        </w:rPr>
        <w:t xml:space="preserve">, </w:t>
      </w:r>
      <w:r w:rsidR="00193CBB" w:rsidRPr="00C9465D">
        <w:rPr>
          <w:lang w:val="en-US"/>
        </w:rPr>
        <w:t>the representatives and the State</w:t>
      </w:r>
      <w:r w:rsidR="00AA3C22" w:rsidRPr="00C9465D">
        <w:rPr>
          <w:lang w:val="en-US"/>
        </w:rPr>
        <w:t>, as</w:t>
      </w:r>
      <w:r w:rsidRPr="00C9465D">
        <w:rPr>
          <w:lang w:val="en-US"/>
        </w:rPr>
        <w:t xml:space="preserve"> well as those requested by the Court or its President as helpful evidence and, as in other cases, it admits these in the understanding that they were submitted at the proper procedural moment</w:t>
      </w:r>
      <w:r w:rsidR="00AA3C22" w:rsidRPr="00C9465D">
        <w:rPr>
          <w:lang w:val="en-US"/>
        </w:rPr>
        <w:t xml:space="preserve"> (</w:t>
      </w:r>
      <w:r w:rsidR="00193CBB" w:rsidRPr="00C9465D">
        <w:rPr>
          <w:lang w:val="en-US"/>
        </w:rPr>
        <w:t>Article</w:t>
      </w:r>
      <w:r w:rsidR="00AA3C22" w:rsidRPr="00C9465D">
        <w:rPr>
          <w:lang w:val="en-US"/>
        </w:rPr>
        <w:t xml:space="preserve"> 57</w:t>
      </w:r>
      <w:r w:rsidR="00193CBB" w:rsidRPr="00C9465D">
        <w:rPr>
          <w:lang w:val="en-US"/>
        </w:rPr>
        <w:t xml:space="preserve"> of the Rules of Procedure</w:t>
      </w:r>
      <w:r w:rsidR="00AA3C22" w:rsidRPr="00C9465D">
        <w:rPr>
          <w:lang w:val="en-US"/>
        </w:rPr>
        <w:t>)</w:t>
      </w:r>
      <w:r w:rsidR="00AA3C22" w:rsidRPr="00C9465D">
        <w:rPr>
          <w:rStyle w:val="FootnoteReference"/>
          <w:lang w:val="en-US"/>
        </w:rPr>
        <w:footnoteReference w:id="15"/>
      </w:r>
      <w:r w:rsidR="00193CBB" w:rsidRPr="00C9465D">
        <w:rPr>
          <w:lang w:val="en-US"/>
        </w:rPr>
        <w:t xml:space="preserve"> and </w:t>
      </w:r>
      <w:r w:rsidRPr="00C9465D">
        <w:rPr>
          <w:lang w:val="en-US"/>
        </w:rPr>
        <w:t>that their admissibility was not contested or challenged.</w:t>
      </w:r>
    </w:p>
    <w:p w14:paraId="7E4AC14D" w14:textId="59EC44E8" w:rsidR="00AA3C22" w:rsidRPr="00C9465D" w:rsidRDefault="00193CBB" w:rsidP="007A3CA5">
      <w:pPr>
        <w:pStyle w:val="Numberedparagraphs"/>
        <w:rPr>
          <w:lang w:val="en-US"/>
        </w:rPr>
      </w:pPr>
      <w:r w:rsidRPr="00C9465D">
        <w:rPr>
          <w:lang w:val="en-US"/>
        </w:rPr>
        <w:t xml:space="preserve">The </w:t>
      </w:r>
      <w:r w:rsidRPr="00C9465D">
        <w:rPr>
          <w:b/>
          <w:bCs/>
          <w:i/>
          <w:iCs/>
          <w:lang w:val="en-US"/>
        </w:rPr>
        <w:t>representatives</w:t>
      </w:r>
      <w:r w:rsidR="00AA3C22" w:rsidRPr="00C9465D">
        <w:rPr>
          <w:lang w:val="en-US"/>
        </w:rPr>
        <w:t xml:space="preserve"> a</w:t>
      </w:r>
      <w:r w:rsidR="007A3CA5" w:rsidRPr="00C9465D">
        <w:rPr>
          <w:lang w:val="en-US"/>
        </w:rPr>
        <w:t xml:space="preserve">lleged that annexes </w:t>
      </w:r>
      <w:r w:rsidR="00AA3C22" w:rsidRPr="00C9465D">
        <w:rPr>
          <w:lang w:val="en-US"/>
        </w:rPr>
        <w:t>7</w:t>
      </w:r>
      <w:r w:rsidR="007A3CA5" w:rsidRPr="00C9465D">
        <w:rPr>
          <w:lang w:val="en-US"/>
        </w:rPr>
        <w:t>,</w:t>
      </w:r>
      <w:r w:rsidR="00AA3C22" w:rsidRPr="00C9465D">
        <w:rPr>
          <w:rStyle w:val="FootnoteReference"/>
          <w:lang w:val="en-US"/>
        </w:rPr>
        <w:footnoteReference w:id="16"/>
      </w:r>
      <w:r w:rsidR="00AA3C22" w:rsidRPr="00C9465D">
        <w:rPr>
          <w:lang w:val="en-US"/>
        </w:rPr>
        <w:t xml:space="preserve"> 8</w:t>
      </w:r>
      <w:r w:rsidR="00AA3C22" w:rsidRPr="00C9465D">
        <w:rPr>
          <w:rStyle w:val="FootnoteReference"/>
          <w:lang w:val="en-US"/>
        </w:rPr>
        <w:footnoteReference w:id="17"/>
      </w:r>
      <w:r w:rsidRPr="00C9465D">
        <w:rPr>
          <w:lang w:val="en-US"/>
        </w:rPr>
        <w:t xml:space="preserve"> and </w:t>
      </w:r>
      <w:r w:rsidR="00AA3C22" w:rsidRPr="00C9465D">
        <w:rPr>
          <w:lang w:val="en-US"/>
        </w:rPr>
        <w:t>9</w:t>
      </w:r>
      <w:r w:rsidR="00AA3C22" w:rsidRPr="00C9465D">
        <w:rPr>
          <w:rStyle w:val="FootnoteReference"/>
          <w:lang w:val="en-US"/>
        </w:rPr>
        <w:footnoteReference w:id="18"/>
      </w:r>
      <w:r w:rsidR="00AA3C22" w:rsidRPr="00C9465D">
        <w:rPr>
          <w:lang w:val="en-US"/>
        </w:rPr>
        <w:t xml:space="preserve"> </w:t>
      </w:r>
      <w:r w:rsidR="007A3CA5" w:rsidRPr="00C9465D">
        <w:rPr>
          <w:lang w:val="en-US"/>
        </w:rPr>
        <w:t>to the State’s final written arguments had been “in its hands previously so that their extemporaneous presentation is not justified.” According to the representatives, this conduct</w:t>
      </w:r>
      <w:r w:rsidR="00285435" w:rsidRPr="00C9465D">
        <w:rPr>
          <w:lang w:val="en-US"/>
        </w:rPr>
        <w:t xml:space="preserve"> constituted</w:t>
      </w:r>
      <w:r w:rsidR="007A3CA5" w:rsidRPr="00C9465D">
        <w:rPr>
          <w:lang w:val="en-US"/>
        </w:rPr>
        <w:t xml:space="preserve"> “an act of procedural disloyalty that violates the adversarial principle and result[ed] in [their] being unable to exercise fully [their] legitimate right of defense.” The Court notes that annexes </w:t>
      </w:r>
      <w:r w:rsidR="00AA3C22" w:rsidRPr="00C9465D">
        <w:rPr>
          <w:lang w:val="en-US" w:eastAsia="es-MX"/>
        </w:rPr>
        <w:t>7, 8</w:t>
      </w:r>
      <w:r w:rsidRPr="00C9465D">
        <w:rPr>
          <w:lang w:val="en-US" w:eastAsia="es-MX"/>
        </w:rPr>
        <w:t xml:space="preserve"> and </w:t>
      </w:r>
      <w:r w:rsidR="00AA3C22" w:rsidRPr="00C9465D">
        <w:rPr>
          <w:lang w:val="en-US" w:eastAsia="es-MX"/>
        </w:rPr>
        <w:t xml:space="preserve">9 </w:t>
      </w:r>
      <w:r w:rsidR="007A3CA5" w:rsidRPr="00C9465D">
        <w:rPr>
          <w:lang w:val="en-US" w:eastAsia="es-MX"/>
        </w:rPr>
        <w:t xml:space="preserve">to the State’s </w:t>
      </w:r>
      <w:r w:rsidR="007A3CA5" w:rsidRPr="00C9465D">
        <w:rPr>
          <w:lang w:val="en-US"/>
        </w:rPr>
        <w:t xml:space="preserve">final written arguments responded to a request made by the Court, under </w:t>
      </w:r>
      <w:r w:rsidR="007A3CA5" w:rsidRPr="00C9465D">
        <w:rPr>
          <w:lang w:val="en-US" w:eastAsia="es-MX"/>
        </w:rPr>
        <w:t>Article</w:t>
      </w:r>
      <w:r w:rsidR="00AA3C22" w:rsidRPr="00C9465D">
        <w:rPr>
          <w:lang w:val="en-US" w:eastAsia="es-MX"/>
        </w:rPr>
        <w:t xml:space="preserve"> 58</w:t>
      </w:r>
      <w:r w:rsidR="007A3CA5" w:rsidRPr="00C9465D">
        <w:rPr>
          <w:lang w:val="en-US" w:eastAsia="es-MX"/>
        </w:rPr>
        <w:t>(</w:t>
      </w:r>
      <w:r w:rsidR="00AA3C22" w:rsidRPr="00C9465D">
        <w:rPr>
          <w:lang w:val="en-US" w:eastAsia="es-MX"/>
        </w:rPr>
        <w:t>b)</w:t>
      </w:r>
      <w:r w:rsidRPr="00C9465D">
        <w:rPr>
          <w:lang w:val="en-US" w:eastAsia="es-MX"/>
        </w:rPr>
        <w:t xml:space="preserve"> of the Rules of Procedure</w:t>
      </w:r>
      <w:r w:rsidR="007A3CA5" w:rsidRPr="00C9465D">
        <w:rPr>
          <w:lang w:val="en-US" w:eastAsia="es-MX"/>
        </w:rPr>
        <w:t xml:space="preserve">, during the </w:t>
      </w:r>
      <w:r w:rsidR="00CF3A9D" w:rsidRPr="00C9465D">
        <w:rPr>
          <w:lang w:val="en-US" w:eastAsia="es-MX"/>
        </w:rPr>
        <w:t>public hearing</w:t>
      </w:r>
      <w:r w:rsidR="007A3CA5" w:rsidRPr="00C9465D">
        <w:rPr>
          <w:lang w:val="en-US" w:eastAsia="es-MX"/>
        </w:rPr>
        <w:t xml:space="preserve"> and, therefore, finds it appropriate to admit them</w:t>
      </w:r>
      <w:r w:rsidR="00AA3C22" w:rsidRPr="00C9465D">
        <w:rPr>
          <w:lang w:val="en-US" w:eastAsia="es-MX"/>
        </w:rPr>
        <w:t>.</w:t>
      </w:r>
    </w:p>
    <w:p w14:paraId="1A922F4E" w14:textId="5115498E" w:rsidR="003F179A" w:rsidRPr="00C9465D" w:rsidRDefault="007A3CA5" w:rsidP="003F179A">
      <w:pPr>
        <w:pStyle w:val="Numberedparagraphs"/>
        <w:rPr>
          <w:lang w:val="en-US"/>
        </w:rPr>
      </w:pPr>
      <w:r w:rsidRPr="00C9465D">
        <w:rPr>
          <w:color w:val="0C0C0C"/>
          <w:lang w:val="en-US"/>
        </w:rPr>
        <w:t>T</w:t>
      </w:r>
      <w:r w:rsidR="00193CBB" w:rsidRPr="00C9465D">
        <w:rPr>
          <w:lang w:val="en-US" w:eastAsia="es-MX"/>
        </w:rPr>
        <w:t>he</w:t>
      </w:r>
      <w:r w:rsidR="00193CBB" w:rsidRPr="00C9465D">
        <w:rPr>
          <w:b/>
          <w:bCs/>
          <w:i/>
          <w:iCs/>
          <w:lang w:val="en-US" w:eastAsia="es-MX"/>
        </w:rPr>
        <w:t xml:space="preserve"> State</w:t>
      </w:r>
      <w:r w:rsidR="00AA3C22" w:rsidRPr="00C9465D">
        <w:rPr>
          <w:lang w:val="en-US" w:eastAsia="es-MX"/>
        </w:rPr>
        <w:t xml:space="preserve"> </w:t>
      </w:r>
      <w:r w:rsidRPr="00C9465D">
        <w:rPr>
          <w:lang w:val="en-US" w:eastAsia="es-MX"/>
        </w:rPr>
        <w:t xml:space="preserve">contested the admissibility of the facts and evidence presented by </w:t>
      </w:r>
      <w:r w:rsidR="00193CBB" w:rsidRPr="00C9465D">
        <w:rPr>
          <w:lang w:val="en-US" w:eastAsia="es-MX"/>
        </w:rPr>
        <w:t>the representatives</w:t>
      </w:r>
      <w:r w:rsidR="00EC136F" w:rsidRPr="00C9465D">
        <w:rPr>
          <w:lang w:val="en-US" w:eastAsia="es-MX"/>
        </w:rPr>
        <w:t xml:space="preserve"> </w:t>
      </w:r>
      <w:r w:rsidR="00B71E4D" w:rsidRPr="00C9465D">
        <w:rPr>
          <w:lang w:val="en-US" w:eastAsia="es-MX"/>
        </w:rPr>
        <w:t xml:space="preserve">as supervening evidence on November 23, </w:t>
      </w:r>
      <w:r w:rsidR="00AA3C22" w:rsidRPr="00C9465D">
        <w:rPr>
          <w:lang w:val="en-US" w:eastAsia="es-MX"/>
        </w:rPr>
        <w:t>2020</w:t>
      </w:r>
      <w:r w:rsidR="00E9186E" w:rsidRPr="00C9465D">
        <w:rPr>
          <w:lang w:val="en-US" w:eastAsia="es-MX"/>
        </w:rPr>
        <w:t xml:space="preserve"> (</w:t>
      </w:r>
      <w:r w:rsidR="00E9186E" w:rsidRPr="00C9465D">
        <w:rPr>
          <w:i/>
          <w:lang w:val="en-US" w:eastAsia="es-MX"/>
        </w:rPr>
        <w:t xml:space="preserve">supra </w:t>
      </w:r>
      <w:r w:rsidR="00D8466F" w:rsidRPr="00C9465D">
        <w:rPr>
          <w:lang w:val="en-US" w:eastAsia="es-MX"/>
        </w:rPr>
        <w:t>para.</w:t>
      </w:r>
      <w:r w:rsidR="00E9186E" w:rsidRPr="00C9465D">
        <w:rPr>
          <w:lang w:val="en-US" w:eastAsia="es-MX"/>
        </w:rPr>
        <w:t xml:space="preserve"> 11)</w:t>
      </w:r>
      <w:r w:rsidR="00AA3C22" w:rsidRPr="00C9465D">
        <w:rPr>
          <w:lang w:val="en-US" w:eastAsia="es-MX"/>
        </w:rPr>
        <w:t xml:space="preserve">, </w:t>
      </w:r>
      <w:r w:rsidR="00B71E4D" w:rsidRPr="00C9465D">
        <w:rPr>
          <w:lang w:val="en-US" w:eastAsia="es-MX"/>
        </w:rPr>
        <w:t xml:space="preserve">regarding persons disappeared from public hospitals in </w:t>
      </w:r>
      <w:r w:rsidR="00AA3C22" w:rsidRPr="00C9465D">
        <w:rPr>
          <w:lang w:val="en-US" w:eastAsia="es-MX"/>
        </w:rPr>
        <w:t>Ecuador.</w:t>
      </w:r>
      <w:r w:rsidR="00AA3C22" w:rsidRPr="00C9465D">
        <w:rPr>
          <w:b/>
          <w:lang w:val="en-US"/>
        </w:rPr>
        <w:t xml:space="preserve"> </w:t>
      </w:r>
      <w:r w:rsidR="00B71E4D" w:rsidRPr="00C9465D">
        <w:rPr>
          <w:bCs/>
          <w:lang w:val="en-US"/>
        </w:rPr>
        <w:t xml:space="preserve">In this regard, </w:t>
      </w:r>
      <w:r w:rsidR="00193CBB" w:rsidRPr="00C9465D">
        <w:rPr>
          <w:lang w:val="en-US"/>
        </w:rPr>
        <w:t>the State</w:t>
      </w:r>
      <w:r w:rsidR="00AA3C22" w:rsidRPr="00C9465D">
        <w:rPr>
          <w:lang w:val="en-US"/>
        </w:rPr>
        <w:t xml:space="preserve"> argu</w:t>
      </w:r>
      <w:r w:rsidR="00B71E4D" w:rsidRPr="00C9465D">
        <w:rPr>
          <w:lang w:val="en-US"/>
        </w:rPr>
        <w:t xml:space="preserve">ed that the proper procedural moment for its presentation was in the </w:t>
      </w:r>
      <w:r w:rsidR="00CF3A9D" w:rsidRPr="00C9465D">
        <w:rPr>
          <w:lang w:val="en-US"/>
        </w:rPr>
        <w:t>pleadings and motions brief</w:t>
      </w:r>
      <w:r w:rsidR="00AA3C22" w:rsidRPr="00C9465D">
        <w:rPr>
          <w:lang w:val="en-US"/>
        </w:rPr>
        <w:t>,</w:t>
      </w:r>
      <w:r w:rsidR="00193CBB" w:rsidRPr="00C9465D">
        <w:rPr>
          <w:lang w:val="en-US"/>
        </w:rPr>
        <w:t xml:space="preserve"> and </w:t>
      </w:r>
      <w:r w:rsidR="00B71E4D" w:rsidRPr="00C9465D">
        <w:rPr>
          <w:lang w:val="en-US"/>
        </w:rPr>
        <w:t xml:space="preserve">that, moreover, </w:t>
      </w:r>
      <w:r w:rsidR="00193CBB" w:rsidRPr="00C9465D">
        <w:rPr>
          <w:lang w:val="en-US"/>
        </w:rPr>
        <w:t>the representatives</w:t>
      </w:r>
      <w:r w:rsidR="00AA3C22" w:rsidRPr="00C9465D">
        <w:rPr>
          <w:lang w:val="en-US"/>
        </w:rPr>
        <w:t xml:space="preserve"> </w:t>
      </w:r>
      <w:r w:rsidR="00B71E4D" w:rsidRPr="00C9465D">
        <w:rPr>
          <w:lang w:val="en-US"/>
        </w:rPr>
        <w:t>ha</w:t>
      </w:r>
      <w:r w:rsidR="00285435" w:rsidRPr="00C9465D">
        <w:rPr>
          <w:lang w:val="en-US"/>
        </w:rPr>
        <w:t>d</w:t>
      </w:r>
      <w:r w:rsidR="00B71E4D" w:rsidRPr="00C9465D">
        <w:rPr>
          <w:lang w:val="en-US"/>
        </w:rPr>
        <w:t xml:space="preserve"> not justified </w:t>
      </w:r>
      <w:r w:rsidR="00285435" w:rsidRPr="00C9465D">
        <w:rPr>
          <w:lang w:val="en-US"/>
        </w:rPr>
        <w:t>its presentation</w:t>
      </w:r>
      <w:r w:rsidR="00B71E4D" w:rsidRPr="00C9465D">
        <w:rPr>
          <w:lang w:val="en-US"/>
        </w:rPr>
        <w:t xml:space="preserve"> </w:t>
      </w:r>
      <w:r w:rsidR="00285435" w:rsidRPr="00C9465D">
        <w:rPr>
          <w:lang w:val="en-US"/>
        </w:rPr>
        <w:t>based on</w:t>
      </w:r>
      <w:r w:rsidR="00B71E4D" w:rsidRPr="00C9465D">
        <w:rPr>
          <w:lang w:val="en-US"/>
        </w:rPr>
        <w:t xml:space="preserve"> </w:t>
      </w:r>
      <w:r w:rsidR="00B71E4D" w:rsidRPr="00C9465D">
        <w:rPr>
          <w:i/>
          <w:iCs/>
          <w:lang w:val="en-US"/>
        </w:rPr>
        <w:t>force majeure</w:t>
      </w:r>
      <w:r w:rsidR="00B71E4D" w:rsidRPr="00C9465D">
        <w:rPr>
          <w:lang w:val="en-US"/>
        </w:rPr>
        <w:t xml:space="preserve"> or grave impediment. Meanwhile, t</w:t>
      </w:r>
      <w:r w:rsidR="00193CBB" w:rsidRPr="00C9465D">
        <w:rPr>
          <w:lang w:val="en-US"/>
        </w:rPr>
        <w:t xml:space="preserve">he </w:t>
      </w:r>
      <w:r w:rsidR="00193CBB" w:rsidRPr="00C9465D">
        <w:rPr>
          <w:b/>
          <w:bCs/>
          <w:i/>
          <w:iCs/>
          <w:lang w:val="en-US"/>
        </w:rPr>
        <w:t>representatives</w:t>
      </w:r>
      <w:r w:rsidR="005B6DA6" w:rsidRPr="00C9465D">
        <w:rPr>
          <w:b/>
          <w:i/>
          <w:lang w:val="en-US"/>
        </w:rPr>
        <w:t xml:space="preserve"> </w:t>
      </w:r>
      <w:r w:rsidR="00B71E4D" w:rsidRPr="00C9465D">
        <w:rPr>
          <w:lang w:val="en-US"/>
        </w:rPr>
        <w:t>alleged that they “did not have this information, when presenting the b</w:t>
      </w:r>
      <w:r w:rsidR="00CF3A9D" w:rsidRPr="00C9465D">
        <w:rPr>
          <w:lang w:val="en-US"/>
        </w:rPr>
        <w:t>rief with pleadings, motions and evidence</w:t>
      </w:r>
      <w:r w:rsidR="00B71E4D" w:rsidRPr="00C9465D">
        <w:rPr>
          <w:lang w:val="en-US"/>
        </w:rPr>
        <w:t>.</w:t>
      </w:r>
      <w:r w:rsidR="005B6DA6" w:rsidRPr="00C9465D">
        <w:rPr>
          <w:lang w:val="en-US"/>
        </w:rPr>
        <w:t>”</w:t>
      </w:r>
      <w:r w:rsidR="00B71E4D" w:rsidRPr="00C9465D">
        <w:rPr>
          <w:lang w:val="en-US"/>
        </w:rPr>
        <w:t xml:space="preserve"> In this regard, the Court notes that </w:t>
      </w:r>
      <w:r w:rsidR="00B71E4D" w:rsidRPr="00C9465D">
        <w:rPr>
          <w:lang w:val="en-US" w:eastAsia="es-MX"/>
        </w:rPr>
        <w:t xml:space="preserve">the representatives requested </w:t>
      </w:r>
      <w:r w:rsidR="00B71E4D" w:rsidRPr="00C9465D">
        <w:rPr>
          <w:lang w:val="en-US"/>
        </w:rPr>
        <w:t>this information from the Communications Directorate of the Prosecutor General’s Office</w:t>
      </w:r>
      <w:r w:rsidR="00B71E4D" w:rsidRPr="00C9465D">
        <w:rPr>
          <w:rFonts w:cs="Times New Roman"/>
          <w:lang w:val="en-US"/>
        </w:rPr>
        <w:t xml:space="preserve"> in a request to access public </w:t>
      </w:r>
      <w:r w:rsidR="00B71E4D" w:rsidRPr="00C9465D">
        <w:rPr>
          <w:rFonts w:cs="Times New Roman"/>
          <w:lang w:val="en-US"/>
        </w:rPr>
        <w:lastRenderedPageBreak/>
        <w:t xml:space="preserve">information presented on November 4, 2020. </w:t>
      </w:r>
      <w:r w:rsidR="00193CBB" w:rsidRPr="00C9465D">
        <w:rPr>
          <w:rFonts w:cs="Times New Roman"/>
          <w:lang w:val="en-US"/>
        </w:rPr>
        <w:t>The representatives</w:t>
      </w:r>
      <w:r w:rsidR="003F179A" w:rsidRPr="00C9465D">
        <w:rPr>
          <w:rFonts w:cs="Times New Roman"/>
          <w:lang w:val="en-US"/>
        </w:rPr>
        <w:t xml:space="preserve"> </w:t>
      </w:r>
      <w:r w:rsidR="00B71E4D" w:rsidRPr="00C9465D">
        <w:rPr>
          <w:rFonts w:cs="Times New Roman"/>
          <w:lang w:val="en-US"/>
        </w:rPr>
        <w:t xml:space="preserve">have not explained the reasons why they requested this information after the presentation of their pleadings and motions brief. Therefore, this Court considers that the said supervening evidence is time-barred. </w:t>
      </w:r>
    </w:p>
    <w:p w14:paraId="2F8BF40E" w14:textId="081E9BE6" w:rsidR="00AA3C22" w:rsidRPr="00C9465D" w:rsidRDefault="00B71E4D" w:rsidP="00D47F8D">
      <w:pPr>
        <w:pStyle w:val="Heading2"/>
        <w:keepNext w:val="0"/>
        <w:numPr>
          <w:ilvl w:val="1"/>
          <w:numId w:val="10"/>
        </w:numPr>
        <w:tabs>
          <w:tab w:val="left" w:pos="1134"/>
        </w:tabs>
        <w:autoSpaceDE/>
        <w:autoSpaceDN/>
        <w:adjustRightInd/>
        <w:ind w:left="1134" w:hanging="567"/>
        <w:rPr>
          <w:lang w:val="en-US"/>
        </w:rPr>
      </w:pPr>
      <w:r w:rsidRPr="00C9465D">
        <w:rPr>
          <w:lang w:val="en-US"/>
        </w:rPr>
        <w:t>Admissibility of the statements offered</w:t>
      </w:r>
    </w:p>
    <w:p w14:paraId="271E99D9" w14:textId="271D0353" w:rsidR="00AA3C22" w:rsidRPr="00C9465D" w:rsidRDefault="00B71E4D" w:rsidP="00AA3C22">
      <w:pPr>
        <w:pStyle w:val="Numberedparagraphs"/>
        <w:rPr>
          <w:lang w:val="en-US"/>
        </w:rPr>
      </w:pPr>
      <w:r w:rsidRPr="00C9465D">
        <w:rPr>
          <w:lang w:val="en-US"/>
        </w:rPr>
        <w:t>The Court</w:t>
      </w:r>
      <w:r w:rsidR="00AA3C22" w:rsidRPr="00C9465D">
        <w:rPr>
          <w:lang w:val="en-US"/>
        </w:rPr>
        <w:t xml:space="preserve"> </w:t>
      </w:r>
      <w:r w:rsidRPr="00C9465D">
        <w:rPr>
          <w:lang w:val="en-US"/>
        </w:rPr>
        <w:t>finds it pertinent to admit the statements made by affidavit</w:t>
      </w:r>
      <w:r w:rsidR="00AA3C22" w:rsidRPr="00C9465D">
        <w:rPr>
          <w:rStyle w:val="FootnoteReference"/>
          <w:lang w:val="en-US"/>
        </w:rPr>
        <w:footnoteReference w:id="19"/>
      </w:r>
      <w:r w:rsidR="00193CBB" w:rsidRPr="00C9465D">
        <w:rPr>
          <w:lang w:val="en-US"/>
        </w:rPr>
        <w:t xml:space="preserve"> and </w:t>
      </w:r>
      <w:r w:rsidRPr="00C9465D">
        <w:rPr>
          <w:lang w:val="en-US"/>
        </w:rPr>
        <w:t>during the</w:t>
      </w:r>
      <w:r w:rsidR="00AA3C22" w:rsidRPr="00C9465D">
        <w:rPr>
          <w:lang w:val="en-US"/>
        </w:rPr>
        <w:t xml:space="preserve"> </w:t>
      </w:r>
      <w:r w:rsidR="00CF3A9D" w:rsidRPr="00C9465D">
        <w:rPr>
          <w:lang w:val="en-US"/>
        </w:rPr>
        <w:t>public hearing</w:t>
      </w:r>
      <w:r w:rsidRPr="00C9465D">
        <w:rPr>
          <w:lang w:val="en-US"/>
        </w:rPr>
        <w:t>,</w:t>
      </w:r>
      <w:r w:rsidR="00AA3C22" w:rsidRPr="00C9465D">
        <w:rPr>
          <w:rStyle w:val="FootnoteReference"/>
          <w:lang w:val="en-US"/>
        </w:rPr>
        <w:footnoteReference w:id="20"/>
      </w:r>
      <w:r w:rsidRPr="00C9465D">
        <w:rPr>
          <w:lang w:val="en-US"/>
        </w:rPr>
        <w:t xml:space="preserve"> insofar as they are in keeping with the purpose defined by the President in the order requiring them and th</w:t>
      </w:r>
      <w:r w:rsidR="00FC6A45" w:rsidRPr="00C9465D">
        <w:rPr>
          <w:lang w:val="en-US"/>
        </w:rPr>
        <w:t>at</w:t>
      </w:r>
      <w:r w:rsidRPr="00C9465D">
        <w:rPr>
          <w:lang w:val="en-US"/>
        </w:rPr>
        <w:t xml:space="preserve"> of the instant case.</w:t>
      </w:r>
    </w:p>
    <w:p w14:paraId="54EE95D8" w14:textId="1F9E33CF" w:rsidR="00AA3C22" w:rsidRPr="00C9465D" w:rsidRDefault="00193CBB" w:rsidP="00B71E4D">
      <w:pPr>
        <w:pStyle w:val="Numberedparagraphs"/>
        <w:rPr>
          <w:b/>
          <w:lang w:val="en-US" w:eastAsia="es-MX"/>
        </w:rPr>
      </w:pPr>
      <w:r w:rsidRPr="00C9465D">
        <w:rPr>
          <w:lang w:val="en-US" w:eastAsia="es-MX"/>
        </w:rPr>
        <w:t>The Court</w:t>
      </w:r>
      <w:r w:rsidR="00AA3C22" w:rsidRPr="00C9465D">
        <w:rPr>
          <w:lang w:val="en-US" w:eastAsia="es-MX"/>
        </w:rPr>
        <w:t xml:space="preserve"> not</w:t>
      </w:r>
      <w:r w:rsidR="00B71E4D" w:rsidRPr="00C9465D">
        <w:rPr>
          <w:lang w:val="en-US" w:eastAsia="es-MX"/>
        </w:rPr>
        <w:t xml:space="preserve">es that, even though its admissibility was not contested, the expert opinion of </w:t>
      </w:r>
      <w:r w:rsidR="00AA3C22" w:rsidRPr="00C9465D">
        <w:rPr>
          <w:lang w:val="en-US" w:eastAsia="es-MX"/>
        </w:rPr>
        <w:t xml:space="preserve">Carlos Ríos Espinosa </w:t>
      </w:r>
      <w:r w:rsidR="00B71E4D" w:rsidRPr="00C9465D">
        <w:rPr>
          <w:lang w:val="en-US" w:eastAsia="es-MX"/>
        </w:rPr>
        <w:t xml:space="preserve">offered by </w:t>
      </w:r>
      <w:r w:rsidRPr="00C9465D">
        <w:rPr>
          <w:lang w:val="en-US" w:eastAsia="es-MX"/>
        </w:rPr>
        <w:t>the Inter-American Commission</w:t>
      </w:r>
      <w:r w:rsidR="00AA3C22" w:rsidRPr="00C9465D">
        <w:rPr>
          <w:lang w:val="en-US" w:eastAsia="es-MX"/>
        </w:rPr>
        <w:t xml:space="preserve"> </w:t>
      </w:r>
      <w:r w:rsidR="00B71E4D" w:rsidRPr="00C9465D">
        <w:rPr>
          <w:lang w:val="en-US" w:eastAsia="es-MX"/>
        </w:rPr>
        <w:t xml:space="preserve">was not provided by affidavit. When submitting it, the expert witness indicated that he had not been able “to notarize the document owing to the health emergency in Mexico.” The Court considers that this justification is reasonable and is supported by reasons of </w:t>
      </w:r>
      <w:r w:rsidR="00B71E4D" w:rsidRPr="00C9465D">
        <w:rPr>
          <w:i/>
          <w:iCs/>
          <w:lang w:val="en-US" w:eastAsia="es-MX"/>
        </w:rPr>
        <w:t>force majeure</w:t>
      </w:r>
      <w:r w:rsidR="00B71E4D" w:rsidRPr="00C9465D">
        <w:rPr>
          <w:lang w:val="en-US" w:eastAsia="es-MX"/>
        </w:rPr>
        <w:t>.</w:t>
      </w:r>
      <w:r w:rsidR="00AA3C22" w:rsidRPr="00C9465D">
        <w:rPr>
          <w:rStyle w:val="FootnoteReference"/>
          <w:lang w:val="en-US" w:eastAsia="es-MX"/>
        </w:rPr>
        <w:footnoteReference w:id="21"/>
      </w:r>
      <w:r w:rsidR="00B71E4D" w:rsidRPr="00C9465D">
        <w:rPr>
          <w:lang w:val="en-US" w:eastAsia="es-MX"/>
        </w:rPr>
        <w:t xml:space="preserve"> Consequently, the expert opinion of Mr. </w:t>
      </w:r>
      <w:r w:rsidR="00AA3C22" w:rsidRPr="00C9465D">
        <w:rPr>
          <w:lang w:val="en-US" w:eastAsia="es-MX"/>
        </w:rPr>
        <w:t xml:space="preserve">Ríos Espinosa </w:t>
      </w:r>
      <w:r w:rsidR="00B71E4D" w:rsidRPr="00C9465D">
        <w:rPr>
          <w:lang w:val="en-US" w:eastAsia="es-MX"/>
        </w:rPr>
        <w:t xml:space="preserve">is admitted insofar as it is in keeping with the purpose defined by the President in the order of October 9, </w:t>
      </w:r>
      <w:r w:rsidR="00AA3C22" w:rsidRPr="00C9465D">
        <w:rPr>
          <w:lang w:val="en-US" w:eastAsia="es-MX"/>
        </w:rPr>
        <w:t>2020.</w:t>
      </w:r>
    </w:p>
    <w:p w14:paraId="766258F4" w14:textId="66A1420A" w:rsidR="00B94BE6" w:rsidRPr="00C9465D" w:rsidRDefault="00B94BE6" w:rsidP="00E5784B">
      <w:pPr>
        <w:pStyle w:val="Heading1"/>
        <w:rPr>
          <w:lang w:val="en-US"/>
        </w:rPr>
      </w:pPr>
      <w:bookmarkStart w:id="13" w:name="_Toc74298435"/>
      <w:r w:rsidRPr="00C9465D">
        <w:rPr>
          <w:lang w:val="en-US"/>
        </w:rPr>
        <w:t>V</w:t>
      </w:r>
      <w:r w:rsidRPr="00C9465D">
        <w:rPr>
          <w:lang w:val="en-US"/>
        </w:rPr>
        <w:br/>
      </w:r>
      <w:r w:rsidR="00E2299F" w:rsidRPr="00C9465D">
        <w:rPr>
          <w:lang w:val="en-US"/>
        </w:rPr>
        <w:t>PRELIMINARY CONSIDERATION</w:t>
      </w:r>
      <w:bookmarkEnd w:id="13"/>
    </w:p>
    <w:p w14:paraId="30AC13B9" w14:textId="47C98633" w:rsidR="00724C95" w:rsidRPr="00C9465D" w:rsidRDefault="00193CBB" w:rsidP="00940F60">
      <w:pPr>
        <w:pStyle w:val="Numberedparagraphs"/>
        <w:rPr>
          <w:lang w:val="en-US"/>
        </w:rPr>
      </w:pPr>
      <w:r w:rsidRPr="00C9465D">
        <w:rPr>
          <w:lang w:val="en-US"/>
        </w:rPr>
        <w:t xml:space="preserve">The </w:t>
      </w:r>
      <w:r w:rsidRPr="00C9465D">
        <w:rPr>
          <w:b/>
          <w:bCs/>
          <w:i/>
          <w:iCs/>
          <w:lang w:val="en-US"/>
        </w:rPr>
        <w:t>Commission</w:t>
      </w:r>
      <w:r w:rsidR="001536A7" w:rsidRPr="00C9465D">
        <w:rPr>
          <w:lang w:val="en-US"/>
        </w:rPr>
        <w:t>,</w:t>
      </w:r>
      <w:r w:rsidR="0048553E" w:rsidRPr="00C9465D">
        <w:rPr>
          <w:lang w:val="en-US"/>
        </w:rPr>
        <w:t xml:space="preserve"> </w:t>
      </w:r>
      <w:r w:rsidR="00875AC2" w:rsidRPr="00C9465D">
        <w:rPr>
          <w:lang w:val="en-US"/>
        </w:rPr>
        <w:t>in its</w:t>
      </w:r>
      <w:r w:rsidR="0048553E" w:rsidRPr="00C9465D">
        <w:rPr>
          <w:lang w:val="en-US"/>
        </w:rPr>
        <w:t xml:space="preserve"> </w:t>
      </w:r>
      <w:r w:rsidR="00577DE0" w:rsidRPr="00C9465D">
        <w:rPr>
          <w:lang w:val="en-US"/>
        </w:rPr>
        <w:t>Merits Report</w:t>
      </w:r>
      <w:r w:rsidR="001536A7" w:rsidRPr="00C9465D">
        <w:rPr>
          <w:lang w:val="en-US"/>
        </w:rPr>
        <w:t>,</w:t>
      </w:r>
      <w:r w:rsidR="0048553E" w:rsidRPr="00C9465D">
        <w:rPr>
          <w:lang w:val="en-US"/>
        </w:rPr>
        <w:t xml:space="preserve"> conclu</w:t>
      </w:r>
      <w:r w:rsidR="00875AC2" w:rsidRPr="00C9465D">
        <w:rPr>
          <w:lang w:val="en-US"/>
        </w:rPr>
        <w:t xml:space="preserve">ded that the violations </w:t>
      </w:r>
      <w:r w:rsidRPr="00C9465D">
        <w:rPr>
          <w:lang w:val="en-US"/>
        </w:rPr>
        <w:t>of the Convention</w:t>
      </w:r>
      <w:r w:rsidR="0048553E" w:rsidRPr="00C9465D">
        <w:rPr>
          <w:lang w:val="en-US"/>
        </w:rPr>
        <w:t xml:space="preserve"> ha</w:t>
      </w:r>
      <w:r w:rsidR="00875AC2" w:rsidRPr="00C9465D">
        <w:rPr>
          <w:lang w:val="en-US"/>
        </w:rPr>
        <w:t xml:space="preserve">d been </w:t>
      </w:r>
      <w:r w:rsidR="00577DE0" w:rsidRPr="00C9465D">
        <w:rPr>
          <w:lang w:val="en-US"/>
        </w:rPr>
        <w:t>to the detriment of</w:t>
      </w:r>
      <w:r w:rsidR="0048553E" w:rsidRPr="00C9465D">
        <w:rPr>
          <w:lang w:val="en-US"/>
        </w:rPr>
        <w:t xml:space="preserve"> Luis Eduardo Guachalá Chimbo</w:t>
      </w:r>
      <w:r w:rsidRPr="00C9465D">
        <w:rPr>
          <w:lang w:val="en-US"/>
        </w:rPr>
        <w:t xml:space="preserve"> and</w:t>
      </w:r>
      <w:r w:rsidR="00940F60" w:rsidRPr="00C9465D">
        <w:rPr>
          <w:lang w:val="en-US"/>
        </w:rPr>
        <w:t xml:space="preserve"> his family members. The section of the report on “Proven facts” reveals that the Luis Eduardo’s family included his mother,  </w:t>
      </w:r>
      <w:r w:rsidR="00724C95" w:rsidRPr="00C9465D">
        <w:rPr>
          <w:lang w:val="en-US"/>
        </w:rPr>
        <w:t>Zoila Chimbo Jarro</w:t>
      </w:r>
      <w:r w:rsidR="00EC136F" w:rsidRPr="00C9465D">
        <w:rPr>
          <w:lang w:val="en-US"/>
        </w:rPr>
        <w:t xml:space="preserve">, </w:t>
      </w:r>
      <w:r w:rsidR="00940F60" w:rsidRPr="00C9465D">
        <w:rPr>
          <w:lang w:val="en-US"/>
        </w:rPr>
        <w:t>his sisters</w:t>
      </w:r>
      <w:r w:rsidR="00724C95" w:rsidRPr="00C9465D">
        <w:rPr>
          <w:lang w:val="en-US"/>
        </w:rPr>
        <w:t>, Martha, Nancy</w:t>
      </w:r>
      <w:r w:rsidR="00BD451E" w:rsidRPr="00C9465D">
        <w:rPr>
          <w:lang w:val="en-US"/>
        </w:rPr>
        <w:t xml:space="preserve">, </w:t>
      </w:r>
      <w:r w:rsidR="00724C95" w:rsidRPr="00C9465D">
        <w:rPr>
          <w:lang w:val="en-US"/>
        </w:rPr>
        <w:t>Alexandra,</w:t>
      </w:r>
      <w:r w:rsidRPr="00C9465D">
        <w:rPr>
          <w:lang w:val="en-US"/>
        </w:rPr>
        <w:t xml:space="preserve"> and </w:t>
      </w:r>
      <w:r w:rsidR="00940F60" w:rsidRPr="00C9465D">
        <w:rPr>
          <w:lang w:val="en-US"/>
        </w:rPr>
        <w:t xml:space="preserve">his brother, </w:t>
      </w:r>
      <w:r w:rsidR="00724C95" w:rsidRPr="00C9465D">
        <w:rPr>
          <w:lang w:val="en-US"/>
        </w:rPr>
        <w:t xml:space="preserve">Ángel. </w:t>
      </w:r>
      <w:r w:rsidR="00940F60" w:rsidRPr="00C9465D">
        <w:rPr>
          <w:lang w:val="en-US"/>
        </w:rPr>
        <w:t>However</w:t>
      </w:r>
      <w:r w:rsidR="00724C95" w:rsidRPr="00C9465D">
        <w:rPr>
          <w:lang w:val="en-US"/>
        </w:rPr>
        <w:t xml:space="preserve">, </w:t>
      </w:r>
      <w:r w:rsidRPr="00C9465D">
        <w:rPr>
          <w:lang w:val="en-US"/>
        </w:rPr>
        <w:t xml:space="preserve">the </w:t>
      </w:r>
      <w:r w:rsidRPr="00C9465D">
        <w:rPr>
          <w:b/>
          <w:bCs/>
          <w:i/>
          <w:iCs/>
          <w:lang w:val="en-US"/>
        </w:rPr>
        <w:t>representatives</w:t>
      </w:r>
      <w:r w:rsidR="00EC136F" w:rsidRPr="00C9465D">
        <w:rPr>
          <w:lang w:val="en-US"/>
        </w:rPr>
        <w:t xml:space="preserve"> indic</w:t>
      </w:r>
      <w:r w:rsidR="00724C95" w:rsidRPr="00C9465D">
        <w:rPr>
          <w:lang w:val="en-US"/>
        </w:rPr>
        <w:t>a</w:t>
      </w:r>
      <w:r w:rsidR="00940F60" w:rsidRPr="00C9465D">
        <w:rPr>
          <w:lang w:val="en-US"/>
        </w:rPr>
        <w:t xml:space="preserve">ted that Luis Eduardo’s siblings were </w:t>
      </w:r>
      <w:r w:rsidR="00724C95" w:rsidRPr="00C9465D">
        <w:rPr>
          <w:lang w:val="en-US"/>
        </w:rPr>
        <w:t>Carmen, Nancy, Ángel, Martha, Medardo (</w:t>
      </w:r>
      <w:r w:rsidR="00940F60" w:rsidRPr="00C9465D">
        <w:rPr>
          <w:lang w:val="en-US"/>
        </w:rPr>
        <w:t>deceased in</w:t>
      </w:r>
      <w:r w:rsidR="00724C95" w:rsidRPr="00C9465D">
        <w:rPr>
          <w:lang w:val="en-US"/>
        </w:rPr>
        <w:t xml:space="preserve"> 2019)</w:t>
      </w:r>
      <w:r w:rsidRPr="00C9465D">
        <w:rPr>
          <w:lang w:val="en-US"/>
        </w:rPr>
        <w:t xml:space="preserve"> and </w:t>
      </w:r>
      <w:r w:rsidR="00724C95" w:rsidRPr="00C9465D">
        <w:rPr>
          <w:lang w:val="en-US"/>
        </w:rPr>
        <w:t xml:space="preserve">Leonardo. </w:t>
      </w:r>
      <w:r w:rsidR="00940F60" w:rsidRPr="00C9465D">
        <w:rPr>
          <w:lang w:val="en-US"/>
        </w:rPr>
        <w:t xml:space="preserve">Also, they clarified that </w:t>
      </w:r>
      <w:r w:rsidR="00BD451E" w:rsidRPr="00C9465D">
        <w:rPr>
          <w:lang w:val="en-US"/>
        </w:rPr>
        <w:t xml:space="preserve">Jessica Alexandra Guangaje Farinango </w:t>
      </w:r>
      <w:r w:rsidR="00940F60" w:rsidRPr="00C9465D">
        <w:rPr>
          <w:lang w:val="en-US"/>
        </w:rPr>
        <w:t xml:space="preserve">is not </w:t>
      </w:r>
      <w:r w:rsidR="002F3237" w:rsidRPr="00C9465D">
        <w:rPr>
          <w:lang w:val="en-US"/>
        </w:rPr>
        <w:t>Mr. Guachalá</w:t>
      </w:r>
      <w:r w:rsidR="00940F60" w:rsidRPr="00C9465D">
        <w:rPr>
          <w:lang w:val="en-US"/>
        </w:rPr>
        <w:t xml:space="preserve">’s sister, as </w:t>
      </w:r>
      <w:r w:rsidRPr="00C9465D">
        <w:rPr>
          <w:lang w:val="en-US"/>
        </w:rPr>
        <w:t>the Commission</w:t>
      </w:r>
      <w:r w:rsidR="00940F60" w:rsidRPr="00C9465D">
        <w:rPr>
          <w:lang w:val="en-US"/>
        </w:rPr>
        <w:t xml:space="preserve"> had indicated, but rather his niece. Lastly, they asked that compensation be granted to </w:t>
      </w:r>
      <w:r w:rsidR="00DF0C44" w:rsidRPr="00C9465D">
        <w:rPr>
          <w:rFonts w:cs="Times New Roman"/>
          <w:lang w:val="en-US"/>
        </w:rPr>
        <w:t>Luis Eduardo Guachalá</w:t>
      </w:r>
      <w:r w:rsidR="00940F60" w:rsidRPr="00C9465D">
        <w:rPr>
          <w:rFonts w:cs="Times New Roman"/>
          <w:lang w:val="en-US"/>
        </w:rPr>
        <w:t>’s niece</w:t>
      </w:r>
      <w:r w:rsidR="00DF0C44" w:rsidRPr="00C9465D">
        <w:rPr>
          <w:rFonts w:cs="Times New Roman"/>
          <w:lang w:val="en-US"/>
        </w:rPr>
        <w:t>, Diana Farinango, “</w:t>
      </w:r>
      <w:r w:rsidR="00940F60" w:rsidRPr="00C9465D">
        <w:rPr>
          <w:rFonts w:cs="Times New Roman"/>
          <w:lang w:val="en-US"/>
        </w:rPr>
        <w:t xml:space="preserve">who has provided significant support to </w:t>
      </w:r>
      <w:r w:rsidR="00DF0C44" w:rsidRPr="00C9465D">
        <w:rPr>
          <w:rFonts w:cs="Times New Roman"/>
          <w:lang w:val="en-US"/>
        </w:rPr>
        <w:t xml:space="preserve">doña Zoila </w:t>
      </w:r>
      <w:r w:rsidR="00940F60" w:rsidRPr="00C9465D">
        <w:rPr>
          <w:rFonts w:cs="Times New Roman"/>
          <w:lang w:val="en-US"/>
        </w:rPr>
        <w:t xml:space="preserve">in the struggle to find her son.” </w:t>
      </w:r>
      <w:r w:rsidRPr="00C9465D">
        <w:rPr>
          <w:lang w:val="en-US"/>
        </w:rPr>
        <w:t xml:space="preserve">The </w:t>
      </w:r>
      <w:r w:rsidRPr="00C9465D">
        <w:rPr>
          <w:b/>
          <w:bCs/>
          <w:i/>
          <w:iCs/>
          <w:lang w:val="en-US"/>
        </w:rPr>
        <w:t>State</w:t>
      </w:r>
      <w:r w:rsidR="005B0272" w:rsidRPr="00C9465D">
        <w:rPr>
          <w:lang w:val="en-US"/>
        </w:rPr>
        <w:t xml:space="preserve"> </w:t>
      </w:r>
      <w:r w:rsidR="00940F60" w:rsidRPr="00C9465D">
        <w:rPr>
          <w:lang w:val="en-US"/>
        </w:rPr>
        <w:t>stressed that, in this case, it was necessary to identify the possible beneficiaries of</w:t>
      </w:r>
      <w:r w:rsidR="00EC136F" w:rsidRPr="00C9465D">
        <w:rPr>
          <w:lang w:val="en-US"/>
        </w:rPr>
        <w:t xml:space="preserve"> </w:t>
      </w:r>
      <w:r w:rsidR="00CF3A9D" w:rsidRPr="00C9465D">
        <w:rPr>
          <w:lang w:val="en-US"/>
        </w:rPr>
        <w:t>measures of reparation</w:t>
      </w:r>
      <w:r w:rsidR="005B0272" w:rsidRPr="00C9465D">
        <w:rPr>
          <w:lang w:val="en-US"/>
        </w:rPr>
        <w:t xml:space="preserve">. </w:t>
      </w:r>
    </w:p>
    <w:p w14:paraId="3F89B3F2" w14:textId="211B0C60" w:rsidR="00724C95" w:rsidRPr="00C9465D" w:rsidRDefault="00193CBB" w:rsidP="005534DA">
      <w:pPr>
        <w:pStyle w:val="Numberedparagraphs"/>
        <w:rPr>
          <w:lang w:val="en-US"/>
        </w:rPr>
      </w:pPr>
      <w:r w:rsidRPr="00C9465D">
        <w:rPr>
          <w:lang w:val="en-US"/>
        </w:rPr>
        <w:t>The Court</w:t>
      </w:r>
      <w:r w:rsidR="00724C95" w:rsidRPr="00C9465D">
        <w:rPr>
          <w:lang w:val="en-US"/>
        </w:rPr>
        <w:t xml:space="preserve"> </w:t>
      </w:r>
      <w:r w:rsidR="00940F60" w:rsidRPr="00C9465D">
        <w:rPr>
          <w:lang w:val="en-US"/>
        </w:rPr>
        <w:t>recalls that</w:t>
      </w:r>
      <w:r w:rsidR="00724C95" w:rsidRPr="00C9465D">
        <w:rPr>
          <w:lang w:val="en-US"/>
        </w:rPr>
        <w:t xml:space="preserve"> </w:t>
      </w:r>
      <w:r w:rsidRPr="00C9465D">
        <w:rPr>
          <w:lang w:val="en-US"/>
        </w:rPr>
        <w:t>Article</w:t>
      </w:r>
      <w:r w:rsidR="00724C95" w:rsidRPr="00C9465D">
        <w:rPr>
          <w:lang w:val="en-US"/>
        </w:rPr>
        <w:t xml:space="preserve"> 3</w:t>
      </w:r>
      <w:r w:rsidR="00577DE0" w:rsidRPr="00C9465D">
        <w:rPr>
          <w:lang w:val="en-US"/>
        </w:rPr>
        <w:t>5(1)</w:t>
      </w:r>
      <w:r w:rsidRPr="00C9465D">
        <w:rPr>
          <w:lang w:val="en-US"/>
        </w:rPr>
        <w:t xml:space="preserve"> of the Rules of Procedure</w:t>
      </w:r>
      <w:r w:rsidR="00724C95" w:rsidRPr="00C9465D">
        <w:rPr>
          <w:lang w:val="en-US"/>
        </w:rPr>
        <w:t xml:space="preserve"> </w:t>
      </w:r>
      <w:r w:rsidR="00940F60" w:rsidRPr="00C9465D">
        <w:rPr>
          <w:lang w:val="en-US"/>
        </w:rPr>
        <w:t>establish</w:t>
      </w:r>
      <w:r w:rsidR="00FC6A45" w:rsidRPr="00C9465D">
        <w:rPr>
          <w:lang w:val="en-US"/>
        </w:rPr>
        <w:t xml:space="preserve">es </w:t>
      </w:r>
      <w:r w:rsidR="00940F60" w:rsidRPr="00C9465D">
        <w:rPr>
          <w:lang w:val="en-US"/>
        </w:rPr>
        <w:t xml:space="preserve">that the case </w:t>
      </w:r>
      <w:r w:rsidR="00FC6A45" w:rsidRPr="00C9465D">
        <w:rPr>
          <w:lang w:val="en-US"/>
        </w:rPr>
        <w:t>must</w:t>
      </w:r>
      <w:r w:rsidR="00940F60" w:rsidRPr="00C9465D">
        <w:rPr>
          <w:lang w:val="en-US"/>
        </w:rPr>
        <w:t xml:space="preserve"> be presented to it by the submission of the </w:t>
      </w:r>
      <w:r w:rsidR="00577DE0" w:rsidRPr="00C9465D">
        <w:rPr>
          <w:lang w:val="en-US"/>
        </w:rPr>
        <w:t>Merits Report</w:t>
      </w:r>
      <w:r w:rsidR="00940F60" w:rsidRPr="00C9465D">
        <w:rPr>
          <w:lang w:val="en-US"/>
        </w:rPr>
        <w:t xml:space="preserve"> which should contain the identification of </w:t>
      </w:r>
      <w:r w:rsidR="00577DE0" w:rsidRPr="00C9465D">
        <w:rPr>
          <w:lang w:val="en-US"/>
        </w:rPr>
        <w:t>the presumed victims</w:t>
      </w:r>
      <w:r w:rsidR="00724C95" w:rsidRPr="00C9465D">
        <w:rPr>
          <w:lang w:val="en-US"/>
        </w:rPr>
        <w:t xml:space="preserve">. </w:t>
      </w:r>
      <w:r w:rsidR="00940F60" w:rsidRPr="00C9465D">
        <w:rPr>
          <w:lang w:val="en-US"/>
        </w:rPr>
        <w:t xml:space="preserve">Consequently, it corresponds to </w:t>
      </w:r>
      <w:r w:rsidRPr="00C9465D">
        <w:rPr>
          <w:lang w:val="en-US"/>
        </w:rPr>
        <w:t>the Commission</w:t>
      </w:r>
      <w:r w:rsidR="00724C95" w:rsidRPr="00C9465D">
        <w:rPr>
          <w:lang w:val="en-US"/>
        </w:rPr>
        <w:t xml:space="preserve"> </w:t>
      </w:r>
      <w:r w:rsidR="00940F60" w:rsidRPr="00C9465D">
        <w:rPr>
          <w:lang w:val="en-US"/>
        </w:rPr>
        <w:t xml:space="preserve">to identify the presumed victims </w:t>
      </w:r>
      <w:r w:rsidR="005534DA" w:rsidRPr="00C9465D">
        <w:rPr>
          <w:lang w:val="en-US"/>
        </w:rPr>
        <w:t>in each case before the Court</w:t>
      </w:r>
      <w:r w:rsidR="00940F60" w:rsidRPr="00C9465D">
        <w:rPr>
          <w:lang w:val="en-US"/>
        </w:rPr>
        <w:t xml:space="preserve"> precisely and at the proper </w:t>
      </w:r>
      <w:r w:rsidR="00940F60" w:rsidRPr="00C9465D">
        <w:rPr>
          <w:lang w:val="en-US"/>
        </w:rPr>
        <w:lastRenderedPageBreak/>
        <w:t>procedural moment</w:t>
      </w:r>
      <w:r w:rsidR="005534DA" w:rsidRPr="00C9465D">
        <w:rPr>
          <w:lang w:val="en-US"/>
        </w:rPr>
        <w:t>,</w:t>
      </w:r>
      <w:r w:rsidR="00724C95" w:rsidRPr="00C9465D">
        <w:rPr>
          <w:rStyle w:val="FootnoteReference"/>
          <w:lang w:val="en-US"/>
        </w:rPr>
        <w:footnoteReference w:id="22"/>
      </w:r>
      <w:r w:rsidR="005534DA" w:rsidRPr="00C9465D">
        <w:rPr>
          <w:lang w:val="en-US"/>
        </w:rPr>
        <w:t xml:space="preserve"> unless the exceptional circumstances established in </w:t>
      </w:r>
      <w:r w:rsidRPr="00C9465D">
        <w:rPr>
          <w:lang w:val="en-US"/>
        </w:rPr>
        <w:t>Article</w:t>
      </w:r>
      <w:r w:rsidR="00724C95" w:rsidRPr="00C9465D">
        <w:rPr>
          <w:lang w:val="en-US"/>
        </w:rPr>
        <w:t xml:space="preserve"> 35</w:t>
      </w:r>
      <w:r w:rsidR="005534DA" w:rsidRPr="00C9465D">
        <w:rPr>
          <w:lang w:val="en-US"/>
        </w:rPr>
        <w:t>(</w:t>
      </w:r>
      <w:r w:rsidR="00724C95" w:rsidRPr="00C9465D">
        <w:rPr>
          <w:lang w:val="en-US"/>
        </w:rPr>
        <w:t>2</w:t>
      </w:r>
      <w:r w:rsidR="005534DA" w:rsidRPr="00C9465D">
        <w:rPr>
          <w:lang w:val="en-US"/>
        </w:rPr>
        <w:t>)</w:t>
      </w:r>
      <w:r w:rsidRPr="00C9465D">
        <w:rPr>
          <w:lang w:val="en-US"/>
        </w:rPr>
        <w:t xml:space="preserve"> of the </w:t>
      </w:r>
      <w:r w:rsidR="005534DA" w:rsidRPr="00C9465D">
        <w:rPr>
          <w:lang w:val="en-US"/>
        </w:rPr>
        <w:t xml:space="preserve">Court’s </w:t>
      </w:r>
      <w:r w:rsidRPr="00C9465D">
        <w:rPr>
          <w:lang w:val="en-US"/>
        </w:rPr>
        <w:t xml:space="preserve">Rules of Procedure </w:t>
      </w:r>
      <w:r w:rsidR="005534DA" w:rsidRPr="00C9465D">
        <w:rPr>
          <w:lang w:val="en-US"/>
        </w:rPr>
        <w:t>are involved, according to which, when it has been justified that it was not possible to identify them in cases of massive or collective violations, the Court will decide at the appropriate time who to consider victims according to the nature of the violation.</w:t>
      </w:r>
      <w:r w:rsidR="00724C95" w:rsidRPr="00C9465D">
        <w:rPr>
          <w:rStyle w:val="FootnoteReference"/>
          <w:lang w:val="en-US"/>
        </w:rPr>
        <w:footnoteReference w:id="23"/>
      </w:r>
    </w:p>
    <w:p w14:paraId="20C91F49" w14:textId="5CA914D1" w:rsidR="00724C95" w:rsidRPr="00C9465D" w:rsidRDefault="00B71E4D" w:rsidP="00724C95">
      <w:pPr>
        <w:pStyle w:val="Numberedparagraphs"/>
        <w:rPr>
          <w:lang w:val="en-US"/>
        </w:rPr>
      </w:pPr>
      <w:r w:rsidRPr="00C9465D">
        <w:rPr>
          <w:lang w:val="en-US"/>
        </w:rPr>
        <w:t>This Court</w:t>
      </w:r>
      <w:r w:rsidR="00802841" w:rsidRPr="00C9465D">
        <w:rPr>
          <w:lang w:val="en-US"/>
        </w:rPr>
        <w:t xml:space="preserve"> ha</w:t>
      </w:r>
      <w:r w:rsidR="005534DA" w:rsidRPr="00C9465D">
        <w:rPr>
          <w:lang w:val="en-US"/>
        </w:rPr>
        <w:t xml:space="preserve">s verified that, in the Merits Report, </w:t>
      </w:r>
      <w:r w:rsidR="00193CBB" w:rsidRPr="00C9465D">
        <w:rPr>
          <w:lang w:val="en-US"/>
        </w:rPr>
        <w:t>the Commission</w:t>
      </w:r>
      <w:r w:rsidR="00724C95" w:rsidRPr="00C9465D">
        <w:rPr>
          <w:lang w:val="en-US"/>
        </w:rPr>
        <w:t xml:space="preserve"> </w:t>
      </w:r>
      <w:r w:rsidR="005534DA" w:rsidRPr="00C9465D">
        <w:rPr>
          <w:lang w:val="en-US"/>
        </w:rPr>
        <w:t xml:space="preserve">did not determine that </w:t>
      </w:r>
      <w:r w:rsidR="00724C95" w:rsidRPr="00C9465D">
        <w:rPr>
          <w:lang w:val="en-US"/>
        </w:rPr>
        <w:t xml:space="preserve">Carmen Guachalá Chimbo, </w:t>
      </w:r>
      <w:r w:rsidR="00E628FE" w:rsidRPr="00C9465D">
        <w:rPr>
          <w:lang w:val="en-US"/>
        </w:rPr>
        <w:t>Luis Medardo Farinango Chimbo</w:t>
      </w:r>
      <w:r w:rsidR="00DF0C44" w:rsidRPr="00C9465D">
        <w:rPr>
          <w:lang w:val="en-US"/>
        </w:rPr>
        <w:t>,</w:t>
      </w:r>
      <w:r w:rsidR="00724C95" w:rsidRPr="00C9465D">
        <w:rPr>
          <w:lang w:val="en-US"/>
        </w:rPr>
        <w:t xml:space="preserve"> </w:t>
      </w:r>
      <w:r w:rsidR="00E628FE" w:rsidRPr="00C9465D">
        <w:rPr>
          <w:lang w:val="en-US"/>
        </w:rPr>
        <w:t>Leonardo Farinango Chimbo</w:t>
      </w:r>
      <w:r w:rsidR="00193CBB" w:rsidRPr="00C9465D">
        <w:rPr>
          <w:lang w:val="en-US"/>
        </w:rPr>
        <w:t xml:space="preserve"> and </w:t>
      </w:r>
      <w:r w:rsidR="00DF0C44" w:rsidRPr="00C9465D">
        <w:rPr>
          <w:rFonts w:cs="Times New Roman"/>
          <w:lang w:val="en-US"/>
        </w:rPr>
        <w:t>Diana Farinango</w:t>
      </w:r>
      <w:r w:rsidR="00724C95" w:rsidRPr="00C9465D">
        <w:rPr>
          <w:lang w:val="en-US"/>
        </w:rPr>
        <w:t xml:space="preserve"> </w:t>
      </w:r>
      <w:r w:rsidR="005534DA" w:rsidRPr="00C9465D">
        <w:rPr>
          <w:lang w:val="en-US"/>
        </w:rPr>
        <w:t xml:space="preserve">were presumed victims. Also, it notes that, in this case, the exception established in </w:t>
      </w:r>
      <w:r w:rsidR="00193CBB" w:rsidRPr="00C9465D">
        <w:rPr>
          <w:lang w:val="en-US"/>
        </w:rPr>
        <w:t>Article</w:t>
      </w:r>
      <w:r w:rsidR="00802841" w:rsidRPr="00C9465D">
        <w:rPr>
          <w:lang w:val="en-US"/>
        </w:rPr>
        <w:t xml:space="preserve"> 35</w:t>
      </w:r>
      <w:r w:rsidR="005534DA" w:rsidRPr="00C9465D">
        <w:rPr>
          <w:lang w:val="en-US"/>
        </w:rPr>
        <w:t>(</w:t>
      </w:r>
      <w:r w:rsidR="00802841" w:rsidRPr="00C9465D">
        <w:rPr>
          <w:lang w:val="en-US"/>
        </w:rPr>
        <w:t>2</w:t>
      </w:r>
      <w:r w:rsidR="005534DA" w:rsidRPr="00C9465D">
        <w:rPr>
          <w:lang w:val="en-US"/>
        </w:rPr>
        <w:t>)</w:t>
      </w:r>
      <w:r w:rsidR="00193CBB" w:rsidRPr="00C9465D">
        <w:rPr>
          <w:lang w:val="en-US"/>
        </w:rPr>
        <w:t xml:space="preserve"> of the Rules of Procedure</w:t>
      </w:r>
      <w:r w:rsidR="005534DA" w:rsidRPr="00C9465D">
        <w:rPr>
          <w:lang w:val="en-US"/>
        </w:rPr>
        <w:t xml:space="preserve"> is not applicable</w:t>
      </w:r>
      <w:r w:rsidR="00802841" w:rsidRPr="00C9465D">
        <w:rPr>
          <w:lang w:val="en-US"/>
        </w:rPr>
        <w:t>.</w:t>
      </w:r>
    </w:p>
    <w:p w14:paraId="5EC1FB39" w14:textId="4122989D" w:rsidR="00724C95" w:rsidRPr="00C9465D" w:rsidRDefault="005534DA" w:rsidP="00802841">
      <w:pPr>
        <w:pStyle w:val="Numberedparagraphs"/>
        <w:rPr>
          <w:lang w:val="en-US"/>
        </w:rPr>
      </w:pPr>
      <w:bookmarkStart w:id="14" w:name="_Ref43206636"/>
      <w:bookmarkStart w:id="15" w:name="_Ref72159392"/>
      <w:r w:rsidRPr="00C9465D">
        <w:rPr>
          <w:lang w:val="en-US"/>
        </w:rPr>
        <w:t xml:space="preserve">Therefore, the Court considers that, pursuant to </w:t>
      </w:r>
      <w:r w:rsidR="007A3CA5" w:rsidRPr="00C9465D">
        <w:rPr>
          <w:lang w:val="en-US"/>
        </w:rPr>
        <w:t>Article</w:t>
      </w:r>
      <w:r w:rsidR="00724C95" w:rsidRPr="00C9465D">
        <w:rPr>
          <w:lang w:val="en-US"/>
        </w:rPr>
        <w:t xml:space="preserve"> 3</w:t>
      </w:r>
      <w:r w:rsidR="00577DE0" w:rsidRPr="00C9465D">
        <w:rPr>
          <w:lang w:val="en-US"/>
        </w:rPr>
        <w:t>5(1)</w:t>
      </w:r>
      <w:r w:rsidR="00193CBB" w:rsidRPr="00C9465D">
        <w:rPr>
          <w:lang w:val="en-US"/>
        </w:rPr>
        <w:t xml:space="preserve"> of the Rules of Procedure</w:t>
      </w:r>
      <w:r w:rsidR="00724C95" w:rsidRPr="00C9465D">
        <w:rPr>
          <w:lang w:val="en-US"/>
        </w:rPr>
        <w:t xml:space="preserve">, </w:t>
      </w:r>
      <w:r w:rsidRPr="00C9465D">
        <w:rPr>
          <w:lang w:val="en-US"/>
        </w:rPr>
        <w:t xml:space="preserve">to safeguard procedural balance between the parties and the State’s right of defense, </w:t>
      </w:r>
      <w:r w:rsidR="00193CBB" w:rsidRPr="00C9465D">
        <w:rPr>
          <w:lang w:val="en-US"/>
        </w:rPr>
        <w:t>the representatives</w:t>
      </w:r>
      <w:r w:rsidRPr="00C9465D">
        <w:rPr>
          <w:lang w:val="en-US"/>
        </w:rPr>
        <w:t xml:space="preserve">’ request to include other members of </w:t>
      </w:r>
      <w:r w:rsidR="00AD777E" w:rsidRPr="00C9465D">
        <w:rPr>
          <w:lang w:val="en-US"/>
        </w:rPr>
        <w:t>Luis Eduardo Guachalá Chimbo</w:t>
      </w:r>
      <w:r w:rsidRPr="00C9465D">
        <w:rPr>
          <w:lang w:val="en-US"/>
        </w:rPr>
        <w:t>’s family as presumed victims is not appropriate.</w:t>
      </w:r>
      <w:r w:rsidR="00724C95" w:rsidRPr="00C9465D">
        <w:rPr>
          <w:rStyle w:val="FootnoteReference"/>
          <w:lang w:val="en-US"/>
        </w:rPr>
        <w:footnoteReference w:id="24"/>
      </w:r>
      <w:bookmarkEnd w:id="14"/>
      <w:r w:rsidRPr="00C9465D">
        <w:rPr>
          <w:lang w:val="en-US"/>
        </w:rPr>
        <w:t xml:space="preserve"> Consequently, it is only able to consider as presumed victims the persons identified as such in the </w:t>
      </w:r>
      <w:r w:rsidR="00577DE0" w:rsidRPr="00C9465D">
        <w:rPr>
          <w:lang w:val="en-US"/>
        </w:rPr>
        <w:t>Merits Report</w:t>
      </w:r>
      <w:r w:rsidR="00F22C5C" w:rsidRPr="00C9465D">
        <w:rPr>
          <w:lang w:val="en-US"/>
        </w:rPr>
        <w:t>,</w:t>
      </w:r>
      <w:r w:rsidR="00AD777E" w:rsidRPr="00C9465D">
        <w:rPr>
          <w:lang w:val="en-US"/>
        </w:rPr>
        <w:t xml:space="preserve"> </w:t>
      </w:r>
      <w:r w:rsidRPr="00C9465D">
        <w:rPr>
          <w:lang w:val="en-US"/>
        </w:rPr>
        <w:t>namely</w:t>
      </w:r>
      <w:r w:rsidR="00AD777E" w:rsidRPr="00C9465D">
        <w:rPr>
          <w:lang w:val="en-US"/>
        </w:rPr>
        <w:t>:</w:t>
      </w:r>
      <w:r w:rsidR="00F22C5C" w:rsidRPr="00C9465D">
        <w:rPr>
          <w:lang w:val="en-US"/>
        </w:rPr>
        <w:t xml:space="preserve"> Luis Eduardo Guachalá Chimbo, </w:t>
      </w:r>
      <w:r w:rsidR="000C55B3" w:rsidRPr="00C9465D">
        <w:rPr>
          <w:lang w:val="en-US"/>
        </w:rPr>
        <w:t xml:space="preserve">his mother, </w:t>
      </w:r>
      <w:r w:rsidR="00F22C5C" w:rsidRPr="00C9465D">
        <w:rPr>
          <w:lang w:val="en-US"/>
        </w:rPr>
        <w:t xml:space="preserve">Zoila Chimbo Jarro, </w:t>
      </w:r>
      <w:r w:rsidR="000C55B3" w:rsidRPr="00C9465D">
        <w:rPr>
          <w:lang w:val="en-US"/>
        </w:rPr>
        <w:t>his sisters</w:t>
      </w:r>
      <w:r w:rsidR="00F22C5C" w:rsidRPr="00C9465D">
        <w:rPr>
          <w:lang w:val="en-US"/>
        </w:rPr>
        <w:t>, Martha Cecilia Farinango</w:t>
      </w:r>
      <w:r w:rsidR="00D61212" w:rsidRPr="00C9465D">
        <w:rPr>
          <w:lang w:val="en-US"/>
        </w:rPr>
        <w:t xml:space="preserve"> Chimbo</w:t>
      </w:r>
      <w:r w:rsidR="00F22C5C" w:rsidRPr="00C9465D">
        <w:rPr>
          <w:lang w:val="en-US"/>
        </w:rPr>
        <w:t xml:space="preserve">, Nancy Guachalá Chimbo, </w:t>
      </w:r>
      <w:r w:rsidR="000C55B3" w:rsidRPr="00C9465D">
        <w:rPr>
          <w:lang w:val="en-US"/>
        </w:rPr>
        <w:t>his brother,</w:t>
      </w:r>
      <w:r w:rsidR="00F22C5C" w:rsidRPr="00C9465D">
        <w:rPr>
          <w:lang w:val="en-US"/>
        </w:rPr>
        <w:t xml:space="preserve"> Ángel Segundo Guachalá Chimbo</w:t>
      </w:r>
      <w:r w:rsidR="000C55B3" w:rsidRPr="00C9465D">
        <w:rPr>
          <w:lang w:val="en-US"/>
        </w:rPr>
        <w:t>,</w:t>
      </w:r>
      <w:r w:rsidR="00193CBB" w:rsidRPr="00C9465D">
        <w:rPr>
          <w:lang w:val="en-US"/>
        </w:rPr>
        <w:t xml:space="preserve"> and </w:t>
      </w:r>
      <w:r w:rsidR="000C55B3" w:rsidRPr="00C9465D">
        <w:rPr>
          <w:lang w:val="en-US"/>
        </w:rPr>
        <w:t xml:space="preserve">his niece, </w:t>
      </w:r>
      <w:r w:rsidR="00F22C5C" w:rsidRPr="00C9465D">
        <w:rPr>
          <w:lang w:val="en-US"/>
        </w:rPr>
        <w:t>Jessica Alexandra Guangaje Farinango.</w:t>
      </w:r>
      <w:bookmarkEnd w:id="15"/>
    </w:p>
    <w:p w14:paraId="4B95513A" w14:textId="07B2FA8E" w:rsidR="00310F0B" w:rsidRPr="00C9465D" w:rsidRDefault="00B94BE6" w:rsidP="00E5784B">
      <w:pPr>
        <w:pStyle w:val="Heading1"/>
        <w:rPr>
          <w:lang w:val="en-US"/>
        </w:rPr>
      </w:pPr>
      <w:bookmarkStart w:id="16" w:name="_Toc74298436"/>
      <w:r w:rsidRPr="00C9465D">
        <w:rPr>
          <w:lang w:val="en-US"/>
        </w:rPr>
        <w:t>VI</w:t>
      </w:r>
      <w:r w:rsidRPr="00C9465D">
        <w:rPr>
          <w:lang w:val="en-US"/>
        </w:rPr>
        <w:br/>
      </w:r>
      <w:r w:rsidR="00E2299F" w:rsidRPr="00C9465D">
        <w:rPr>
          <w:lang w:val="en-US"/>
        </w:rPr>
        <w:t>FACTS</w:t>
      </w:r>
      <w:bookmarkEnd w:id="16"/>
    </w:p>
    <w:p w14:paraId="1D6AC337" w14:textId="45FC6095" w:rsidR="000628B8" w:rsidRPr="00C9465D" w:rsidRDefault="000628B8" w:rsidP="00BB407B">
      <w:pPr>
        <w:pStyle w:val="Heading2"/>
        <w:rPr>
          <w:lang w:val="en-US"/>
        </w:rPr>
      </w:pPr>
      <w:bookmarkStart w:id="17" w:name="_Toc74298437"/>
      <w:r w:rsidRPr="00C9465D">
        <w:rPr>
          <w:lang w:val="en-US"/>
        </w:rPr>
        <w:t>Luis Eduardo Guachalá Chimbo</w:t>
      </w:r>
      <w:r w:rsidR="00193CBB" w:rsidRPr="00C9465D">
        <w:rPr>
          <w:lang w:val="en-US"/>
        </w:rPr>
        <w:t xml:space="preserve"> and </w:t>
      </w:r>
      <w:bookmarkEnd w:id="17"/>
      <w:r w:rsidR="000C55B3" w:rsidRPr="00C9465D">
        <w:rPr>
          <w:lang w:val="en-US"/>
        </w:rPr>
        <w:t>his immediate family</w:t>
      </w:r>
    </w:p>
    <w:p w14:paraId="63FACEE5" w14:textId="2422887D" w:rsidR="00F70AE4" w:rsidRPr="00C9465D" w:rsidRDefault="000628B8" w:rsidP="00AA3C22">
      <w:pPr>
        <w:pStyle w:val="Numberedparagraphs"/>
        <w:rPr>
          <w:lang w:val="en-US"/>
        </w:rPr>
      </w:pPr>
      <w:bookmarkStart w:id="18" w:name="_Ref72158515"/>
      <w:r w:rsidRPr="00C9465D">
        <w:rPr>
          <w:lang w:val="en-US"/>
        </w:rPr>
        <w:t xml:space="preserve">Luis Eduardo Guachalá </w:t>
      </w:r>
      <w:r w:rsidR="00041F63" w:rsidRPr="00C9465D">
        <w:rPr>
          <w:lang w:val="en-US"/>
        </w:rPr>
        <w:t>Chimbo</w:t>
      </w:r>
      <w:r w:rsidRPr="00C9465D">
        <w:rPr>
          <w:lang w:val="en-US"/>
        </w:rPr>
        <w:t xml:space="preserve"> </w:t>
      </w:r>
      <w:r w:rsidR="0051699A" w:rsidRPr="00C9465D">
        <w:rPr>
          <w:lang w:val="en-US"/>
        </w:rPr>
        <w:t>was born on February</w:t>
      </w:r>
      <w:r w:rsidRPr="00C9465D">
        <w:rPr>
          <w:lang w:val="en-US"/>
        </w:rPr>
        <w:t xml:space="preserve"> 27</w:t>
      </w:r>
      <w:r w:rsidR="0051699A" w:rsidRPr="00C9465D">
        <w:rPr>
          <w:lang w:val="en-US"/>
        </w:rPr>
        <w:t xml:space="preserve">, </w:t>
      </w:r>
      <w:r w:rsidRPr="00C9465D">
        <w:rPr>
          <w:lang w:val="en-US"/>
        </w:rPr>
        <w:t>1980</w:t>
      </w:r>
      <w:r w:rsidR="0051699A" w:rsidRPr="00C9465D">
        <w:rPr>
          <w:lang w:val="en-US"/>
        </w:rPr>
        <w:t>,</w:t>
      </w:r>
      <w:r w:rsidR="00193CBB" w:rsidRPr="00C9465D">
        <w:rPr>
          <w:lang w:val="en-US"/>
        </w:rPr>
        <w:t xml:space="preserve"> and</w:t>
      </w:r>
      <w:r w:rsidR="0051699A" w:rsidRPr="00C9465D">
        <w:rPr>
          <w:lang w:val="en-US"/>
        </w:rPr>
        <w:t xml:space="preserve"> was 23 years of age </w:t>
      </w:r>
      <w:r w:rsidR="00422D91" w:rsidRPr="00C9465D">
        <w:rPr>
          <w:lang w:val="en-US"/>
        </w:rPr>
        <w:t>when he disappeared.</w:t>
      </w:r>
      <w:r w:rsidRPr="00C9465D">
        <w:rPr>
          <w:rStyle w:val="FootnoteReference"/>
          <w:lang w:val="en-US"/>
        </w:rPr>
        <w:footnoteReference w:id="25"/>
      </w:r>
      <w:r w:rsidR="00422D91" w:rsidRPr="00C9465D">
        <w:rPr>
          <w:lang w:val="en-US"/>
        </w:rPr>
        <w:t xml:space="preserve"> His family co</w:t>
      </w:r>
      <w:r w:rsidR="00FC6A45" w:rsidRPr="00C9465D">
        <w:rPr>
          <w:lang w:val="en-US"/>
        </w:rPr>
        <w:t>nsisted of</w:t>
      </w:r>
      <w:r w:rsidR="00422D91" w:rsidRPr="00C9465D">
        <w:rPr>
          <w:lang w:val="en-US"/>
        </w:rPr>
        <w:t xml:space="preserve"> </w:t>
      </w:r>
      <w:r w:rsidR="000C55B3" w:rsidRPr="00C9465D">
        <w:rPr>
          <w:lang w:val="en-US"/>
        </w:rPr>
        <w:t>his mother</w:t>
      </w:r>
      <w:r w:rsidRPr="00C9465D">
        <w:rPr>
          <w:lang w:val="en-US"/>
        </w:rPr>
        <w:t xml:space="preserve">, Zoila Rosario Chimbo Jarro, </w:t>
      </w:r>
      <w:r w:rsidR="000C55B3" w:rsidRPr="00C9465D">
        <w:rPr>
          <w:lang w:val="en-US"/>
        </w:rPr>
        <w:t>his sisters</w:t>
      </w:r>
      <w:r w:rsidRPr="00C9465D">
        <w:rPr>
          <w:lang w:val="en-US"/>
        </w:rPr>
        <w:t>, Martha, Nancy</w:t>
      </w:r>
      <w:r w:rsidR="00193CBB" w:rsidRPr="00C9465D">
        <w:rPr>
          <w:lang w:val="en-US"/>
        </w:rPr>
        <w:t xml:space="preserve"> and </w:t>
      </w:r>
      <w:r w:rsidR="00525345" w:rsidRPr="00C9465D">
        <w:rPr>
          <w:lang w:val="en-US"/>
        </w:rPr>
        <w:t>Carmen</w:t>
      </w:r>
      <w:r w:rsidRPr="00C9465D">
        <w:rPr>
          <w:lang w:val="en-US"/>
        </w:rPr>
        <w:t>,</w:t>
      </w:r>
      <w:r w:rsidR="00193CBB" w:rsidRPr="00C9465D">
        <w:rPr>
          <w:lang w:val="en-US"/>
        </w:rPr>
        <w:t xml:space="preserve"> and </w:t>
      </w:r>
      <w:r w:rsidR="00422D91" w:rsidRPr="00C9465D">
        <w:rPr>
          <w:lang w:val="en-US"/>
        </w:rPr>
        <w:t>his brothers</w:t>
      </w:r>
      <w:r w:rsidRPr="00C9465D">
        <w:rPr>
          <w:lang w:val="en-US"/>
        </w:rPr>
        <w:t xml:space="preserve"> Ángel, </w:t>
      </w:r>
      <w:r w:rsidR="002D29BB" w:rsidRPr="00C9465D">
        <w:rPr>
          <w:lang w:val="en-US"/>
        </w:rPr>
        <w:t xml:space="preserve">Luis </w:t>
      </w:r>
      <w:r w:rsidRPr="00C9465D">
        <w:rPr>
          <w:rStyle w:val="CommentReference"/>
          <w:sz w:val="20"/>
          <w:szCs w:val="20"/>
          <w:lang w:val="en-US"/>
        </w:rPr>
        <w:t>Medardo</w:t>
      </w:r>
      <w:r w:rsidR="00193CBB" w:rsidRPr="00C9465D">
        <w:rPr>
          <w:rStyle w:val="CommentReference"/>
          <w:sz w:val="20"/>
          <w:szCs w:val="20"/>
          <w:lang w:val="en-US"/>
        </w:rPr>
        <w:t xml:space="preserve"> and </w:t>
      </w:r>
      <w:r w:rsidRPr="00C9465D">
        <w:rPr>
          <w:rStyle w:val="CommentReference"/>
          <w:sz w:val="20"/>
          <w:szCs w:val="20"/>
          <w:lang w:val="en-US"/>
        </w:rPr>
        <w:t>Leonardo</w:t>
      </w:r>
      <w:r w:rsidR="00422D91" w:rsidRPr="00C9465D">
        <w:rPr>
          <w:rStyle w:val="CommentReference"/>
          <w:sz w:val="20"/>
          <w:szCs w:val="20"/>
          <w:lang w:val="en-US"/>
        </w:rPr>
        <w:t>.</w:t>
      </w:r>
      <w:r w:rsidRPr="00C9465D">
        <w:rPr>
          <w:rStyle w:val="FootnoteReference"/>
          <w:lang w:val="en-US"/>
        </w:rPr>
        <w:footnoteReference w:id="26"/>
      </w:r>
      <w:r w:rsidRPr="00C9465D">
        <w:rPr>
          <w:lang w:val="en-US"/>
        </w:rPr>
        <w:t xml:space="preserve"> </w:t>
      </w:r>
      <w:r w:rsidR="00422D91" w:rsidRPr="00C9465D">
        <w:rPr>
          <w:lang w:val="en-US"/>
        </w:rPr>
        <w:t xml:space="preserve">As a child, </w:t>
      </w:r>
      <w:r w:rsidR="002F3237" w:rsidRPr="00C9465D">
        <w:rPr>
          <w:lang w:val="en-US"/>
        </w:rPr>
        <w:t>Mr. Guachalá</w:t>
      </w:r>
      <w:r w:rsidRPr="00C9465D">
        <w:rPr>
          <w:lang w:val="en-US"/>
        </w:rPr>
        <w:t xml:space="preserve"> </w:t>
      </w:r>
      <w:r w:rsidR="00041F63" w:rsidRPr="00C9465D">
        <w:rPr>
          <w:lang w:val="en-US"/>
        </w:rPr>
        <w:t>Chimbo</w:t>
      </w:r>
      <w:r w:rsidR="00422D91" w:rsidRPr="00C9465D">
        <w:rPr>
          <w:lang w:val="en-US"/>
        </w:rPr>
        <w:t xml:space="preserve"> began to suffer epileptic seizures, and was diagnosed with “mental illness and conduct due to brain dysfunction, epilepsy” on January 21, 2004.</w:t>
      </w:r>
      <w:r w:rsidRPr="00C9465D">
        <w:rPr>
          <w:rStyle w:val="FootnoteReference"/>
          <w:lang w:val="en-US"/>
        </w:rPr>
        <w:footnoteReference w:id="27"/>
      </w:r>
      <w:bookmarkEnd w:id="18"/>
      <w:r w:rsidRPr="00C9465D">
        <w:rPr>
          <w:lang w:val="en-US"/>
        </w:rPr>
        <w:t xml:space="preserve"> </w:t>
      </w:r>
    </w:p>
    <w:p w14:paraId="68FE7FFB" w14:textId="34747E79" w:rsidR="00F70AE4" w:rsidRPr="00C9465D" w:rsidRDefault="002C5740" w:rsidP="002C5740">
      <w:pPr>
        <w:pStyle w:val="Numberedparagraphs"/>
        <w:rPr>
          <w:lang w:val="en-US"/>
        </w:rPr>
      </w:pPr>
      <w:r w:rsidRPr="00C9465D">
        <w:rPr>
          <w:lang w:val="en-US"/>
        </w:rPr>
        <w:t xml:space="preserve">According to the expert opinion of </w:t>
      </w:r>
      <w:r w:rsidR="00CA50F7" w:rsidRPr="00C9465D">
        <w:rPr>
          <w:lang w:val="en-US"/>
        </w:rPr>
        <w:t>Elena</w:t>
      </w:r>
      <w:r w:rsidRPr="00C9465D">
        <w:rPr>
          <w:lang w:val="en-US"/>
        </w:rPr>
        <w:t xml:space="preserve"> </w:t>
      </w:r>
      <w:r w:rsidR="003C4648" w:rsidRPr="00C9465D">
        <w:rPr>
          <w:lang w:val="en-US"/>
        </w:rPr>
        <w:t>Palacio van Isschot, “</w:t>
      </w:r>
      <w:r w:rsidR="00CA50F7" w:rsidRPr="00C9465D">
        <w:rPr>
          <w:lang w:val="en-US"/>
        </w:rPr>
        <w:t>an</w:t>
      </w:r>
      <w:r w:rsidRPr="00C9465D">
        <w:rPr>
          <w:lang w:val="en-US"/>
        </w:rPr>
        <w:t xml:space="preserve"> epileptic seizure has been defined as </w:t>
      </w:r>
      <w:r w:rsidR="00CA50F7" w:rsidRPr="00C9465D">
        <w:rPr>
          <w:lang w:val="en-US"/>
        </w:rPr>
        <w:t>a transient occurrence</w:t>
      </w:r>
      <w:r w:rsidRPr="00C9465D">
        <w:rPr>
          <w:lang w:val="en-US"/>
        </w:rPr>
        <w:t xml:space="preserve"> of </w:t>
      </w:r>
      <w:r w:rsidR="00CA50F7" w:rsidRPr="00C9465D">
        <w:rPr>
          <w:lang w:val="en-US"/>
        </w:rPr>
        <w:t xml:space="preserve">signs and/or </w:t>
      </w:r>
      <w:r w:rsidRPr="00C9465D">
        <w:rPr>
          <w:lang w:val="en-US"/>
        </w:rPr>
        <w:t>symptoms d</w:t>
      </w:r>
      <w:r w:rsidR="00CA50F7" w:rsidRPr="00C9465D">
        <w:rPr>
          <w:lang w:val="en-US"/>
        </w:rPr>
        <w:t>ue to</w:t>
      </w:r>
      <w:r w:rsidRPr="00C9465D">
        <w:rPr>
          <w:lang w:val="en-US"/>
        </w:rPr>
        <w:t xml:space="preserve"> </w:t>
      </w:r>
      <w:r w:rsidR="00CA50F7" w:rsidRPr="00C9465D">
        <w:rPr>
          <w:lang w:val="en-US"/>
        </w:rPr>
        <w:t xml:space="preserve">abnormal excessive or </w:t>
      </w:r>
      <w:r w:rsidRPr="00C9465D">
        <w:rPr>
          <w:lang w:val="en-US"/>
        </w:rPr>
        <w:t>synchron</w:t>
      </w:r>
      <w:r w:rsidR="00CA50F7" w:rsidRPr="00C9465D">
        <w:rPr>
          <w:lang w:val="en-US"/>
        </w:rPr>
        <w:t xml:space="preserve">ous </w:t>
      </w:r>
      <w:r w:rsidRPr="00C9465D">
        <w:rPr>
          <w:lang w:val="en-US"/>
        </w:rPr>
        <w:t>neuronal activity in the brain, predisposed by a series of neurobiological, cognitive, psychological and  social factors.</w:t>
      </w:r>
      <w:r w:rsidR="001536A7" w:rsidRPr="00C9465D">
        <w:rPr>
          <w:lang w:val="en-US"/>
        </w:rPr>
        <w:t>”</w:t>
      </w:r>
      <w:r w:rsidR="00F70AE4" w:rsidRPr="00C9465D">
        <w:rPr>
          <w:rStyle w:val="FootnoteReference"/>
          <w:lang w:val="en-US"/>
        </w:rPr>
        <w:footnoteReference w:id="28"/>
      </w:r>
      <w:r w:rsidRPr="00C9465D">
        <w:rPr>
          <w:lang w:val="en-US"/>
        </w:rPr>
        <w:t xml:space="preserve"> Epilepsy is “a neurological </w:t>
      </w:r>
      <w:r w:rsidR="00CA50F7" w:rsidRPr="00C9465D">
        <w:rPr>
          <w:lang w:val="en-US"/>
        </w:rPr>
        <w:t xml:space="preserve">disease </w:t>
      </w:r>
      <w:r w:rsidRPr="00C9465D">
        <w:rPr>
          <w:lang w:val="en-US"/>
        </w:rPr>
        <w:t xml:space="preserve">that may be </w:t>
      </w:r>
      <w:r w:rsidRPr="00C9465D">
        <w:rPr>
          <w:lang w:val="en-US"/>
        </w:rPr>
        <w:lastRenderedPageBreak/>
        <w:t>linked to mental disorders.</w:t>
      </w:r>
      <w:r w:rsidR="00F70AE4" w:rsidRPr="00C9465D">
        <w:rPr>
          <w:lang w:val="en-US"/>
        </w:rPr>
        <w:t>”</w:t>
      </w:r>
      <w:r w:rsidR="00F70AE4" w:rsidRPr="00C9465D">
        <w:rPr>
          <w:rStyle w:val="FootnoteReference"/>
          <w:lang w:val="en-US"/>
        </w:rPr>
        <w:footnoteReference w:id="29"/>
      </w:r>
      <w:r w:rsidR="00F70AE4" w:rsidRPr="00C9465D">
        <w:rPr>
          <w:lang w:val="en-US"/>
        </w:rPr>
        <w:t xml:space="preserve"> </w:t>
      </w:r>
      <w:r w:rsidR="002F3237" w:rsidRPr="00C9465D">
        <w:rPr>
          <w:lang w:val="en-US"/>
        </w:rPr>
        <w:t>Mr. Guachalá</w:t>
      </w:r>
      <w:r w:rsidR="00F70AE4" w:rsidRPr="00C9465D">
        <w:rPr>
          <w:lang w:val="en-US"/>
        </w:rPr>
        <w:t xml:space="preserve"> </w:t>
      </w:r>
      <w:r w:rsidR="003C4648" w:rsidRPr="00C9465D">
        <w:rPr>
          <w:lang w:val="en-US"/>
        </w:rPr>
        <w:t xml:space="preserve">Chimbo </w:t>
      </w:r>
      <w:r w:rsidRPr="00C9465D">
        <w:rPr>
          <w:lang w:val="en-US"/>
        </w:rPr>
        <w:t>also had “psychotic symptoms,” which could be related to the epilepsy.</w:t>
      </w:r>
      <w:r w:rsidR="00F70AE4" w:rsidRPr="00C9465D">
        <w:rPr>
          <w:rStyle w:val="FootnoteReference"/>
          <w:lang w:val="en-US"/>
        </w:rPr>
        <w:footnoteReference w:id="30"/>
      </w:r>
    </w:p>
    <w:p w14:paraId="23CFD3B3" w14:textId="713DB06A" w:rsidR="000628B8" w:rsidRPr="00C9465D" w:rsidRDefault="002C5740" w:rsidP="002C5740">
      <w:pPr>
        <w:pStyle w:val="Numberedparagraphs"/>
        <w:rPr>
          <w:lang w:val="en-US"/>
        </w:rPr>
      </w:pPr>
      <w:r w:rsidRPr="00C9465D">
        <w:rPr>
          <w:lang w:val="en-US"/>
        </w:rPr>
        <w:t xml:space="preserve">According to </w:t>
      </w:r>
      <w:r w:rsidR="000C55B3" w:rsidRPr="00C9465D">
        <w:rPr>
          <w:lang w:val="en-US"/>
        </w:rPr>
        <w:t>his mother</w:t>
      </w:r>
      <w:r w:rsidRPr="00C9465D">
        <w:rPr>
          <w:lang w:val="en-US"/>
        </w:rPr>
        <w:t>’s statement</w:t>
      </w:r>
      <w:r w:rsidR="000628B8" w:rsidRPr="00C9465D">
        <w:rPr>
          <w:lang w:val="en-US"/>
        </w:rPr>
        <w:t xml:space="preserve">, </w:t>
      </w:r>
      <w:r w:rsidR="002F3237" w:rsidRPr="00C9465D">
        <w:rPr>
          <w:lang w:val="en-US"/>
        </w:rPr>
        <w:t>Mr. Guachalá</w:t>
      </w:r>
      <w:r w:rsidR="000628B8" w:rsidRPr="00C9465D">
        <w:rPr>
          <w:lang w:val="en-US"/>
        </w:rPr>
        <w:t xml:space="preserve"> </w:t>
      </w:r>
      <w:r w:rsidR="00041F63" w:rsidRPr="00C9465D">
        <w:rPr>
          <w:lang w:val="en-US"/>
        </w:rPr>
        <w:t>Chimbo</w:t>
      </w:r>
      <w:r w:rsidR="000628B8" w:rsidRPr="00C9465D">
        <w:rPr>
          <w:lang w:val="en-US"/>
        </w:rPr>
        <w:t xml:space="preserve"> complet</w:t>
      </w:r>
      <w:r w:rsidRPr="00C9465D">
        <w:rPr>
          <w:lang w:val="en-US"/>
        </w:rPr>
        <w:t xml:space="preserve">ed primary education but could not continue his studies because his epileptic seizures did not allow him to concentrate and his mother was unable to pay for </w:t>
      </w:r>
      <w:r w:rsidR="00CA50F7" w:rsidRPr="00C9465D">
        <w:rPr>
          <w:lang w:val="en-US"/>
        </w:rPr>
        <w:t>his</w:t>
      </w:r>
      <w:r w:rsidRPr="00C9465D">
        <w:rPr>
          <w:lang w:val="en-US"/>
        </w:rPr>
        <w:t xml:space="preserve"> schoolbooks and other equipment.</w:t>
      </w:r>
      <w:r w:rsidR="000628B8" w:rsidRPr="00C9465D">
        <w:rPr>
          <w:rStyle w:val="FootnoteReference"/>
          <w:lang w:val="en-US"/>
        </w:rPr>
        <w:footnoteReference w:id="31"/>
      </w:r>
      <w:r w:rsidR="000628B8" w:rsidRPr="00C9465D">
        <w:rPr>
          <w:lang w:val="en-US"/>
        </w:rPr>
        <w:t xml:space="preserve"> </w:t>
      </w:r>
      <w:r w:rsidR="002F3237" w:rsidRPr="00C9465D">
        <w:rPr>
          <w:lang w:val="en-US"/>
        </w:rPr>
        <w:t>Mr. Guachalá</w:t>
      </w:r>
      <w:r w:rsidR="000628B8" w:rsidRPr="00C9465D">
        <w:rPr>
          <w:lang w:val="en-US"/>
        </w:rPr>
        <w:t xml:space="preserve"> </w:t>
      </w:r>
      <w:r w:rsidR="00041F63" w:rsidRPr="00C9465D">
        <w:rPr>
          <w:lang w:val="en-US"/>
        </w:rPr>
        <w:t>Chimbo</w:t>
      </w:r>
      <w:r w:rsidR="000628B8" w:rsidRPr="00C9465D">
        <w:rPr>
          <w:lang w:val="en-US"/>
        </w:rPr>
        <w:t xml:space="preserve"> </w:t>
      </w:r>
      <w:r w:rsidRPr="00C9465D">
        <w:rPr>
          <w:lang w:val="en-US"/>
        </w:rPr>
        <w:t>worked as a bricklayer and, occasionally, suffered epileptic seizures at his worksite.</w:t>
      </w:r>
      <w:r w:rsidR="000628B8" w:rsidRPr="00C9465D">
        <w:rPr>
          <w:rStyle w:val="FootnoteReference"/>
          <w:lang w:val="en-US"/>
        </w:rPr>
        <w:footnoteReference w:id="32"/>
      </w:r>
    </w:p>
    <w:p w14:paraId="76F92EC6" w14:textId="14E8F389" w:rsidR="000628B8" w:rsidRPr="00C9465D" w:rsidRDefault="000628B8" w:rsidP="002C5740">
      <w:pPr>
        <w:pStyle w:val="Numberedparagraphs"/>
        <w:rPr>
          <w:b/>
          <w:lang w:val="en-US"/>
        </w:rPr>
      </w:pPr>
      <w:bookmarkStart w:id="19" w:name="_Ref72158532"/>
      <w:r w:rsidRPr="00C9465D">
        <w:rPr>
          <w:lang w:val="en-US"/>
        </w:rPr>
        <w:t xml:space="preserve">Zoila Rosario </w:t>
      </w:r>
      <w:r w:rsidR="00041F63" w:rsidRPr="00C9465D">
        <w:rPr>
          <w:lang w:val="en-US"/>
        </w:rPr>
        <w:t>Chimbo</w:t>
      </w:r>
      <w:r w:rsidRPr="00C9465D">
        <w:rPr>
          <w:lang w:val="en-US"/>
        </w:rPr>
        <w:t xml:space="preserve"> Jarro </w:t>
      </w:r>
      <w:r w:rsidR="002C5740" w:rsidRPr="00C9465D">
        <w:rPr>
          <w:lang w:val="en-US"/>
        </w:rPr>
        <w:t xml:space="preserve">did laundry work in private homes during the day and sold roses </w:t>
      </w:r>
      <w:r w:rsidR="00CA50F7" w:rsidRPr="00C9465D">
        <w:rPr>
          <w:lang w:val="en-US"/>
        </w:rPr>
        <w:t>o</w:t>
      </w:r>
      <w:r w:rsidR="002C5740" w:rsidRPr="00C9465D">
        <w:rPr>
          <w:lang w:val="en-US"/>
        </w:rPr>
        <w:t xml:space="preserve">n the </w:t>
      </w:r>
      <w:r w:rsidR="00CA50F7" w:rsidRPr="00C9465D">
        <w:rPr>
          <w:lang w:val="en-US"/>
        </w:rPr>
        <w:t>s</w:t>
      </w:r>
      <w:r w:rsidR="002C5740" w:rsidRPr="00C9465D">
        <w:rPr>
          <w:lang w:val="en-US"/>
        </w:rPr>
        <w:t>treet during the evening.</w:t>
      </w:r>
      <w:r w:rsidRPr="00C9465D">
        <w:rPr>
          <w:rStyle w:val="FootnoteReference"/>
          <w:lang w:val="en-US"/>
        </w:rPr>
        <w:footnoteReference w:id="33"/>
      </w:r>
      <w:r w:rsidR="002C5740" w:rsidRPr="00C9465D">
        <w:rPr>
          <w:lang w:val="en-US"/>
        </w:rPr>
        <w:t xml:space="preserve"> A</w:t>
      </w:r>
      <w:r w:rsidR="00CA50F7" w:rsidRPr="00C9465D">
        <w:rPr>
          <w:lang w:val="en-US"/>
        </w:rPr>
        <w:t xml:space="preserve"> </w:t>
      </w:r>
      <w:r w:rsidR="002C5740" w:rsidRPr="00C9465D">
        <w:rPr>
          <w:lang w:val="en-US"/>
        </w:rPr>
        <w:t xml:space="preserve">social environment </w:t>
      </w:r>
      <w:r w:rsidR="00CA50F7" w:rsidRPr="00C9465D">
        <w:rPr>
          <w:lang w:val="en-US"/>
        </w:rPr>
        <w:t xml:space="preserve">assessment </w:t>
      </w:r>
      <w:r w:rsidR="002C5740" w:rsidRPr="00C9465D">
        <w:rPr>
          <w:lang w:val="en-US"/>
        </w:rPr>
        <w:t>prepared by the Pichincha Prosecutor determined that Mr. Guachalá Chimbo’s family “</w:t>
      </w:r>
      <w:r w:rsidR="00CA50F7" w:rsidRPr="00C9465D">
        <w:rPr>
          <w:lang w:val="en-US"/>
        </w:rPr>
        <w:t>ha</w:t>
      </w:r>
      <w:r w:rsidR="00DD2D29" w:rsidRPr="00C9465D">
        <w:rPr>
          <w:lang w:val="en-US"/>
        </w:rPr>
        <w:t>s</w:t>
      </w:r>
      <w:r w:rsidR="002C5740" w:rsidRPr="00C9465D">
        <w:rPr>
          <w:lang w:val="en-US"/>
        </w:rPr>
        <w:t xml:space="preserve"> </w:t>
      </w:r>
      <w:r w:rsidR="00CA50F7" w:rsidRPr="00C9465D">
        <w:rPr>
          <w:lang w:val="en-US"/>
        </w:rPr>
        <w:t>in</w:t>
      </w:r>
      <w:r w:rsidR="002C5740" w:rsidRPr="00C9465D">
        <w:rPr>
          <w:lang w:val="en-US"/>
        </w:rPr>
        <w:t xml:space="preserve">sufficient income to cover </w:t>
      </w:r>
      <w:r w:rsidR="00DD2D29" w:rsidRPr="00C9465D">
        <w:rPr>
          <w:lang w:val="en-US"/>
        </w:rPr>
        <w:t>its</w:t>
      </w:r>
      <w:r w:rsidR="002C5740" w:rsidRPr="00C9465D">
        <w:rPr>
          <w:lang w:val="en-US"/>
        </w:rPr>
        <w:t xml:space="preserve"> basic ne</w:t>
      </w:r>
      <w:r w:rsidR="00DD2D29" w:rsidRPr="00C9465D">
        <w:rPr>
          <w:lang w:val="en-US"/>
        </w:rPr>
        <w:t>eds</w:t>
      </w:r>
      <w:r w:rsidR="002C5740" w:rsidRPr="00C9465D">
        <w:rPr>
          <w:lang w:val="en-US"/>
        </w:rPr>
        <w:t xml:space="preserve">, such as </w:t>
      </w:r>
      <w:r w:rsidR="00DD2D29" w:rsidRPr="00C9465D">
        <w:rPr>
          <w:lang w:val="en-US"/>
        </w:rPr>
        <w:t>subsistence</w:t>
      </w:r>
      <w:r w:rsidR="002C5740" w:rsidRPr="00C9465D">
        <w:rPr>
          <w:lang w:val="en-US"/>
        </w:rPr>
        <w:t>, health, housing [and] recreation.</w:t>
      </w:r>
      <w:r w:rsidR="006A17EA" w:rsidRPr="00C9465D">
        <w:rPr>
          <w:lang w:val="en-US"/>
        </w:rPr>
        <w:t>”</w:t>
      </w:r>
      <w:r w:rsidR="006A17EA" w:rsidRPr="00C9465D">
        <w:rPr>
          <w:rStyle w:val="FootnoteReference"/>
          <w:lang w:val="en-US"/>
        </w:rPr>
        <w:footnoteReference w:id="34"/>
      </w:r>
      <w:r w:rsidR="002C5740" w:rsidRPr="00C9465D">
        <w:rPr>
          <w:lang w:val="en-US"/>
        </w:rPr>
        <w:t xml:space="preserve"> Owing to her son’s illness, Mrs. </w:t>
      </w:r>
      <w:r w:rsidR="00041F63" w:rsidRPr="00C9465D">
        <w:rPr>
          <w:lang w:val="en-US"/>
        </w:rPr>
        <w:t>Chimbo</w:t>
      </w:r>
      <w:r w:rsidRPr="00C9465D">
        <w:rPr>
          <w:lang w:val="en-US"/>
        </w:rPr>
        <w:t xml:space="preserve"> Jarro </w:t>
      </w:r>
      <w:r w:rsidR="002C5740" w:rsidRPr="00C9465D">
        <w:rPr>
          <w:lang w:val="en-US"/>
        </w:rPr>
        <w:t xml:space="preserve">took him to various hospitals where </w:t>
      </w:r>
      <w:r w:rsidR="00CA50F7" w:rsidRPr="00C9465D">
        <w:rPr>
          <w:lang w:val="en-US"/>
        </w:rPr>
        <w:t>he was given</w:t>
      </w:r>
      <w:r w:rsidR="002C5740" w:rsidRPr="00C9465D">
        <w:rPr>
          <w:lang w:val="en-US"/>
        </w:rPr>
        <w:t xml:space="preserve"> medication to treat his epileptic seizures.</w:t>
      </w:r>
      <w:r w:rsidRPr="00C9465D">
        <w:rPr>
          <w:rStyle w:val="FootnoteReference"/>
          <w:lang w:val="en-US"/>
        </w:rPr>
        <w:footnoteReference w:id="35"/>
      </w:r>
      <w:r w:rsidRPr="00C9465D">
        <w:rPr>
          <w:lang w:val="en-US"/>
        </w:rPr>
        <w:t xml:space="preserve"> </w:t>
      </w:r>
      <w:r w:rsidR="002C5740" w:rsidRPr="00C9465D">
        <w:rPr>
          <w:lang w:val="en-US"/>
        </w:rPr>
        <w:t>Mrs.</w:t>
      </w:r>
      <w:r w:rsidRPr="00C9465D">
        <w:rPr>
          <w:lang w:val="en-US"/>
        </w:rPr>
        <w:t xml:space="preserve"> </w:t>
      </w:r>
      <w:r w:rsidR="00041F63" w:rsidRPr="00C9465D">
        <w:rPr>
          <w:lang w:val="en-US"/>
        </w:rPr>
        <w:t>Chimbo</w:t>
      </w:r>
      <w:r w:rsidRPr="00C9465D">
        <w:rPr>
          <w:lang w:val="en-US"/>
        </w:rPr>
        <w:t xml:space="preserve"> </w:t>
      </w:r>
      <w:r w:rsidR="002C5740" w:rsidRPr="00C9465D">
        <w:rPr>
          <w:lang w:val="en-US"/>
        </w:rPr>
        <w:t>stated that, at times, she was unable to buy th</w:t>
      </w:r>
      <w:r w:rsidR="00CA50F7" w:rsidRPr="00C9465D">
        <w:rPr>
          <w:lang w:val="en-US"/>
        </w:rPr>
        <w:t>ese medicines</w:t>
      </w:r>
      <w:r w:rsidR="002C5740" w:rsidRPr="00C9465D">
        <w:rPr>
          <w:lang w:val="en-US"/>
        </w:rPr>
        <w:t xml:space="preserve"> because they were so expensive.</w:t>
      </w:r>
      <w:r w:rsidRPr="00C9465D">
        <w:rPr>
          <w:rStyle w:val="FootnoteReference"/>
          <w:lang w:val="en-US"/>
        </w:rPr>
        <w:footnoteReference w:id="36"/>
      </w:r>
      <w:r w:rsidRPr="00C9465D">
        <w:rPr>
          <w:lang w:val="en-US"/>
        </w:rPr>
        <w:t xml:space="preserve"> </w:t>
      </w:r>
      <w:r w:rsidR="00193CBB" w:rsidRPr="00C9465D">
        <w:rPr>
          <w:lang w:val="en-US"/>
        </w:rPr>
        <w:t>The State</w:t>
      </w:r>
      <w:r w:rsidR="00251101" w:rsidRPr="00C9465D">
        <w:rPr>
          <w:lang w:val="en-US"/>
        </w:rPr>
        <w:t xml:space="preserve"> </w:t>
      </w:r>
      <w:r w:rsidR="002C5740" w:rsidRPr="00C9465D">
        <w:rPr>
          <w:lang w:val="en-US"/>
        </w:rPr>
        <w:t>did not present information on the accessibility of such medic</w:t>
      </w:r>
      <w:bookmarkEnd w:id="19"/>
      <w:r w:rsidR="00CA50F7" w:rsidRPr="00C9465D">
        <w:rPr>
          <w:lang w:val="en-US"/>
        </w:rPr>
        <w:t>ines.</w:t>
      </w:r>
    </w:p>
    <w:p w14:paraId="50845D56" w14:textId="6136C4CA" w:rsidR="000628B8" w:rsidRPr="00C9465D" w:rsidRDefault="00B75E3A" w:rsidP="00BB407B">
      <w:pPr>
        <w:pStyle w:val="Heading2"/>
        <w:rPr>
          <w:lang w:val="en-US"/>
        </w:rPr>
      </w:pPr>
      <w:bookmarkStart w:id="20" w:name="_Toc74298438"/>
      <w:r w:rsidRPr="00C9465D">
        <w:rPr>
          <w:lang w:val="en-US"/>
        </w:rPr>
        <w:t>Luis Eduardo Guachalá Chimbo’s first admission to the</w:t>
      </w:r>
      <w:r w:rsidR="000628B8" w:rsidRPr="00C9465D">
        <w:rPr>
          <w:lang w:val="en-US"/>
        </w:rPr>
        <w:t xml:space="preserve"> </w:t>
      </w:r>
      <w:r w:rsidR="002C5740" w:rsidRPr="00C9465D">
        <w:rPr>
          <w:lang w:val="en-US"/>
        </w:rPr>
        <w:t>Julio Endara Psychiatric Hospital</w:t>
      </w:r>
      <w:bookmarkEnd w:id="20"/>
      <w:r w:rsidR="000628B8" w:rsidRPr="00C9465D">
        <w:rPr>
          <w:lang w:val="en-US"/>
        </w:rPr>
        <w:t xml:space="preserve"> </w:t>
      </w:r>
    </w:p>
    <w:p w14:paraId="19FF1A71" w14:textId="1A79A5D1" w:rsidR="000628B8" w:rsidRPr="00C9465D" w:rsidRDefault="001A4FA7" w:rsidP="00AA3C22">
      <w:pPr>
        <w:pStyle w:val="Numberedparagraphs"/>
        <w:rPr>
          <w:lang w:val="en-US"/>
        </w:rPr>
      </w:pPr>
      <w:r w:rsidRPr="00C9465D">
        <w:rPr>
          <w:lang w:val="en-US"/>
        </w:rPr>
        <w:t>The</w:t>
      </w:r>
      <w:r w:rsidR="000628B8" w:rsidRPr="00C9465D">
        <w:rPr>
          <w:lang w:val="en-US"/>
        </w:rPr>
        <w:t xml:space="preserve"> </w:t>
      </w:r>
      <w:r w:rsidR="002C5740" w:rsidRPr="00C9465D">
        <w:rPr>
          <w:lang w:val="en-US"/>
        </w:rPr>
        <w:t>Julio Endara Psychiatric Hospital</w:t>
      </w:r>
      <w:r w:rsidR="000628B8" w:rsidRPr="00C9465D">
        <w:rPr>
          <w:lang w:val="en-US"/>
        </w:rPr>
        <w:t xml:space="preserve"> </w:t>
      </w:r>
      <w:r w:rsidR="00A56F98" w:rsidRPr="00C9465D">
        <w:rPr>
          <w:lang w:val="en-US"/>
        </w:rPr>
        <w:t xml:space="preserve">is attached to </w:t>
      </w:r>
      <w:r w:rsidR="0091067E" w:rsidRPr="00C9465D">
        <w:rPr>
          <w:lang w:val="en-US"/>
        </w:rPr>
        <w:t>Ecuador’s</w:t>
      </w:r>
      <w:r w:rsidR="00A56F98" w:rsidRPr="00C9465D">
        <w:rPr>
          <w:lang w:val="en-US"/>
        </w:rPr>
        <w:t xml:space="preserve"> </w:t>
      </w:r>
      <w:r w:rsidR="00422D91" w:rsidRPr="00C9465D">
        <w:rPr>
          <w:lang w:val="en-US"/>
        </w:rPr>
        <w:t>Ministry of Public Health</w:t>
      </w:r>
      <w:r w:rsidR="000628B8" w:rsidRPr="00C9465D">
        <w:rPr>
          <w:lang w:val="en-US"/>
        </w:rPr>
        <w:t xml:space="preserve">, </w:t>
      </w:r>
      <w:r w:rsidR="00A56F98" w:rsidRPr="00C9465D">
        <w:rPr>
          <w:lang w:val="en-US"/>
        </w:rPr>
        <w:t>and its mandate is to care for patients with mental disorders.</w:t>
      </w:r>
      <w:r w:rsidR="000628B8" w:rsidRPr="00C9465D">
        <w:rPr>
          <w:rStyle w:val="FootnoteReference"/>
          <w:lang w:val="en-US"/>
        </w:rPr>
        <w:footnoteReference w:id="37"/>
      </w:r>
      <w:r w:rsidR="000628B8" w:rsidRPr="00C9465D">
        <w:rPr>
          <w:lang w:val="en-US"/>
        </w:rPr>
        <w:t xml:space="preserve"> </w:t>
      </w:r>
      <w:r w:rsidR="00A56F98" w:rsidRPr="00C9465D">
        <w:rPr>
          <w:lang w:val="en-US"/>
        </w:rPr>
        <w:t>On June 4,</w:t>
      </w:r>
      <w:r w:rsidR="000628B8" w:rsidRPr="00C9465D">
        <w:rPr>
          <w:lang w:val="en-US"/>
        </w:rPr>
        <w:t xml:space="preserve"> 2003, </w:t>
      </w:r>
      <w:r w:rsidR="00A56F98" w:rsidRPr="00C9465D">
        <w:rPr>
          <w:lang w:val="en-US"/>
        </w:rPr>
        <w:t>Mrs. Chimbo</w:t>
      </w:r>
      <w:r w:rsidR="000628B8" w:rsidRPr="00C9465D">
        <w:rPr>
          <w:lang w:val="en-US"/>
        </w:rPr>
        <w:t xml:space="preserve"> </w:t>
      </w:r>
      <w:r w:rsidR="00A56F98" w:rsidRPr="00C9465D">
        <w:rPr>
          <w:lang w:val="en-US"/>
        </w:rPr>
        <w:t>took her son to the</w:t>
      </w:r>
      <w:r w:rsidR="000628B8" w:rsidRPr="00C9465D">
        <w:rPr>
          <w:lang w:val="en-US"/>
        </w:rPr>
        <w:t xml:space="preserve"> </w:t>
      </w:r>
      <w:r w:rsidR="002C5740" w:rsidRPr="00C9465D">
        <w:rPr>
          <w:lang w:val="en-US"/>
        </w:rPr>
        <w:t>Julio Endara Psychiatric Hospital</w:t>
      </w:r>
      <w:r w:rsidR="00EE591D" w:rsidRPr="00C9465D">
        <w:rPr>
          <w:lang w:val="en-US"/>
        </w:rPr>
        <w:t xml:space="preserve"> </w:t>
      </w:r>
      <w:r w:rsidR="00A56F98" w:rsidRPr="00C9465D">
        <w:rPr>
          <w:lang w:val="en-US"/>
        </w:rPr>
        <w:t>for the first time, because his health had deteriorated and he was behaving aggressively.</w:t>
      </w:r>
      <w:r w:rsidR="000628B8" w:rsidRPr="00C9465D">
        <w:rPr>
          <w:rStyle w:val="FootnoteReference"/>
          <w:lang w:val="en-US"/>
        </w:rPr>
        <w:footnoteReference w:id="38"/>
      </w:r>
      <w:r w:rsidR="000628B8" w:rsidRPr="00C9465D">
        <w:rPr>
          <w:lang w:val="en-US"/>
        </w:rPr>
        <w:t xml:space="preserve"> </w:t>
      </w:r>
      <w:r w:rsidR="002F3237" w:rsidRPr="00C9465D">
        <w:rPr>
          <w:lang w:val="en-US"/>
        </w:rPr>
        <w:t>Mr. Guachalá</w:t>
      </w:r>
      <w:r w:rsidR="000628B8" w:rsidRPr="00C9465D">
        <w:rPr>
          <w:lang w:val="en-US"/>
        </w:rPr>
        <w:t xml:space="preserve"> </w:t>
      </w:r>
      <w:r w:rsidR="00041F63" w:rsidRPr="00C9465D">
        <w:rPr>
          <w:lang w:val="en-US"/>
        </w:rPr>
        <w:t>Chimbo</w:t>
      </w:r>
      <w:r w:rsidR="000628B8" w:rsidRPr="00C9465D">
        <w:rPr>
          <w:lang w:val="en-US"/>
        </w:rPr>
        <w:t xml:space="preserve"> </w:t>
      </w:r>
      <w:r w:rsidR="00A56F98" w:rsidRPr="00C9465D">
        <w:rPr>
          <w:lang w:val="en-US"/>
        </w:rPr>
        <w:t xml:space="preserve">was admitted to the hospital </w:t>
      </w:r>
      <w:r w:rsidR="0091067E" w:rsidRPr="00C9465D">
        <w:rPr>
          <w:lang w:val="en-US"/>
        </w:rPr>
        <w:t xml:space="preserve">for </w:t>
      </w:r>
      <w:r w:rsidR="00A56F98" w:rsidRPr="00C9465D">
        <w:rPr>
          <w:lang w:val="en-US"/>
        </w:rPr>
        <w:t xml:space="preserve">the whole of the month of June, receiving visits from </w:t>
      </w:r>
      <w:r w:rsidR="000C55B3" w:rsidRPr="00C9465D">
        <w:rPr>
          <w:lang w:val="en-US"/>
        </w:rPr>
        <w:t>his mother</w:t>
      </w:r>
      <w:r w:rsidR="003C4648" w:rsidRPr="00C9465D">
        <w:rPr>
          <w:lang w:val="en-US"/>
        </w:rPr>
        <w:t xml:space="preserve"> </w:t>
      </w:r>
      <w:r w:rsidR="00A56F98" w:rsidRPr="00C9465D">
        <w:rPr>
          <w:lang w:val="en-US"/>
        </w:rPr>
        <w:t>every other day, and without her having “any problem to enter and to talk to her son.</w:t>
      </w:r>
      <w:r w:rsidR="000628B8" w:rsidRPr="00C9465D">
        <w:rPr>
          <w:lang w:val="en-US"/>
        </w:rPr>
        <w:t>”</w:t>
      </w:r>
      <w:r w:rsidR="000628B8" w:rsidRPr="00C9465D">
        <w:rPr>
          <w:rStyle w:val="FootnoteReference"/>
          <w:lang w:val="en-US"/>
        </w:rPr>
        <w:footnoteReference w:id="39"/>
      </w:r>
      <w:r w:rsidR="00A56F98" w:rsidRPr="00C9465D">
        <w:rPr>
          <w:lang w:val="en-US"/>
        </w:rPr>
        <w:t xml:space="preserve"> According to the </w:t>
      </w:r>
      <w:r w:rsidR="001F65A3" w:rsidRPr="00C9465D">
        <w:rPr>
          <w:lang w:val="en-US"/>
        </w:rPr>
        <w:t>Julio Endara Hospital</w:t>
      </w:r>
      <w:r w:rsidR="00A56F98" w:rsidRPr="00C9465D">
        <w:rPr>
          <w:lang w:val="en-US"/>
        </w:rPr>
        <w:t>’s records</w:t>
      </w:r>
      <w:r w:rsidR="000628B8" w:rsidRPr="00C9465D">
        <w:rPr>
          <w:lang w:val="en-US"/>
        </w:rPr>
        <w:t xml:space="preserve">, </w:t>
      </w:r>
      <w:r w:rsidR="002F3237" w:rsidRPr="00C9465D">
        <w:rPr>
          <w:lang w:val="en-US"/>
        </w:rPr>
        <w:t>Mr. Guachalá</w:t>
      </w:r>
      <w:r w:rsidR="000628B8" w:rsidRPr="00C9465D">
        <w:rPr>
          <w:lang w:val="en-US"/>
        </w:rPr>
        <w:t xml:space="preserve"> </w:t>
      </w:r>
      <w:r w:rsidR="00041F63" w:rsidRPr="00C9465D">
        <w:rPr>
          <w:lang w:val="en-US"/>
        </w:rPr>
        <w:t>Chimbo</w:t>
      </w:r>
      <w:r w:rsidR="000628B8" w:rsidRPr="00C9465D">
        <w:rPr>
          <w:lang w:val="en-US"/>
        </w:rPr>
        <w:t xml:space="preserve"> </w:t>
      </w:r>
      <w:r w:rsidR="00A56F98" w:rsidRPr="00C9465D">
        <w:rPr>
          <w:lang w:val="en-US"/>
        </w:rPr>
        <w:t>was discharged on July 2, 2003, in a stable condition,</w:t>
      </w:r>
      <w:r w:rsidR="000628B8" w:rsidRPr="00C9465D">
        <w:rPr>
          <w:rStyle w:val="FootnoteReference"/>
          <w:lang w:val="en-US"/>
        </w:rPr>
        <w:footnoteReference w:id="40"/>
      </w:r>
      <w:r w:rsidR="00A56F98" w:rsidRPr="00C9465D">
        <w:rPr>
          <w:lang w:val="en-US"/>
        </w:rPr>
        <w:t xml:space="preserve"> with the indication that he should return for a check-up.</w:t>
      </w:r>
      <w:r w:rsidR="000E510A" w:rsidRPr="00C9465D">
        <w:rPr>
          <w:rStyle w:val="FootnoteReference"/>
          <w:lang w:val="en-US"/>
        </w:rPr>
        <w:footnoteReference w:id="41"/>
      </w:r>
      <w:r w:rsidR="00A56F98" w:rsidRPr="00C9465D">
        <w:rPr>
          <w:lang w:val="en-US"/>
        </w:rPr>
        <w:t xml:space="preserve"> However, due to a lack of financial resources, </w:t>
      </w:r>
      <w:r w:rsidR="002F3237" w:rsidRPr="00C9465D">
        <w:rPr>
          <w:lang w:val="en-US"/>
        </w:rPr>
        <w:t>Mr. Guachalá</w:t>
      </w:r>
      <w:r w:rsidR="000E510A" w:rsidRPr="00C9465D">
        <w:rPr>
          <w:lang w:val="en-US"/>
        </w:rPr>
        <w:t xml:space="preserve"> </w:t>
      </w:r>
      <w:r w:rsidR="00A56F98" w:rsidRPr="00C9465D">
        <w:rPr>
          <w:lang w:val="en-US"/>
        </w:rPr>
        <w:t>could not attend subsequent medical check-ups.</w:t>
      </w:r>
      <w:r w:rsidR="000E510A" w:rsidRPr="00C9465D">
        <w:rPr>
          <w:rStyle w:val="FootnoteReference"/>
          <w:lang w:val="en-US"/>
        </w:rPr>
        <w:footnoteReference w:id="42"/>
      </w:r>
    </w:p>
    <w:p w14:paraId="6AA6132D" w14:textId="58604AF7" w:rsidR="000628B8" w:rsidRPr="00C9465D" w:rsidRDefault="00B75E3A" w:rsidP="00BB407B">
      <w:pPr>
        <w:pStyle w:val="Heading2"/>
        <w:rPr>
          <w:lang w:val="en-US"/>
        </w:rPr>
      </w:pPr>
      <w:bookmarkStart w:id="21" w:name="_Toc74298439"/>
      <w:r w:rsidRPr="00C9465D">
        <w:rPr>
          <w:lang w:val="en-US"/>
        </w:rPr>
        <w:lastRenderedPageBreak/>
        <w:t>Luis Eduardo Guachalá Chimbo’s second admission to the</w:t>
      </w:r>
      <w:r w:rsidR="000628B8" w:rsidRPr="00C9465D">
        <w:rPr>
          <w:lang w:val="en-US"/>
        </w:rPr>
        <w:t xml:space="preserve"> </w:t>
      </w:r>
      <w:r w:rsidR="002C5740" w:rsidRPr="00C9465D">
        <w:rPr>
          <w:lang w:val="en-US"/>
        </w:rPr>
        <w:t>Julio Endara Psychiatric Hospital</w:t>
      </w:r>
      <w:bookmarkEnd w:id="21"/>
      <w:r w:rsidR="000628B8" w:rsidRPr="00C9465D">
        <w:rPr>
          <w:lang w:val="en-US"/>
        </w:rPr>
        <w:t xml:space="preserve"> </w:t>
      </w:r>
    </w:p>
    <w:p w14:paraId="0D32675B" w14:textId="7813DFE6" w:rsidR="00525345" w:rsidRPr="00C9465D" w:rsidRDefault="000628B8" w:rsidP="00386B01">
      <w:pPr>
        <w:pStyle w:val="Numberedparagraphs"/>
        <w:rPr>
          <w:lang w:val="en-US"/>
        </w:rPr>
      </w:pPr>
      <w:r w:rsidRPr="00C9465D">
        <w:rPr>
          <w:lang w:val="en-US"/>
        </w:rPr>
        <w:t>A</w:t>
      </w:r>
      <w:r w:rsidR="00835FAD" w:rsidRPr="00C9465D">
        <w:rPr>
          <w:lang w:val="en-US"/>
        </w:rPr>
        <w:t xml:space="preserve">t the end of December 2003 and during January </w:t>
      </w:r>
      <w:r w:rsidRPr="00C9465D">
        <w:rPr>
          <w:lang w:val="en-US"/>
        </w:rPr>
        <w:t xml:space="preserve">2004, Luis Guachalá </w:t>
      </w:r>
      <w:r w:rsidR="00041F63" w:rsidRPr="00C9465D">
        <w:rPr>
          <w:lang w:val="en-US"/>
        </w:rPr>
        <w:t>Chimbo</w:t>
      </w:r>
      <w:r w:rsidR="00835FAD" w:rsidRPr="00C9465D">
        <w:rPr>
          <w:lang w:val="en-US"/>
        </w:rPr>
        <w:t xml:space="preserve">’s health </w:t>
      </w:r>
      <w:r w:rsidR="00DA52AB" w:rsidRPr="00C9465D">
        <w:rPr>
          <w:lang w:val="en-US"/>
        </w:rPr>
        <w:t>deteriorated</w:t>
      </w:r>
      <w:r w:rsidR="00835FAD" w:rsidRPr="00C9465D">
        <w:rPr>
          <w:lang w:val="en-US"/>
        </w:rPr>
        <w:t>, reaching the point where he had epileptic seizures every half hour.</w:t>
      </w:r>
      <w:r w:rsidRPr="00C9465D">
        <w:rPr>
          <w:rStyle w:val="FootnoteReference"/>
          <w:lang w:val="en-US"/>
        </w:rPr>
        <w:footnoteReference w:id="43"/>
      </w:r>
      <w:r w:rsidR="00835FAD" w:rsidRPr="00C9465D">
        <w:rPr>
          <w:lang w:val="en-US"/>
        </w:rPr>
        <w:t xml:space="preserve"> Consequently, on January 10,</w:t>
      </w:r>
      <w:r w:rsidRPr="00C9465D">
        <w:rPr>
          <w:lang w:val="en-US"/>
        </w:rPr>
        <w:t xml:space="preserve"> 2004</w:t>
      </w:r>
      <w:r w:rsidR="00835FAD" w:rsidRPr="00C9465D">
        <w:rPr>
          <w:lang w:val="en-US"/>
        </w:rPr>
        <w:t>,</w:t>
      </w:r>
      <w:r w:rsidRPr="00C9465D">
        <w:rPr>
          <w:lang w:val="en-US"/>
        </w:rPr>
        <w:t xml:space="preserve"> </w:t>
      </w:r>
      <w:r w:rsidR="00A56F98" w:rsidRPr="00C9465D">
        <w:rPr>
          <w:lang w:val="en-US"/>
        </w:rPr>
        <w:t>Mrs. Chimbo</w:t>
      </w:r>
      <w:r w:rsidRPr="00C9465D">
        <w:rPr>
          <w:lang w:val="en-US"/>
        </w:rPr>
        <w:t xml:space="preserve"> Jarro </w:t>
      </w:r>
      <w:r w:rsidR="00835FAD" w:rsidRPr="00C9465D">
        <w:rPr>
          <w:lang w:val="en-US"/>
        </w:rPr>
        <w:t xml:space="preserve">again took her son to the </w:t>
      </w:r>
      <w:r w:rsidR="002C5740" w:rsidRPr="00C9465D">
        <w:rPr>
          <w:lang w:val="en-US"/>
        </w:rPr>
        <w:t>Julio Endara Psychiatric Hospital</w:t>
      </w:r>
      <w:r w:rsidR="00835FAD" w:rsidRPr="00C9465D">
        <w:rPr>
          <w:lang w:val="en-US"/>
        </w:rPr>
        <w:t>.</w:t>
      </w:r>
      <w:r w:rsidRPr="00C9465D">
        <w:rPr>
          <w:rStyle w:val="FootnoteReference"/>
          <w:lang w:val="en-US"/>
        </w:rPr>
        <w:footnoteReference w:id="44"/>
      </w:r>
      <w:r w:rsidRPr="00C9465D">
        <w:rPr>
          <w:b/>
          <w:lang w:val="en-US"/>
        </w:rPr>
        <w:t xml:space="preserve"> </w:t>
      </w:r>
      <w:r w:rsidR="00835FAD" w:rsidRPr="00C9465D">
        <w:rPr>
          <w:lang w:val="en-US"/>
        </w:rPr>
        <w:t>One week before this</w:t>
      </w:r>
      <w:r w:rsidR="008C2C70" w:rsidRPr="00C9465D">
        <w:rPr>
          <w:lang w:val="en-US"/>
        </w:rPr>
        <w:t>,</w:t>
      </w:r>
      <w:r w:rsidRPr="00C9465D">
        <w:rPr>
          <w:b/>
          <w:lang w:val="en-US"/>
        </w:rPr>
        <w:t xml:space="preserve"> </w:t>
      </w:r>
      <w:r w:rsidR="002F3237" w:rsidRPr="00C9465D">
        <w:rPr>
          <w:lang w:val="en-US"/>
        </w:rPr>
        <w:t>Mr. Guachalá</w:t>
      </w:r>
      <w:r w:rsidRPr="00C9465D">
        <w:rPr>
          <w:lang w:val="en-US"/>
        </w:rPr>
        <w:t xml:space="preserve"> ha</w:t>
      </w:r>
      <w:r w:rsidR="00835FAD" w:rsidRPr="00C9465D">
        <w:rPr>
          <w:lang w:val="en-US"/>
        </w:rPr>
        <w:t>d stopped taking the prescribed medication, and this had resulted in the “reappearance of the psychopathological problems.</w:t>
      </w:r>
      <w:r w:rsidRPr="00C9465D">
        <w:rPr>
          <w:lang w:val="en-US"/>
        </w:rPr>
        <w:t>”</w:t>
      </w:r>
      <w:r w:rsidRPr="00C9465D">
        <w:rPr>
          <w:rStyle w:val="FootnoteReference"/>
          <w:lang w:val="en-US"/>
        </w:rPr>
        <w:footnoteReference w:id="45"/>
      </w:r>
      <w:r w:rsidR="00835FAD" w:rsidRPr="00C9465D">
        <w:rPr>
          <w:lang w:val="en-US"/>
        </w:rPr>
        <w:t xml:space="preserve"> According to the hospital, his admission was due to physical and verbal “aggressivity, impulsiveness, disorderly conduct, soliloquies, inappropriate laughter, insomnia, mutism, hallucinations [and] </w:t>
      </w:r>
      <w:r w:rsidR="00386B01" w:rsidRPr="00C9465D">
        <w:rPr>
          <w:lang w:val="en-US"/>
        </w:rPr>
        <w:t>generalized seizures.</w:t>
      </w:r>
      <w:r w:rsidR="004B68B1" w:rsidRPr="00C9465D">
        <w:rPr>
          <w:lang w:val="en-US"/>
        </w:rPr>
        <w:t>”</w:t>
      </w:r>
      <w:r w:rsidRPr="00C9465D">
        <w:rPr>
          <w:rStyle w:val="FootnoteReference"/>
          <w:lang w:val="en-US"/>
        </w:rPr>
        <w:footnoteReference w:id="46"/>
      </w:r>
      <w:r w:rsidRPr="00C9465D">
        <w:rPr>
          <w:lang w:val="en-US"/>
        </w:rPr>
        <w:t xml:space="preserve"> </w:t>
      </w:r>
    </w:p>
    <w:p w14:paraId="003A9E8C" w14:textId="48DE622E" w:rsidR="000628B8" w:rsidRPr="00C9465D" w:rsidRDefault="00386B01" w:rsidP="00BA1EF2">
      <w:pPr>
        <w:pStyle w:val="Numberedparagraphs"/>
        <w:rPr>
          <w:lang w:val="en-US"/>
        </w:rPr>
      </w:pPr>
      <w:r w:rsidRPr="00C9465D">
        <w:rPr>
          <w:lang w:val="en-US"/>
        </w:rPr>
        <w:t>According to</w:t>
      </w:r>
      <w:r w:rsidR="00374C78" w:rsidRPr="00C9465D">
        <w:rPr>
          <w:lang w:val="en-US"/>
        </w:rPr>
        <w:t xml:space="preserve"> </w:t>
      </w:r>
      <w:r w:rsidR="00A56F98" w:rsidRPr="00C9465D">
        <w:rPr>
          <w:lang w:val="en-US"/>
        </w:rPr>
        <w:t>Mrs. Chimbo</w:t>
      </w:r>
      <w:r w:rsidRPr="00C9465D">
        <w:rPr>
          <w:lang w:val="en-US"/>
        </w:rPr>
        <w:t>’s statement</w:t>
      </w:r>
      <w:r w:rsidR="00374C78" w:rsidRPr="00C9465D">
        <w:rPr>
          <w:lang w:val="en-US"/>
        </w:rPr>
        <w:t>, dur</w:t>
      </w:r>
      <w:r w:rsidRPr="00C9465D">
        <w:rPr>
          <w:lang w:val="en-US"/>
        </w:rPr>
        <w:t xml:space="preserve">ing his transfer to the hospital, her son was aware of what was happening; she explained to him that he was going to the hospital </w:t>
      </w:r>
      <w:r w:rsidR="00193CBB" w:rsidRPr="00C9465D">
        <w:rPr>
          <w:lang w:val="en-US"/>
        </w:rPr>
        <w:t xml:space="preserve">and </w:t>
      </w:r>
      <w:r w:rsidR="002F3237" w:rsidRPr="00C9465D">
        <w:rPr>
          <w:lang w:val="en-US"/>
        </w:rPr>
        <w:t>Mr. Guachalá</w:t>
      </w:r>
      <w:r w:rsidR="00374C78" w:rsidRPr="00C9465D">
        <w:rPr>
          <w:lang w:val="en-US"/>
        </w:rPr>
        <w:t xml:space="preserve"> Chimbo </w:t>
      </w:r>
      <w:r w:rsidRPr="00C9465D">
        <w:rPr>
          <w:lang w:val="en-US"/>
        </w:rPr>
        <w:t>told her that he agreed to this.</w:t>
      </w:r>
      <w:r w:rsidR="00374C78" w:rsidRPr="00C9465D">
        <w:rPr>
          <w:rStyle w:val="FootnoteReference"/>
          <w:lang w:val="en-US"/>
        </w:rPr>
        <w:footnoteReference w:id="47"/>
      </w:r>
      <w:r w:rsidRPr="00C9465D">
        <w:rPr>
          <w:lang w:val="en-US"/>
        </w:rPr>
        <w:t xml:space="preserve"> The record of his admission to the hospital indicates that </w:t>
      </w:r>
      <w:r w:rsidR="002F3237" w:rsidRPr="00C9465D">
        <w:rPr>
          <w:lang w:val="en-US"/>
        </w:rPr>
        <w:t>Mr. Guachalá</w:t>
      </w:r>
      <w:r w:rsidR="00525345" w:rsidRPr="00C9465D">
        <w:rPr>
          <w:lang w:val="en-US"/>
        </w:rPr>
        <w:t xml:space="preserve"> </w:t>
      </w:r>
      <w:r w:rsidRPr="00C9465D">
        <w:rPr>
          <w:lang w:val="en-US"/>
        </w:rPr>
        <w:t>was</w:t>
      </w:r>
      <w:r w:rsidR="00525345" w:rsidRPr="00C9465D">
        <w:rPr>
          <w:lang w:val="en-US"/>
        </w:rPr>
        <w:t xml:space="preserve"> “mut</w:t>
      </w:r>
      <w:r w:rsidRPr="00C9465D">
        <w:rPr>
          <w:lang w:val="en-US"/>
        </w:rPr>
        <w:t>e</w:t>
      </w:r>
      <w:r w:rsidR="00525345" w:rsidRPr="00C9465D">
        <w:rPr>
          <w:lang w:val="en-US"/>
        </w:rPr>
        <w:t xml:space="preserve">, </w:t>
      </w:r>
      <w:r w:rsidRPr="00C9465D">
        <w:rPr>
          <w:lang w:val="en-US"/>
        </w:rPr>
        <w:t>and uncooperative during the interview and physical examination.</w:t>
      </w:r>
      <w:r w:rsidR="00525345" w:rsidRPr="00C9465D">
        <w:rPr>
          <w:lang w:val="en-US"/>
        </w:rPr>
        <w:t>”</w:t>
      </w:r>
      <w:r w:rsidR="00525345" w:rsidRPr="00C9465D">
        <w:rPr>
          <w:rStyle w:val="FootnoteReference"/>
          <w:lang w:val="en-US"/>
        </w:rPr>
        <w:footnoteReference w:id="48"/>
      </w:r>
      <w:r w:rsidR="0067755C" w:rsidRPr="00C9465D">
        <w:rPr>
          <w:lang w:val="en-US"/>
        </w:rPr>
        <w:t xml:space="preserve"> </w:t>
      </w:r>
      <w:r w:rsidR="000628B8" w:rsidRPr="00C9465D">
        <w:rPr>
          <w:lang w:val="en-US"/>
        </w:rPr>
        <w:t>Zoil</w:t>
      </w:r>
      <w:r w:rsidR="00126D60" w:rsidRPr="00C9465D">
        <w:rPr>
          <w:lang w:val="en-US"/>
        </w:rPr>
        <w:t>a</w:t>
      </w:r>
      <w:r w:rsidR="000628B8" w:rsidRPr="00C9465D">
        <w:rPr>
          <w:lang w:val="en-US"/>
        </w:rPr>
        <w:t xml:space="preserve"> Chimbo</w:t>
      </w:r>
      <w:r w:rsidR="0067755C" w:rsidRPr="00C9465D">
        <w:rPr>
          <w:lang w:val="en-US"/>
        </w:rPr>
        <w:t xml:space="preserve"> signed the form authorizing his admission to the hospital, which indicated that she undertook “to collaborate with any necessary medication, and would also check on the patient while he was in the hospital, visiting him with the frequency advised by the doctors treating him and providing him with essential clothing and </w:t>
      </w:r>
      <w:r w:rsidR="00DA52AB" w:rsidRPr="00C9465D">
        <w:rPr>
          <w:lang w:val="en-US"/>
        </w:rPr>
        <w:t xml:space="preserve">articles of </w:t>
      </w:r>
      <w:r w:rsidR="0067755C" w:rsidRPr="00C9465D">
        <w:rPr>
          <w:lang w:val="en-US"/>
        </w:rPr>
        <w:t xml:space="preserve">personal hygiene.” It also indicated that “the hospital </w:t>
      </w:r>
      <w:r w:rsidR="003115FA" w:rsidRPr="00C9465D">
        <w:rPr>
          <w:lang w:val="en-US"/>
        </w:rPr>
        <w:t xml:space="preserve">takes precautions against </w:t>
      </w:r>
      <w:r w:rsidR="00BA1EF2" w:rsidRPr="00C9465D">
        <w:rPr>
          <w:lang w:val="en-US"/>
        </w:rPr>
        <w:t>any possibility of escape or accident, but if this should happen it accepts no responsibility for the consequences.</w:t>
      </w:r>
      <w:r w:rsidR="000628B8" w:rsidRPr="00C9465D">
        <w:rPr>
          <w:rFonts w:cs="Times New Roman"/>
          <w:lang w:val="en-US"/>
        </w:rPr>
        <w:t>”</w:t>
      </w:r>
      <w:r w:rsidR="000628B8" w:rsidRPr="00C9465D">
        <w:rPr>
          <w:rStyle w:val="FootnoteReference"/>
          <w:rFonts w:cs="Times New Roman"/>
          <w:lang w:val="en-US"/>
        </w:rPr>
        <w:footnoteReference w:id="49"/>
      </w:r>
      <w:r w:rsidR="000628B8" w:rsidRPr="00C9465D">
        <w:rPr>
          <w:rFonts w:cs="Times New Roman"/>
          <w:lang w:val="en-US"/>
        </w:rPr>
        <w:t xml:space="preserve"> </w:t>
      </w:r>
    </w:p>
    <w:p w14:paraId="3DB6E054" w14:textId="33A45944" w:rsidR="002600D5" w:rsidRPr="00C9465D" w:rsidRDefault="00A56F98" w:rsidP="00BA1EF2">
      <w:pPr>
        <w:pStyle w:val="Numberedparagraphs"/>
        <w:rPr>
          <w:lang w:val="en-US"/>
        </w:rPr>
      </w:pPr>
      <w:r w:rsidRPr="00C9465D">
        <w:rPr>
          <w:lang w:val="en-US"/>
        </w:rPr>
        <w:t>Mrs. Chimbo</w:t>
      </w:r>
      <w:r w:rsidR="000628B8" w:rsidRPr="00C9465D">
        <w:rPr>
          <w:lang w:val="en-US"/>
        </w:rPr>
        <w:t xml:space="preserve"> Jarro </w:t>
      </w:r>
      <w:r w:rsidR="00BA1EF2" w:rsidRPr="00C9465D">
        <w:rPr>
          <w:lang w:val="en-US"/>
        </w:rPr>
        <w:t>stated that she accompanied her son to a ward where a doctor ordered a nurse to inject Mr. Guachalá with a sedative.</w:t>
      </w:r>
      <w:r w:rsidR="000628B8" w:rsidRPr="00C9465D">
        <w:rPr>
          <w:rStyle w:val="FootnoteReference"/>
          <w:lang w:val="en-US"/>
        </w:rPr>
        <w:footnoteReference w:id="50"/>
      </w:r>
      <w:r w:rsidR="000628B8" w:rsidRPr="00C9465D">
        <w:rPr>
          <w:lang w:val="en-US"/>
        </w:rPr>
        <w:t xml:space="preserve"> </w:t>
      </w:r>
      <w:r w:rsidR="00BA1EF2" w:rsidRPr="00C9465D">
        <w:rPr>
          <w:bCs/>
          <w:lang w:val="en-US"/>
        </w:rPr>
        <w:t>According to</w:t>
      </w:r>
      <w:r w:rsidR="000628B8" w:rsidRPr="00C9465D">
        <w:rPr>
          <w:bCs/>
          <w:lang w:val="en-US"/>
        </w:rPr>
        <w:t xml:space="preserve"> </w:t>
      </w:r>
      <w:r w:rsidRPr="00C9465D">
        <w:rPr>
          <w:bCs/>
          <w:lang w:val="en-US"/>
        </w:rPr>
        <w:t>Mrs. Chimbo</w:t>
      </w:r>
      <w:r w:rsidR="000628B8" w:rsidRPr="00C9465D">
        <w:rPr>
          <w:bCs/>
          <w:lang w:val="en-US"/>
        </w:rPr>
        <w:t xml:space="preserve"> Jarro</w:t>
      </w:r>
      <w:r w:rsidR="00BB7607" w:rsidRPr="00C9465D">
        <w:rPr>
          <w:bCs/>
          <w:lang w:val="en-US"/>
        </w:rPr>
        <w:t>,</w:t>
      </w:r>
      <w:r w:rsidR="000628B8" w:rsidRPr="00C9465D">
        <w:rPr>
          <w:bCs/>
          <w:lang w:val="en-US"/>
        </w:rPr>
        <w:t xml:space="preserve"> </w:t>
      </w:r>
      <w:r w:rsidR="00BA1EF2" w:rsidRPr="00C9465D">
        <w:rPr>
          <w:bCs/>
          <w:lang w:val="en-US"/>
        </w:rPr>
        <w:t>a nurse, whose breath smelt of alcohol, inserted the needle in her son’s arm more than six times, and when he had given him the injection, it left her son “as if he was dead.</w:t>
      </w:r>
      <w:r w:rsidR="000628B8" w:rsidRPr="00C9465D">
        <w:rPr>
          <w:lang w:val="en-US"/>
        </w:rPr>
        <w:t>”</w:t>
      </w:r>
      <w:r w:rsidR="000628B8" w:rsidRPr="00C9465D">
        <w:rPr>
          <w:rStyle w:val="FootnoteReference"/>
          <w:lang w:val="en-US"/>
        </w:rPr>
        <w:footnoteReference w:id="51"/>
      </w:r>
      <w:r w:rsidR="000628B8" w:rsidRPr="00C9465D">
        <w:rPr>
          <w:lang w:val="en-US"/>
        </w:rPr>
        <w:t xml:space="preserve"> </w:t>
      </w:r>
    </w:p>
    <w:p w14:paraId="00D04E69" w14:textId="5DF53CC4" w:rsidR="002600D5" w:rsidRPr="00C9465D" w:rsidRDefault="00BA1EF2" w:rsidP="00100EAD">
      <w:pPr>
        <w:pStyle w:val="Numberedparagraphs"/>
        <w:rPr>
          <w:lang w:val="en-US"/>
        </w:rPr>
      </w:pPr>
      <w:r w:rsidRPr="00C9465D">
        <w:rPr>
          <w:lang w:val="en-US"/>
        </w:rPr>
        <w:t>On January 12,</w:t>
      </w:r>
      <w:r w:rsidR="002600D5" w:rsidRPr="00C9465D">
        <w:rPr>
          <w:lang w:val="en-US"/>
        </w:rPr>
        <w:t xml:space="preserve"> 2004, </w:t>
      </w:r>
      <w:r w:rsidRPr="00C9465D">
        <w:rPr>
          <w:lang w:val="en-US"/>
        </w:rPr>
        <w:t xml:space="preserve">Dr. E.Q. was assigned to </w:t>
      </w:r>
      <w:r w:rsidR="002F3237" w:rsidRPr="00C9465D">
        <w:rPr>
          <w:lang w:val="en-US"/>
        </w:rPr>
        <w:t>Mr. Guachalá</w:t>
      </w:r>
      <w:r w:rsidR="002600D5" w:rsidRPr="00C9465D">
        <w:rPr>
          <w:lang w:val="en-US"/>
        </w:rPr>
        <w:t xml:space="preserve"> </w:t>
      </w:r>
      <w:r w:rsidRPr="00C9465D">
        <w:rPr>
          <w:lang w:val="en-US"/>
        </w:rPr>
        <w:t>and she reported that she found the patient sedated, performed a physical examination</w:t>
      </w:r>
      <w:r w:rsidR="00520411" w:rsidRPr="00C9465D">
        <w:rPr>
          <w:lang w:val="en-US"/>
        </w:rPr>
        <w:t>,</w:t>
      </w:r>
      <w:r w:rsidRPr="00C9465D">
        <w:rPr>
          <w:lang w:val="en-US"/>
        </w:rPr>
        <w:t xml:space="preserve"> and prescribed medication.</w:t>
      </w:r>
      <w:r w:rsidR="002600D5" w:rsidRPr="00C9465D">
        <w:rPr>
          <w:rStyle w:val="FootnoteReference"/>
          <w:lang w:val="en-US"/>
        </w:rPr>
        <w:footnoteReference w:id="52"/>
      </w:r>
      <w:r w:rsidRPr="00C9465D">
        <w:rPr>
          <w:lang w:val="en-US"/>
        </w:rPr>
        <w:t xml:space="preserve"> The following day, Dr. </w:t>
      </w:r>
      <w:r w:rsidR="002600D5" w:rsidRPr="00C9465D">
        <w:rPr>
          <w:lang w:val="en-US"/>
        </w:rPr>
        <w:t xml:space="preserve">E.Q. </w:t>
      </w:r>
      <w:r w:rsidRPr="00C9465D">
        <w:rPr>
          <w:lang w:val="en-US"/>
        </w:rPr>
        <w:t xml:space="preserve">again examined </w:t>
      </w:r>
      <w:r w:rsidR="002F3237" w:rsidRPr="00C9465D">
        <w:rPr>
          <w:lang w:val="en-US"/>
        </w:rPr>
        <w:t>Mr. Guachalá</w:t>
      </w:r>
      <w:r w:rsidR="002600D5" w:rsidRPr="00C9465D">
        <w:rPr>
          <w:lang w:val="en-US"/>
        </w:rPr>
        <w:t xml:space="preserve">, </w:t>
      </w:r>
      <w:r w:rsidRPr="00C9465D">
        <w:rPr>
          <w:lang w:val="en-US"/>
        </w:rPr>
        <w:t xml:space="preserve">finding that he was “uncommunicative, with </w:t>
      </w:r>
      <w:r w:rsidR="00B63846" w:rsidRPr="00C9465D">
        <w:rPr>
          <w:lang w:val="en-US"/>
        </w:rPr>
        <w:t>hypoprosexia</w:t>
      </w:r>
      <w:r w:rsidRPr="00C9465D">
        <w:rPr>
          <w:lang w:val="en-US"/>
        </w:rPr>
        <w:t>,</w:t>
      </w:r>
      <w:r w:rsidR="006A17EA" w:rsidRPr="00C9465D">
        <w:rPr>
          <w:rStyle w:val="FootnoteReference"/>
          <w:lang w:val="en-US"/>
        </w:rPr>
        <w:footnoteReference w:id="53"/>
      </w:r>
      <w:r w:rsidR="002600D5" w:rsidRPr="00C9465D">
        <w:rPr>
          <w:lang w:val="en-US"/>
        </w:rPr>
        <w:t xml:space="preserve"> </w:t>
      </w:r>
      <w:r w:rsidR="00A703B6" w:rsidRPr="00C9465D">
        <w:rPr>
          <w:rFonts w:eastAsiaTheme="minorHAnsi" w:cstheme="minorBidi"/>
          <w:color w:val="auto"/>
          <w:lang w:val="en-US"/>
        </w:rPr>
        <w:t>bradypsychia</w:t>
      </w:r>
      <w:r w:rsidR="00A703B6" w:rsidRPr="00C9465D">
        <w:rPr>
          <w:lang w:val="en-US"/>
        </w:rPr>
        <w:t>,</w:t>
      </w:r>
      <w:r w:rsidR="006A17EA" w:rsidRPr="00C9465D">
        <w:rPr>
          <w:rStyle w:val="FootnoteReference"/>
          <w:lang w:val="en-US"/>
        </w:rPr>
        <w:footnoteReference w:id="54"/>
      </w:r>
      <w:r w:rsidR="002600D5" w:rsidRPr="00C9465D">
        <w:rPr>
          <w:lang w:val="en-US"/>
        </w:rPr>
        <w:t xml:space="preserve"> </w:t>
      </w:r>
      <w:r w:rsidR="007F4C44" w:rsidRPr="00C9465D">
        <w:rPr>
          <w:lang w:val="en-US"/>
        </w:rPr>
        <w:t>poor</w:t>
      </w:r>
      <w:r w:rsidR="00100EAD" w:rsidRPr="00C9465D">
        <w:rPr>
          <w:lang w:val="en-US"/>
        </w:rPr>
        <w:t xml:space="preserve"> retention,</w:t>
      </w:r>
      <w:r w:rsidR="007F4C44" w:rsidRPr="00C9465D">
        <w:rPr>
          <w:lang w:val="en-US"/>
        </w:rPr>
        <w:t xml:space="preserve"> </w:t>
      </w:r>
      <w:r w:rsidR="00520411" w:rsidRPr="00C9465D">
        <w:rPr>
          <w:lang w:val="en-US"/>
        </w:rPr>
        <w:t>[…]</w:t>
      </w:r>
      <w:r w:rsidR="002600D5" w:rsidRPr="00C9465D">
        <w:rPr>
          <w:lang w:val="en-US"/>
        </w:rPr>
        <w:t xml:space="preserve">  memor</w:t>
      </w:r>
      <w:r w:rsidR="007F4C44" w:rsidRPr="00C9465D">
        <w:rPr>
          <w:lang w:val="en-US"/>
        </w:rPr>
        <w:t>y</w:t>
      </w:r>
      <w:r w:rsidR="002600D5" w:rsidRPr="00C9465D">
        <w:rPr>
          <w:lang w:val="en-US"/>
        </w:rPr>
        <w:t xml:space="preserve">, </w:t>
      </w:r>
      <w:r w:rsidR="00100EAD" w:rsidRPr="00C9465D">
        <w:rPr>
          <w:lang w:val="en-US"/>
        </w:rPr>
        <w:t xml:space="preserve">power of analysis, judgment and reasoning deteriorated.” She added that </w:t>
      </w:r>
      <w:r w:rsidR="002F3237" w:rsidRPr="00C9465D">
        <w:rPr>
          <w:lang w:val="en-US"/>
        </w:rPr>
        <w:t>Mr. Guachalá</w:t>
      </w:r>
      <w:r w:rsidR="002600D5" w:rsidRPr="00C9465D">
        <w:rPr>
          <w:lang w:val="en-US"/>
        </w:rPr>
        <w:t xml:space="preserve"> </w:t>
      </w:r>
      <w:r w:rsidR="00100EAD" w:rsidRPr="00C9465D">
        <w:rPr>
          <w:lang w:val="en-US"/>
        </w:rPr>
        <w:t xml:space="preserve">had not suffered epileptic seizures and that he was eating and sleeping </w:t>
      </w:r>
      <w:r w:rsidR="00520411" w:rsidRPr="00C9465D">
        <w:rPr>
          <w:lang w:val="en-US"/>
        </w:rPr>
        <w:t>satisfactoril</w:t>
      </w:r>
      <w:r w:rsidR="00100EAD" w:rsidRPr="00C9465D">
        <w:rPr>
          <w:lang w:val="en-US"/>
        </w:rPr>
        <w:t xml:space="preserve">y. Based on his </w:t>
      </w:r>
      <w:r w:rsidR="00100EAD" w:rsidRPr="00C9465D">
        <w:rPr>
          <w:lang w:val="en-US"/>
        </w:rPr>
        <w:lastRenderedPageBreak/>
        <w:t>improvement, she decided to change the prescribed medication.</w:t>
      </w:r>
      <w:r w:rsidR="002600D5" w:rsidRPr="00C9465D">
        <w:rPr>
          <w:rStyle w:val="FootnoteReference"/>
          <w:lang w:val="en-US"/>
        </w:rPr>
        <w:footnoteReference w:id="55"/>
      </w:r>
      <w:r w:rsidR="00100EAD" w:rsidRPr="00C9465D">
        <w:rPr>
          <w:lang w:val="en-US"/>
        </w:rPr>
        <w:t xml:space="preserve"> On Thursday, January 15, </w:t>
      </w:r>
      <w:r w:rsidR="002600D5" w:rsidRPr="00C9465D">
        <w:rPr>
          <w:lang w:val="en-US"/>
        </w:rPr>
        <w:t xml:space="preserve"> 2004</w:t>
      </w:r>
      <w:r w:rsidR="00100EAD" w:rsidRPr="00C9465D">
        <w:rPr>
          <w:lang w:val="en-US"/>
        </w:rPr>
        <w:t xml:space="preserve">, when Dr. </w:t>
      </w:r>
      <w:r w:rsidR="002600D5" w:rsidRPr="00C9465D">
        <w:rPr>
          <w:lang w:val="en-US"/>
        </w:rPr>
        <w:t xml:space="preserve">E.Q. </w:t>
      </w:r>
      <w:r w:rsidR="00100EAD" w:rsidRPr="00C9465D">
        <w:rPr>
          <w:lang w:val="en-US"/>
        </w:rPr>
        <w:t xml:space="preserve">arrived at the hospital, she was informed that </w:t>
      </w:r>
      <w:r w:rsidR="002F3237" w:rsidRPr="00C9465D">
        <w:rPr>
          <w:lang w:val="en-US"/>
        </w:rPr>
        <w:t>Mr. Guachalá</w:t>
      </w:r>
      <w:r w:rsidR="002600D5" w:rsidRPr="00C9465D">
        <w:rPr>
          <w:lang w:val="en-US"/>
        </w:rPr>
        <w:t xml:space="preserve"> </w:t>
      </w:r>
      <w:r w:rsidR="00100EAD" w:rsidRPr="00C9465D">
        <w:rPr>
          <w:lang w:val="en-US"/>
        </w:rPr>
        <w:t>had suffered a fall the previous day and she therefore proceeded to suture the wound in the left ciliary area and to prescribe an anti-inflammatory medicine.</w:t>
      </w:r>
      <w:r w:rsidR="002600D5" w:rsidRPr="00C9465D">
        <w:rPr>
          <w:rStyle w:val="FootnoteReference"/>
          <w:lang w:val="en-US"/>
        </w:rPr>
        <w:footnoteReference w:id="56"/>
      </w:r>
      <w:r w:rsidR="002600D5" w:rsidRPr="00C9465D">
        <w:rPr>
          <w:bCs/>
          <w:lang w:val="en-US"/>
        </w:rPr>
        <w:t xml:space="preserve"> </w:t>
      </w:r>
      <w:r w:rsidR="00100EAD" w:rsidRPr="00C9465D">
        <w:rPr>
          <w:lang w:val="en-US"/>
        </w:rPr>
        <w:t>On January 16,</w:t>
      </w:r>
      <w:r w:rsidR="002600D5" w:rsidRPr="00C9465D">
        <w:rPr>
          <w:lang w:val="en-US"/>
        </w:rPr>
        <w:t xml:space="preserve"> 2004</w:t>
      </w:r>
      <w:r w:rsidR="00100EAD" w:rsidRPr="00C9465D">
        <w:rPr>
          <w:lang w:val="en-US"/>
        </w:rPr>
        <w:t>,</w:t>
      </w:r>
      <w:r w:rsidR="002600D5" w:rsidRPr="00C9465D">
        <w:rPr>
          <w:lang w:val="en-US"/>
        </w:rPr>
        <w:t xml:space="preserve"> </w:t>
      </w:r>
      <w:r w:rsidR="00100EAD" w:rsidRPr="00C9465D">
        <w:rPr>
          <w:lang w:val="en-US"/>
        </w:rPr>
        <w:t>Dr. E.Q.</w:t>
      </w:r>
      <w:r w:rsidR="002600D5" w:rsidRPr="00C9465D">
        <w:rPr>
          <w:lang w:val="en-US"/>
        </w:rPr>
        <w:t xml:space="preserve"> </w:t>
      </w:r>
      <w:r w:rsidR="00100EAD" w:rsidRPr="00C9465D">
        <w:rPr>
          <w:lang w:val="en-US"/>
        </w:rPr>
        <w:t xml:space="preserve">again examined </w:t>
      </w:r>
      <w:r w:rsidR="002F3237" w:rsidRPr="00C9465D">
        <w:rPr>
          <w:lang w:val="en-US"/>
        </w:rPr>
        <w:t>Mr. Guachalá</w:t>
      </w:r>
      <w:r w:rsidR="002600D5" w:rsidRPr="00C9465D">
        <w:rPr>
          <w:lang w:val="en-US"/>
        </w:rPr>
        <w:t xml:space="preserve">, </w:t>
      </w:r>
      <w:r w:rsidR="00100EAD" w:rsidRPr="00C9465D">
        <w:rPr>
          <w:lang w:val="en-US"/>
        </w:rPr>
        <w:t xml:space="preserve">indicating that “he was walking around, with hypoprosexia, </w:t>
      </w:r>
      <w:r w:rsidR="00100EAD" w:rsidRPr="00C9465D">
        <w:rPr>
          <w:rFonts w:eastAsiaTheme="minorHAnsi" w:cstheme="minorBidi"/>
          <w:color w:val="auto"/>
          <w:lang w:val="en-US"/>
        </w:rPr>
        <w:t xml:space="preserve">bradypsychia, poor retention, without sensory-perceptual alterations, </w:t>
      </w:r>
      <w:r w:rsidR="00520411" w:rsidRPr="00C9465D">
        <w:rPr>
          <w:lang w:val="en-US"/>
        </w:rPr>
        <w:t>[…]</w:t>
      </w:r>
      <w:r w:rsidR="00100EAD" w:rsidRPr="00C9465D">
        <w:rPr>
          <w:lang w:val="en-US"/>
        </w:rPr>
        <w:t xml:space="preserve"> memory, power of analysis, judgment and reasoning deteriorated. He was eating and sleeping satisfactorily. He has not had epileptic seizures.</w:t>
      </w:r>
      <w:r w:rsidR="002600D5" w:rsidRPr="00C9465D">
        <w:rPr>
          <w:lang w:val="en-US"/>
        </w:rPr>
        <w:t>”</w:t>
      </w:r>
      <w:r w:rsidR="002600D5" w:rsidRPr="00C9465D">
        <w:rPr>
          <w:rStyle w:val="FootnoteReference"/>
          <w:lang w:val="en-US"/>
        </w:rPr>
        <w:footnoteReference w:id="57"/>
      </w:r>
    </w:p>
    <w:p w14:paraId="5B0AE636" w14:textId="7F0617E6" w:rsidR="002600D5" w:rsidRPr="00C9465D" w:rsidRDefault="00A56F98" w:rsidP="00100EAD">
      <w:pPr>
        <w:pStyle w:val="Numberedparagraphs"/>
        <w:rPr>
          <w:lang w:val="en-US"/>
        </w:rPr>
      </w:pPr>
      <w:r w:rsidRPr="00C9465D">
        <w:rPr>
          <w:lang w:val="en-US"/>
        </w:rPr>
        <w:t>Mrs. Chimbo</w:t>
      </w:r>
      <w:r w:rsidR="000628B8" w:rsidRPr="00C9465D">
        <w:rPr>
          <w:lang w:val="en-US"/>
        </w:rPr>
        <w:t xml:space="preserve"> Jarro </w:t>
      </w:r>
      <w:r w:rsidR="00100EAD" w:rsidRPr="00C9465D">
        <w:rPr>
          <w:lang w:val="en-US"/>
        </w:rPr>
        <w:t xml:space="preserve">stated that, when </w:t>
      </w:r>
      <w:r w:rsidR="002600D5" w:rsidRPr="00C9465D">
        <w:rPr>
          <w:lang w:val="en-US"/>
        </w:rPr>
        <w:t>Luis Eduardo</w:t>
      </w:r>
      <w:r w:rsidR="00100EAD" w:rsidRPr="00C9465D">
        <w:rPr>
          <w:lang w:val="en-US"/>
        </w:rPr>
        <w:t xml:space="preserve"> was admitted to the hospital</w:t>
      </w:r>
      <w:r w:rsidR="00770475" w:rsidRPr="00C9465D">
        <w:rPr>
          <w:lang w:val="en-US"/>
        </w:rPr>
        <w:t>,</w:t>
      </w:r>
      <w:r w:rsidR="000628B8" w:rsidRPr="00C9465D">
        <w:rPr>
          <w:lang w:val="en-US"/>
        </w:rPr>
        <w:t xml:space="preserve"> </w:t>
      </w:r>
      <w:r w:rsidR="00100EAD" w:rsidRPr="00C9465D">
        <w:rPr>
          <w:lang w:val="en-US"/>
        </w:rPr>
        <w:t xml:space="preserve">she asked the doctor if it </w:t>
      </w:r>
      <w:r w:rsidR="004C5E70" w:rsidRPr="00C9465D">
        <w:rPr>
          <w:lang w:val="en-US"/>
        </w:rPr>
        <w:t>w</w:t>
      </w:r>
      <w:r w:rsidR="00520411" w:rsidRPr="00C9465D">
        <w:rPr>
          <w:lang w:val="en-US"/>
        </w:rPr>
        <w:t>ould be</w:t>
      </w:r>
      <w:r w:rsidR="00100EAD" w:rsidRPr="00C9465D">
        <w:rPr>
          <w:lang w:val="en-US"/>
        </w:rPr>
        <w:t xml:space="preserve"> possible to visit her son the following day and the doctor responded that it would be “better if she returned on Monday because her son would be sleeping on Saturday and Sunday.</w:t>
      </w:r>
      <w:r w:rsidR="000628B8" w:rsidRPr="00C9465D">
        <w:rPr>
          <w:lang w:val="en-US"/>
        </w:rPr>
        <w:t>”</w:t>
      </w:r>
      <w:r w:rsidR="000628B8" w:rsidRPr="00C9465D">
        <w:rPr>
          <w:rStyle w:val="FootnoteReference"/>
          <w:lang w:val="en-US"/>
        </w:rPr>
        <w:footnoteReference w:id="58"/>
      </w:r>
      <w:r w:rsidR="000628B8" w:rsidRPr="00C9465D">
        <w:rPr>
          <w:lang w:val="en-US"/>
        </w:rPr>
        <w:t xml:space="preserve"> </w:t>
      </w:r>
      <w:r w:rsidR="00100EAD" w:rsidRPr="00C9465D">
        <w:rPr>
          <w:lang w:val="en-US"/>
        </w:rPr>
        <w:t>On Monday January 12,</w:t>
      </w:r>
      <w:r w:rsidR="002600D5" w:rsidRPr="00C9465D">
        <w:rPr>
          <w:lang w:val="en-US"/>
        </w:rPr>
        <w:t xml:space="preserve"> 2004, </w:t>
      </w:r>
      <w:r w:rsidR="002F3237" w:rsidRPr="00C9465D">
        <w:rPr>
          <w:lang w:val="en-US"/>
        </w:rPr>
        <w:t>Mr. Guachalá</w:t>
      </w:r>
      <w:r w:rsidR="002600D5" w:rsidRPr="00C9465D">
        <w:rPr>
          <w:lang w:val="en-US"/>
        </w:rPr>
        <w:t xml:space="preserve"> Chimbo</w:t>
      </w:r>
      <w:r w:rsidR="00100EAD" w:rsidRPr="00C9465D">
        <w:rPr>
          <w:lang w:val="en-US"/>
        </w:rPr>
        <w:t>’s mother went to the hospital; she indicated that she did not find her son in his room and therefore asked the doctor where he could be. The doctor “advised [her] that [her] son was sedated</w:t>
      </w:r>
      <w:r w:rsidR="002600D5" w:rsidRPr="00C9465D">
        <w:rPr>
          <w:lang w:val="en-US"/>
        </w:rPr>
        <w:t>”</w:t>
      </w:r>
      <w:r w:rsidR="002600D5" w:rsidRPr="00C9465D">
        <w:rPr>
          <w:rStyle w:val="FootnoteReference"/>
          <w:lang w:val="en-US"/>
        </w:rPr>
        <w:footnoteReference w:id="59"/>
      </w:r>
      <w:r w:rsidR="00193CBB" w:rsidRPr="00C9465D">
        <w:rPr>
          <w:lang w:val="en-US"/>
        </w:rPr>
        <w:t xml:space="preserve"> and </w:t>
      </w:r>
      <w:r w:rsidR="00100EAD" w:rsidRPr="00C9465D">
        <w:rPr>
          <w:lang w:val="en-US"/>
        </w:rPr>
        <w:t>that she considered that, “from a therapeutic perspective</w:t>
      </w:r>
      <w:r w:rsidR="00520411" w:rsidRPr="00C9465D">
        <w:rPr>
          <w:lang w:val="en-US"/>
        </w:rPr>
        <w:t>,</w:t>
      </w:r>
      <w:r w:rsidR="00100EAD" w:rsidRPr="00C9465D">
        <w:rPr>
          <w:lang w:val="en-US"/>
        </w:rPr>
        <w:t xml:space="preserve"> it would better if [she] did not see him because when patients receive visits from their family members, they often become agitated and want to leave with them.</w:t>
      </w:r>
      <w:r w:rsidR="002600D5" w:rsidRPr="00C9465D">
        <w:rPr>
          <w:lang w:val="en-US"/>
        </w:rPr>
        <w:t>”</w:t>
      </w:r>
      <w:r w:rsidR="002600D5" w:rsidRPr="00C9465D">
        <w:rPr>
          <w:rStyle w:val="FootnoteReference"/>
          <w:lang w:val="en-US"/>
        </w:rPr>
        <w:footnoteReference w:id="60"/>
      </w:r>
      <w:r w:rsidR="002600D5" w:rsidRPr="00C9465D">
        <w:rPr>
          <w:lang w:val="en-US"/>
        </w:rPr>
        <w:t xml:space="preserve"> </w:t>
      </w:r>
    </w:p>
    <w:p w14:paraId="7B4AAA04" w14:textId="5BAAD88A" w:rsidR="00B90CE6" w:rsidRPr="00C9465D" w:rsidRDefault="00100EAD" w:rsidP="00100EAD">
      <w:pPr>
        <w:pStyle w:val="Numberedparagraphs"/>
        <w:rPr>
          <w:lang w:val="en-US"/>
        </w:rPr>
      </w:pPr>
      <w:r w:rsidRPr="00C9465D">
        <w:rPr>
          <w:lang w:val="en-US"/>
        </w:rPr>
        <w:t xml:space="preserve">After she had looked for her son in the hospital </w:t>
      </w:r>
      <w:r w:rsidR="00520411" w:rsidRPr="00C9465D">
        <w:rPr>
          <w:lang w:val="en-US"/>
        </w:rPr>
        <w:t>un</w:t>
      </w:r>
      <w:r w:rsidRPr="00C9465D">
        <w:rPr>
          <w:lang w:val="en-US"/>
        </w:rPr>
        <w:t>success</w:t>
      </w:r>
      <w:r w:rsidR="00520411" w:rsidRPr="00C9465D">
        <w:rPr>
          <w:lang w:val="en-US"/>
        </w:rPr>
        <w:t>fully</w:t>
      </w:r>
      <w:r w:rsidRPr="00C9465D">
        <w:rPr>
          <w:lang w:val="en-US"/>
        </w:rPr>
        <w:t>, Mrs. Chimbo again asked Dr. E.Q. where he was, and she responded that “he could be at the barbers or in occupational therapy with other patients.</w:t>
      </w:r>
      <w:r w:rsidR="000628B8" w:rsidRPr="00C9465D">
        <w:rPr>
          <w:lang w:val="en-US"/>
        </w:rPr>
        <w:t>”</w:t>
      </w:r>
      <w:r w:rsidR="000628B8" w:rsidRPr="00C9465D">
        <w:rPr>
          <w:rStyle w:val="FootnoteReference"/>
          <w:lang w:val="en-US"/>
        </w:rPr>
        <w:footnoteReference w:id="61"/>
      </w:r>
      <w:r w:rsidRPr="00C9465D">
        <w:rPr>
          <w:lang w:val="en-US"/>
        </w:rPr>
        <w:t xml:space="preserve"> However, the medical record indicates that “at that time [she] did not know exactly where he was because [she did not have] direct responsibility for taking care of patients.</w:t>
      </w:r>
      <w:r w:rsidR="000628B8" w:rsidRPr="00C9465D">
        <w:rPr>
          <w:lang w:val="en-US"/>
        </w:rPr>
        <w:t>”</w:t>
      </w:r>
      <w:r w:rsidR="000628B8" w:rsidRPr="00C9465D">
        <w:rPr>
          <w:rStyle w:val="FootnoteReference"/>
          <w:lang w:val="en-US"/>
        </w:rPr>
        <w:footnoteReference w:id="62"/>
      </w:r>
      <w:r w:rsidR="000628B8" w:rsidRPr="00C9465D">
        <w:rPr>
          <w:lang w:val="en-US"/>
        </w:rPr>
        <w:t xml:space="preserve"> </w:t>
      </w:r>
      <w:r w:rsidR="00A56F98" w:rsidRPr="00C9465D">
        <w:rPr>
          <w:lang w:val="en-US"/>
        </w:rPr>
        <w:t>Mrs. Chimbo</w:t>
      </w:r>
      <w:r w:rsidR="000628B8" w:rsidRPr="00C9465D">
        <w:rPr>
          <w:lang w:val="en-US"/>
        </w:rPr>
        <w:t xml:space="preserve"> Jarro </w:t>
      </w:r>
      <w:r w:rsidRPr="00C9465D">
        <w:rPr>
          <w:lang w:val="en-US"/>
        </w:rPr>
        <w:t>did not find her son in the places mentioned</w:t>
      </w:r>
      <w:r w:rsidR="00520411" w:rsidRPr="00C9465D">
        <w:rPr>
          <w:lang w:val="en-US"/>
        </w:rPr>
        <w:t>,</w:t>
      </w:r>
      <w:r w:rsidRPr="00C9465D">
        <w:rPr>
          <w:lang w:val="en-US"/>
        </w:rPr>
        <w:t xml:space="preserve"> and could not get any answers in this regard from the hospital staff.</w:t>
      </w:r>
      <w:r w:rsidR="000628B8" w:rsidRPr="00C9465D">
        <w:rPr>
          <w:rStyle w:val="FootnoteReference"/>
          <w:lang w:val="en-US"/>
        </w:rPr>
        <w:footnoteReference w:id="63"/>
      </w:r>
      <w:r w:rsidRPr="00C9465D">
        <w:rPr>
          <w:lang w:val="en-US"/>
        </w:rPr>
        <w:t xml:space="preserve"> The doctor told her that she should communicate “by telephone to obtain daily information on her son’s health </w:t>
      </w:r>
      <w:r w:rsidR="00193CBB" w:rsidRPr="00C9465D">
        <w:rPr>
          <w:bCs/>
          <w:lang w:val="en-US"/>
        </w:rPr>
        <w:t xml:space="preserve">and </w:t>
      </w:r>
      <w:r w:rsidRPr="00C9465D">
        <w:rPr>
          <w:bCs/>
          <w:lang w:val="en-US"/>
        </w:rPr>
        <w:t>the day that [she could] visit him.</w:t>
      </w:r>
      <w:r w:rsidR="00B90CE6" w:rsidRPr="00C9465D">
        <w:rPr>
          <w:bCs/>
          <w:lang w:val="en-US"/>
        </w:rPr>
        <w:t>”</w:t>
      </w:r>
      <w:r w:rsidR="00B90CE6" w:rsidRPr="00C9465D">
        <w:rPr>
          <w:rStyle w:val="FootnoteReference"/>
          <w:lang w:val="en-US"/>
        </w:rPr>
        <w:footnoteReference w:id="64"/>
      </w:r>
      <w:r w:rsidR="00B90CE6" w:rsidRPr="00C9465D">
        <w:rPr>
          <w:lang w:val="en-US"/>
        </w:rPr>
        <w:t xml:space="preserve"> </w:t>
      </w:r>
      <w:r w:rsidR="00A56F98" w:rsidRPr="00C9465D">
        <w:rPr>
          <w:lang w:val="en-US"/>
        </w:rPr>
        <w:t>Mrs. Chimbo</w:t>
      </w:r>
      <w:r w:rsidR="00B90CE6" w:rsidRPr="00C9465D">
        <w:rPr>
          <w:lang w:val="en-US"/>
        </w:rPr>
        <w:t xml:space="preserve"> </w:t>
      </w:r>
      <w:r w:rsidRPr="00C9465D">
        <w:rPr>
          <w:lang w:val="en-US"/>
        </w:rPr>
        <w:t xml:space="preserve">telephoned the hospital staff on January </w:t>
      </w:r>
      <w:r w:rsidR="00B90CE6" w:rsidRPr="00C9465D">
        <w:rPr>
          <w:lang w:val="en-US"/>
        </w:rPr>
        <w:t>11, 13, 15</w:t>
      </w:r>
      <w:r w:rsidR="00193CBB" w:rsidRPr="00C9465D">
        <w:rPr>
          <w:lang w:val="en-US"/>
        </w:rPr>
        <w:t xml:space="preserve"> and </w:t>
      </w:r>
      <w:r w:rsidR="00B90CE6" w:rsidRPr="00C9465D">
        <w:rPr>
          <w:lang w:val="en-US"/>
        </w:rPr>
        <w:t>16</w:t>
      </w:r>
      <w:r w:rsidRPr="00C9465D">
        <w:rPr>
          <w:lang w:val="en-US"/>
        </w:rPr>
        <w:t xml:space="preserve">, </w:t>
      </w:r>
      <w:r w:rsidR="00B90CE6" w:rsidRPr="00C9465D">
        <w:rPr>
          <w:lang w:val="en-US"/>
        </w:rPr>
        <w:t xml:space="preserve">2004, </w:t>
      </w:r>
      <w:r w:rsidRPr="00C9465D">
        <w:rPr>
          <w:lang w:val="en-US"/>
        </w:rPr>
        <w:t>and received information on her son’s condition.</w:t>
      </w:r>
      <w:r w:rsidR="00B90CE6" w:rsidRPr="00C9465D">
        <w:rPr>
          <w:rStyle w:val="FootnoteReference"/>
          <w:lang w:val="en-US"/>
        </w:rPr>
        <w:footnoteReference w:id="65"/>
      </w:r>
    </w:p>
    <w:p w14:paraId="6439832C" w14:textId="7433C718" w:rsidR="000628B8" w:rsidRPr="00C9465D" w:rsidRDefault="00BF6AD0" w:rsidP="00BB407B">
      <w:pPr>
        <w:pStyle w:val="Heading2"/>
        <w:rPr>
          <w:lang w:val="en-US"/>
        </w:rPr>
      </w:pPr>
      <w:bookmarkStart w:id="22" w:name="_Toc74298440"/>
      <w:r w:rsidRPr="00C9465D">
        <w:rPr>
          <w:lang w:val="en-US"/>
        </w:rPr>
        <w:t>The disappearance of</w:t>
      </w:r>
      <w:r w:rsidR="002F3237" w:rsidRPr="00C9465D">
        <w:rPr>
          <w:lang w:val="en-US"/>
        </w:rPr>
        <w:t xml:space="preserve"> Mr. Guachalá</w:t>
      </w:r>
      <w:r w:rsidR="000628B8" w:rsidRPr="00C9465D">
        <w:rPr>
          <w:lang w:val="en-US"/>
        </w:rPr>
        <w:t xml:space="preserve"> </w:t>
      </w:r>
      <w:r w:rsidR="00041F63" w:rsidRPr="00C9465D">
        <w:rPr>
          <w:lang w:val="en-US"/>
        </w:rPr>
        <w:t>Chimbo</w:t>
      </w:r>
      <w:r w:rsidR="00193CBB" w:rsidRPr="00C9465D">
        <w:rPr>
          <w:lang w:val="en-US"/>
        </w:rPr>
        <w:t xml:space="preserve"> and </w:t>
      </w:r>
      <w:r w:rsidRPr="00C9465D">
        <w:rPr>
          <w:lang w:val="en-US"/>
        </w:rPr>
        <w:t>the first efforts to discover his whereabouts</w:t>
      </w:r>
      <w:bookmarkEnd w:id="22"/>
    </w:p>
    <w:p w14:paraId="0D6A175D" w14:textId="64B520A0" w:rsidR="000628B8" w:rsidRPr="00C9465D" w:rsidRDefault="00BF6AD0" w:rsidP="00AA3C22">
      <w:pPr>
        <w:pStyle w:val="Numberedparagraphs"/>
        <w:rPr>
          <w:b/>
          <w:lang w:val="en-US"/>
        </w:rPr>
      </w:pPr>
      <w:r w:rsidRPr="00C9465D">
        <w:rPr>
          <w:lang w:val="en-US"/>
        </w:rPr>
        <w:t xml:space="preserve">The last time that his family saw </w:t>
      </w:r>
      <w:r w:rsidR="000628B8" w:rsidRPr="00C9465D">
        <w:rPr>
          <w:lang w:val="en-US"/>
        </w:rPr>
        <w:t xml:space="preserve">Luis Eduardo Guachalá </w:t>
      </w:r>
      <w:r w:rsidR="00041F63" w:rsidRPr="00C9465D">
        <w:rPr>
          <w:lang w:val="en-US"/>
        </w:rPr>
        <w:t>Chimbo</w:t>
      </w:r>
      <w:r w:rsidR="000628B8" w:rsidRPr="00C9465D">
        <w:rPr>
          <w:lang w:val="en-US"/>
        </w:rPr>
        <w:t xml:space="preserve"> </w:t>
      </w:r>
      <w:r w:rsidRPr="00C9465D">
        <w:rPr>
          <w:lang w:val="en-US"/>
        </w:rPr>
        <w:t>was on January 10,</w:t>
      </w:r>
      <w:r w:rsidR="00B05598" w:rsidRPr="00C9465D">
        <w:rPr>
          <w:lang w:val="en-US"/>
        </w:rPr>
        <w:t xml:space="preserve"> </w:t>
      </w:r>
      <w:r w:rsidR="00845E7D" w:rsidRPr="00C9465D">
        <w:rPr>
          <w:lang w:val="en-US"/>
        </w:rPr>
        <w:t>2004</w:t>
      </w:r>
      <w:r w:rsidRPr="00C9465D">
        <w:rPr>
          <w:lang w:val="en-US"/>
        </w:rPr>
        <w:t xml:space="preserve">, when he was admitted to the </w:t>
      </w:r>
      <w:r w:rsidR="00B05598" w:rsidRPr="00C9465D">
        <w:rPr>
          <w:lang w:val="en-US"/>
        </w:rPr>
        <w:t>Julio Endara</w:t>
      </w:r>
      <w:r w:rsidRPr="00C9465D">
        <w:rPr>
          <w:lang w:val="en-US"/>
        </w:rPr>
        <w:t xml:space="preserve"> Hospital.</w:t>
      </w:r>
      <w:r w:rsidR="00B05598" w:rsidRPr="00C9465D">
        <w:rPr>
          <w:rStyle w:val="FootnoteReference"/>
          <w:lang w:val="en-US"/>
        </w:rPr>
        <w:footnoteReference w:id="66"/>
      </w:r>
      <w:r w:rsidRPr="00C9465D">
        <w:rPr>
          <w:lang w:val="en-US"/>
        </w:rPr>
        <w:t xml:space="preserve"> According to this hospital’s records,</w:t>
      </w:r>
      <w:r w:rsidR="00B05598" w:rsidRPr="00C9465D">
        <w:rPr>
          <w:lang w:val="en-US"/>
        </w:rPr>
        <w:t xml:space="preserve"> </w:t>
      </w:r>
      <w:r w:rsidR="002F3237" w:rsidRPr="00C9465D">
        <w:rPr>
          <w:lang w:val="en-US"/>
        </w:rPr>
        <w:t>Mr. Guachalá</w:t>
      </w:r>
      <w:r w:rsidR="00B05598" w:rsidRPr="00C9465D">
        <w:rPr>
          <w:lang w:val="en-US"/>
        </w:rPr>
        <w:t xml:space="preserve"> Chimbo </w:t>
      </w:r>
      <w:r w:rsidRPr="00C9465D">
        <w:rPr>
          <w:lang w:val="en-US"/>
        </w:rPr>
        <w:t>was hospitalized until</w:t>
      </w:r>
      <w:r w:rsidR="00B05598" w:rsidRPr="00C9465D">
        <w:rPr>
          <w:lang w:val="en-US"/>
        </w:rPr>
        <w:t xml:space="preserve"> </w:t>
      </w:r>
      <w:r w:rsidRPr="00C9465D">
        <w:rPr>
          <w:lang w:val="en-US"/>
        </w:rPr>
        <w:t>January 17,</w:t>
      </w:r>
      <w:r w:rsidR="000628B8" w:rsidRPr="00C9465D">
        <w:rPr>
          <w:lang w:val="en-US"/>
        </w:rPr>
        <w:t xml:space="preserve"> 2004</w:t>
      </w:r>
      <w:r w:rsidR="00B05598" w:rsidRPr="00C9465D">
        <w:rPr>
          <w:lang w:val="en-US"/>
        </w:rPr>
        <w:t>,</w:t>
      </w:r>
      <w:r w:rsidRPr="00C9465D">
        <w:rPr>
          <w:lang w:val="en-US"/>
        </w:rPr>
        <w:t xml:space="preserve"> the day on which the </w:t>
      </w:r>
      <w:r w:rsidRPr="00C9465D">
        <w:rPr>
          <w:lang w:val="en-US"/>
        </w:rPr>
        <w:lastRenderedPageBreak/>
        <w:t>change of shift</w:t>
      </w:r>
      <w:r w:rsidR="00520411" w:rsidRPr="00C9465D">
        <w:rPr>
          <w:lang w:val="en-US"/>
        </w:rPr>
        <w:t xml:space="preserve"> report</w:t>
      </w:r>
      <w:r w:rsidRPr="00C9465D">
        <w:rPr>
          <w:lang w:val="en-US"/>
        </w:rPr>
        <w:t xml:space="preserve"> indicated at 3.30 p.m. that “the patient </w:t>
      </w:r>
      <w:r w:rsidR="000628B8" w:rsidRPr="00C9465D">
        <w:rPr>
          <w:lang w:val="en-US"/>
        </w:rPr>
        <w:t xml:space="preserve">Luis Guachalá </w:t>
      </w:r>
      <w:r w:rsidRPr="00C9465D">
        <w:rPr>
          <w:lang w:val="en-US"/>
        </w:rPr>
        <w:t>has left the hospital; a search was made, but he was not found.</w:t>
      </w:r>
      <w:r w:rsidR="000628B8" w:rsidRPr="00C9465D">
        <w:rPr>
          <w:lang w:val="en-US"/>
        </w:rPr>
        <w:t>”</w:t>
      </w:r>
      <w:r w:rsidR="000628B8" w:rsidRPr="00C9465D">
        <w:rPr>
          <w:rStyle w:val="FootnoteReference"/>
          <w:lang w:val="en-US"/>
        </w:rPr>
        <w:footnoteReference w:id="67"/>
      </w:r>
    </w:p>
    <w:p w14:paraId="3CF5D38F" w14:textId="6B86A2F5" w:rsidR="00AB7610" w:rsidRPr="00C9465D" w:rsidRDefault="00BF6AD0" w:rsidP="00F044F7">
      <w:pPr>
        <w:pStyle w:val="Numberedparagraphs"/>
        <w:rPr>
          <w:lang w:val="en-US"/>
        </w:rPr>
      </w:pPr>
      <w:r w:rsidRPr="00C9465D">
        <w:rPr>
          <w:lang w:val="en-US"/>
        </w:rPr>
        <w:t xml:space="preserve">The male nurse responsible for </w:t>
      </w:r>
      <w:r w:rsidR="002F3237" w:rsidRPr="00C9465D">
        <w:rPr>
          <w:lang w:val="en-US"/>
        </w:rPr>
        <w:t>Mr. Guachalá</w:t>
      </w:r>
      <w:r w:rsidR="00CF2E20" w:rsidRPr="00C9465D">
        <w:rPr>
          <w:lang w:val="en-US"/>
        </w:rPr>
        <w:t>’s care</w:t>
      </w:r>
      <w:r w:rsidR="000628B8" w:rsidRPr="00C9465D">
        <w:rPr>
          <w:lang w:val="en-US"/>
        </w:rPr>
        <w:t xml:space="preserve"> </w:t>
      </w:r>
      <w:r w:rsidRPr="00C9465D">
        <w:rPr>
          <w:lang w:val="en-US"/>
        </w:rPr>
        <w:t>stated that, on the afternoon of January 17,</w:t>
      </w:r>
      <w:r w:rsidR="000628B8" w:rsidRPr="00C9465D">
        <w:rPr>
          <w:lang w:val="en-US"/>
        </w:rPr>
        <w:t xml:space="preserve"> 2004</w:t>
      </w:r>
      <w:r w:rsidR="0055771F" w:rsidRPr="00C9465D">
        <w:rPr>
          <w:lang w:val="en-US"/>
        </w:rPr>
        <w:t>,</w:t>
      </w:r>
      <w:r w:rsidR="000628B8" w:rsidRPr="00C9465D">
        <w:rPr>
          <w:lang w:val="en-US"/>
        </w:rPr>
        <w:t xml:space="preserve"> </w:t>
      </w:r>
      <w:r w:rsidR="002F3237" w:rsidRPr="00C9465D">
        <w:rPr>
          <w:lang w:val="en-US"/>
        </w:rPr>
        <w:t>Mr. Guachalá</w:t>
      </w:r>
      <w:r w:rsidR="000628B8" w:rsidRPr="00C9465D">
        <w:rPr>
          <w:lang w:val="en-US"/>
        </w:rPr>
        <w:t xml:space="preserve"> </w:t>
      </w:r>
      <w:r w:rsidRPr="00C9465D">
        <w:rPr>
          <w:lang w:val="en-US"/>
        </w:rPr>
        <w:t xml:space="preserve">was in the hospital </w:t>
      </w:r>
      <w:r w:rsidR="00CF2E20" w:rsidRPr="00C9465D">
        <w:rPr>
          <w:lang w:val="en-US"/>
        </w:rPr>
        <w:t xml:space="preserve">grounds </w:t>
      </w:r>
      <w:r w:rsidRPr="00C9465D">
        <w:rPr>
          <w:lang w:val="en-US"/>
        </w:rPr>
        <w:t>together with other patients. Later, he took him to the television room where Mr. Guachalá sat down, while he “went to see another patient who was threatening to leave the hospital.” The nurse stated that he was absent for “more or less 15 or 20 minutes, while the other patients were under the control of his colleagues on the shift.” When he returned to the television room, he noted that Mr. Guachalá was not there and immediately proceeded “to look for him in all the hospital wards and bathrooms</w:t>
      </w:r>
      <w:r w:rsidR="00F044F7" w:rsidRPr="00C9465D">
        <w:rPr>
          <w:lang w:val="en-US"/>
        </w:rPr>
        <w:t xml:space="preserve">; then [they] went out to the </w:t>
      </w:r>
      <w:r w:rsidR="00CF2E20" w:rsidRPr="00C9465D">
        <w:rPr>
          <w:lang w:val="en-US"/>
        </w:rPr>
        <w:t>grounds</w:t>
      </w:r>
      <w:r w:rsidR="00F044F7" w:rsidRPr="00C9465D">
        <w:rPr>
          <w:lang w:val="en-US"/>
        </w:rPr>
        <w:t xml:space="preserve"> and </w:t>
      </w:r>
      <w:r w:rsidR="00CF2E20" w:rsidRPr="00C9465D">
        <w:rPr>
          <w:lang w:val="en-US"/>
        </w:rPr>
        <w:t>the areas around</w:t>
      </w:r>
      <w:r w:rsidR="00F044F7" w:rsidRPr="00C9465D">
        <w:rPr>
          <w:lang w:val="en-US"/>
        </w:rPr>
        <w:t xml:space="preserve"> the hospital and the Autopsy Department </w:t>
      </w:r>
      <w:r w:rsidR="00520411" w:rsidRPr="00C9465D">
        <w:rPr>
          <w:lang w:val="en-US"/>
        </w:rPr>
        <w:t>[…]</w:t>
      </w:r>
      <w:r w:rsidR="00F044F7" w:rsidRPr="00C9465D">
        <w:rPr>
          <w:lang w:val="en-US"/>
        </w:rPr>
        <w:t xml:space="preserve"> without finding him.” He indicated that he had informed “his colleagues so that they would help in the search.” When “the search was completed, [he] immediately proceeded to record the problem on the </w:t>
      </w:r>
      <w:r w:rsidR="00CF2E20" w:rsidRPr="00C9465D">
        <w:rPr>
          <w:lang w:val="en-US"/>
        </w:rPr>
        <w:t xml:space="preserve">change of </w:t>
      </w:r>
      <w:r w:rsidR="00F044F7" w:rsidRPr="00C9465D">
        <w:rPr>
          <w:lang w:val="en-US"/>
        </w:rPr>
        <w:t xml:space="preserve">shift </w:t>
      </w:r>
      <w:r w:rsidR="00CF2E20" w:rsidRPr="00C9465D">
        <w:rPr>
          <w:lang w:val="en-US"/>
        </w:rPr>
        <w:t>report</w:t>
      </w:r>
      <w:r w:rsidR="00F044F7" w:rsidRPr="00C9465D">
        <w:rPr>
          <w:lang w:val="en-US"/>
        </w:rPr>
        <w:t xml:space="preserve">, having previously telephoned </w:t>
      </w:r>
      <w:r w:rsidR="00520411" w:rsidRPr="00C9465D">
        <w:rPr>
          <w:lang w:val="en-US"/>
        </w:rPr>
        <w:t>[…]</w:t>
      </w:r>
      <w:r w:rsidR="00F044F7" w:rsidRPr="00C9465D">
        <w:rPr>
          <w:lang w:val="en-US"/>
        </w:rPr>
        <w:t xml:space="preserve"> the family.” He explained that “owing to the hectic nature of the search</w:t>
      </w:r>
      <w:r w:rsidR="00CF2E20" w:rsidRPr="00C9465D">
        <w:rPr>
          <w:lang w:val="en-US"/>
        </w:rPr>
        <w:t>,</w:t>
      </w:r>
      <w:r w:rsidR="00F044F7" w:rsidRPr="00C9465D">
        <w:rPr>
          <w:lang w:val="en-US"/>
        </w:rPr>
        <w:t xml:space="preserve"> [he] forgot to inform the hospital guards.</w:t>
      </w:r>
      <w:r w:rsidR="000628B8" w:rsidRPr="00C9465D">
        <w:rPr>
          <w:lang w:val="en-US"/>
        </w:rPr>
        <w:t>”</w:t>
      </w:r>
      <w:r w:rsidR="000628B8" w:rsidRPr="00C9465D">
        <w:rPr>
          <w:rStyle w:val="FootnoteReference"/>
          <w:lang w:val="en-US"/>
        </w:rPr>
        <w:footnoteReference w:id="68"/>
      </w:r>
      <w:r w:rsidR="00F044F7" w:rsidRPr="00C9465D">
        <w:rPr>
          <w:lang w:val="en-US"/>
        </w:rPr>
        <w:t xml:space="preserve"> According to</w:t>
      </w:r>
      <w:r w:rsidR="0004465A" w:rsidRPr="00C9465D">
        <w:rPr>
          <w:lang w:val="en-US"/>
        </w:rPr>
        <w:t xml:space="preserve"> </w:t>
      </w:r>
      <w:r w:rsidR="00193CBB" w:rsidRPr="00C9465D">
        <w:rPr>
          <w:lang w:val="en-US"/>
        </w:rPr>
        <w:t>the representatives</w:t>
      </w:r>
      <w:r w:rsidR="0004465A" w:rsidRPr="00C9465D">
        <w:rPr>
          <w:lang w:val="en-US"/>
        </w:rPr>
        <w:t xml:space="preserve">, </w:t>
      </w:r>
      <w:r w:rsidR="00F044F7" w:rsidRPr="00C9465D">
        <w:rPr>
          <w:lang w:val="en-US"/>
        </w:rPr>
        <w:t xml:space="preserve">the family did not receive the </w:t>
      </w:r>
      <w:r w:rsidR="00CF2E20" w:rsidRPr="00C9465D">
        <w:rPr>
          <w:lang w:val="en-US"/>
        </w:rPr>
        <w:t>tele</w:t>
      </w:r>
      <w:r w:rsidR="00F044F7" w:rsidRPr="00C9465D">
        <w:rPr>
          <w:lang w:val="en-US"/>
        </w:rPr>
        <w:t>phone call allegedly made by the hospital on January 17.</w:t>
      </w:r>
      <w:r w:rsidR="0052418E" w:rsidRPr="00C9465D">
        <w:rPr>
          <w:rStyle w:val="FootnoteReference"/>
          <w:lang w:val="en-US"/>
        </w:rPr>
        <w:footnoteReference w:id="69"/>
      </w:r>
    </w:p>
    <w:p w14:paraId="6C628054" w14:textId="012273C5" w:rsidR="000628B8" w:rsidRPr="00C9465D" w:rsidRDefault="00A56F98" w:rsidP="00F044F7">
      <w:pPr>
        <w:pStyle w:val="Numberedparagraphs"/>
        <w:rPr>
          <w:lang w:val="en-US"/>
        </w:rPr>
      </w:pPr>
      <w:r w:rsidRPr="00C9465D">
        <w:rPr>
          <w:lang w:val="en-US"/>
        </w:rPr>
        <w:t>Mrs. Chimbo</w:t>
      </w:r>
      <w:r w:rsidR="000628B8" w:rsidRPr="00C9465D">
        <w:rPr>
          <w:lang w:val="en-US"/>
        </w:rPr>
        <w:t xml:space="preserve"> </w:t>
      </w:r>
      <w:r w:rsidR="00F044F7" w:rsidRPr="00C9465D">
        <w:rPr>
          <w:lang w:val="en-US"/>
        </w:rPr>
        <w:t>stated that, on Sunday, January 18,</w:t>
      </w:r>
      <w:r w:rsidR="000628B8" w:rsidRPr="00C9465D">
        <w:rPr>
          <w:lang w:val="en-US"/>
        </w:rPr>
        <w:t xml:space="preserve"> 2004</w:t>
      </w:r>
      <w:r w:rsidR="00F044F7" w:rsidRPr="00C9465D">
        <w:rPr>
          <w:lang w:val="en-US"/>
        </w:rPr>
        <w:t xml:space="preserve">, she went to the hospital to see her son and spoke to the nurse who had given her son the injection on the day he was admitted. The nurse told her that her son “had escaped from the hospital on Saturday, January 17”; that “this was [her] problem; </w:t>
      </w:r>
      <w:r w:rsidR="00520411" w:rsidRPr="00C9465D">
        <w:rPr>
          <w:lang w:val="en-US"/>
        </w:rPr>
        <w:t>[…]</w:t>
      </w:r>
      <w:r w:rsidR="00F044F7" w:rsidRPr="00C9465D">
        <w:rPr>
          <w:lang w:val="en-US"/>
        </w:rPr>
        <w:t xml:space="preserve"> that they had searched the whole sector and had not found him.” The nurse indicated that they had informed the police and asked Mrs. Chimbo to go to the police.</w:t>
      </w:r>
      <w:r w:rsidR="000628B8" w:rsidRPr="00C9465D">
        <w:rPr>
          <w:rStyle w:val="FootnoteReference"/>
          <w:lang w:val="en-US"/>
        </w:rPr>
        <w:footnoteReference w:id="70"/>
      </w:r>
      <w:r w:rsidR="000628B8" w:rsidRPr="00C9465D">
        <w:rPr>
          <w:lang w:val="en-US"/>
        </w:rPr>
        <w:t xml:space="preserve"> </w:t>
      </w:r>
      <w:r w:rsidR="002F3237" w:rsidRPr="00C9465D">
        <w:rPr>
          <w:lang w:val="en-US"/>
        </w:rPr>
        <w:t>Mr. Guachalá</w:t>
      </w:r>
      <w:r w:rsidR="00F044F7" w:rsidRPr="00C9465D">
        <w:rPr>
          <w:lang w:val="en-US"/>
        </w:rPr>
        <w:t xml:space="preserve">’s mother indicated that she did not find the doctor who was treating her son that day and that a nurse on the shift recommended that she look for her son “in </w:t>
      </w:r>
      <w:r w:rsidR="00CF2E20" w:rsidRPr="00C9465D">
        <w:rPr>
          <w:lang w:val="en-US"/>
        </w:rPr>
        <w:t xml:space="preserve">the homes of </w:t>
      </w:r>
      <w:r w:rsidR="00F044F7" w:rsidRPr="00C9465D">
        <w:rPr>
          <w:lang w:val="en-US"/>
        </w:rPr>
        <w:t>other</w:t>
      </w:r>
      <w:r w:rsidR="00CF2E20" w:rsidRPr="00C9465D">
        <w:rPr>
          <w:lang w:val="en-US"/>
        </w:rPr>
        <w:t xml:space="preserve"> members of the</w:t>
      </w:r>
      <w:r w:rsidR="00F044F7" w:rsidRPr="00C9465D">
        <w:rPr>
          <w:lang w:val="en-US"/>
        </w:rPr>
        <w:t xml:space="preserve"> family.</w:t>
      </w:r>
      <w:r w:rsidR="000628B8" w:rsidRPr="00C9465D">
        <w:rPr>
          <w:lang w:val="en-US"/>
        </w:rPr>
        <w:t>”</w:t>
      </w:r>
      <w:r w:rsidR="000628B8" w:rsidRPr="00C9465D">
        <w:rPr>
          <w:rStyle w:val="FootnoteReference"/>
          <w:lang w:val="en-US"/>
        </w:rPr>
        <w:footnoteReference w:id="71"/>
      </w:r>
      <w:r w:rsidR="00842E79" w:rsidRPr="00C9465D">
        <w:rPr>
          <w:lang w:val="en-US"/>
        </w:rPr>
        <w:t xml:space="preserve"> </w:t>
      </w:r>
      <w:r w:rsidR="00842E79" w:rsidRPr="00C9465D">
        <w:rPr>
          <w:rFonts w:cs="Times New Roman"/>
          <w:lang w:val="en-US"/>
        </w:rPr>
        <w:t xml:space="preserve">Zoila </w:t>
      </w:r>
      <w:r w:rsidR="00F044F7" w:rsidRPr="00C9465D">
        <w:rPr>
          <w:rFonts w:cs="Times New Roman"/>
          <w:lang w:val="en-US"/>
        </w:rPr>
        <w:t xml:space="preserve">Chimbo also stated that, once, one of the hospital </w:t>
      </w:r>
      <w:r w:rsidR="00CF2E20" w:rsidRPr="00C9465D">
        <w:rPr>
          <w:rFonts w:cs="Times New Roman"/>
          <w:lang w:val="en-US"/>
        </w:rPr>
        <w:t xml:space="preserve">patients had </w:t>
      </w:r>
      <w:r w:rsidR="00F044F7" w:rsidRPr="00C9465D">
        <w:rPr>
          <w:rFonts w:cs="Times New Roman"/>
          <w:lang w:val="en-US"/>
        </w:rPr>
        <w:t>told her that Luis was dead, that “he had had a heart attack during mass.</w:t>
      </w:r>
      <w:r w:rsidR="00842E79" w:rsidRPr="00C9465D">
        <w:rPr>
          <w:lang w:val="en-US"/>
        </w:rPr>
        <w:t>”</w:t>
      </w:r>
      <w:r w:rsidR="00842E79" w:rsidRPr="00C9465D">
        <w:rPr>
          <w:rStyle w:val="FootnoteReference"/>
          <w:lang w:val="en-US"/>
        </w:rPr>
        <w:footnoteReference w:id="72"/>
      </w:r>
    </w:p>
    <w:p w14:paraId="19E20710" w14:textId="0F17FCCB" w:rsidR="000628B8" w:rsidRPr="00C9465D" w:rsidRDefault="00F044F7" w:rsidP="00BB407B">
      <w:pPr>
        <w:pStyle w:val="Heading2"/>
        <w:rPr>
          <w:lang w:val="en-US"/>
        </w:rPr>
      </w:pPr>
      <w:bookmarkStart w:id="23" w:name="_Toc74298441"/>
      <w:r w:rsidRPr="00C9465D">
        <w:rPr>
          <w:lang w:val="en-US"/>
        </w:rPr>
        <w:t>Measures undertaken owing to the disappearance of</w:t>
      </w:r>
      <w:r w:rsidR="000628B8" w:rsidRPr="00C9465D">
        <w:rPr>
          <w:lang w:val="en-US"/>
        </w:rPr>
        <w:t xml:space="preserve"> Luis Eduardo Guachalá Chimbo</w:t>
      </w:r>
      <w:bookmarkEnd w:id="23"/>
    </w:p>
    <w:p w14:paraId="0F359DB3" w14:textId="060B3277" w:rsidR="000628B8" w:rsidRPr="00C9465D" w:rsidRDefault="00100EAD" w:rsidP="00AA3C22">
      <w:pPr>
        <w:pStyle w:val="Numberedparagraphs"/>
        <w:rPr>
          <w:lang w:val="en-US"/>
        </w:rPr>
      </w:pPr>
      <w:r w:rsidRPr="00C9465D">
        <w:rPr>
          <w:lang w:val="en-US"/>
        </w:rPr>
        <w:t>Dr. E.Q.</w:t>
      </w:r>
      <w:r w:rsidR="000628B8" w:rsidRPr="00C9465D">
        <w:rPr>
          <w:lang w:val="en-US"/>
        </w:rPr>
        <w:t xml:space="preserve"> </w:t>
      </w:r>
      <w:r w:rsidR="00F044F7" w:rsidRPr="00C9465D">
        <w:rPr>
          <w:lang w:val="en-US"/>
        </w:rPr>
        <w:t>stated that, on arriving at the hospital on Monday, January</w:t>
      </w:r>
      <w:r w:rsidR="009E7D48" w:rsidRPr="00C9465D">
        <w:rPr>
          <w:lang w:val="en-US"/>
        </w:rPr>
        <w:t xml:space="preserve"> 19</w:t>
      </w:r>
      <w:r w:rsidR="00F044F7" w:rsidRPr="00C9465D">
        <w:rPr>
          <w:lang w:val="en-US"/>
        </w:rPr>
        <w:t xml:space="preserve">, </w:t>
      </w:r>
      <w:r w:rsidR="009E7D48" w:rsidRPr="00C9465D">
        <w:rPr>
          <w:lang w:val="en-US"/>
        </w:rPr>
        <w:t xml:space="preserve">2004, </w:t>
      </w:r>
      <w:r w:rsidR="00F044F7" w:rsidRPr="00C9465D">
        <w:rPr>
          <w:lang w:val="en-US"/>
        </w:rPr>
        <w:t xml:space="preserve">she was informed that </w:t>
      </w:r>
      <w:r w:rsidR="002F3237" w:rsidRPr="00C9465D">
        <w:rPr>
          <w:lang w:val="en-US"/>
        </w:rPr>
        <w:t>Mr. Guachalá</w:t>
      </w:r>
      <w:r w:rsidR="000628B8" w:rsidRPr="00C9465D">
        <w:rPr>
          <w:lang w:val="en-US"/>
        </w:rPr>
        <w:t xml:space="preserve"> “ha</w:t>
      </w:r>
      <w:r w:rsidR="00F044F7" w:rsidRPr="00C9465D">
        <w:rPr>
          <w:lang w:val="en-US"/>
        </w:rPr>
        <w:t xml:space="preserve">d </w:t>
      </w:r>
      <w:r w:rsidR="00CF2E20" w:rsidRPr="00C9465D">
        <w:rPr>
          <w:lang w:val="en-US"/>
        </w:rPr>
        <w:t>abandoned</w:t>
      </w:r>
      <w:r w:rsidR="00F044F7" w:rsidRPr="00C9465D">
        <w:rPr>
          <w:lang w:val="en-US"/>
        </w:rPr>
        <w:t xml:space="preserve"> the institution during the weekend”; she therefore ordered the social worker to take the necessary steps to locate the patient.”</w:t>
      </w:r>
      <w:r w:rsidR="00A07A57" w:rsidRPr="00C9465D">
        <w:rPr>
          <w:rStyle w:val="FootnoteReference"/>
          <w:lang w:val="en-US"/>
        </w:rPr>
        <w:footnoteReference w:id="73"/>
      </w:r>
      <w:r w:rsidR="00F044F7" w:rsidRPr="00C9465D">
        <w:rPr>
          <w:lang w:val="en-US"/>
        </w:rPr>
        <w:t xml:space="preserve"> The social worker telephoned the family to ask whether he had arrived home.</w:t>
      </w:r>
      <w:r w:rsidR="000628B8" w:rsidRPr="00C9465D">
        <w:rPr>
          <w:rStyle w:val="FootnoteReference"/>
          <w:lang w:val="en-US"/>
        </w:rPr>
        <w:footnoteReference w:id="74"/>
      </w:r>
    </w:p>
    <w:p w14:paraId="16EF87F0" w14:textId="3D04CAB9" w:rsidR="000628B8" w:rsidRPr="00C9465D" w:rsidRDefault="00B712CD" w:rsidP="00AA3C22">
      <w:pPr>
        <w:pStyle w:val="Numberedparagraphs"/>
        <w:rPr>
          <w:lang w:val="en-US"/>
        </w:rPr>
      </w:pPr>
      <w:r w:rsidRPr="00C9465D">
        <w:rPr>
          <w:lang w:val="en-US"/>
        </w:rPr>
        <w:t xml:space="preserve">That same day, </w:t>
      </w:r>
      <w:r w:rsidR="00A56F98" w:rsidRPr="00C9465D">
        <w:rPr>
          <w:lang w:val="en-US"/>
        </w:rPr>
        <w:t>Mrs. Chimbo</w:t>
      </w:r>
      <w:r w:rsidR="000628B8" w:rsidRPr="00C9465D">
        <w:rPr>
          <w:lang w:val="en-US"/>
        </w:rPr>
        <w:t xml:space="preserve"> </w:t>
      </w:r>
      <w:r w:rsidRPr="00C9465D">
        <w:rPr>
          <w:lang w:val="en-US"/>
        </w:rPr>
        <w:t>went to the hospital and spoke to the</w:t>
      </w:r>
      <w:r w:rsidR="000628B8" w:rsidRPr="00C9465D">
        <w:rPr>
          <w:lang w:val="en-US"/>
        </w:rPr>
        <w:t xml:space="preserve"> </w:t>
      </w:r>
      <w:r w:rsidRPr="00C9465D">
        <w:rPr>
          <w:lang w:val="en-US"/>
        </w:rPr>
        <w:t xml:space="preserve">Hospital </w:t>
      </w:r>
      <w:r w:rsidR="000628B8" w:rsidRPr="00C9465D">
        <w:rPr>
          <w:lang w:val="en-US"/>
        </w:rPr>
        <w:t xml:space="preserve">Director </w:t>
      </w:r>
      <w:r w:rsidRPr="00C9465D">
        <w:rPr>
          <w:lang w:val="en-US"/>
        </w:rPr>
        <w:t xml:space="preserve">and the social worker. The Hospital Director advised </w:t>
      </w:r>
      <w:r w:rsidR="00A56F98" w:rsidRPr="00C9465D">
        <w:rPr>
          <w:lang w:val="en-US"/>
        </w:rPr>
        <w:t>Mrs. Chimbo</w:t>
      </w:r>
      <w:r w:rsidR="000628B8" w:rsidRPr="00C9465D">
        <w:rPr>
          <w:lang w:val="en-US"/>
        </w:rPr>
        <w:t xml:space="preserve"> Jarro </w:t>
      </w:r>
      <w:r w:rsidRPr="00C9465D">
        <w:rPr>
          <w:lang w:val="en-US"/>
        </w:rPr>
        <w:t>that</w:t>
      </w:r>
      <w:r w:rsidR="000628B8" w:rsidRPr="00C9465D">
        <w:rPr>
          <w:lang w:val="en-US"/>
        </w:rPr>
        <w:t xml:space="preserve">: </w:t>
      </w:r>
    </w:p>
    <w:p w14:paraId="7E3EC698" w14:textId="78489613" w:rsidR="000628B8" w:rsidRPr="00C9465D" w:rsidRDefault="00B712CD" w:rsidP="00AB4761">
      <w:pPr>
        <w:tabs>
          <w:tab w:val="num" w:pos="567"/>
        </w:tabs>
        <w:spacing w:before="120" w:after="120" w:line="240" w:lineRule="auto"/>
        <w:ind w:left="567" w:right="404"/>
        <w:jc w:val="both"/>
        <w:rPr>
          <w:rFonts w:ascii="Verdana" w:hAnsi="Verdana"/>
          <w:sz w:val="18"/>
          <w:szCs w:val="18"/>
          <w:lang w:val="en-US"/>
        </w:rPr>
      </w:pPr>
      <w:r w:rsidRPr="00C9465D">
        <w:rPr>
          <w:rFonts w:ascii="Verdana" w:hAnsi="Verdana"/>
          <w:sz w:val="18"/>
          <w:szCs w:val="18"/>
          <w:lang w:val="en-US"/>
        </w:rPr>
        <w:lastRenderedPageBreak/>
        <w:t>Patients become unsettled when family members don’t visit them and, unfortunately, the hospital does not have high walls so that it is very easy for them to leave; the staff looks after them, but there are not enough staff to be checking on the patients who wish to run away.</w:t>
      </w:r>
      <w:r w:rsidR="000628B8" w:rsidRPr="00C9465D">
        <w:rPr>
          <w:rStyle w:val="FootnoteReference"/>
          <w:rFonts w:ascii="Verdana" w:hAnsi="Verdana"/>
          <w:sz w:val="18"/>
          <w:szCs w:val="18"/>
          <w:lang w:val="en-US"/>
        </w:rPr>
        <w:footnoteReference w:id="75"/>
      </w:r>
      <w:r w:rsidR="000628B8" w:rsidRPr="00C9465D">
        <w:rPr>
          <w:rFonts w:ascii="Verdana" w:hAnsi="Verdana"/>
          <w:sz w:val="20"/>
          <w:szCs w:val="20"/>
          <w:lang w:val="en-US"/>
        </w:rPr>
        <w:t xml:space="preserve"> </w:t>
      </w:r>
    </w:p>
    <w:p w14:paraId="4955AF34" w14:textId="2F167885" w:rsidR="000628B8" w:rsidRPr="00C9465D" w:rsidRDefault="00B712CD" w:rsidP="00AA3C22">
      <w:pPr>
        <w:pStyle w:val="Numberedparagraphs"/>
        <w:rPr>
          <w:rFonts w:cs="Times New Roman"/>
          <w:lang w:val="en-US"/>
        </w:rPr>
      </w:pPr>
      <w:r w:rsidRPr="00C9465D">
        <w:rPr>
          <w:lang w:val="en-US"/>
        </w:rPr>
        <w:t xml:space="preserve">According to the hospital report, on January 19, </w:t>
      </w:r>
      <w:r w:rsidR="00441122" w:rsidRPr="00C9465D">
        <w:rPr>
          <w:lang w:val="en-US"/>
        </w:rPr>
        <w:t>2004</w:t>
      </w:r>
      <w:r w:rsidRPr="00C9465D">
        <w:rPr>
          <w:lang w:val="en-US"/>
        </w:rPr>
        <w:t xml:space="preserve">, phone calls were made to hospitals and to the morgue, without obtaining any answers regarding </w:t>
      </w:r>
      <w:r w:rsidR="002F3237" w:rsidRPr="00C9465D">
        <w:rPr>
          <w:lang w:val="en-US"/>
        </w:rPr>
        <w:t>Mr. Guachalá</w:t>
      </w:r>
      <w:r w:rsidRPr="00C9465D">
        <w:rPr>
          <w:lang w:val="en-US"/>
        </w:rPr>
        <w:t xml:space="preserve">’s whereabouts and his disappearance was reported to the police at </w:t>
      </w:r>
      <w:r w:rsidR="000628B8" w:rsidRPr="00C9465D">
        <w:rPr>
          <w:lang w:val="en-US"/>
        </w:rPr>
        <w:t xml:space="preserve">11 </w:t>
      </w:r>
      <w:r w:rsidRPr="00C9465D">
        <w:rPr>
          <w:lang w:val="en-US"/>
        </w:rPr>
        <w:t>a.m. that day.</w:t>
      </w:r>
      <w:r w:rsidR="000628B8" w:rsidRPr="00C9465D">
        <w:rPr>
          <w:rStyle w:val="FootnoteReference"/>
          <w:lang w:val="en-US"/>
        </w:rPr>
        <w:footnoteReference w:id="76"/>
      </w:r>
      <w:r w:rsidRPr="00C9465D">
        <w:rPr>
          <w:lang w:val="en-US"/>
        </w:rPr>
        <w:t xml:space="preserve"> The same day, a police sergeant went to the hospital “to obtain routine data.</w:t>
      </w:r>
      <w:r w:rsidR="000628B8" w:rsidRPr="00C9465D">
        <w:rPr>
          <w:rFonts w:cs="Times New Roman"/>
          <w:lang w:val="en-US"/>
        </w:rPr>
        <w:t>”</w:t>
      </w:r>
      <w:r w:rsidR="000628B8" w:rsidRPr="00C9465D">
        <w:rPr>
          <w:rStyle w:val="FootnoteReference"/>
          <w:lang w:val="en-US"/>
        </w:rPr>
        <w:footnoteReference w:id="77"/>
      </w:r>
      <w:r w:rsidRPr="00C9465D">
        <w:rPr>
          <w:lang w:val="en-US"/>
        </w:rPr>
        <w:t xml:space="preserve"> Meanwhile, </w:t>
      </w:r>
      <w:r w:rsidR="00A56F98" w:rsidRPr="00C9465D">
        <w:rPr>
          <w:rFonts w:cs="Times New Roman"/>
          <w:lang w:val="en-US"/>
        </w:rPr>
        <w:t>Mrs. Chimbo</w:t>
      </w:r>
      <w:r w:rsidR="000628B8" w:rsidRPr="00C9465D">
        <w:rPr>
          <w:rFonts w:cs="Times New Roman"/>
          <w:lang w:val="en-US"/>
        </w:rPr>
        <w:t xml:space="preserve"> </w:t>
      </w:r>
      <w:r w:rsidRPr="00C9465D">
        <w:rPr>
          <w:rFonts w:cs="Times New Roman"/>
          <w:lang w:val="en-US"/>
        </w:rPr>
        <w:t>searched the whole sector without any authority coming to help her.</w:t>
      </w:r>
      <w:r w:rsidR="000628B8" w:rsidRPr="00C9465D">
        <w:rPr>
          <w:rStyle w:val="FootnoteReference"/>
          <w:lang w:val="en-US"/>
        </w:rPr>
        <w:footnoteReference w:id="78"/>
      </w:r>
    </w:p>
    <w:p w14:paraId="772F2CA3" w14:textId="4C3489AA" w:rsidR="000628B8" w:rsidRPr="00C9465D" w:rsidRDefault="00A56F98" w:rsidP="00B712CD">
      <w:pPr>
        <w:pStyle w:val="Numberedparagraphs"/>
        <w:rPr>
          <w:bCs/>
          <w:lang w:val="en-US"/>
        </w:rPr>
      </w:pPr>
      <w:r w:rsidRPr="00C9465D">
        <w:rPr>
          <w:lang w:val="en-US"/>
        </w:rPr>
        <w:t>Mrs. Chimbo</w:t>
      </w:r>
      <w:r w:rsidR="000628B8" w:rsidRPr="00C9465D">
        <w:rPr>
          <w:lang w:val="en-US"/>
        </w:rPr>
        <w:t xml:space="preserve"> </w:t>
      </w:r>
      <w:r w:rsidR="00B712CD" w:rsidRPr="00C9465D">
        <w:rPr>
          <w:lang w:val="en-US"/>
        </w:rPr>
        <w:t xml:space="preserve">stated that, the following day, she went to the police checkpoint located in </w:t>
      </w:r>
      <w:r w:rsidR="000628B8" w:rsidRPr="00C9465D">
        <w:rPr>
          <w:lang w:val="en-US"/>
        </w:rPr>
        <w:t>Guangopolo</w:t>
      </w:r>
      <w:r w:rsidR="00805179" w:rsidRPr="00C9465D">
        <w:rPr>
          <w:lang w:val="en-US"/>
        </w:rPr>
        <w:t>,</w:t>
      </w:r>
      <w:r w:rsidR="000628B8" w:rsidRPr="00C9465D">
        <w:rPr>
          <w:lang w:val="en-US"/>
        </w:rPr>
        <w:t xml:space="preserve"> </w:t>
      </w:r>
      <w:r w:rsidR="00B712CD" w:rsidRPr="00C9465D">
        <w:rPr>
          <w:lang w:val="en-US"/>
        </w:rPr>
        <w:t>where the person in charge told her that “it was not the first time that a patient from that hospital was lost,” and recommended that she file a complaint with the Judicial Police.</w:t>
      </w:r>
      <w:r w:rsidR="000628B8" w:rsidRPr="00C9465D">
        <w:rPr>
          <w:rStyle w:val="FootnoteReference"/>
          <w:lang w:val="en-US"/>
        </w:rPr>
        <w:footnoteReference w:id="79"/>
      </w:r>
      <w:r w:rsidR="00B712CD" w:rsidRPr="00C9465D">
        <w:rPr>
          <w:lang w:val="en-US"/>
        </w:rPr>
        <w:t xml:space="preserve"> On January 20, </w:t>
      </w:r>
      <w:r w:rsidR="000628B8" w:rsidRPr="00C9465D">
        <w:rPr>
          <w:lang w:val="en-US"/>
        </w:rPr>
        <w:t xml:space="preserve">2004, </w:t>
      </w:r>
      <w:r w:rsidR="00B63846" w:rsidRPr="00C9465D">
        <w:rPr>
          <w:lang w:val="en-US"/>
        </w:rPr>
        <w:t>at</w:t>
      </w:r>
      <w:r w:rsidR="00B712CD" w:rsidRPr="00C9465D">
        <w:rPr>
          <w:lang w:val="en-US"/>
        </w:rPr>
        <w:t xml:space="preserve"> 6.22 p.m. </w:t>
      </w:r>
      <w:r w:rsidRPr="00C9465D">
        <w:rPr>
          <w:lang w:val="en-US"/>
        </w:rPr>
        <w:t>Mrs. Chimbo</w:t>
      </w:r>
      <w:r w:rsidR="000628B8" w:rsidRPr="00C9465D">
        <w:rPr>
          <w:lang w:val="en-US"/>
        </w:rPr>
        <w:t xml:space="preserve"> Jarro </w:t>
      </w:r>
      <w:r w:rsidR="00B712CD" w:rsidRPr="00C9465D">
        <w:rPr>
          <w:lang w:val="en-US"/>
        </w:rPr>
        <w:t>went to the headquarters of the National Judicial Police Directorate of Pichincha to file a complaint on her son’s disappearance.</w:t>
      </w:r>
      <w:r w:rsidR="000628B8" w:rsidRPr="00C9465D">
        <w:rPr>
          <w:rStyle w:val="FootnoteReference"/>
          <w:lang w:val="en-US"/>
        </w:rPr>
        <w:footnoteReference w:id="80"/>
      </w:r>
    </w:p>
    <w:p w14:paraId="67D065BE" w14:textId="62CACDA4" w:rsidR="000628B8" w:rsidRPr="00C9465D" w:rsidRDefault="00B712CD" w:rsidP="004F5593">
      <w:pPr>
        <w:pStyle w:val="Numberedparagraphs"/>
        <w:rPr>
          <w:lang w:val="en-US"/>
        </w:rPr>
      </w:pPr>
      <w:r w:rsidRPr="00C9465D">
        <w:rPr>
          <w:lang w:val="en-US"/>
        </w:rPr>
        <w:t>On January 21,</w:t>
      </w:r>
      <w:r w:rsidR="009845D6" w:rsidRPr="00C9465D">
        <w:rPr>
          <w:lang w:val="en-US"/>
        </w:rPr>
        <w:t xml:space="preserve"> 2004</w:t>
      </w:r>
      <w:r w:rsidRPr="00C9465D">
        <w:rPr>
          <w:lang w:val="en-US"/>
        </w:rPr>
        <w:t xml:space="preserve">, the hospital issued a discharge sheet for </w:t>
      </w:r>
      <w:r w:rsidR="000628B8" w:rsidRPr="00C9465D">
        <w:rPr>
          <w:lang w:val="en-US"/>
        </w:rPr>
        <w:t>Luis Guachalá indica</w:t>
      </w:r>
      <w:r w:rsidRPr="00C9465D">
        <w:rPr>
          <w:lang w:val="en-US"/>
        </w:rPr>
        <w:t xml:space="preserve">ting that he had abandoned the </w:t>
      </w:r>
      <w:r w:rsidR="000628B8" w:rsidRPr="00C9465D">
        <w:rPr>
          <w:lang w:val="en-US"/>
        </w:rPr>
        <w:t>hospital</w:t>
      </w:r>
      <w:r w:rsidRPr="00C9465D">
        <w:rPr>
          <w:lang w:val="en-US"/>
        </w:rPr>
        <w:t>.</w:t>
      </w:r>
      <w:r w:rsidR="000628B8" w:rsidRPr="00C9465D">
        <w:rPr>
          <w:rStyle w:val="FootnoteReference"/>
          <w:lang w:val="en-US"/>
        </w:rPr>
        <w:footnoteReference w:id="81"/>
      </w:r>
      <w:r w:rsidRPr="00C9465D">
        <w:rPr>
          <w:lang w:val="en-US"/>
        </w:rPr>
        <w:t xml:space="preserve"> The same day, the Pichincha District Prosecutor open a preliminary inquiry and ordered the following measures: (i) reception of the complainant’s statement and of all those who ha</w:t>
      </w:r>
      <w:r w:rsidR="00861B65" w:rsidRPr="00C9465D">
        <w:rPr>
          <w:lang w:val="en-US"/>
        </w:rPr>
        <w:t>d any</w:t>
      </w:r>
      <w:r w:rsidRPr="00C9465D">
        <w:rPr>
          <w:lang w:val="en-US"/>
        </w:rPr>
        <w:t xml:space="preserve"> knowledge of the fact investigated; (ii) collection of evidence, fingerprints and </w:t>
      </w:r>
      <w:r w:rsidR="004F5593" w:rsidRPr="00C9465D">
        <w:rPr>
          <w:lang w:val="en-US"/>
        </w:rPr>
        <w:t xml:space="preserve">traces; (iii) communication with the different departments to gather evidence of the perpetration of the offense and the participants; (iv) communication to the Judicial Police delegating to them </w:t>
      </w:r>
      <w:r w:rsidR="00861B65" w:rsidRPr="00C9465D">
        <w:rPr>
          <w:lang w:val="en-US"/>
        </w:rPr>
        <w:t>the measures</w:t>
      </w:r>
      <w:r w:rsidR="004F5593" w:rsidRPr="00C9465D">
        <w:rPr>
          <w:lang w:val="en-US"/>
        </w:rPr>
        <w:t xml:space="preserve"> established in article 216(2) and (3) of the Code of Criminal Procedure; (v) examination of the site of the facts, and (vi) </w:t>
      </w:r>
      <w:r w:rsidR="00861B65" w:rsidRPr="00C9465D">
        <w:rPr>
          <w:lang w:val="en-US"/>
        </w:rPr>
        <w:t>implementation</w:t>
      </w:r>
      <w:r w:rsidR="004F5593" w:rsidRPr="00C9465D">
        <w:rPr>
          <w:lang w:val="en-US"/>
        </w:rPr>
        <w:t xml:space="preserve"> of “all necessary measures to clarified the facts reported.</w:t>
      </w:r>
      <w:r w:rsidR="00DC40AC" w:rsidRPr="00C9465D">
        <w:rPr>
          <w:lang w:val="en-US"/>
        </w:rPr>
        <w:t>”</w:t>
      </w:r>
      <w:r w:rsidR="00DC40AC" w:rsidRPr="00C9465D">
        <w:rPr>
          <w:rStyle w:val="FootnoteReference"/>
          <w:lang w:val="en-US"/>
        </w:rPr>
        <w:footnoteReference w:id="82"/>
      </w:r>
    </w:p>
    <w:p w14:paraId="0B4F9029" w14:textId="346AC31D" w:rsidR="00805179" w:rsidRPr="00C9465D" w:rsidRDefault="004F5593" w:rsidP="00CB4E35">
      <w:pPr>
        <w:pStyle w:val="Numberedparagraphs"/>
        <w:rPr>
          <w:lang w:val="en-US"/>
        </w:rPr>
      </w:pPr>
      <w:r w:rsidRPr="00C9465D">
        <w:rPr>
          <w:lang w:val="en-US"/>
        </w:rPr>
        <w:t>On January 26,</w:t>
      </w:r>
      <w:r w:rsidR="00E011A7" w:rsidRPr="00C9465D">
        <w:rPr>
          <w:lang w:val="en-US"/>
        </w:rPr>
        <w:t xml:space="preserve"> 2004</w:t>
      </w:r>
      <w:r w:rsidR="003608E6" w:rsidRPr="00C9465D">
        <w:rPr>
          <w:lang w:val="en-US"/>
        </w:rPr>
        <w:t>,</w:t>
      </w:r>
      <w:r w:rsidR="00805179" w:rsidRPr="00C9465D">
        <w:rPr>
          <w:lang w:val="en-US"/>
        </w:rPr>
        <w:t xml:space="preserve"> </w:t>
      </w:r>
      <w:r w:rsidR="003608E6" w:rsidRPr="00C9465D">
        <w:rPr>
          <w:lang w:val="en-US"/>
        </w:rPr>
        <w:t>the social worker</w:t>
      </w:r>
      <w:r w:rsidR="00805179" w:rsidRPr="00C9465D">
        <w:rPr>
          <w:lang w:val="en-US"/>
        </w:rPr>
        <w:t xml:space="preserve"> </w:t>
      </w:r>
      <w:r w:rsidR="00CB4E35" w:rsidRPr="00C9465D">
        <w:rPr>
          <w:lang w:val="en-US"/>
        </w:rPr>
        <w:t xml:space="preserve">went to the morgue, without obtaining any answers regarding </w:t>
      </w:r>
      <w:r w:rsidR="00805179" w:rsidRPr="00C9465D">
        <w:rPr>
          <w:lang w:val="en-US"/>
        </w:rPr>
        <w:t>Luis Guachalá</w:t>
      </w:r>
      <w:r w:rsidR="00CB4E35" w:rsidRPr="00C9465D">
        <w:rPr>
          <w:lang w:val="en-US"/>
        </w:rPr>
        <w:t>’s whereabouts.</w:t>
      </w:r>
      <w:r w:rsidR="00805179" w:rsidRPr="00C9465D">
        <w:rPr>
          <w:rStyle w:val="FootnoteReference"/>
          <w:lang w:val="en-US"/>
        </w:rPr>
        <w:footnoteReference w:id="83"/>
      </w:r>
      <w:r w:rsidR="00805179" w:rsidRPr="00C9465D">
        <w:rPr>
          <w:lang w:val="en-US"/>
        </w:rPr>
        <w:t xml:space="preserve"> </w:t>
      </w:r>
      <w:r w:rsidR="00CB4E35" w:rsidRPr="00C9465D">
        <w:rPr>
          <w:lang w:val="en-US"/>
        </w:rPr>
        <w:t>On January 27, the hospital agreed to “create a search group.</w:t>
      </w:r>
      <w:r w:rsidR="00805179" w:rsidRPr="00C9465D">
        <w:rPr>
          <w:lang w:val="en-US"/>
        </w:rPr>
        <w:t>”</w:t>
      </w:r>
      <w:r w:rsidR="00805179" w:rsidRPr="00C9465D">
        <w:rPr>
          <w:rStyle w:val="FootnoteReference"/>
          <w:lang w:val="en-US"/>
        </w:rPr>
        <w:footnoteReference w:id="84"/>
      </w:r>
      <w:r w:rsidR="00CB4E35" w:rsidRPr="00C9465D">
        <w:rPr>
          <w:lang w:val="en-US"/>
        </w:rPr>
        <w:t xml:space="preserve"> That same day, it contacted a television station, asking it to publicize the loss of the patient.</w:t>
      </w:r>
      <w:r w:rsidR="00805179" w:rsidRPr="00C9465D">
        <w:rPr>
          <w:rStyle w:val="FootnoteReference"/>
          <w:lang w:val="en-US"/>
        </w:rPr>
        <w:footnoteReference w:id="85"/>
      </w:r>
      <w:r w:rsidR="00805179" w:rsidRPr="00C9465D">
        <w:rPr>
          <w:lang w:val="en-US"/>
        </w:rPr>
        <w:t xml:space="preserve"> </w:t>
      </w:r>
      <w:r w:rsidR="00CB4E35" w:rsidRPr="00C9465D">
        <w:rPr>
          <w:lang w:val="en-US"/>
        </w:rPr>
        <w:t>On January 29, posters were put up concerning the disappearance.</w:t>
      </w:r>
      <w:r w:rsidR="00805179" w:rsidRPr="00C9465D">
        <w:rPr>
          <w:rStyle w:val="FootnoteReference"/>
          <w:lang w:val="en-US"/>
        </w:rPr>
        <w:footnoteReference w:id="86"/>
      </w:r>
    </w:p>
    <w:p w14:paraId="3CA44569" w14:textId="7619E77C" w:rsidR="00DD5B00" w:rsidRPr="00C9465D" w:rsidRDefault="00CB4E35" w:rsidP="0090168D">
      <w:pPr>
        <w:pStyle w:val="Numberedparagraphs"/>
        <w:rPr>
          <w:lang w:val="en-US"/>
        </w:rPr>
      </w:pPr>
      <w:r w:rsidRPr="00C9465D">
        <w:rPr>
          <w:lang w:val="en-US"/>
        </w:rPr>
        <w:lastRenderedPageBreak/>
        <w:t>On February 10,</w:t>
      </w:r>
      <w:r w:rsidR="00E011A7" w:rsidRPr="00C9465D">
        <w:rPr>
          <w:lang w:val="en-US"/>
        </w:rPr>
        <w:t xml:space="preserve"> 2004</w:t>
      </w:r>
      <w:r w:rsidRPr="00C9465D">
        <w:rPr>
          <w:lang w:val="en-US"/>
        </w:rPr>
        <w:t>,</w:t>
      </w:r>
      <w:r w:rsidR="00E011A7" w:rsidRPr="00C9465D">
        <w:rPr>
          <w:lang w:val="en-US"/>
        </w:rPr>
        <w:t xml:space="preserve"> </w:t>
      </w:r>
      <w:r w:rsidR="00A56F98" w:rsidRPr="00C9465D">
        <w:rPr>
          <w:lang w:val="en-US"/>
        </w:rPr>
        <w:t>Mrs. Chimbo</w:t>
      </w:r>
      <w:r w:rsidR="00805179" w:rsidRPr="00C9465D">
        <w:rPr>
          <w:lang w:val="en-US"/>
        </w:rPr>
        <w:t xml:space="preserve"> Jarro </w:t>
      </w:r>
      <w:r w:rsidRPr="00C9465D">
        <w:rPr>
          <w:lang w:val="en-US"/>
        </w:rPr>
        <w:t xml:space="preserve">went to the hospital to find out </w:t>
      </w:r>
      <w:r w:rsidR="000B5DF1" w:rsidRPr="00C9465D">
        <w:rPr>
          <w:lang w:val="en-US"/>
        </w:rPr>
        <w:t xml:space="preserve">about </w:t>
      </w:r>
      <w:r w:rsidRPr="00C9465D">
        <w:rPr>
          <w:lang w:val="en-US"/>
        </w:rPr>
        <w:t xml:space="preserve">the steps taken in the search and was informed that a doctor had contacted the La Rivera </w:t>
      </w:r>
      <w:r w:rsidR="000B5DF1" w:rsidRPr="00C9465D">
        <w:rPr>
          <w:lang w:val="en-US"/>
        </w:rPr>
        <w:t>garrison, which</w:t>
      </w:r>
      <w:r w:rsidRPr="00C9465D">
        <w:rPr>
          <w:lang w:val="en-US"/>
        </w:rPr>
        <w:t xml:space="preserve"> had offered to provide a patrol to search for Mr. Guachalá.</w:t>
      </w:r>
      <w:r w:rsidR="00805179" w:rsidRPr="00C9465D">
        <w:rPr>
          <w:rStyle w:val="FootnoteReference"/>
          <w:lang w:val="en-US"/>
        </w:rPr>
        <w:footnoteReference w:id="87"/>
      </w:r>
      <w:r w:rsidRPr="00C9465D">
        <w:rPr>
          <w:lang w:val="en-US"/>
        </w:rPr>
        <w:t xml:space="preserve"> </w:t>
      </w:r>
      <w:r w:rsidR="0090168D" w:rsidRPr="00C9465D">
        <w:rPr>
          <w:lang w:val="en-US"/>
        </w:rPr>
        <w:t>Then</w:t>
      </w:r>
      <w:r w:rsidRPr="00C9465D">
        <w:rPr>
          <w:lang w:val="en-US"/>
        </w:rPr>
        <w:t xml:space="preserve">, during the afternoon, a group of officers came to the hospital and, after talking to </w:t>
      </w:r>
      <w:r w:rsidR="00A56F98" w:rsidRPr="00C9465D">
        <w:rPr>
          <w:lang w:val="en-US"/>
        </w:rPr>
        <w:t>Mrs. Chimbo</w:t>
      </w:r>
      <w:r w:rsidR="00193CBB" w:rsidRPr="00C9465D">
        <w:rPr>
          <w:lang w:val="en-US"/>
        </w:rPr>
        <w:t xml:space="preserve"> and </w:t>
      </w:r>
      <w:r w:rsidRPr="00C9465D">
        <w:rPr>
          <w:lang w:val="en-US"/>
        </w:rPr>
        <w:t>receiving a photograph, went off to look for her son.</w:t>
      </w:r>
      <w:r w:rsidR="00805179" w:rsidRPr="00C9465D">
        <w:rPr>
          <w:rStyle w:val="FootnoteReference"/>
          <w:lang w:val="en-US"/>
        </w:rPr>
        <w:footnoteReference w:id="88"/>
      </w:r>
      <w:r w:rsidR="0090168D" w:rsidRPr="00C9465D">
        <w:rPr>
          <w:lang w:val="en-US"/>
        </w:rPr>
        <w:t xml:space="preserve"> The following day, the sergeant from the </w:t>
      </w:r>
      <w:r w:rsidR="000B5DF1" w:rsidRPr="00C9465D">
        <w:rPr>
          <w:lang w:val="en-US"/>
        </w:rPr>
        <w:t>garrison</w:t>
      </w:r>
      <w:r w:rsidR="0090168D" w:rsidRPr="00C9465D">
        <w:rPr>
          <w:lang w:val="en-US"/>
        </w:rPr>
        <w:t xml:space="preserve"> told her that “two brigades were alternating” in the search, but had been unable to find him and that “it would be preferable to put pressure [on the Judicial Police] to intervene and carry out preliminary investigations in the hospital.</w:t>
      </w:r>
      <w:r w:rsidR="00805179" w:rsidRPr="00C9465D">
        <w:rPr>
          <w:lang w:val="en-US"/>
        </w:rPr>
        <w:t>”</w:t>
      </w:r>
      <w:r w:rsidR="00805179" w:rsidRPr="00C9465D">
        <w:rPr>
          <w:rStyle w:val="FootnoteReference"/>
          <w:lang w:val="en-US"/>
        </w:rPr>
        <w:footnoteReference w:id="89"/>
      </w:r>
      <w:r w:rsidR="0090168D" w:rsidRPr="00C9465D">
        <w:rPr>
          <w:lang w:val="en-US"/>
        </w:rPr>
        <w:t xml:space="preserve"> The Fire Department of the </w:t>
      </w:r>
      <w:r w:rsidR="00766510" w:rsidRPr="00C9465D">
        <w:rPr>
          <w:lang w:val="en-US"/>
        </w:rPr>
        <w:t xml:space="preserve">Metropolitan District </w:t>
      </w:r>
      <w:r w:rsidR="0090168D" w:rsidRPr="00C9465D">
        <w:rPr>
          <w:lang w:val="en-US"/>
        </w:rPr>
        <w:t xml:space="preserve">of </w:t>
      </w:r>
      <w:r w:rsidR="00DD5B00" w:rsidRPr="00C9465D">
        <w:rPr>
          <w:lang w:val="en-US"/>
        </w:rPr>
        <w:t xml:space="preserve">Quito </w:t>
      </w:r>
      <w:r w:rsidR="0090168D" w:rsidRPr="00C9465D">
        <w:rPr>
          <w:lang w:val="en-US"/>
        </w:rPr>
        <w:t>indicated that on February</w:t>
      </w:r>
      <w:r w:rsidR="00DD5B00" w:rsidRPr="00C9465D">
        <w:rPr>
          <w:lang w:val="en-US"/>
        </w:rPr>
        <w:t xml:space="preserve"> 12, 13</w:t>
      </w:r>
      <w:r w:rsidR="00750481" w:rsidRPr="00C9465D">
        <w:rPr>
          <w:lang w:val="en-US"/>
        </w:rPr>
        <w:t>, 14</w:t>
      </w:r>
      <w:r w:rsidR="00193CBB" w:rsidRPr="00C9465D">
        <w:rPr>
          <w:lang w:val="en-US"/>
        </w:rPr>
        <w:t xml:space="preserve"> and </w:t>
      </w:r>
      <w:r w:rsidR="00750481" w:rsidRPr="00C9465D">
        <w:rPr>
          <w:lang w:val="en-US"/>
        </w:rPr>
        <w:t>15</w:t>
      </w:r>
      <w:r w:rsidR="0090168D" w:rsidRPr="00C9465D">
        <w:rPr>
          <w:lang w:val="en-US"/>
        </w:rPr>
        <w:t xml:space="preserve">, </w:t>
      </w:r>
      <w:r w:rsidR="00750481" w:rsidRPr="00C9465D">
        <w:rPr>
          <w:lang w:val="en-US"/>
        </w:rPr>
        <w:t>2004</w:t>
      </w:r>
      <w:r w:rsidR="0090168D" w:rsidRPr="00C9465D">
        <w:rPr>
          <w:lang w:val="en-US"/>
        </w:rPr>
        <w:t xml:space="preserve">, it </w:t>
      </w:r>
      <w:r w:rsidR="000B5DF1" w:rsidRPr="00C9465D">
        <w:rPr>
          <w:lang w:val="en-US"/>
        </w:rPr>
        <w:t>conducted</w:t>
      </w:r>
      <w:r w:rsidR="0090168D" w:rsidRPr="00C9465D">
        <w:rPr>
          <w:lang w:val="en-US"/>
        </w:rPr>
        <w:t xml:space="preserve"> a search without obtaining any results.</w:t>
      </w:r>
      <w:r w:rsidR="00DD5B00" w:rsidRPr="00C9465D">
        <w:rPr>
          <w:rStyle w:val="FootnoteReference"/>
          <w:lang w:val="en-US"/>
        </w:rPr>
        <w:footnoteReference w:id="90"/>
      </w:r>
      <w:r w:rsidR="0090168D" w:rsidRPr="00C9465D">
        <w:rPr>
          <w:lang w:val="en-US"/>
        </w:rPr>
        <w:t xml:space="preserve"> It also indicated that “the said search was carried out at the request of one of the hospital’s social workers.</w:t>
      </w:r>
      <w:r w:rsidR="00DD5B00" w:rsidRPr="00C9465D">
        <w:rPr>
          <w:lang w:val="en-US"/>
        </w:rPr>
        <w:t>”</w:t>
      </w:r>
      <w:r w:rsidR="00DD5B00" w:rsidRPr="00C9465D">
        <w:rPr>
          <w:rStyle w:val="FootnoteReference"/>
          <w:lang w:val="en-US"/>
        </w:rPr>
        <w:footnoteReference w:id="91"/>
      </w:r>
    </w:p>
    <w:p w14:paraId="53D27E94" w14:textId="038873F0" w:rsidR="00EC259F" w:rsidRPr="00C9465D" w:rsidRDefault="0090168D" w:rsidP="00AA3C22">
      <w:pPr>
        <w:pStyle w:val="Numberedparagraphs"/>
        <w:rPr>
          <w:lang w:val="en-US"/>
        </w:rPr>
      </w:pPr>
      <w:r w:rsidRPr="00C9465D">
        <w:rPr>
          <w:lang w:val="en-US"/>
        </w:rPr>
        <w:t>On February 16,</w:t>
      </w:r>
      <w:r w:rsidR="00EC259F" w:rsidRPr="00C9465D">
        <w:rPr>
          <w:lang w:val="en-US"/>
        </w:rPr>
        <w:t xml:space="preserve"> 2004</w:t>
      </w:r>
      <w:r w:rsidRPr="00C9465D">
        <w:rPr>
          <w:lang w:val="en-US"/>
        </w:rPr>
        <w:t>,</w:t>
      </w:r>
      <w:r w:rsidR="00EC259F" w:rsidRPr="00C9465D">
        <w:rPr>
          <w:lang w:val="en-US"/>
        </w:rPr>
        <w:t xml:space="preserve"> </w:t>
      </w:r>
      <w:r w:rsidR="004F5593" w:rsidRPr="00C9465D">
        <w:rPr>
          <w:lang w:val="en-US"/>
        </w:rPr>
        <w:t>the National Police</w:t>
      </w:r>
      <w:r w:rsidRPr="00C9465D">
        <w:rPr>
          <w:lang w:val="en-US"/>
        </w:rPr>
        <w:t xml:space="preserve"> conducted a search of the hospital where </w:t>
      </w:r>
      <w:r w:rsidR="002F3237" w:rsidRPr="00C9465D">
        <w:rPr>
          <w:lang w:val="en-US"/>
        </w:rPr>
        <w:t>Mr. Guachalá</w:t>
      </w:r>
      <w:r w:rsidR="00EC259F" w:rsidRPr="00C9465D">
        <w:rPr>
          <w:lang w:val="en-US"/>
        </w:rPr>
        <w:t xml:space="preserve"> Chimbo</w:t>
      </w:r>
      <w:r w:rsidRPr="00C9465D">
        <w:rPr>
          <w:lang w:val="en-US"/>
        </w:rPr>
        <w:t xml:space="preserve"> was seen for the last time.</w:t>
      </w:r>
      <w:r w:rsidR="00EC259F" w:rsidRPr="00C9465D">
        <w:rPr>
          <w:rStyle w:val="FootnoteReference"/>
          <w:lang w:val="en-US"/>
        </w:rPr>
        <w:footnoteReference w:id="92"/>
      </w:r>
    </w:p>
    <w:p w14:paraId="16062A8F" w14:textId="3B966D2C" w:rsidR="00750481" w:rsidRPr="00C9465D" w:rsidRDefault="0090168D" w:rsidP="00750481">
      <w:pPr>
        <w:pStyle w:val="Numberedparagraphs"/>
        <w:rPr>
          <w:lang w:val="en-US"/>
        </w:rPr>
      </w:pPr>
      <w:r w:rsidRPr="00C9465D">
        <w:rPr>
          <w:lang w:val="en-US"/>
        </w:rPr>
        <w:t xml:space="preserve">Between February 3, </w:t>
      </w:r>
      <w:r w:rsidR="00750481" w:rsidRPr="00C9465D">
        <w:rPr>
          <w:lang w:val="en-US"/>
        </w:rPr>
        <w:t>2004</w:t>
      </w:r>
      <w:r w:rsidRPr="00C9465D">
        <w:rPr>
          <w:lang w:val="en-US"/>
        </w:rPr>
        <w:t>,</w:t>
      </w:r>
      <w:r w:rsidR="00193CBB" w:rsidRPr="00C9465D">
        <w:rPr>
          <w:lang w:val="en-US"/>
        </w:rPr>
        <w:t xml:space="preserve"> and </w:t>
      </w:r>
      <w:r w:rsidRPr="00C9465D">
        <w:rPr>
          <w:lang w:val="en-US"/>
        </w:rPr>
        <w:t>July 13,</w:t>
      </w:r>
      <w:r w:rsidR="00750481" w:rsidRPr="00C9465D">
        <w:rPr>
          <w:lang w:val="en-US"/>
        </w:rPr>
        <w:t xml:space="preserve"> 2005</w:t>
      </w:r>
      <w:r w:rsidRPr="00C9465D">
        <w:rPr>
          <w:lang w:val="en-US"/>
        </w:rPr>
        <w:t>, various investigation procedures were conducted, including</w:t>
      </w:r>
      <w:r w:rsidR="000B5DF1" w:rsidRPr="00C9465D">
        <w:rPr>
          <w:lang w:val="en-US"/>
        </w:rPr>
        <w:t xml:space="preserve"> obtaining</w:t>
      </w:r>
      <w:r w:rsidRPr="00C9465D">
        <w:rPr>
          <w:lang w:val="en-US"/>
        </w:rPr>
        <w:t>: (i)</w:t>
      </w:r>
      <w:r w:rsidR="00750481" w:rsidRPr="00C9465D">
        <w:rPr>
          <w:lang w:val="en-US"/>
        </w:rPr>
        <w:t xml:space="preserve"> </w:t>
      </w:r>
      <w:r w:rsidR="00A56F98" w:rsidRPr="00C9465D">
        <w:rPr>
          <w:lang w:val="en-US"/>
        </w:rPr>
        <w:t>Mrs. Chimbo</w:t>
      </w:r>
      <w:r w:rsidR="00750481" w:rsidRPr="00C9465D">
        <w:rPr>
          <w:lang w:val="en-US"/>
        </w:rPr>
        <w:t xml:space="preserve"> Jarro</w:t>
      </w:r>
      <w:r w:rsidRPr="00C9465D">
        <w:rPr>
          <w:lang w:val="en-US"/>
        </w:rPr>
        <w:t xml:space="preserve">’s </w:t>
      </w:r>
      <w:r w:rsidR="00766510" w:rsidRPr="00C9465D">
        <w:rPr>
          <w:lang w:val="en-US"/>
        </w:rPr>
        <w:t>sworn statement</w:t>
      </w:r>
      <w:r w:rsidRPr="00C9465D">
        <w:rPr>
          <w:lang w:val="en-US"/>
        </w:rPr>
        <w:t>;</w:t>
      </w:r>
      <w:r w:rsidR="00750481" w:rsidRPr="00C9465D">
        <w:rPr>
          <w:rStyle w:val="FootnoteReference"/>
          <w:lang w:val="en-US"/>
        </w:rPr>
        <w:footnoteReference w:id="93"/>
      </w:r>
      <w:r w:rsidR="00750481" w:rsidRPr="00C9465D">
        <w:rPr>
          <w:lang w:val="en-US"/>
        </w:rPr>
        <w:t xml:space="preserve"> </w:t>
      </w:r>
      <w:r w:rsidRPr="00C9465D">
        <w:rPr>
          <w:lang w:val="en-US"/>
        </w:rPr>
        <w:t>(</w:t>
      </w:r>
      <w:r w:rsidR="00750481" w:rsidRPr="00C9465D">
        <w:rPr>
          <w:lang w:val="en-US"/>
        </w:rPr>
        <w:t xml:space="preserve">ii) </w:t>
      </w:r>
      <w:r w:rsidRPr="00C9465D">
        <w:rPr>
          <w:lang w:val="en-US"/>
        </w:rPr>
        <w:t>statements by hospital officials;</w:t>
      </w:r>
      <w:r w:rsidR="00750481" w:rsidRPr="00C9465D">
        <w:rPr>
          <w:rStyle w:val="FootnoteReference"/>
          <w:rFonts w:cs="Times New Roman"/>
          <w:lang w:val="en-US"/>
        </w:rPr>
        <w:footnoteReference w:id="94"/>
      </w:r>
      <w:r w:rsidR="00750481" w:rsidRPr="00C9465D">
        <w:rPr>
          <w:lang w:val="en-US"/>
        </w:rPr>
        <w:t xml:space="preserve"> </w:t>
      </w:r>
      <w:r w:rsidRPr="00C9465D">
        <w:rPr>
          <w:lang w:val="en-US"/>
        </w:rPr>
        <w:t>(</w:t>
      </w:r>
      <w:r w:rsidR="00750481" w:rsidRPr="00C9465D">
        <w:rPr>
          <w:lang w:val="en-US"/>
        </w:rPr>
        <w:t xml:space="preserve">iii) </w:t>
      </w:r>
      <w:r w:rsidR="00766510" w:rsidRPr="00C9465D">
        <w:rPr>
          <w:lang w:val="en-US"/>
        </w:rPr>
        <w:t xml:space="preserve">the report of the expert </w:t>
      </w:r>
      <w:r w:rsidR="000B5DF1" w:rsidRPr="00C9465D">
        <w:rPr>
          <w:lang w:val="en-US"/>
        </w:rPr>
        <w:t>examination</w:t>
      </w:r>
      <w:r w:rsidR="00766510" w:rsidRPr="00C9465D">
        <w:rPr>
          <w:lang w:val="en-US"/>
        </w:rPr>
        <w:t xml:space="preserve"> of the site of the facts;</w:t>
      </w:r>
      <w:r w:rsidR="00750481" w:rsidRPr="00C9465D">
        <w:rPr>
          <w:rStyle w:val="FootnoteReference"/>
          <w:rFonts w:cs="Times New Roman"/>
          <w:lang w:val="en-US"/>
        </w:rPr>
        <w:footnoteReference w:id="95"/>
      </w:r>
      <w:r w:rsidR="00750481" w:rsidRPr="00C9465D">
        <w:rPr>
          <w:lang w:val="en-US"/>
        </w:rPr>
        <w:t xml:space="preserve"> </w:t>
      </w:r>
      <w:r w:rsidR="00766510" w:rsidRPr="00C9465D">
        <w:rPr>
          <w:lang w:val="en-US"/>
        </w:rPr>
        <w:t>(</w:t>
      </w:r>
      <w:r w:rsidR="00750481" w:rsidRPr="00C9465D">
        <w:rPr>
          <w:lang w:val="en-US"/>
        </w:rPr>
        <w:t xml:space="preserve">iv) </w:t>
      </w:r>
      <w:r w:rsidR="00766510" w:rsidRPr="00C9465D">
        <w:rPr>
          <w:lang w:val="en-US"/>
        </w:rPr>
        <w:t xml:space="preserve">the sworn statement of the director of the </w:t>
      </w:r>
      <w:r w:rsidR="00750481" w:rsidRPr="00C9465D">
        <w:rPr>
          <w:lang w:val="en-US"/>
        </w:rPr>
        <w:t>hospital</w:t>
      </w:r>
      <w:r w:rsidR="00766510" w:rsidRPr="00C9465D">
        <w:rPr>
          <w:lang w:val="en-US"/>
        </w:rPr>
        <w:t>,</w:t>
      </w:r>
      <w:r w:rsidR="00750481" w:rsidRPr="00C9465D">
        <w:rPr>
          <w:rStyle w:val="FootnoteReference"/>
          <w:rFonts w:cs="Times New Roman"/>
          <w:lang w:val="en-US"/>
        </w:rPr>
        <w:footnoteReference w:id="96"/>
      </w:r>
      <w:r w:rsidR="00193CBB" w:rsidRPr="00C9465D">
        <w:rPr>
          <w:lang w:val="en-US"/>
        </w:rPr>
        <w:t xml:space="preserve"> and </w:t>
      </w:r>
      <w:r w:rsidR="00766510" w:rsidRPr="00C9465D">
        <w:rPr>
          <w:lang w:val="en-US"/>
        </w:rPr>
        <w:t>(</w:t>
      </w:r>
      <w:r w:rsidR="00750481" w:rsidRPr="00C9465D">
        <w:rPr>
          <w:lang w:val="en-US"/>
        </w:rPr>
        <w:t xml:space="preserve">v) </w:t>
      </w:r>
      <w:r w:rsidR="00766510" w:rsidRPr="00C9465D">
        <w:rPr>
          <w:lang w:val="en-US"/>
        </w:rPr>
        <w:t xml:space="preserve">the forensic dental report indicating that an examination of the dental work </w:t>
      </w:r>
      <w:r w:rsidR="002F3237" w:rsidRPr="00C9465D">
        <w:rPr>
          <w:lang w:val="en-US"/>
        </w:rPr>
        <w:t>of Mr. Guachalá</w:t>
      </w:r>
      <w:r w:rsidR="00193CBB" w:rsidRPr="00C9465D">
        <w:rPr>
          <w:lang w:val="en-US"/>
        </w:rPr>
        <w:t xml:space="preserve"> and</w:t>
      </w:r>
      <w:r w:rsidR="00766510" w:rsidRPr="00C9465D">
        <w:rPr>
          <w:lang w:val="en-US"/>
        </w:rPr>
        <w:t xml:space="preserve"> two unidentified corpses had been performed with negative results.</w:t>
      </w:r>
      <w:r w:rsidR="00750481" w:rsidRPr="00C9465D">
        <w:rPr>
          <w:rStyle w:val="FootnoteReference"/>
          <w:rFonts w:cs="Times New Roman"/>
          <w:lang w:val="en-US"/>
        </w:rPr>
        <w:footnoteReference w:id="97"/>
      </w:r>
      <w:r w:rsidR="00750481" w:rsidRPr="00C9465D">
        <w:rPr>
          <w:lang w:val="en-US"/>
        </w:rPr>
        <w:t xml:space="preserve"> </w:t>
      </w:r>
    </w:p>
    <w:p w14:paraId="60E18798" w14:textId="17531B9D" w:rsidR="00EC259F" w:rsidRPr="00C9465D" w:rsidRDefault="006808B7" w:rsidP="00AA3C22">
      <w:pPr>
        <w:pStyle w:val="Numberedparagraphs"/>
        <w:rPr>
          <w:rFonts w:cs="Times New Roman"/>
          <w:lang w:val="en-US"/>
        </w:rPr>
      </w:pPr>
      <w:r w:rsidRPr="00C9465D">
        <w:rPr>
          <w:lang w:val="en-US"/>
        </w:rPr>
        <w:t>On November 26,</w:t>
      </w:r>
      <w:r w:rsidR="00EC259F" w:rsidRPr="00C9465D">
        <w:rPr>
          <w:lang w:val="en-US"/>
        </w:rPr>
        <w:t xml:space="preserve"> 2004,</w:t>
      </w:r>
      <w:r w:rsidR="00AC3592" w:rsidRPr="00C9465D">
        <w:rPr>
          <w:lang w:val="en-US"/>
        </w:rPr>
        <w:t xml:space="preserve"> </w:t>
      </w:r>
      <w:r w:rsidRPr="00C9465D">
        <w:rPr>
          <w:lang w:val="en-US"/>
        </w:rPr>
        <w:t>and also on January 28, March 3 and July 4,</w:t>
      </w:r>
      <w:r w:rsidR="00EC259F" w:rsidRPr="00C9465D">
        <w:rPr>
          <w:lang w:val="en-US"/>
        </w:rPr>
        <w:t xml:space="preserve"> 2005</w:t>
      </w:r>
      <w:r w:rsidRPr="00C9465D">
        <w:rPr>
          <w:lang w:val="en-US"/>
        </w:rPr>
        <w:t>,</w:t>
      </w:r>
      <w:r w:rsidR="00EC259F" w:rsidRPr="00C9465D">
        <w:rPr>
          <w:lang w:val="en-US"/>
        </w:rPr>
        <w:t xml:space="preserve"> </w:t>
      </w:r>
      <w:r w:rsidR="00A56F98" w:rsidRPr="00C9465D">
        <w:rPr>
          <w:lang w:val="en-US"/>
        </w:rPr>
        <w:t>Mrs. Chimbo</w:t>
      </w:r>
      <w:r w:rsidR="00EC259F" w:rsidRPr="00C9465D">
        <w:rPr>
          <w:lang w:val="en-US"/>
        </w:rPr>
        <w:t xml:space="preserve"> </w:t>
      </w:r>
      <w:r w:rsidR="000B5DF1" w:rsidRPr="00C9465D">
        <w:rPr>
          <w:lang w:val="en-US"/>
        </w:rPr>
        <w:t>filed briefs with</w:t>
      </w:r>
      <w:r w:rsidRPr="00C9465D">
        <w:rPr>
          <w:lang w:val="en-US"/>
        </w:rPr>
        <w:t xml:space="preserve"> the Prosecutor asking for various procedures to be conducted.</w:t>
      </w:r>
      <w:r w:rsidR="00EC259F" w:rsidRPr="00C9465D">
        <w:rPr>
          <w:rStyle w:val="FootnoteReference"/>
          <w:lang w:val="en-US"/>
        </w:rPr>
        <w:footnoteReference w:id="98"/>
      </w:r>
      <w:r w:rsidR="00EC259F" w:rsidRPr="00C9465D">
        <w:rPr>
          <w:lang w:val="en-US"/>
        </w:rPr>
        <w:t xml:space="preserve"> </w:t>
      </w:r>
      <w:r w:rsidRPr="00C9465D">
        <w:rPr>
          <w:lang w:val="en-US"/>
        </w:rPr>
        <w:t xml:space="preserve">The Prosecutor </w:t>
      </w:r>
      <w:r w:rsidRPr="00C9465D">
        <w:rPr>
          <w:lang w:val="en-US"/>
        </w:rPr>
        <w:lastRenderedPageBreak/>
        <w:t xml:space="preserve">indicated that </w:t>
      </w:r>
      <w:r w:rsidR="000B5DF1" w:rsidRPr="00C9465D">
        <w:rPr>
          <w:lang w:val="en-US"/>
        </w:rPr>
        <w:t>he</w:t>
      </w:r>
      <w:r w:rsidRPr="00C9465D">
        <w:rPr>
          <w:lang w:val="en-US"/>
        </w:rPr>
        <w:t xml:space="preserve"> had </w:t>
      </w:r>
      <w:r w:rsidR="000B5DF1" w:rsidRPr="00C9465D">
        <w:rPr>
          <w:lang w:val="en-US"/>
        </w:rPr>
        <w:t>taken</w:t>
      </w:r>
      <w:r w:rsidRPr="00C9465D">
        <w:rPr>
          <w:lang w:val="en-US"/>
        </w:rPr>
        <w:t xml:space="preserve"> several of the </w:t>
      </w:r>
      <w:r w:rsidR="000B5DF1" w:rsidRPr="00C9465D">
        <w:rPr>
          <w:lang w:val="en-US"/>
        </w:rPr>
        <w:t>measures</w:t>
      </w:r>
      <w:r w:rsidRPr="00C9465D">
        <w:rPr>
          <w:lang w:val="en-US"/>
        </w:rPr>
        <w:t xml:space="preserve"> requested and that others would be </w:t>
      </w:r>
      <w:r w:rsidR="000B5DF1" w:rsidRPr="00C9465D">
        <w:rPr>
          <w:lang w:val="en-US"/>
        </w:rPr>
        <w:t xml:space="preserve">taken </w:t>
      </w:r>
      <w:r w:rsidRPr="00C9465D">
        <w:rPr>
          <w:lang w:val="en-US"/>
        </w:rPr>
        <w:t>at the appropriate time.</w:t>
      </w:r>
      <w:r w:rsidR="00EC259F" w:rsidRPr="00C9465D">
        <w:rPr>
          <w:rStyle w:val="FootnoteReference"/>
          <w:lang w:val="en-US"/>
        </w:rPr>
        <w:footnoteReference w:id="99"/>
      </w:r>
      <w:r w:rsidR="00EC259F" w:rsidRPr="00C9465D">
        <w:rPr>
          <w:lang w:val="en-US"/>
        </w:rPr>
        <w:t xml:space="preserve"> </w:t>
      </w:r>
    </w:p>
    <w:p w14:paraId="7CDEB274" w14:textId="4B43364B" w:rsidR="00EC259F" w:rsidRPr="00C9465D" w:rsidRDefault="006808B7" w:rsidP="00B50000">
      <w:pPr>
        <w:pStyle w:val="Numberedparagraphs"/>
        <w:rPr>
          <w:rFonts w:cs="Times New Roman"/>
          <w:lang w:val="en-US"/>
        </w:rPr>
      </w:pPr>
      <w:r w:rsidRPr="00C9465D">
        <w:rPr>
          <w:lang w:val="en-US"/>
        </w:rPr>
        <w:t>On August 29,</w:t>
      </w:r>
      <w:r w:rsidR="00EC259F" w:rsidRPr="00C9465D">
        <w:rPr>
          <w:lang w:val="en-US"/>
        </w:rPr>
        <w:t xml:space="preserve"> 2005</w:t>
      </w:r>
      <w:r w:rsidRPr="00C9465D">
        <w:rPr>
          <w:lang w:val="en-US"/>
        </w:rPr>
        <w:t xml:space="preserve">, the Pichincha Prosecutor asked the 18th Criminal Court of Pichincha to dismiss the complaint and to </w:t>
      </w:r>
      <w:r w:rsidR="00B50000" w:rsidRPr="00C9465D">
        <w:rPr>
          <w:lang w:val="en-US"/>
        </w:rPr>
        <w:t>close</w:t>
      </w:r>
      <w:r w:rsidRPr="00C9465D">
        <w:rPr>
          <w:lang w:val="en-US"/>
        </w:rPr>
        <w:t xml:space="preserve"> it based on article 38</w:t>
      </w:r>
      <w:r w:rsidRPr="00C9465D">
        <w:rPr>
          <w:rFonts w:cs="Times New Roman"/>
          <w:lang w:val="en-US"/>
        </w:rPr>
        <w:t xml:space="preserve"> </w:t>
      </w:r>
      <w:r w:rsidRPr="00C9465D">
        <w:rPr>
          <w:lang w:val="en-US"/>
        </w:rPr>
        <w:t>of the Code of Criminal Procedure.</w:t>
      </w:r>
      <w:r w:rsidR="00EC259F" w:rsidRPr="00C9465D">
        <w:rPr>
          <w:rStyle w:val="FootnoteReference"/>
          <w:lang w:val="en-US"/>
        </w:rPr>
        <w:footnoteReference w:id="100"/>
      </w:r>
      <w:r w:rsidRPr="00C9465D">
        <w:rPr>
          <w:lang w:val="en-US"/>
        </w:rPr>
        <w:t xml:space="preserve"> The Prosecutor indicated that “at the present time it is impossible to discover the whereabouts of the disappeared person.</w:t>
      </w:r>
      <w:r w:rsidR="00EC259F" w:rsidRPr="00C9465D">
        <w:rPr>
          <w:lang w:val="en-US"/>
        </w:rPr>
        <w:t>”</w:t>
      </w:r>
      <w:r w:rsidR="00EC259F" w:rsidRPr="00C9465D">
        <w:rPr>
          <w:rStyle w:val="FootnoteReference"/>
          <w:lang w:val="en-US"/>
        </w:rPr>
        <w:footnoteReference w:id="101"/>
      </w:r>
      <w:r w:rsidR="00EC259F" w:rsidRPr="00C9465D">
        <w:rPr>
          <w:lang w:val="en-US"/>
        </w:rPr>
        <w:t xml:space="preserve"> </w:t>
      </w:r>
      <w:r w:rsidRPr="00C9465D">
        <w:rPr>
          <w:lang w:val="en-US"/>
        </w:rPr>
        <w:t>On September 12,</w:t>
      </w:r>
      <w:r w:rsidR="00EC259F" w:rsidRPr="00C9465D">
        <w:rPr>
          <w:lang w:val="en-US"/>
        </w:rPr>
        <w:t xml:space="preserve"> 2005</w:t>
      </w:r>
      <w:r w:rsidRPr="00C9465D">
        <w:rPr>
          <w:lang w:val="en-US"/>
        </w:rPr>
        <w:t xml:space="preserve">, the 18th Criminal Judge </w:t>
      </w:r>
      <w:r w:rsidR="000B5DF1" w:rsidRPr="00C9465D">
        <w:rPr>
          <w:lang w:val="en-US"/>
        </w:rPr>
        <w:t xml:space="preserve">of Pichincha </w:t>
      </w:r>
      <w:r w:rsidRPr="00C9465D">
        <w:rPr>
          <w:lang w:val="en-US"/>
        </w:rPr>
        <w:t>granted the complainant 72 hours to respond to this request.</w:t>
      </w:r>
      <w:r w:rsidR="00EC259F" w:rsidRPr="00C9465D">
        <w:rPr>
          <w:rStyle w:val="FootnoteReference"/>
          <w:lang w:val="en-US"/>
        </w:rPr>
        <w:footnoteReference w:id="102"/>
      </w:r>
      <w:r w:rsidR="00EC259F" w:rsidRPr="00C9465D">
        <w:rPr>
          <w:lang w:val="en-US"/>
        </w:rPr>
        <w:t xml:space="preserve"> </w:t>
      </w:r>
      <w:r w:rsidR="00A56F98" w:rsidRPr="00C9465D">
        <w:rPr>
          <w:lang w:val="en-US"/>
        </w:rPr>
        <w:t>Mrs. Chimbo</w:t>
      </w:r>
      <w:r w:rsidR="00EC259F" w:rsidRPr="00C9465D">
        <w:rPr>
          <w:lang w:val="en-US"/>
        </w:rPr>
        <w:t xml:space="preserve"> Jarro </w:t>
      </w:r>
      <w:r w:rsidRPr="00C9465D">
        <w:rPr>
          <w:lang w:val="en-US"/>
        </w:rPr>
        <w:t xml:space="preserve">asked the judge not to dismiss the complaint; accordingly, </w:t>
      </w:r>
      <w:r w:rsidR="002C5740" w:rsidRPr="00C9465D">
        <w:rPr>
          <w:lang w:val="en-US"/>
        </w:rPr>
        <w:t>on September 27,</w:t>
      </w:r>
      <w:r w:rsidR="00EC259F" w:rsidRPr="00C9465D">
        <w:rPr>
          <w:lang w:val="en-US"/>
        </w:rPr>
        <w:t xml:space="preserve"> 2005</w:t>
      </w:r>
      <w:r w:rsidRPr="00C9465D">
        <w:rPr>
          <w:lang w:val="en-US"/>
        </w:rPr>
        <w:t xml:space="preserve">, the judge ordered that the file be forwarded to the </w:t>
      </w:r>
      <w:r w:rsidR="000B5DF1" w:rsidRPr="00C9465D">
        <w:rPr>
          <w:lang w:val="en-US"/>
        </w:rPr>
        <w:t>senior prosecutor</w:t>
      </w:r>
      <w:r w:rsidRPr="00C9465D">
        <w:rPr>
          <w:lang w:val="en-US"/>
        </w:rPr>
        <w:t xml:space="preserve">, for consultation, </w:t>
      </w:r>
      <w:r w:rsidR="00B50000" w:rsidRPr="00C9465D">
        <w:rPr>
          <w:lang w:val="en-US"/>
        </w:rPr>
        <w:t xml:space="preserve">and </w:t>
      </w:r>
      <w:r w:rsidR="000B5DF1" w:rsidRPr="00C9465D">
        <w:rPr>
          <w:lang w:val="en-US"/>
        </w:rPr>
        <w:t>so that the latter could</w:t>
      </w:r>
      <w:r w:rsidR="00B50000" w:rsidRPr="00C9465D">
        <w:rPr>
          <w:lang w:val="en-US"/>
        </w:rPr>
        <w:t xml:space="preserve"> revoke or ratify the dismissal.</w:t>
      </w:r>
      <w:r w:rsidR="00750481" w:rsidRPr="00C9465D">
        <w:rPr>
          <w:rStyle w:val="FootnoteReference"/>
          <w:lang w:val="en-US"/>
        </w:rPr>
        <w:footnoteReference w:id="103"/>
      </w:r>
      <w:r w:rsidR="00EC259F" w:rsidRPr="00C9465D">
        <w:rPr>
          <w:b/>
          <w:lang w:val="en-US"/>
        </w:rPr>
        <w:t xml:space="preserve"> </w:t>
      </w:r>
      <w:r w:rsidR="00B50000" w:rsidRPr="00C9465D">
        <w:rPr>
          <w:lang w:val="en-US"/>
        </w:rPr>
        <w:t xml:space="preserve">On July 13, </w:t>
      </w:r>
      <w:r w:rsidR="00EC259F" w:rsidRPr="00C9465D">
        <w:rPr>
          <w:lang w:val="en-US"/>
        </w:rPr>
        <w:t xml:space="preserve">2006, </w:t>
      </w:r>
      <w:r w:rsidR="00B50000" w:rsidRPr="00C9465D">
        <w:rPr>
          <w:lang w:val="en-US"/>
        </w:rPr>
        <w:t xml:space="preserve">the Pichincha Provincial Prosecutor ratified the request to close the investigation because, “after analyzing the documentation in the case file, </w:t>
      </w:r>
      <w:r w:rsidR="00520411" w:rsidRPr="00C9465D">
        <w:rPr>
          <w:lang w:val="en-US"/>
        </w:rPr>
        <w:t>[…]</w:t>
      </w:r>
      <w:r w:rsidR="00B50000" w:rsidRPr="00C9465D">
        <w:rPr>
          <w:lang w:val="en-US"/>
        </w:rPr>
        <w:t xml:space="preserve"> it has not been possible to determine the existence of an offense of any kind.</w:t>
      </w:r>
      <w:r w:rsidR="00EC259F" w:rsidRPr="00C9465D">
        <w:rPr>
          <w:lang w:val="en-US"/>
        </w:rPr>
        <w:t>”</w:t>
      </w:r>
      <w:r w:rsidR="00EC259F" w:rsidRPr="00C9465D">
        <w:rPr>
          <w:rStyle w:val="FootnoteReference"/>
          <w:lang w:val="en-US"/>
        </w:rPr>
        <w:footnoteReference w:id="104"/>
      </w:r>
      <w:r w:rsidR="00B50000" w:rsidRPr="00C9465D">
        <w:rPr>
          <w:lang w:val="en-US"/>
        </w:rPr>
        <w:t xml:space="preserve"> Consequently, on July 19, </w:t>
      </w:r>
      <w:r w:rsidR="00EC259F" w:rsidRPr="00C9465D">
        <w:rPr>
          <w:lang w:val="en-US"/>
        </w:rPr>
        <w:t xml:space="preserve">2006, </w:t>
      </w:r>
      <w:r w:rsidR="00B50000" w:rsidRPr="00C9465D">
        <w:rPr>
          <w:lang w:val="en-US"/>
        </w:rPr>
        <w:t xml:space="preserve">the </w:t>
      </w:r>
      <w:r w:rsidRPr="00C9465D">
        <w:rPr>
          <w:lang w:val="en-US"/>
        </w:rPr>
        <w:t>Pichincha 18th Criminal Court</w:t>
      </w:r>
      <w:r w:rsidR="00EC259F" w:rsidRPr="00C9465D">
        <w:rPr>
          <w:lang w:val="en-US"/>
        </w:rPr>
        <w:t xml:space="preserve"> ord</w:t>
      </w:r>
      <w:r w:rsidR="00B50000" w:rsidRPr="00C9465D">
        <w:rPr>
          <w:lang w:val="en-US"/>
        </w:rPr>
        <w:t>ered that the case be closed.</w:t>
      </w:r>
      <w:r w:rsidR="00EC259F" w:rsidRPr="00C9465D">
        <w:rPr>
          <w:rStyle w:val="FootnoteReference"/>
          <w:lang w:val="en-US"/>
        </w:rPr>
        <w:footnoteReference w:id="105"/>
      </w:r>
    </w:p>
    <w:p w14:paraId="0BD2D246" w14:textId="428BBF01" w:rsidR="00C0621A" w:rsidRPr="00C9465D" w:rsidRDefault="00B50000" w:rsidP="00C0621A">
      <w:pPr>
        <w:pStyle w:val="Heading2"/>
        <w:rPr>
          <w:lang w:val="en-US"/>
        </w:rPr>
      </w:pPr>
      <w:r w:rsidRPr="00C9465D">
        <w:rPr>
          <w:lang w:val="en-US"/>
        </w:rPr>
        <w:t>Complaint filed before the Ombudsman</w:t>
      </w:r>
    </w:p>
    <w:p w14:paraId="02559B8D" w14:textId="51F2F4AC" w:rsidR="00A16197" w:rsidRPr="00C9465D" w:rsidRDefault="00B50000" w:rsidP="00842E79">
      <w:pPr>
        <w:pStyle w:val="Numberedparagraphs"/>
        <w:rPr>
          <w:lang w:val="en-US"/>
        </w:rPr>
      </w:pPr>
      <w:r w:rsidRPr="00C9465D">
        <w:rPr>
          <w:lang w:val="en-US"/>
        </w:rPr>
        <w:t>In parallel</w:t>
      </w:r>
      <w:r w:rsidR="00C0621A" w:rsidRPr="00C9465D">
        <w:rPr>
          <w:lang w:val="en-US"/>
        </w:rPr>
        <w:t xml:space="preserve">, </w:t>
      </w:r>
      <w:r w:rsidRPr="00C9465D">
        <w:rPr>
          <w:lang w:val="en-US"/>
        </w:rPr>
        <w:t>on April 2,</w:t>
      </w:r>
      <w:r w:rsidR="00C0621A" w:rsidRPr="00C9465D">
        <w:rPr>
          <w:lang w:val="en-US"/>
        </w:rPr>
        <w:t xml:space="preserve"> 2004</w:t>
      </w:r>
      <w:r w:rsidRPr="00C9465D">
        <w:rPr>
          <w:lang w:val="en-US"/>
        </w:rPr>
        <w:t>,</w:t>
      </w:r>
      <w:r w:rsidR="00C0621A" w:rsidRPr="00C9465D">
        <w:rPr>
          <w:lang w:val="en-US"/>
        </w:rPr>
        <w:t xml:space="preserve"> </w:t>
      </w:r>
      <w:r w:rsidRPr="00C9465D">
        <w:rPr>
          <w:lang w:val="en-US"/>
        </w:rPr>
        <w:t>the</w:t>
      </w:r>
      <w:r w:rsidR="00AF644B" w:rsidRPr="00C9465D">
        <w:rPr>
          <w:lang w:val="en-US"/>
        </w:rPr>
        <w:t xml:space="preserve"> Fundación Regional de Asesoría en Derechos Humanos (</w:t>
      </w:r>
      <w:r w:rsidR="00193CBB" w:rsidRPr="00C9465D">
        <w:rPr>
          <w:lang w:val="en-US"/>
        </w:rPr>
        <w:t>hereinafter</w:t>
      </w:r>
      <w:r w:rsidR="001E3F3B" w:rsidRPr="00C9465D">
        <w:rPr>
          <w:lang w:val="en-US"/>
        </w:rPr>
        <w:t xml:space="preserve"> “</w:t>
      </w:r>
      <w:r w:rsidR="00AF644B" w:rsidRPr="00C9465D">
        <w:rPr>
          <w:lang w:val="en-US"/>
        </w:rPr>
        <w:t>INREDH</w:t>
      </w:r>
      <w:r w:rsidR="001E3F3B" w:rsidRPr="00C9465D">
        <w:rPr>
          <w:lang w:val="en-US"/>
        </w:rPr>
        <w:t>”</w:t>
      </w:r>
      <w:r w:rsidR="00AF644B" w:rsidRPr="00C9465D">
        <w:rPr>
          <w:lang w:val="en-US"/>
        </w:rPr>
        <w:t xml:space="preserve">) </w:t>
      </w:r>
      <w:r w:rsidRPr="00C9465D">
        <w:rPr>
          <w:lang w:val="en-US"/>
        </w:rPr>
        <w:t xml:space="preserve">filed a complaint before the Ombudsman based on </w:t>
      </w:r>
      <w:r w:rsidR="00BF6AD0" w:rsidRPr="00C9465D">
        <w:rPr>
          <w:lang w:val="en-US"/>
        </w:rPr>
        <w:t>the disappearance of</w:t>
      </w:r>
      <w:r w:rsidR="002F3237" w:rsidRPr="00C9465D">
        <w:rPr>
          <w:lang w:val="en-US"/>
        </w:rPr>
        <w:t xml:space="preserve"> Mr. Guachalá</w:t>
      </w:r>
      <w:r w:rsidR="00C0621A" w:rsidRPr="00C9465D">
        <w:rPr>
          <w:lang w:val="en-US"/>
        </w:rPr>
        <w:t xml:space="preserve">, </w:t>
      </w:r>
      <w:r w:rsidRPr="00C9465D">
        <w:rPr>
          <w:lang w:val="en-US"/>
        </w:rPr>
        <w:t>addressed to the National Directorate for</w:t>
      </w:r>
      <w:r w:rsidR="006A3DAB" w:rsidRPr="00C9465D">
        <w:rPr>
          <w:lang w:val="en-US"/>
        </w:rPr>
        <w:t xml:space="preserve"> </w:t>
      </w:r>
      <w:r w:rsidR="004D5ADC" w:rsidRPr="00C9465D">
        <w:rPr>
          <w:lang w:val="en-US"/>
        </w:rPr>
        <w:t xml:space="preserve">Defense of the Rights of </w:t>
      </w:r>
      <w:r w:rsidRPr="00C9465D">
        <w:rPr>
          <w:lang w:val="en-US"/>
        </w:rPr>
        <w:t xml:space="preserve">Elderly </w:t>
      </w:r>
      <w:r w:rsidR="004D5ADC" w:rsidRPr="00C9465D">
        <w:rPr>
          <w:lang w:val="en-US"/>
        </w:rPr>
        <w:t xml:space="preserve">Persons </w:t>
      </w:r>
      <w:r w:rsidRPr="00C9465D">
        <w:rPr>
          <w:lang w:val="en-US"/>
        </w:rPr>
        <w:t xml:space="preserve">and </w:t>
      </w:r>
      <w:r w:rsidR="004D5ADC" w:rsidRPr="00C9465D">
        <w:rPr>
          <w:lang w:val="en-US"/>
        </w:rPr>
        <w:t>Persons with Disabilities</w:t>
      </w:r>
      <w:r w:rsidRPr="00C9465D">
        <w:rPr>
          <w:lang w:val="en-US"/>
        </w:rPr>
        <w:t xml:space="preserve"> </w:t>
      </w:r>
      <w:r w:rsidR="00C0621A" w:rsidRPr="00C9465D">
        <w:rPr>
          <w:lang w:val="en-US"/>
        </w:rPr>
        <w:t>(DINATED)</w:t>
      </w:r>
      <w:r w:rsidR="006A3DAB" w:rsidRPr="00C9465D">
        <w:rPr>
          <w:lang w:val="en-US"/>
        </w:rPr>
        <w:t>.</w:t>
      </w:r>
      <w:r w:rsidR="00C0621A" w:rsidRPr="00C9465D">
        <w:rPr>
          <w:rStyle w:val="FootnoteReference"/>
          <w:rFonts w:cs="Times New Roman"/>
          <w:lang w:val="en-US"/>
        </w:rPr>
        <w:footnoteReference w:id="106"/>
      </w:r>
      <w:r w:rsidR="006A3DAB" w:rsidRPr="00C9465D">
        <w:rPr>
          <w:lang w:val="en-US"/>
        </w:rPr>
        <w:t xml:space="preserve"> Following various measures, on June 10, </w:t>
      </w:r>
      <w:r w:rsidR="00A16197" w:rsidRPr="00C9465D">
        <w:rPr>
          <w:lang w:val="en-US"/>
        </w:rPr>
        <w:t>2004</w:t>
      </w:r>
      <w:r w:rsidR="006A3DAB" w:rsidRPr="00C9465D">
        <w:rPr>
          <w:lang w:val="en-US"/>
        </w:rPr>
        <w:t>,</w:t>
      </w:r>
      <w:r w:rsidR="00A16197" w:rsidRPr="00C9465D">
        <w:rPr>
          <w:lang w:val="en-US"/>
        </w:rPr>
        <w:t xml:space="preserve"> </w:t>
      </w:r>
      <w:r w:rsidR="004D5ADC" w:rsidRPr="00C9465D">
        <w:rPr>
          <w:lang w:val="en-US"/>
        </w:rPr>
        <w:t xml:space="preserve">in a communication to the hospital, </w:t>
      </w:r>
      <w:r w:rsidR="00A16197" w:rsidRPr="00C9465D">
        <w:rPr>
          <w:lang w:val="en-US"/>
        </w:rPr>
        <w:t>DINATED</w:t>
      </w:r>
      <w:r w:rsidR="006A3DAB" w:rsidRPr="00C9465D">
        <w:rPr>
          <w:lang w:val="en-US"/>
        </w:rPr>
        <w:t xml:space="preserve"> expressed its concern owing to the </w:t>
      </w:r>
      <w:r w:rsidR="004D5ADC" w:rsidRPr="00C9465D">
        <w:rPr>
          <w:lang w:val="en-US"/>
        </w:rPr>
        <w:t>failure to communicate the</w:t>
      </w:r>
      <w:r w:rsidR="006A3DAB" w:rsidRPr="00C9465D">
        <w:rPr>
          <w:lang w:val="en-US"/>
        </w:rPr>
        <w:t xml:space="preserve"> disappearance that had occurred between January</w:t>
      </w:r>
      <w:r w:rsidR="00A16197" w:rsidRPr="00C9465D">
        <w:rPr>
          <w:lang w:val="en-US"/>
        </w:rPr>
        <w:t xml:space="preserve"> 17</w:t>
      </w:r>
      <w:r w:rsidR="00193CBB" w:rsidRPr="00C9465D">
        <w:rPr>
          <w:lang w:val="en-US"/>
        </w:rPr>
        <w:t xml:space="preserve"> and </w:t>
      </w:r>
      <w:r w:rsidR="00A16197" w:rsidRPr="00C9465D">
        <w:rPr>
          <w:lang w:val="en-US"/>
        </w:rPr>
        <w:t>18</w:t>
      </w:r>
      <w:r w:rsidR="006A3DAB" w:rsidRPr="00C9465D">
        <w:rPr>
          <w:lang w:val="en-US"/>
        </w:rPr>
        <w:t xml:space="preserve">, </w:t>
      </w:r>
      <w:r w:rsidR="00A16197" w:rsidRPr="00C9465D">
        <w:rPr>
          <w:lang w:val="en-US"/>
        </w:rPr>
        <w:t>2004</w:t>
      </w:r>
      <w:r w:rsidR="006A3DAB" w:rsidRPr="00C9465D">
        <w:rPr>
          <w:lang w:val="en-US"/>
        </w:rPr>
        <w:t>.</w:t>
      </w:r>
      <w:r w:rsidR="009C390B" w:rsidRPr="00C9465D">
        <w:rPr>
          <w:rStyle w:val="FootnoteReference"/>
          <w:lang w:val="en-US"/>
        </w:rPr>
        <w:footnoteReference w:id="107"/>
      </w:r>
    </w:p>
    <w:p w14:paraId="33BFDC75" w14:textId="151A206A" w:rsidR="009C390B" w:rsidRPr="00C9465D" w:rsidRDefault="002C5740" w:rsidP="009C390B">
      <w:pPr>
        <w:pStyle w:val="Numberedparagraphs"/>
        <w:rPr>
          <w:color w:val="auto"/>
          <w:lang w:val="en-US"/>
        </w:rPr>
      </w:pPr>
      <w:r w:rsidRPr="00C9465D">
        <w:rPr>
          <w:rFonts w:cs="Times New Roman"/>
          <w:lang w:val="en-US"/>
        </w:rPr>
        <w:t>On September 27,</w:t>
      </w:r>
      <w:r w:rsidR="009C390B" w:rsidRPr="00C9465D">
        <w:rPr>
          <w:rFonts w:cs="Times New Roman"/>
          <w:lang w:val="en-US"/>
        </w:rPr>
        <w:t xml:space="preserve"> 2004</w:t>
      </w:r>
      <w:r w:rsidR="00194B20" w:rsidRPr="00C9465D">
        <w:rPr>
          <w:rFonts w:cs="Times New Roman"/>
          <w:lang w:val="en-US"/>
        </w:rPr>
        <w:t>,</w:t>
      </w:r>
      <w:r w:rsidR="009C390B" w:rsidRPr="00C9465D">
        <w:rPr>
          <w:rFonts w:cs="Times New Roman"/>
          <w:lang w:val="en-US"/>
        </w:rPr>
        <w:t xml:space="preserve"> DINATED </w:t>
      </w:r>
      <w:r w:rsidR="00194B20" w:rsidRPr="00C9465D">
        <w:rPr>
          <w:rFonts w:cs="Times New Roman"/>
          <w:lang w:val="en-US"/>
        </w:rPr>
        <w:t xml:space="preserve">called a hearing, </w:t>
      </w:r>
      <w:r w:rsidR="00051F5F" w:rsidRPr="00C9465D">
        <w:rPr>
          <w:rFonts w:cs="Times New Roman"/>
          <w:lang w:val="en-US"/>
        </w:rPr>
        <w:t>and this</w:t>
      </w:r>
      <w:r w:rsidR="00194B20" w:rsidRPr="00C9465D">
        <w:rPr>
          <w:rFonts w:cs="Times New Roman"/>
          <w:lang w:val="en-US"/>
        </w:rPr>
        <w:t xml:space="preserve"> was held on </w:t>
      </w:r>
      <w:r w:rsidR="00577DE0" w:rsidRPr="00C9465D">
        <w:rPr>
          <w:rFonts w:cs="Times New Roman"/>
          <w:lang w:val="en-US"/>
        </w:rPr>
        <w:t>October 5,</w:t>
      </w:r>
      <w:r w:rsidR="009C390B" w:rsidRPr="00C9465D">
        <w:rPr>
          <w:rFonts w:cs="Times New Roman"/>
          <w:lang w:val="en-US"/>
        </w:rPr>
        <w:t xml:space="preserve"> 2004</w:t>
      </w:r>
      <w:r w:rsidR="00194B20" w:rsidRPr="00C9465D">
        <w:rPr>
          <w:rFonts w:cs="Times New Roman"/>
          <w:lang w:val="en-US"/>
        </w:rPr>
        <w:t>,</w:t>
      </w:r>
      <w:r w:rsidR="00193CBB" w:rsidRPr="00C9465D">
        <w:rPr>
          <w:rFonts w:cs="Times New Roman"/>
          <w:lang w:val="en-US"/>
        </w:rPr>
        <w:t xml:space="preserve"> </w:t>
      </w:r>
      <w:r w:rsidR="00194B20" w:rsidRPr="00C9465D">
        <w:rPr>
          <w:rFonts w:cs="Times New Roman"/>
          <w:lang w:val="en-US"/>
        </w:rPr>
        <w:t xml:space="preserve">with the participation of </w:t>
      </w:r>
      <w:r w:rsidR="00A56F98" w:rsidRPr="00C9465D">
        <w:rPr>
          <w:rFonts w:cs="Times New Roman"/>
          <w:lang w:val="en-US"/>
        </w:rPr>
        <w:t>Mrs. Chimbo</w:t>
      </w:r>
      <w:r w:rsidR="00193CBB" w:rsidRPr="00C9465D">
        <w:rPr>
          <w:rFonts w:cs="Times New Roman"/>
          <w:lang w:val="en-US"/>
        </w:rPr>
        <w:t xml:space="preserve"> and</w:t>
      </w:r>
      <w:r w:rsidR="00194B20" w:rsidRPr="00C9465D">
        <w:rPr>
          <w:rFonts w:cs="Times New Roman"/>
          <w:lang w:val="en-US"/>
        </w:rPr>
        <w:t xml:space="preserve"> officials of the </w:t>
      </w:r>
      <w:r w:rsidR="009C390B" w:rsidRPr="00C9465D">
        <w:rPr>
          <w:rFonts w:cs="Times New Roman"/>
          <w:lang w:val="en-US"/>
        </w:rPr>
        <w:t>Julio Endara</w:t>
      </w:r>
      <w:r w:rsidR="00194B20" w:rsidRPr="00C9465D">
        <w:rPr>
          <w:rFonts w:cs="Times New Roman"/>
          <w:lang w:val="en-US"/>
        </w:rPr>
        <w:t xml:space="preserve"> Hospital.</w:t>
      </w:r>
      <w:r w:rsidR="009C390B" w:rsidRPr="00C9465D">
        <w:rPr>
          <w:rStyle w:val="FootnoteReference"/>
          <w:rFonts w:cs="Times New Roman"/>
          <w:lang w:val="en-US"/>
        </w:rPr>
        <w:footnoteReference w:id="108"/>
      </w:r>
      <w:r w:rsidR="009C390B" w:rsidRPr="00C9465D">
        <w:rPr>
          <w:rFonts w:cs="Times New Roman"/>
          <w:lang w:val="en-US"/>
        </w:rPr>
        <w:t xml:space="preserve"> </w:t>
      </w:r>
      <w:r w:rsidR="00194B20" w:rsidRPr="00C9465D">
        <w:rPr>
          <w:rFonts w:cs="Times New Roman"/>
          <w:lang w:val="en-US"/>
        </w:rPr>
        <w:t xml:space="preserve">On October 7, </w:t>
      </w:r>
      <w:r w:rsidR="009C390B" w:rsidRPr="00C9465D">
        <w:rPr>
          <w:rFonts w:cs="Times New Roman"/>
          <w:lang w:val="en-US"/>
        </w:rPr>
        <w:t>2004</w:t>
      </w:r>
      <w:r w:rsidR="00194B20" w:rsidRPr="00C9465D">
        <w:rPr>
          <w:rFonts w:cs="Times New Roman"/>
          <w:lang w:val="en-US"/>
        </w:rPr>
        <w:t>,</w:t>
      </w:r>
      <w:r w:rsidR="009C390B" w:rsidRPr="00C9465D">
        <w:rPr>
          <w:rFonts w:cs="Times New Roman"/>
          <w:lang w:val="en-US"/>
        </w:rPr>
        <w:t xml:space="preserve"> </w:t>
      </w:r>
      <w:r w:rsidR="00194B20" w:rsidRPr="00C9465D">
        <w:rPr>
          <w:rFonts w:cs="Times New Roman"/>
          <w:lang w:val="en-US"/>
        </w:rPr>
        <w:t>the</w:t>
      </w:r>
      <w:r w:rsidR="009C390B" w:rsidRPr="00C9465D">
        <w:rPr>
          <w:rFonts w:cs="Times New Roman"/>
          <w:lang w:val="en-US"/>
        </w:rPr>
        <w:t xml:space="preserve"> director </w:t>
      </w:r>
      <w:r w:rsidR="00194B20" w:rsidRPr="00C9465D">
        <w:rPr>
          <w:rFonts w:cs="Times New Roman"/>
          <w:lang w:val="en-US"/>
        </w:rPr>
        <w:t>of</w:t>
      </w:r>
      <w:r w:rsidR="009C390B" w:rsidRPr="00C9465D">
        <w:rPr>
          <w:rFonts w:cs="Times New Roman"/>
          <w:lang w:val="en-US"/>
        </w:rPr>
        <w:t xml:space="preserve"> DINATED </w:t>
      </w:r>
      <w:r w:rsidR="00194B20" w:rsidRPr="00C9465D">
        <w:rPr>
          <w:rFonts w:cs="Times New Roman"/>
          <w:lang w:val="en-US"/>
        </w:rPr>
        <w:t>issued a decisi</w:t>
      </w:r>
      <w:r w:rsidR="00051F5F" w:rsidRPr="00C9465D">
        <w:rPr>
          <w:rFonts w:cs="Times New Roman"/>
          <w:lang w:val="en-US"/>
        </w:rPr>
        <w:t>o</w:t>
      </w:r>
      <w:r w:rsidR="00194B20" w:rsidRPr="00C9465D">
        <w:rPr>
          <w:rFonts w:cs="Times New Roman"/>
          <w:lang w:val="en-US"/>
        </w:rPr>
        <w:t>n indicating that it would examine the complaint insofar as it met the legal requirements</w:t>
      </w:r>
      <w:r w:rsidR="00051F5F" w:rsidRPr="00C9465D">
        <w:rPr>
          <w:rFonts w:cs="Times New Roman"/>
          <w:lang w:val="en-US"/>
        </w:rPr>
        <w:t>.</w:t>
      </w:r>
      <w:r w:rsidR="009C390B" w:rsidRPr="00C9465D">
        <w:rPr>
          <w:rStyle w:val="FootnoteReference"/>
          <w:rFonts w:cs="Times New Roman"/>
          <w:color w:val="auto"/>
          <w:lang w:val="en-US"/>
        </w:rPr>
        <w:footnoteReference w:id="109"/>
      </w:r>
      <w:r w:rsidR="009C390B" w:rsidRPr="00C9465D">
        <w:rPr>
          <w:rFonts w:cs="Times New Roman"/>
          <w:color w:val="auto"/>
          <w:lang w:val="en-US"/>
        </w:rPr>
        <w:t xml:space="preserve"> </w:t>
      </w:r>
    </w:p>
    <w:p w14:paraId="33290CC0" w14:textId="0A7ECDBE" w:rsidR="009C390B" w:rsidRPr="00C9465D" w:rsidRDefault="00051F5F" w:rsidP="00051F5F">
      <w:pPr>
        <w:pStyle w:val="Numberedparagraphs"/>
        <w:rPr>
          <w:color w:val="auto"/>
          <w:lang w:val="en-US"/>
        </w:rPr>
      </w:pPr>
      <w:r w:rsidRPr="00C9465D">
        <w:rPr>
          <w:rFonts w:eastAsia="HiddenHorzOCR" w:cs="HiddenHorzOCR"/>
          <w:color w:val="auto"/>
          <w:lang w:val="en-US"/>
        </w:rPr>
        <w:t>On November 26,</w:t>
      </w:r>
      <w:r w:rsidR="009C390B" w:rsidRPr="00C9465D">
        <w:rPr>
          <w:rFonts w:eastAsia="HiddenHorzOCR" w:cs="HiddenHorzOCR"/>
          <w:color w:val="auto"/>
          <w:lang w:val="en-US"/>
        </w:rPr>
        <w:t xml:space="preserve"> 2004</w:t>
      </w:r>
      <w:r w:rsidRPr="00C9465D">
        <w:rPr>
          <w:rFonts w:eastAsia="HiddenHorzOCR" w:cs="HiddenHorzOCR"/>
          <w:color w:val="auto"/>
          <w:lang w:val="en-US"/>
        </w:rPr>
        <w:t>, the director of the Hospital sent</w:t>
      </w:r>
      <w:r w:rsidR="009C390B" w:rsidRPr="00C9465D">
        <w:rPr>
          <w:rFonts w:eastAsia="HiddenHorzOCR" w:cs="HiddenHorzOCR"/>
          <w:color w:val="auto"/>
          <w:lang w:val="en-US"/>
        </w:rPr>
        <w:t xml:space="preserve"> DINATED </w:t>
      </w:r>
      <w:r w:rsidRPr="00C9465D">
        <w:rPr>
          <w:rFonts w:eastAsia="HiddenHorzOCR" w:cs="HiddenHorzOCR"/>
          <w:color w:val="auto"/>
          <w:lang w:val="en-US"/>
        </w:rPr>
        <w:t xml:space="preserve">a folder with documents related to the disappearance </w:t>
      </w:r>
      <w:r w:rsidR="002F3237" w:rsidRPr="00C9465D">
        <w:rPr>
          <w:rFonts w:eastAsia="HiddenHorzOCR" w:cs="HiddenHorzOCR"/>
          <w:color w:val="auto"/>
          <w:lang w:val="en-US"/>
        </w:rPr>
        <w:t>of Mr. Guachalá</w:t>
      </w:r>
      <w:r w:rsidRPr="00C9465D">
        <w:rPr>
          <w:rFonts w:eastAsia="HiddenHorzOCR" w:cs="HiddenHorzOCR"/>
          <w:color w:val="auto"/>
          <w:lang w:val="en-US"/>
        </w:rPr>
        <w:t>.</w:t>
      </w:r>
      <w:r w:rsidR="009C390B" w:rsidRPr="00C9465D">
        <w:rPr>
          <w:rStyle w:val="FootnoteReference"/>
          <w:rFonts w:eastAsia="HiddenHorzOCR" w:cs="HiddenHorzOCR"/>
          <w:color w:val="auto"/>
          <w:lang w:val="en-US"/>
        </w:rPr>
        <w:footnoteReference w:id="110"/>
      </w:r>
      <w:r w:rsidRPr="00C9465D">
        <w:rPr>
          <w:rFonts w:eastAsia="HiddenHorzOCR" w:cs="HiddenHorzOCR"/>
          <w:color w:val="auto"/>
          <w:lang w:val="en-US"/>
        </w:rPr>
        <w:t xml:space="preserve"> On February 17,</w:t>
      </w:r>
      <w:r w:rsidR="009C390B" w:rsidRPr="00C9465D">
        <w:rPr>
          <w:rFonts w:cs="Times New Roman"/>
          <w:color w:val="auto"/>
          <w:lang w:val="en-US"/>
        </w:rPr>
        <w:t xml:space="preserve"> 2005</w:t>
      </w:r>
      <w:r w:rsidRPr="00C9465D">
        <w:rPr>
          <w:rFonts w:cs="Times New Roman"/>
          <w:color w:val="auto"/>
          <w:lang w:val="en-US"/>
        </w:rPr>
        <w:t>,</w:t>
      </w:r>
      <w:r w:rsidR="009C390B" w:rsidRPr="00C9465D">
        <w:rPr>
          <w:rFonts w:cs="Times New Roman"/>
          <w:color w:val="auto"/>
          <w:lang w:val="en-US"/>
        </w:rPr>
        <w:t xml:space="preserve"> </w:t>
      </w:r>
      <w:r w:rsidRPr="00C9465D">
        <w:rPr>
          <w:rFonts w:cs="Times New Roman"/>
          <w:color w:val="auto"/>
          <w:lang w:val="en-US"/>
        </w:rPr>
        <w:t xml:space="preserve">the </w:t>
      </w:r>
      <w:r w:rsidR="009C390B" w:rsidRPr="00C9465D">
        <w:rPr>
          <w:rFonts w:cs="Times New Roman"/>
          <w:color w:val="auto"/>
          <w:lang w:val="en-US"/>
        </w:rPr>
        <w:lastRenderedPageBreak/>
        <w:t xml:space="preserve">director </w:t>
      </w:r>
      <w:r w:rsidRPr="00C9465D">
        <w:rPr>
          <w:rFonts w:cs="Times New Roman"/>
          <w:color w:val="auto"/>
          <w:lang w:val="en-US"/>
        </w:rPr>
        <w:t>of</w:t>
      </w:r>
      <w:r w:rsidR="009C390B" w:rsidRPr="00C9465D">
        <w:rPr>
          <w:rFonts w:cs="Times New Roman"/>
          <w:color w:val="auto"/>
          <w:lang w:val="en-US"/>
        </w:rPr>
        <w:t xml:space="preserve"> DINATED </w:t>
      </w:r>
      <w:r w:rsidRPr="00C9465D">
        <w:rPr>
          <w:rFonts w:cs="Times New Roman"/>
          <w:color w:val="auto"/>
          <w:lang w:val="en-US"/>
        </w:rPr>
        <w:t xml:space="preserve">sent a communication to the Health Minister advising him that it would take the pertinent steps to perform DNA testing on a corpse in the Police morgue, the cost to be assumed by the Julio Endara Hospital. In this communication, the DINATED director indicated the “total responsibility of [the hospital] for this unfortunate incident; </w:t>
      </w:r>
      <w:r w:rsidR="001C7793" w:rsidRPr="00C9465D">
        <w:rPr>
          <w:rFonts w:cs="Times New Roman"/>
          <w:color w:val="auto"/>
          <w:lang w:val="en-US"/>
        </w:rPr>
        <w:t>as</w:t>
      </w:r>
      <w:r w:rsidRPr="00C9465D">
        <w:rPr>
          <w:rFonts w:cs="Times New Roman"/>
          <w:color w:val="auto"/>
          <w:lang w:val="en-US"/>
        </w:rPr>
        <w:t xml:space="preserve"> a year has passed and it is still unresolved because</w:t>
      </w:r>
      <w:r w:rsidRPr="00C9465D">
        <w:rPr>
          <w:color w:val="auto"/>
          <w:lang w:val="en-US"/>
        </w:rPr>
        <w:t xml:space="preserve"> </w:t>
      </w:r>
      <w:r w:rsidR="009C390B" w:rsidRPr="00C9465D">
        <w:rPr>
          <w:rFonts w:cs="Times New Roman"/>
          <w:color w:val="auto"/>
          <w:lang w:val="en-US"/>
        </w:rPr>
        <w:t xml:space="preserve">Zoila Chimbo Jarro </w:t>
      </w:r>
      <w:r w:rsidR="00520411" w:rsidRPr="00C9465D">
        <w:rPr>
          <w:rFonts w:cs="Times New Roman"/>
          <w:color w:val="auto"/>
          <w:lang w:val="en-US"/>
        </w:rPr>
        <w:t>[…]</w:t>
      </w:r>
      <w:r w:rsidR="009C390B" w:rsidRPr="00C9465D">
        <w:rPr>
          <w:rFonts w:cs="Times New Roman"/>
          <w:color w:val="auto"/>
          <w:lang w:val="en-US"/>
        </w:rPr>
        <w:t xml:space="preserve"> </w:t>
      </w:r>
      <w:r w:rsidRPr="00C9465D">
        <w:rPr>
          <w:rFonts w:cs="Times New Roman"/>
          <w:color w:val="auto"/>
          <w:lang w:val="en-US"/>
        </w:rPr>
        <w:t>has very limited financial resources.” He also asked that “the pertinent orders be given to investigate this case appropriately.</w:t>
      </w:r>
      <w:r w:rsidR="009C390B" w:rsidRPr="00C9465D">
        <w:rPr>
          <w:rFonts w:eastAsia="HiddenHorzOCR" w:cs="HiddenHorzOCR"/>
          <w:color w:val="auto"/>
          <w:lang w:val="en-US"/>
        </w:rPr>
        <w:t>”</w:t>
      </w:r>
      <w:r w:rsidR="009C390B" w:rsidRPr="00C9465D">
        <w:rPr>
          <w:rStyle w:val="FootnoteReference"/>
          <w:rFonts w:eastAsia="HiddenHorzOCR" w:cs="HiddenHorzOCR"/>
          <w:color w:val="auto"/>
          <w:lang w:val="en-US"/>
        </w:rPr>
        <w:footnoteReference w:id="111"/>
      </w:r>
      <w:r w:rsidR="009C390B" w:rsidRPr="00C9465D">
        <w:rPr>
          <w:rFonts w:eastAsia="HiddenHorzOCR" w:cs="HiddenHorzOCR"/>
          <w:color w:val="auto"/>
          <w:lang w:val="en-US"/>
        </w:rPr>
        <w:t xml:space="preserve"> </w:t>
      </w:r>
      <w:r w:rsidRPr="00C9465D">
        <w:rPr>
          <w:rFonts w:eastAsia="HiddenHorzOCR" w:cs="HiddenHorzOCR"/>
          <w:color w:val="auto"/>
          <w:lang w:val="en-US"/>
        </w:rPr>
        <w:t>On April 7,</w:t>
      </w:r>
      <w:r w:rsidR="009C390B" w:rsidRPr="00C9465D">
        <w:rPr>
          <w:rFonts w:eastAsia="HiddenHorzOCR" w:cs="HiddenHorzOCR"/>
          <w:color w:val="auto"/>
          <w:lang w:val="en-US"/>
        </w:rPr>
        <w:t xml:space="preserve"> 2005</w:t>
      </w:r>
      <w:r w:rsidRPr="00C9465D">
        <w:rPr>
          <w:rFonts w:eastAsia="HiddenHorzOCR" w:cs="HiddenHorzOCR"/>
          <w:color w:val="auto"/>
          <w:lang w:val="en-US"/>
        </w:rPr>
        <w:t>, a forensic dental examination was performed on the corpse with negative results.</w:t>
      </w:r>
      <w:r w:rsidR="009C390B" w:rsidRPr="00C9465D">
        <w:rPr>
          <w:rStyle w:val="FootnoteReference"/>
          <w:rFonts w:eastAsia="HiddenHorzOCR" w:cs="HiddenHorzOCR"/>
          <w:color w:val="auto"/>
          <w:lang w:val="en-US"/>
        </w:rPr>
        <w:footnoteReference w:id="112"/>
      </w:r>
    </w:p>
    <w:p w14:paraId="1899B679" w14:textId="7FD190B0" w:rsidR="000628B8" w:rsidRPr="00C9465D" w:rsidRDefault="00721A86" w:rsidP="00BB407B">
      <w:pPr>
        <w:pStyle w:val="Heading2"/>
        <w:rPr>
          <w:lang w:val="en-US"/>
        </w:rPr>
      </w:pPr>
      <w:r w:rsidRPr="00C9465D">
        <w:rPr>
          <w:i w:val="0"/>
          <w:iCs/>
          <w:lang w:val="en-US"/>
        </w:rPr>
        <w:t>Habeas corpus</w:t>
      </w:r>
      <w:r w:rsidR="00051F5F" w:rsidRPr="00C9465D">
        <w:rPr>
          <w:lang w:val="en-US"/>
        </w:rPr>
        <w:t xml:space="preserve"> application</w:t>
      </w:r>
    </w:p>
    <w:p w14:paraId="5BF9FE39" w14:textId="1CBD41D2" w:rsidR="000628B8" w:rsidRPr="00C9465D" w:rsidRDefault="00051F5F" w:rsidP="00051F5F">
      <w:pPr>
        <w:pStyle w:val="Numberedparagraphs"/>
        <w:rPr>
          <w:lang w:val="en-US"/>
        </w:rPr>
      </w:pPr>
      <w:r w:rsidRPr="00C9465D">
        <w:rPr>
          <w:lang w:val="en-US"/>
        </w:rPr>
        <w:t>On November 29,</w:t>
      </w:r>
      <w:r w:rsidR="000628B8" w:rsidRPr="00C9465D">
        <w:rPr>
          <w:lang w:val="en-US"/>
        </w:rPr>
        <w:t xml:space="preserve"> 2004</w:t>
      </w:r>
      <w:r w:rsidRPr="00C9465D">
        <w:rPr>
          <w:lang w:val="en-US"/>
        </w:rPr>
        <w:t>,</w:t>
      </w:r>
      <w:r w:rsidR="000628B8" w:rsidRPr="00C9465D">
        <w:rPr>
          <w:lang w:val="en-US"/>
        </w:rPr>
        <w:t xml:space="preserve"> </w:t>
      </w:r>
      <w:r w:rsidRPr="00C9465D">
        <w:rPr>
          <w:lang w:val="en-US"/>
        </w:rPr>
        <w:t>the</w:t>
      </w:r>
      <w:r w:rsidR="00A818D2" w:rsidRPr="00C9465D">
        <w:rPr>
          <w:lang w:val="en-US"/>
        </w:rPr>
        <w:t xml:space="preserve"> Fundación Regional de Asesoría en Derechos Humanos, </w:t>
      </w:r>
      <w:r w:rsidRPr="00C9465D">
        <w:rPr>
          <w:lang w:val="en-US"/>
        </w:rPr>
        <w:t>where</w:t>
      </w:r>
      <w:r w:rsidR="00A818D2" w:rsidRPr="00C9465D">
        <w:rPr>
          <w:lang w:val="en-US"/>
        </w:rPr>
        <w:t xml:space="preserve"> </w:t>
      </w:r>
      <w:r w:rsidR="00A56F98" w:rsidRPr="00C9465D">
        <w:rPr>
          <w:lang w:val="en-US"/>
        </w:rPr>
        <w:t>Mrs. Chimbo</w:t>
      </w:r>
      <w:r w:rsidR="00A818D2" w:rsidRPr="00C9465D">
        <w:rPr>
          <w:lang w:val="en-US"/>
        </w:rPr>
        <w:t xml:space="preserve"> h</w:t>
      </w:r>
      <w:r w:rsidRPr="00C9465D">
        <w:rPr>
          <w:lang w:val="en-US"/>
        </w:rPr>
        <w:t xml:space="preserve">ad reported her son’s disappearance, filed an application for </w:t>
      </w:r>
      <w:r w:rsidR="00721A86" w:rsidRPr="00C9465D">
        <w:rPr>
          <w:i/>
          <w:lang w:val="en-US"/>
        </w:rPr>
        <w:t>habeas corpus</w:t>
      </w:r>
      <w:r w:rsidRPr="00C9465D">
        <w:rPr>
          <w:lang w:val="en-US"/>
        </w:rPr>
        <w:t xml:space="preserve"> in</w:t>
      </w:r>
      <w:r w:rsidR="000628B8" w:rsidRPr="00C9465D">
        <w:rPr>
          <w:lang w:val="en-US"/>
        </w:rPr>
        <w:t xml:space="preserve"> favor </w:t>
      </w:r>
      <w:r w:rsidR="002F3237" w:rsidRPr="00C9465D">
        <w:rPr>
          <w:lang w:val="en-US"/>
        </w:rPr>
        <w:t>of Mr. Guachalá</w:t>
      </w:r>
      <w:r w:rsidR="001C7793" w:rsidRPr="00C9465D">
        <w:rPr>
          <w:lang w:val="en-US"/>
        </w:rPr>
        <w:t xml:space="preserve"> before the Mayor of Quito</w:t>
      </w:r>
      <w:r w:rsidR="000628B8" w:rsidRPr="00C9465D">
        <w:rPr>
          <w:lang w:val="en-US"/>
        </w:rPr>
        <w:t>, indica</w:t>
      </w:r>
      <w:r w:rsidRPr="00C9465D">
        <w:rPr>
          <w:lang w:val="en-US"/>
        </w:rPr>
        <w:t>ting that</w:t>
      </w:r>
      <w:r w:rsidR="000628B8" w:rsidRPr="00C9465D">
        <w:rPr>
          <w:lang w:val="en-US"/>
        </w:rPr>
        <w:t xml:space="preserve"> “</w:t>
      </w:r>
      <w:r w:rsidR="00A818D2" w:rsidRPr="00C9465D">
        <w:rPr>
          <w:lang w:val="en-US"/>
        </w:rPr>
        <w:t>[</w:t>
      </w:r>
      <w:r w:rsidRPr="00C9465D">
        <w:rPr>
          <w:lang w:val="en-US"/>
        </w:rPr>
        <w:t>t</w:t>
      </w:r>
      <w:r w:rsidR="00A818D2" w:rsidRPr="00C9465D">
        <w:rPr>
          <w:lang w:val="en-US"/>
        </w:rPr>
        <w:t>]</w:t>
      </w:r>
      <w:r w:rsidRPr="00C9465D">
        <w:rPr>
          <w:lang w:val="en-US"/>
        </w:rPr>
        <w:t xml:space="preserve">he disappearance occurred without either the patients, the doctors, or the security guards noticing the incident, which constitutes inadmissible negligence by the health care personnel of a unit of the </w:t>
      </w:r>
      <w:r w:rsidR="00422D91" w:rsidRPr="00C9465D">
        <w:rPr>
          <w:lang w:val="en-US"/>
        </w:rPr>
        <w:t>Ministry of Public Health</w:t>
      </w:r>
      <w:r w:rsidR="00A818D2" w:rsidRPr="00C9465D">
        <w:rPr>
          <w:lang w:val="en-US"/>
        </w:rPr>
        <w:t xml:space="preserve"> </w:t>
      </w:r>
      <w:r w:rsidRPr="00C9465D">
        <w:rPr>
          <w:lang w:val="en-US"/>
        </w:rPr>
        <w:t>of</w:t>
      </w:r>
      <w:r w:rsidR="00A818D2" w:rsidRPr="00C9465D">
        <w:rPr>
          <w:lang w:val="en-US"/>
        </w:rPr>
        <w:t xml:space="preserve"> Ecuador</w:t>
      </w:r>
      <w:r w:rsidRPr="00C9465D">
        <w:rPr>
          <w:lang w:val="en-US"/>
        </w:rPr>
        <w:t>.</w:t>
      </w:r>
      <w:r w:rsidR="000628B8" w:rsidRPr="00C9465D">
        <w:rPr>
          <w:lang w:val="en-US"/>
        </w:rPr>
        <w:t>”</w:t>
      </w:r>
      <w:r w:rsidR="000628B8" w:rsidRPr="00C9465D">
        <w:rPr>
          <w:rStyle w:val="FootnoteReference"/>
          <w:lang w:val="en-US"/>
        </w:rPr>
        <w:footnoteReference w:id="113"/>
      </w:r>
      <w:r w:rsidR="000628B8" w:rsidRPr="00C9465D">
        <w:rPr>
          <w:lang w:val="en-US"/>
        </w:rPr>
        <w:t xml:space="preserve"> </w:t>
      </w:r>
      <w:r w:rsidRPr="00C9465D">
        <w:rPr>
          <w:lang w:val="en-US"/>
        </w:rPr>
        <w:t xml:space="preserve">On December 14, </w:t>
      </w:r>
      <w:r w:rsidR="000628B8" w:rsidRPr="00C9465D">
        <w:rPr>
          <w:lang w:val="en-US"/>
        </w:rPr>
        <w:t>2004</w:t>
      </w:r>
      <w:r w:rsidRPr="00C9465D">
        <w:rPr>
          <w:lang w:val="en-US"/>
        </w:rPr>
        <w:t xml:space="preserve">, the Mayor of </w:t>
      </w:r>
      <w:r w:rsidR="000628B8" w:rsidRPr="00C9465D">
        <w:rPr>
          <w:lang w:val="en-US"/>
        </w:rPr>
        <w:t xml:space="preserve">Quito </w:t>
      </w:r>
      <w:r w:rsidRPr="00C9465D">
        <w:rPr>
          <w:lang w:val="en-US"/>
        </w:rPr>
        <w:t>ordered that</w:t>
      </w:r>
      <w:r w:rsidR="000628B8" w:rsidRPr="00C9465D">
        <w:rPr>
          <w:lang w:val="en-US"/>
        </w:rPr>
        <w:t xml:space="preserve"> </w:t>
      </w:r>
      <w:r w:rsidR="002F3237" w:rsidRPr="00C9465D">
        <w:rPr>
          <w:lang w:val="en-US"/>
        </w:rPr>
        <w:t>Mr. Guachalá</w:t>
      </w:r>
      <w:r w:rsidR="000628B8" w:rsidRPr="00C9465D">
        <w:rPr>
          <w:lang w:val="en-US"/>
        </w:rPr>
        <w:t xml:space="preserve"> </w:t>
      </w:r>
      <w:r w:rsidRPr="00C9465D">
        <w:rPr>
          <w:lang w:val="en-US"/>
        </w:rPr>
        <w:t>be</w:t>
      </w:r>
      <w:r w:rsidR="000628B8" w:rsidRPr="00C9465D">
        <w:rPr>
          <w:lang w:val="en-US"/>
        </w:rPr>
        <w:t xml:space="preserve"> “</w:t>
      </w:r>
      <w:r w:rsidRPr="00C9465D">
        <w:rPr>
          <w:lang w:val="en-US"/>
        </w:rPr>
        <w:t>brought before him on December 15,</w:t>
      </w:r>
      <w:r w:rsidR="000628B8" w:rsidRPr="00C9465D">
        <w:rPr>
          <w:lang w:val="en-US"/>
        </w:rPr>
        <w:t xml:space="preserve"> 2004, </w:t>
      </w:r>
      <w:r w:rsidRPr="00C9465D">
        <w:rPr>
          <w:lang w:val="en-US"/>
        </w:rPr>
        <w:t>with the corresponding detention order.</w:t>
      </w:r>
      <w:r w:rsidR="000628B8" w:rsidRPr="00C9465D">
        <w:rPr>
          <w:lang w:val="en-US"/>
        </w:rPr>
        <w:t>”</w:t>
      </w:r>
      <w:r w:rsidR="000628B8" w:rsidRPr="00C9465D">
        <w:rPr>
          <w:rStyle w:val="FootnoteReference"/>
          <w:lang w:val="en-US"/>
        </w:rPr>
        <w:footnoteReference w:id="114"/>
      </w:r>
      <w:r w:rsidR="000628B8" w:rsidRPr="00C9465D">
        <w:rPr>
          <w:lang w:val="en-US"/>
        </w:rPr>
        <w:t xml:space="preserve"> </w:t>
      </w:r>
      <w:r w:rsidRPr="00C9465D">
        <w:rPr>
          <w:lang w:val="en-US"/>
        </w:rPr>
        <w:t>On December 15,</w:t>
      </w:r>
      <w:r w:rsidR="001B22F5" w:rsidRPr="00C9465D">
        <w:rPr>
          <w:lang w:val="en-US"/>
        </w:rPr>
        <w:t xml:space="preserve"> 2004</w:t>
      </w:r>
      <w:r w:rsidRPr="00C9465D">
        <w:rPr>
          <w:lang w:val="en-US"/>
        </w:rPr>
        <w:t xml:space="preserve">, the director of the Hospital indicated that </w:t>
      </w:r>
      <w:r w:rsidR="002F3237" w:rsidRPr="00C9465D">
        <w:rPr>
          <w:lang w:val="en-US"/>
        </w:rPr>
        <w:t>Mr. Guachalá</w:t>
      </w:r>
      <w:r w:rsidR="001B22F5" w:rsidRPr="00C9465D">
        <w:rPr>
          <w:lang w:val="en-US"/>
        </w:rPr>
        <w:t xml:space="preserve"> ha</w:t>
      </w:r>
      <w:r w:rsidRPr="00C9465D">
        <w:rPr>
          <w:lang w:val="en-US"/>
        </w:rPr>
        <w:t xml:space="preserve">d escaped on January 17 and that they had been unable to find him. The </w:t>
      </w:r>
      <w:r w:rsidR="001C7793" w:rsidRPr="00C9465D">
        <w:rPr>
          <w:lang w:val="en-US"/>
        </w:rPr>
        <w:t>applicants</w:t>
      </w:r>
      <w:r w:rsidRPr="00C9465D">
        <w:rPr>
          <w:lang w:val="en-US"/>
        </w:rPr>
        <w:t xml:space="preserve"> explained that the hospital was unable to present Mr. Guachalá and asked that the application for </w:t>
      </w:r>
      <w:r w:rsidR="00721A86" w:rsidRPr="00C9465D">
        <w:rPr>
          <w:i/>
          <w:lang w:val="en-US"/>
        </w:rPr>
        <w:t>habeas corpus</w:t>
      </w:r>
      <w:r w:rsidRPr="00C9465D">
        <w:rPr>
          <w:lang w:val="en-US"/>
        </w:rPr>
        <w:t xml:space="preserve"> be granted, because it was the appropriate guarantee to find a disappeared person.</w:t>
      </w:r>
      <w:r w:rsidR="001B22F5" w:rsidRPr="00C9465D">
        <w:rPr>
          <w:rStyle w:val="FootnoteReference"/>
          <w:lang w:val="en-US"/>
        </w:rPr>
        <w:footnoteReference w:id="115"/>
      </w:r>
    </w:p>
    <w:p w14:paraId="209AA860" w14:textId="4877F48B" w:rsidR="000628B8" w:rsidRPr="00C9465D" w:rsidRDefault="00051F5F" w:rsidP="001F65A3">
      <w:pPr>
        <w:pStyle w:val="Numberedparagraphs"/>
        <w:rPr>
          <w:lang w:val="en-US"/>
        </w:rPr>
      </w:pPr>
      <w:r w:rsidRPr="00C9465D">
        <w:rPr>
          <w:lang w:val="en-US"/>
        </w:rPr>
        <w:t xml:space="preserve">On April 27, </w:t>
      </w:r>
      <w:r w:rsidR="000628B8" w:rsidRPr="00C9465D">
        <w:rPr>
          <w:lang w:val="en-US"/>
        </w:rPr>
        <w:t xml:space="preserve">2005, </w:t>
      </w:r>
      <w:r w:rsidR="001B22F5" w:rsidRPr="00C9465D">
        <w:rPr>
          <w:lang w:val="en-US"/>
        </w:rPr>
        <w:t xml:space="preserve">INREDH </w:t>
      </w:r>
      <w:r w:rsidRPr="00C9465D">
        <w:rPr>
          <w:lang w:val="en-US"/>
        </w:rPr>
        <w:t xml:space="preserve">filed a brief before </w:t>
      </w:r>
      <w:r w:rsidR="001A4FA7" w:rsidRPr="00C9465D">
        <w:rPr>
          <w:lang w:val="en-US"/>
        </w:rPr>
        <w:t>the Constitutional Court</w:t>
      </w:r>
      <w:r w:rsidR="000628B8" w:rsidRPr="00C9465D">
        <w:rPr>
          <w:lang w:val="en-US"/>
        </w:rPr>
        <w:t xml:space="preserve"> </w:t>
      </w:r>
      <w:r w:rsidRPr="00C9465D">
        <w:rPr>
          <w:lang w:val="en-US"/>
        </w:rPr>
        <w:t>in which it indicated that, since five months had passed without obtaining a response from the Mayor, it appealed “to obtain a ruling by the system for the administration of justice.</w:t>
      </w:r>
      <w:r w:rsidR="000628B8" w:rsidRPr="00C9465D">
        <w:rPr>
          <w:lang w:val="en-US"/>
        </w:rPr>
        <w:t>”</w:t>
      </w:r>
      <w:r w:rsidR="000628B8" w:rsidRPr="00C9465D">
        <w:rPr>
          <w:rStyle w:val="FootnoteReference"/>
          <w:lang w:val="en-US"/>
        </w:rPr>
        <w:footnoteReference w:id="116"/>
      </w:r>
      <w:r w:rsidR="000628B8" w:rsidRPr="00C9465D">
        <w:rPr>
          <w:lang w:val="en-US"/>
        </w:rPr>
        <w:t xml:space="preserve"> </w:t>
      </w:r>
      <w:r w:rsidR="001A4FA7" w:rsidRPr="00C9465D">
        <w:rPr>
          <w:lang w:val="en-US"/>
        </w:rPr>
        <w:t>The Constitutional Court</w:t>
      </w:r>
      <w:r w:rsidR="000628B8" w:rsidRPr="00C9465D">
        <w:rPr>
          <w:lang w:val="en-US"/>
        </w:rPr>
        <w:t xml:space="preserve"> </w:t>
      </w:r>
      <w:r w:rsidRPr="00C9465D">
        <w:rPr>
          <w:lang w:val="en-US"/>
        </w:rPr>
        <w:t xml:space="preserve">decided the appeal favorably on July 6, </w:t>
      </w:r>
      <w:r w:rsidR="000628B8" w:rsidRPr="00C9465D">
        <w:rPr>
          <w:lang w:val="en-US"/>
        </w:rPr>
        <w:t>2006</w:t>
      </w:r>
      <w:r w:rsidRPr="00C9465D">
        <w:rPr>
          <w:lang w:val="en-US"/>
        </w:rPr>
        <w:t>.</w:t>
      </w:r>
      <w:r w:rsidR="000628B8" w:rsidRPr="00C9465D">
        <w:rPr>
          <w:rStyle w:val="FootnoteReference"/>
          <w:lang w:val="en-US"/>
        </w:rPr>
        <w:footnoteReference w:id="117"/>
      </w:r>
      <w:r w:rsidRPr="00C9465D">
        <w:rPr>
          <w:lang w:val="en-US"/>
        </w:rPr>
        <w:t xml:space="preserve"> It indicated that “the mayor, in his capacity as constitutional judge to examine the guarantee of </w:t>
      </w:r>
      <w:r w:rsidR="00721A86" w:rsidRPr="00C9465D">
        <w:rPr>
          <w:i/>
          <w:lang w:val="en-US"/>
        </w:rPr>
        <w:t>habeas corpus</w:t>
      </w:r>
      <w:r w:rsidRPr="00C9465D">
        <w:rPr>
          <w:lang w:val="en-US"/>
        </w:rPr>
        <w:t xml:space="preserve"> was obliged to ensure compliance with the said provision and, since he had not issued a decision in the case filed before him, he had left the party in a situation of de</w:t>
      </w:r>
      <w:r w:rsidR="001F65A3" w:rsidRPr="00C9465D">
        <w:rPr>
          <w:lang w:val="en-US"/>
        </w:rPr>
        <w:t xml:space="preserve">fenselessness, a situation that must be rectified by </w:t>
      </w:r>
      <w:r w:rsidR="001A4FA7" w:rsidRPr="00C9465D">
        <w:rPr>
          <w:lang w:val="en-US"/>
        </w:rPr>
        <w:t>the Constitutional Court</w:t>
      </w:r>
      <w:r w:rsidR="001F65A3" w:rsidRPr="00C9465D">
        <w:rPr>
          <w:lang w:val="en-US"/>
        </w:rPr>
        <w:t>.</w:t>
      </w:r>
      <w:r w:rsidR="000628B8" w:rsidRPr="00C9465D">
        <w:rPr>
          <w:lang w:val="en-US"/>
        </w:rPr>
        <w:t>”</w:t>
      </w:r>
      <w:r w:rsidR="000628B8" w:rsidRPr="00C9465D">
        <w:rPr>
          <w:rStyle w:val="FootnoteReference"/>
          <w:lang w:val="en-US"/>
        </w:rPr>
        <w:footnoteReference w:id="118"/>
      </w:r>
      <w:r w:rsidR="000628B8" w:rsidRPr="00C9465D">
        <w:rPr>
          <w:b/>
          <w:lang w:val="en-US"/>
        </w:rPr>
        <w:t xml:space="preserve"> </w:t>
      </w:r>
      <w:r w:rsidR="001F65A3" w:rsidRPr="00C9465D">
        <w:rPr>
          <w:lang w:val="en-US"/>
        </w:rPr>
        <w:t>The</w:t>
      </w:r>
      <w:r w:rsidR="001A4FA7" w:rsidRPr="00C9465D">
        <w:rPr>
          <w:lang w:val="en-US"/>
        </w:rPr>
        <w:t xml:space="preserve"> Constitutional Court</w:t>
      </w:r>
      <w:r w:rsidR="00FD164E" w:rsidRPr="00C9465D">
        <w:rPr>
          <w:lang w:val="en-US"/>
        </w:rPr>
        <w:t xml:space="preserve"> </w:t>
      </w:r>
      <w:r w:rsidR="001F65A3" w:rsidRPr="00C9465D">
        <w:rPr>
          <w:lang w:val="en-US"/>
        </w:rPr>
        <w:t xml:space="preserve">also indicated that </w:t>
      </w:r>
      <w:r w:rsidR="00FD164E" w:rsidRPr="00C9465D">
        <w:rPr>
          <w:lang w:val="en-US"/>
        </w:rPr>
        <w:t>“[</w:t>
      </w:r>
      <w:r w:rsidR="001F65A3" w:rsidRPr="00C9465D">
        <w:rPr>
          <w:lang w:val="en-US"/>
        </w:rPr>
        <w:t>t</w:t>
      </w:r>
      <w:r w:rsidR="00FD164E" w:rsidRPr="00C9465D">
        <w:rPr>
          <w:lang w:val="en-US"/>
        </w:rPr>
        <w:t>]</w:t>
      </w:r>
      <w:r w:rsidR="001F65A3" w:rsidRPr="00C9465D">
        <w:rPr>
          <w:lang w:val="en-US"/>
        </w:rPr>
        <w:t>he position taken by this Chamber, which is to leave valid alternatives open to the disappeared person</w:t>
      </w:r>
      <w:r w:rsidR="001C7793" w:rsidRPr="00C9465D">
        <w:rPr>
          <w:lang w:val="en-US"/>
        </w:rPr>
        <w:t>’s family</w:t>
      </w:r>
      <w:r w:rsidR="001F65A3" w:rsidRPr="00C9465D">
        <w:rPr>
          <w:lang w:val="en-US"/>
        </w:rPr>
        <w:t xml:space="preserve">, also extends to </w:t>
      </w:r>
      <w:r w:rsidR="00B50000" w:rsidRPr="00C9465D">
        <w:rPr>
          <w:lang w:val="en-US"/>
        </w:rPr>
        <w:t>the Ombudsman</w:t>
      </w:r>
      <w:r w:rsidR="00FD164E" w:rsidRPr="00C9465D">
        <w:rPr>
          <w:lang w:val="en-US"/>
        </w:rPr>
        <w:t xml:space="preserve">, </w:t>
      </w:r>
      <w:r w:rsidR="001F65A3" w:rsidRPr="00C9465D">
        <w:rPr>
          <w:lang w:val="en-US"/>
        </w:rPr>
        <w:t xml:space="preserve">the </w:t>
      </w:r>
      <w:r w:rsidR="004F5593" w:rsidRPr="00C9465D">
        <w:rPr>
          <w:lang w:val="en-US"/>
        </w:rPr>
        <w:t>Public Prosecution Service</w:t>
      </w:r>
      <w:r w:rsidR="00FD164E" w:rsidRPr="00C9465D">
        <w:rPr>
          <w:lang w:val="en-US"/>
        </w:rPr>
        <w:t>,</w:t>
      </w:r>
      <w:r w:rsidR="00193CBB" w:rsidRPr="00C9465D">
        <w:rPr>
          <w:lang w:val="en-US"/>
        </w:rPr>
        <w:t xml:space="preserve"> and </w:t>
      </w:r>
      <w:r w:rsidR="001F65A3" w:rsidRPr="00C9465D">
        <w:rPr>
          <w:lang w:val="en-US"/>
        </w:rPr>
        <w:t xml:space="preserve">any other state institution that is legally bound to contribute its efforts to coordinate actions in order to discover the whereabouts of </w:t>
      </w:r>
      <w:r w:rsidR="00FD164E" w:rsidRPr="00C9465D">
        <w:rPr>
          <w:lang w:val="en-US"/>
        </w:rPr>
        <w:t xml:space="preserve">Luis Guachalá Chimbo, </w:t>
      </w:r>
      <w:r w:rsidR="001F65A3" w:rsidRPr="00C9465D">
        <w:rPr>
          <w:lang w:val="en-US"/>
        </w:rPr>
        <w:t>and none of them may close its investigation and execution procedures until the case has finally been resolved.</w:t>
      </w:r>
      <w:r w:rsidR="00FD164E" w:rsidRPr="00C9465D">
        <w:rPr>
          <w:lang w:val="en-US"/>
        </w:rPr>
        <w:t>”</w:t>
      </w:r>
      <w:r w:rsidR="00FD164E" w:rsidRPr="00C9465D">
        <w:rPr>
          <w:rStyle w:val="FootnoteReference"/>
          <w:rFonts w:cs="Times New Roman"/>
          <w:lang w:val="en-US"/>
        </w:rPr>
        <w:footnoteReference w:id="119"/>
      </w:r>
      <w:r w:rsidR="00934F76" w:rsidRPr="00C9465D">
        <w:rPr>
          <w:lang w:val="en-US"/>
        </w:rPr>
        <w:t xml:space="preserve"> </w:t>
      </w:r>
      <w:r w:rsidR="001A4FA7" w:rsidRPr="00C9465D">
        <w:rPr>
          <w:lang w:val="en-US"/>
        </w:rPr>
        <w:lastRenderedPageBreak/>
        <w:t>The Constitutional Court</w:t>
      </w:r>
      <w:r w:rsidR="00934F76" w:rsidRPr="00C9465D">
        <w:rPr>
          <w:lang w:val="en-US"/>
        </w:rPr>
        <w:t xml:space="preserve"> orde</w:t>
      </w:r>
      <w:r w:rsidR="001F65A3" w:rsidRPr="00C9465D">
        <w:rPr>
          <w:lang w:val="en-US"/>
        </w:rPr>
        <w:t>red that the case file be returned to the Mayor for the pertinent effects.</w:t>
      </w:r>
      <w:r w:rsidR="00934F76" w:rsidRPr="00C9465D">
        <w:rPr>
          <w:rStyle w:val="FootnoteReference"/>
          <w:rFonts w:cs="Times New Roman"/>
          <w:lang w:val="en-US"/>
        </w:rPr>
        <w:footnoteReference w:id="120"/>
      </w:r>
    </w:p>
    <w:p w14:paraId="683A3248" w14:textId="7C9F25B5" w:rsidR="000628B8" w:rsidRPr="00C9465D" w:rsidRDefault="000628B8" w:rsidP="00BB407B">
      <w:pPr>
        <w:pStyle w:val="Heading2"/>
        <w:rPr>
          <w:lang w:val="en-US"/>
        </w:rPr>
      </w:pPr>
      <w:r w:rsidRPr="00C9465D">
        <w:rPr>
          <w:lang w:val="en-US"/>
        </w:rPr>
        <w:t xml:space="preserve"> </w:t>
      </w:r>
      <w:r w:rsidR="001F65A3" w:rsidRPr="00C9465D">
        <w:rPr>
          <w:lang w:val="en-US"/>
        </w:rPr>
        <w:t>Second investigation of the facts</w:t>
      </w:r>
    </w:p>
    <w:p w14:paraId="1BA7D1F8" w14:textId="3D4387FB" w:rsidR="000628B8" w:rsidRPr="00C9465D" w:rsidRDefault="001F65A3" w:rsidP="001F65A3">
      <w:pPr>
        <w:pStyle w:val="Numberedparagraphs"/>
        <w:rPr>
          <w:lang w:val="en-US"/>
        </w:rPr>
      </w:pPr>
      <w:r w:rsidRPr="00C9465D">
        <w:rPr>
          <w:lang w:val="en-US"/>
        </w:rPr>
        <w:t>According to the case file, no measures were taken between July 2006 and November 2009. On November 4, 2009, the Prosecutor opened an investigation and initiated the preliminary inquiry into the disappearance of a person, ordering that statements be taken from those who were aware of the incident, and the inspection of the site of the facts.</w:t>
      </w:r>
      <w:r w:rsidR="000628B8" w:rsidRPr="00C9465D">
        <w:rPr>
          <w:rStyle w:val="FootnoteReference"/>
          <w:lang w:val="en-US"/>
        </w:rPr>
        <w:footnoteReference w:id="121"/>
      </w:r>
      <w:r w:rsidRPr="00C9465D">
        <w:rPr>
          <w:lang w:val="en-US"/>
        </w:rPr>
        <w:t xml:space="preserve"> According to the State, the investigation was re-opened in compliance with the</w:t>
      </w:r>
      <w:r w:rsidR="00194B20" w:rsidRPr="00C9465D">
        <w:rPr>
          <w:lang w:val="en-US"/>
        </w:rPr>
        <w:t xml:space="preserve"> </w:t>
      </w:r>
      <w:r w:rsidR="001A4FA7" w:rsidRPr="00C9465D">
        <w:rPr>
          <w:lang w:val="en-US"/>
        </w:rPr>
        <w:t>Constitutional Court</w:t>
      </w:r>
      <w:r w:rsidRPr="00C9465D">
        <w:rPr>
          <w:lang w:val="en-US"/>
        </w:rPr>
        <w:t>’s ruling of July 6,</w:t>
      </w:r>
      <w:r w:rsidR="00233C42" w:rsidRPr="00C9465D">
        <w:rPr>
          <w:lang w:val="en-US"/>
        </w:rPr>
        <w:t xml:space="preserve"> 2006.</w:t>
      </w:r>
    </w:p>
    <w:p w14:paraId="102EDA75" w14:textId="4E37D772" w:rsidR="000628B8" w:rsidRPr="00C9465D" w:rsidRDefault="001F65A3" w:rsidP="00AA3C22">
      <w:pPr>
        <w:pStyle w:val="Numberedparagraphs"/>
        <w:rPr>
          <w:lang w:val="en-US"/>
        </w:rPr>
      </w:pPr>
      <w:r w:rsidRPr="00C9465D">
        <w:rPr>
          <w:lang w:val="en-US"/>
        </w:rPr>
        <w:t>On November 27,</w:t>
      </w:r>
      <w:r w:rsidR="000628B8" w:rsidRPr="00C9465D">
        <w:rPr>
          <w:lang w:val="en-US"/>
        </w:rPr>
        <w:t xml:space="preserve"> 2009, </w:t>
      </w:r>
      <w:r w:rsidRPr="00C9465D">
        <w:rPr>
          <w:lang w:val="en-US"/>
        </w:rPr>
        <w:t>the Homicide Brigade</w:t>
      </w:r>
      <w:r w:rsidR="000628B8" w:rsidRPr="00C9465D">
        <w:rPr>
          <w:lang w:val="en-US"/>
        </w:rPr>
        <w:t xml:space="preserve"> </w:t>
      </w:r>
      <w:r w:rsidRPr="00C9465D">
        <w:rPr>
          <w:lang w:val="en-US"/>
        </w:rPr>
        <w:t>of the Pichincha Judicial Police</w:t>
      </w:r>
      <w:r w:rsidR="000628B8" w:rsidRPr="00C9465D">
        <w:rPr>
          <w:lang w:val="en-US"/>
        </w:rPr>
        <w:t xml:space="preserve"> </w:t>
      </w:r>
      <w:r w:rsidRPr="00C9465D">
        <w:rPr>
          <w:lang w:val="en-US"/>
        </w:rPr>
        <w:t>required the</w:t>
      </w:r>
      <w:r w:rsidR="000628B8" w:rsidRPr="00C9465D">
        <w:rPr>
          <w:lang w:val="en-US"/>
        </w:rPr>
        <w:t xml:space="preserve"> </w:t>
      </w:r>
      <w:r w:rsidRPr="00C9465D">
        <w:rPr>
          <w:lang w:val="en-US"/>
        </w:rPr>
        <w:t>d</w:t>
      </w:r>
      <w:r w:rsidR="000628B8" w:rsidRPr="00C9465D">
        <w:rPr>
          <w:lang w:val="en-US"/>
        </w:rPr>
        <w:t xml:space="preserve">irector </w:t>
      </w:r>
      <w:r w:rsidRPr="00C9465D">
        <w:rPr>
          <w:lang w:val="en-US"/>
        </w:rPr>
        <w:t xml:space="preserve">of the Hospital to forward </w:t>
      </w:r>
      <w:r w:rsidR="001C7793" w:rsidRPr="00C9465D">
        <w:rPr>
          <w:lang w:val="en-US"/>
        </w:rPr>
        <w:t>a</w:t>
      </w:r>
      <w:r w:rsidRPr="00C9465D">
        <w:rPr>
          <w:lang w:val="en-US"/>
        </w:rPr>
        <w:t xml:space="preserve"> list of all the personnel who were working there in </w:t>
      </w:r>
      <w:r w:rsidR="000628B8" w:rsidRPr="00C9465D">
        <w:rPr>
          <w:lang w:val="en-US"/>
        </w:rPr>
        <w:t>2004</w:t>
      </w:r>
      <w:r w:rsidRPr="00C9465D">
        <w:rPr>
          <w:lang w:val="en-US"/>
        </w:rPr>
        <w:t>.</w:t>
      </w:r>
      <w:r w:rsidR="000628B8" w:rsidRPr="00C9465D">
        <w:rPr>
          <w:rStyle w:val="FootnoteReference"/>
          <w:rFonts w:cs="Times New Roman"/>
          <w:lang w:val="en-US"/>
        </w:rPr>
        <w:footnoteReference w:id="122"/>
      </w:r>
    </w:p>
    <w:p w14:paraId="78033E78" w14:textId="6A46037A" w:rsidR="00EC259F" w:rsidRPr="00C9465D" w:rsidRDefault="001F65A3" w:rsidP="00413624">
      <w:pPr>
        <w:pStyle w:val="Numberedparagraphs"/>
        <w:rPr>
          <w:lang w:val="en-US"/>
        </w:rPr>
      </w:pPr>
      <w:r w:rsidRPr="00C9465D">
        <w:rPr>
          <w:lang w:val="en-US"/>
        </w:rPr>
        <w:t>On May 16,</w:t>
      </w:r>
      <w:r w:rsidR="00EC259F" w:rsidRPr="00C9465D">
        <w:rPr>
          <w:lang w:val="en-US"/>
        </w:rPr>
        <w:t xml:space="preserve"> 2013, </w:t>
      </w:r>
      <w:r w:rsidRPr="00C9465D">
        <w:rPr>
          <w:lang w:val="en-US"/>
        </w:rPr>
        <w:t>the Judicial Police</w:t>
      </w:r>
      <w:r w:rsidR="00EC259F" w:rsidRPr="00C9465D">
        <w:rPr>
          <w:lang w:val="en-US"/>
        </w:rPr>
        <w:t xml:space="preserve"> </w:t>
      </w:r>
      <w:r w:rsidRPr="00C9465D">
        <w:rPr>
          <w:lang w:val="en-US"/>
        </w:rPr>
        <w:t>of the Metropolitan District</w:t>
      </w:r>
      <w:r w:rsidR="00EC259F" w:rsidRPr="00C9465D">
        <w:rPr>
          <w:lang w:val="en-US"/>
        </w:rPr>
        <w:t xml:space="preserve"> </w:t>
      </w:r>
      <w:r w:rsidRPr="00C9465D">
        <w:rPr>
          <w:lang w:val="en-US"/>
        </w:rPr>
        <w:t>of Quito</w:t>
      </w:r>
      <w:r w:rsidR="00EC259F" w:rsidRPr="00C9465D">
        <w:rPr>
          <w:lang w:val="en-US"/>
        </w:rPr>
        <w:t xml:space="preserve"> </w:t>
      </w:r>
      <w:r w:rsidRPr="00C9465D">
        <w:rPr>
          <w:lang w:val="en-US"/>
        </w:rPr>
        <w:t xml:space="preserve">advised that a working meeting had been held to coordinate activities in the investigations into the whereabouts of Mr. Guachalá attended by </w:t>
      </w:r>
      <w:r w:rsidR="00A56F98" w:rsidRPr="00C9465D">
        <w:rPr>
          <w:lang w:val="en-US"/>
        </w:rPr>
        <w:t>Mrs. Chimbo</w:t>
      </w:r>
      <w:r w:rsidR="00EC259F" w:rsidRPr="00C9465D">
        <w:rPr>
          <w:lang w:val="en-US"/>
        </w:rPr>
        <w:t xml:space="preserve">, </w:t>
      </w:r>
      <w:r w:rsidRPr="00C9465D">
        <w:rPr>
          <w:lang w:val="en-US"/>
        </w:rPr>
        <w:t>the Legal Adviser of the</w:t>
      </w:r>
      <w:r w:rsidR="00413624" w:rsidRPr="00C9465D">
        <w:rPr>
          <w:lang w:val="en-US"/>
        </w:rPr>
        <w:t xml:space="preserve"> Ministry of Internal Affairs, and delegates of the National Directorate of</w:t>
      </w:r>
      <w:r w:rsidR="00EC259F" w:rsidRPr="00C9465D">
        <w:rPr>
          <w:lang w:val="en-US"/>
        </w:rPr>
        <w:t xml:space="preserve"> </w:t>
      </w:r>
      <w:r w:rsidRPr="00C9465D">
        <w:rPr>
          <w:lang w:val="en-US"/>
        </w:rPr>
        <w:t>the Judicial Police</w:t>
      </w:r>
      <w:r w:rsidR="00EC259F" w:rsidRPr="00C9465D">
        <w:rPr>
          <w:lang w:val="en-US"/>
        </w:rPr>
        <w:t xml:space="preserve">. </w:t>
      </w:r>
      <w:r w:rsidR="00413624" w:rsidRPr="00C9465D">
        <w:rPr>
          <w:lang w:val="en-US"/>
        </w:rPr>
        <w:t>During this meeting, the Legal Adviser of the Ministry of Internal Affairs stipulated that the investigations should continue and asked Mr. Guachalá’s mother to go to the Office of Forensic Anthropology to provide her son’s biometric data.</w:t>
      </w:r>
      <w:r w:rsidR="00EC259F" w:rsidRPr="00C9465D">
        <w:rPr>
          <w:rStyle w:val="FootnoteReference"/>
          <w:rFonts w:cs="Times New Roman"/>
          <w:lang w:val="en-US"/>
        </w:rPr>
        <w:footnoteReference w:id="123"/>
      </w:r>
    </w:p>
    <w:p w14:paraId="2F808252" w14:textId="13CA28C6" w:rsidR="00EC259F" w:rsidRPr="00C9465D" w:rsidRDefault="00413624" w:rsidP="00B05B17">
      <w:pPr>
        <w:pStyle w:val="Numberedparagraphs"/>
        <w:rPr>
          <w:lang w:val="en-US"/>
        </w:rPr>
      </w:pPr>
      <w:r w:rsidRPr="00C9465D">
        <w:rPr>
          <w:lang w:val="en-US"/>
        </w:rPr>
        <w:t xml:space="preserve">Between October 16, </w:t>
      </w:r>
      <w:r w:rsidR="00EC259F" w:rsidRPr="00C9465D">
        <w:rPr>
          <w:lang w:val="en-US"/>
        </w:rPr>
        <w:t>2013</w:t>
      </w:r>
      <w:r w:rsidRPr="00C9465D">
        <w:rPr>
          <w:lang w:val="en-US"/>
        </w:rPr>
        <w:t>,</w:t>
      </w:r>
      <w:r w:rsidR="00193CBB" w:rsidRPr="00C9465D">
        <w:rPr>
          <w:lang w:val="en-US"/>
        </w:rPr>
        <w:t xml:space="preserve"> and </w:t>
      </w:r>
      <w:r w:rsidRPr="00C9465D">
        <w:rPr>
          <w:lang w:val="en-US"/>
        </w:rPr>
        <w:t>August 25,</w:t>
      </w:r>
      <w:r w:rsidR="00EC259F" w:rsidRPr="00C9465D">
        <w:rPr>
          <w:lang w:val="en-US"/>
        </w:rPr>
        <w:t xml:space="preserve"> 2020</w:t>
      </w:r>
      <w:r w:rsidRPr="00C9465D">
        <w:rPr>
          <w:lang w:val="en-US"/>
        </w:rPr>
        <w:t xml:space="preserve">, the Prosecutor ordered that information regarding Mr. Guachalá Chimbo’s whereabouts be gathered from numerous public and private institutions and conducted </w:t>
      </w:r>
      <w:r w:rsidR="001C7793" w:rsidRPr="00C9465D">
        <w:rPr>
          <w:lang w:val="en-US"/>
        </w:rPr>
        <w:t>several</w:t>
      </w:r>
      <w:r w:rsidRPr="00C9465D">
        <w:rPr>
          <w:lang w:val="en-US"/>
        </w:rPr>
        <w:t xml:space="preserve"> investigation procedures. These included, in particular: a request to INTERPOL to issue a yellow notice and to ask Peru, Colombia and Venezuela to report Mr. Guachalá’s migratory activity;</w:t>
      </w:r>
      <w:r w:rsidR="00EC259F" w:rsidRPr="00C9465D">
        <w:rPr>
          <w:rStyle w:val="FootnoteReference"/>
          <w:lang w:val="en-US"/>
        </w:rPr>
        <w:footnoteReference w:id="124"/>
      </w:r>
      <w:r w:rsidRPr="00C9465D">
        <w:rPr>
          <w:lang w:val="en-US"/>
        </w:rPr>
        <w:t xml:space="preserve"> the DNA testing of the skeletons and osseous remains of three unidentified male corpses recorded as NN [</w:t>
      </w:r>
      <w:r w:rsidR="00092C2A" w:rsidRPr="00C9465D">
        <w:rPr>
          <w:lang w:val="en-US"/>
        </w:rPr>
        <w:t>unidentified</w:t>
      </w:r>
      <w:r w:rsidRPr="00C9465D">
        <w:rPr>
          <w:lang w:val="en-US"/>
        </w:rPr>
        <w:t>] with similar characteristics to the presumed victim</w:t>
      </w:r>
      <w:r w:rsidR="00EC259F" w:rsidRPr="00C9465D">
        <w:rPr>
          <w:lang w:val="en-US"/>
        </w:rPr>
        <w:t xml:space="preserve"> </w:t>
      </w:r>
      <w:r w:rsidR="001C2696" w:rsidRPr="00C9465D">
        <w:rPr>
          <w:lang w:val="en-US"/>
        </w:rPr>
        <w:t>for comparison with samples provided by the presumed victim’s mother;</w:t>
      </w:r>
      <w:r w:rsidR="00EC259F" w:rsidRPr="00C9465D">
        <w:rPr>
          <w:rStyle w:val="FootnoteReference"/>
          <w:lang w:val="en-US"/>
        </w:rPr>
        <w:footnoteReference w:id="125"/>
      </w:r>
      <w:r w:rsidR="00EC259F" w:rsidRPr="00C9465D">
        <w:rPr>
          <w:lang w:val="en-US"/>
        </w:rPr>
        <w:t xml:space="preserve"> </w:t>
      </w:r>
      <w:r w:rsidR="001C2696" w:rsidRPr="00C9465D">
        <w:rPr>
          <w:lang w:val="en-US"/>
        </w:rPr>
        <w:t>search of the Julio Endara Psychiatric Hospital and seizure of documents and evidence;</w:t>
      </w:r>
      <w:r w:rsidR="00EC259F" w:rsidRPr="00C9465D">
        <w:rPr>
          <w:rStyle w:val="FootnoteReference"/>
          <w:lang w:val="en-US"/>
        </w:rPr>
        <w:footnoteReference w:id="126"/>
      </w:r>
      <w:r w:rsidR="00EC259F" w:rsidRPr="00C9465D">
        <w:rPr>
          <w:lang w:val="en-US"/>
        </w:rPr>
        <w:t xml:space="preserve"> </w:t>
      </w:r>
      <w:r w:rsidR="001C2696" w:rsidRPr="00C9465D">
        <w:rPr>
          <w:lang w:val="en-US"/>
        </w:rPr>
        <w:t>expert appraisals of documents to determine whether alterations had been made to Mr. Guachalá’s handwritten medical records, shift change reports of January 10</w:t>
      </w:r>
      <w:r w:rsidR="001C7793" w:rsidRPr="00C9465D">
        <w:rPr>
          <w:lang w:val="en-US"/>
        </w:rPr>
        <w:t xml:space="preserve"> [</w:t>
      </w:r>
      <w:r w:rsidR="001C7793" w:rsidRPr="00C9465D">
        <w:rPr>
          <w:i/>
          <w:iCs/>
          <w:lang w:val="en-US"/>
        </w:rPr>
        <w:t>sic</w:t>
      </w:r>
      <w:r w:rsidR="001C7793" w:rsidRPr="00C9465D">
        <w:rPr>
          <w:lang w:val="en-US"/>
        </w:rPr>
        <w:t>]</w:t>
      </w:r>
      <w:r w:rsidR="001C2696" w:rsidRPr="00C9465D">
        <w:rPr>
          <w:lang w:val="en-US"/>
        </w:rPr>
        <w:t xml:space="preserve">, 2004, and </w:t>
      </w:r>
      <w:r w:rsidR="00B05B17" w:rsidRPr="00C9465D">
        <w:rPr>
          <w:lang w:val="en-US"/>
        </w:rPr>
        <w:t>work schedule records;</w:t>
      </w:r>
      <w:r w:rsidR="00EC259F" w:rsidRPr="00C9465D">
        <w:rPr>
          <w:rStyle w:val="FootnoteReference"/>
          <w:lang w:val="en-US"/>
        </w:rPr>
        <w:footnoteReference w:id="127"/>
      </w:r>
      <w:r w:rsidR="00B05B17" w:rsidRPr="00C9465D">
        <w:rPr>
          <w:lang w:val="en-US"/>
        </w:rPr>
        <w:t xml:space="preserve"> comparison of the presumed victim’s fingerprints in the </w:t>
      </w:r>
      <w:r w:rsidR="00B05B17" w:rsidRPr="00C9465D">
        <w:rPr>
          <w:lang w:val="en-US"/>
        </w:rPr>
        <w:lastRenderedPageBreak/>
        <w:t>AFIS system</w:t>
      </w:r>
      <w:r w:rsidR="00EC259F" w:rsidRPr="00C9465D">
        <w:rPr>
          <w:lang w:val="en-US"/>
        </w:rPr>
        <w:t xml:space="preserve"> </w:t>
      </w:r>
      <w:r w:rsidR="00B05B17" w:rsidRPr="00C9465D">
        <w:rPr>
          <w:lang w:val="en-US"/>
        </w:rPr>
        <w:t>with the prints of un</w:t>
      </w:r>
      <w:r w:rsidR="00092C2A" w:rsidRPr="00C9465D">
        <w:rPr>
          <w:lang w:val="en-US"/>
        </w:rPr>
        <w:t>identified</w:t>
      </w:r>
      <w:r w:rsidR="00B05B17" w:rsidRPr="00C9465D">
        <w:rPr>
          <w:lang w:val="en-US"/>
        </w:rPr>
        <w:t xml:space="preserve"> </w:t>
      </w:r>
      <w:r w:rsidR="00092C2A" w:rsidRPr="00C9465D">
        <w:rPr>
          <w:lang w:val="en-US"/>
        </w:rPr>
        <w:t xml:space="preserve">male </w:t>
      </w:r>
      <w:r w:rsidR="00B05B17" w:rsidRPr="00C9465D">
        <w:rPr>
          <w:lang w:val="en-US"/>
        </w:rPr>
        <w:t>corpses since January 2004;</w:t>
      </w:r>
      <w:r w:rsidR="00EC259F" w:rsidRPr="00C9465D">
        <w:rPr>
          <w:rStyle w:val="FootnoteReference"/>
          <w:lang w:val="en-US"/>
        </w:rPr>
        <w:footnoteReference w:id="128"/>
      </w:r>
      <w:r w:rsidR="00DF7CA3" w:rsidRPr="00C9465D">
        <w:rPr>
          <w:lang w:val="en-US"/>
        </w:rPr>
        <w:t xml:space="preserve"> </w:t>
      </w:r>
      <w:r w:rsidR="00B05B17" w:rsidRPr="00C9465D">
        <w:rPr>
          <w:lang w:val="en-US"/>
        </w:rPr>
        <w:t>search and evidence gathering activities in numerous places,</w:t>
      </w:r>
      <w:r w:rsidR="00EC259F" w:rsidRPr="00C9465D">
        <w:rPr>
          <w:rStyle w:val="FootnoteReference"/>
          <w:lang w:val="en-US"/>
        </w:rPr>
        <w:footnoteReference w:id="129"/>
      </w:r>
      <w:r w:rsidR="00193CBB" w:rsidRPr="00C9465D">
        <w:rPr>
          <w:lang w:val="en-US"/>
        </w:rPr>
        <w:t xml:space="preserve"> and</w:t>
      </w:r>
      <w:r w:rsidR="00B05B17" w:rsidRPr="00C9465D">
        <w:rPr>
          <w:lang w:val="en-US"/>
        </w:rPr>
        <w:t xml:space="preserve"> reception of diverse statements.</w:t>
      </w:r>
      <w:r w:rsidR="00EC259F" w:rsidRPr="00C9465D">
        <w:rPr>
          <w:rStyle w:val="FootnoteReference"/>
          <w:lang w:val="en-US"/>
        </w:rPr>
        <w:footnoteReference w:id="130"/>
      </w:r>
    </w:p>
    <w:p w14:paraId="70146006" w14:textId="59EBE895" w:rsidR="00EC259F" w:rsidRPr="00C9465D" w:rsidRDefault="00B05B17" w:rsidP="00D12C0E">
      <w:pPr>
        <w:pStyle w:val="Numberedparagraphs"/>
        <w:rPr>
          <w:lang w:val="en-US"/>
        </w:rPr>
      </w:pPr>
      <w:r w:rsidRPr="00C9465D">
        <w:rPr>
          <w:lang w:val="en-US"/>
        </w:rPr>
        <w:t>In addition</w:t>
      </w:r>
      <w:r w:rsidR="005449EF" w:rsidRPr="00C9465D">
        <w:rPr>
          <w:lang w:val="en-US"/>
        </w:rPr>
        <w:t xml:space="preserve">, </w:t>
      </w:r>
      <w:r w:rsidRPr="00C9465D">
        <w:rPr>
          <w:lang w:val="en-US"/>
        </w:rPr>
        <w:t>on January 31,</w:t>
      </w:r>
      <w:r w:rsidR="00EC259F" w:rsidRPr="00C9465D">
        <w:rPr>
          <w:lang w:val="en-US"/>
        </w:rPr>
        <w:t xml:space="preserve"> 2019</w:t>
      </w:r>
      <w:r w:rsidRPr="00C9465D">
        <w:rPr>
          <w:lang w:val="en-US"/>
        </w:rPr>
        <w:t xml:space="preserve">, a search was made with ground penetrating radar in </w:t>
      </w:r>
      <w:r w:rsidR="00D12C0E" w:rsidRPr="00C9465D">
        <w:rPr>
          <w:lang w:val="en-US"/>
        </w:rPr>
        <w:t>a</w:t>
      </w:r>
      <w:r w:rsidRPr="00C9465D">
        <w:rPr>
          <w:lang w:val="en-US"/>
        </w:rPr>
        <w:t xml:space="preserve">reas surrounding the hospital by police officers from the Special Operations Group and the Dog Training Center, with three </w:t>
      </w:r>
      <w:r w:rsidR="00D12C0E" w:rsidRPr="00C9465D">
        <w:rPr>
          <w:lang w:val="en-US"/>
        </w:rPr>
        <w:t>handlers</w:t>
      </w:r>
      <w:r w:rsidRPr="00C9465D">
        <w:rPr>
          <w:lang w:val="en-US"/>
        </w:rPr>
        <w:t xml:space="preserve"> and two dogs</w:t>
      </w:r>
      <w:r w:rsidR="00D12C0E" w:rsidRPr="00C9465D">
        <w:rPr>
          <w:lang w:val="en-US"/>
        </w:rPr>
        <w:t xml:space="preserve"> trained in finding skeletal remains,</w:t>
      </w:r>
      <w:r w:rsidR="00EC259F" w:rsidRPr="00C9465D">
        <w:rPr>
          <w:rStyle w:val="FootnoteReference"/>
          <w:lang w:val="en-US"/>
        </w:rPr>
        <w:footnoteReference w:id="131"/>
      </w:r>
      <w:r w:rsidR="00F60B94" w:rsidRPr="00C9465D">
        <w:rPr>
          <w:lang w:val="en-US"/>
        </w:rPr>
        <w:t xml:space="preserve"> </w:t>
      </w:r>
      <w:r w:rsidR="00D12C0E" w:rsidRPr="00C9465D">
        <w:rPr>
          <w:lang w:val="en-US"/>
        </w:rPr>
        <w:t>with negative results. The State reported that “the investigation is still open.”</w:t>
      </w:r>
    </w:p>
    <w:p w14:paraId="2A79C0F2" w14:textId="254B85EC" w:rsidR="00D42D24" w:rsidRPr="00C9465D" w:rsidRDefault="00630FC0" w:rsidP="00E5784B">
      <w:pPr>
        <w:pStyle w:val="Heading1"/>
        <w:rPr>
          <w:lang w:val="en-US"/>
        </w:rPr>
      </w:pPr>
      <w:bookmarkStart w:id="24" w:name="_Toc74298445"/>
      <w:r w:rsidRPr="00C9465D">
        <w:rPr>
          <w:lang w:val="en-US"/>
        </w:rPr>
        <w:t>V</w:t>
      </w:r>
      <w:r w:rsidR="00AA3C22" w:rsidRPr="00C9465D">
        <w:rPr>
          <w:lang w:val="en-US"/>
        </w:rPr>
        <w:t>I</w:t>
      </w:r>
      <w:r w:rsidR="00B94BE6" w:rsidRPr="00C9465D">
        <w:rPr>
          <w:lang w:val="en-US"/>
        </w:rPr>
        <w:t>I</w:t>
      </w:r>
      <w:r w:rsidR="00B86034" w:rsidRPr="00C9465D">
        <w:rPr>
          <w:lang w:val="en-US"/>
        </w:rPr>
        <w:br/>
      </w:r>
      <w:r w:rsidR="00E2299F" w:rsidRPr="00C9465D">
        <w:rPr>
          <w:lang w:val="en-US"/>
        </w:rPr>
        <w:t>MERITS</w:t>
      </w:r>
      <w:bookmarkEnd w:id="24"/>
    </w:p>
    <w:p w14:paraId="7A3681B8" w14:textId="58AE07B2" w:rsidR="00D12C0E" w:rsidRPr="00C9465D" w:rsidRDefault="00D12C0E" w:rsidP="00AA3C22">
      <w:pPr>
        <w:pStyle w:val="Numberedparagraphs"/>
        <w:rPr>
          <w:lang w:val="en-US"/>
        </w:rPr>
      </w:pPr>
      <w:r w:rsidRPr="00C9465D">
        <w:rPr>
          <w:lang w:val="en-US"/>
        </w:rPr>
        <w:t xml:space="preserve">The instant case relates to the alleged forced </w:t>
      </w:r>
      <w:r w:rsidR="00092C2A" w:rsidRPr="00C9465D">
        <w:rPr>
          <w:lang w:val="en-US"/>
        </w:rPr>
        <w:t>hospitalization</w:t>
      </w:r>
      <w:r w:rsidRPr="00C9465D">
        <w:rPr>
          <w:lang w:val="en-US"/>
        </w:rPr>
        <w:t xml:space="preserve"> of Mr. Guachalá Chimbo, and the medical treatment he received in a public psychiatric hospital, as well as the </w:t>
      </w:r>
      <w:r w:rsidR="00092C2A" w:rsidRPr="00C9465D">
        <w:rPr>
          <w:lang w:val="en-US"/>
        </w:rPr>
        <w:t xml:space="preserve">presumed victim’s </w:t>
      </w:r>
      <w:r w:rsidRPr="00C9465D">
        <w:rPr>
          <w:lang w:val="en-US"/>
        </w:rPr>
        <w:t>subsequent disappearance one week after his admittance to that hospital. The case also relates to the investigation of Mr. Guachalá Chimbo’s disappearance and the problems faced by the presumed victim’s family following his disappearance.</w:t>
      </w:r>
    </w:p>
    <w:p w14:paraId="3F3A4E3B" w14:textId="0D4DE746" w:rsidR="00D42D24" w:rsidRPr="00C9465D" w:rsidRDefault="00D12C0E" w:rsidP="00AA3C22">
      <w:pPr>
        <w:pStyle w:val="Numberedparagraphs"/>
        <w:rPr>
          <w:lang w:val="en-US"/>
        </w:rPr>
      </w:pPr>
      <w:r w:rsidRPr="00C9465D">
        <w:rPr>
          <w:lang w:val="en-US"/>
        </w:rPr>
        <w:t xml:space="preserve">Based on the allegations of the parties </w:t>
      </w:r>
      <w:r w:rsidR="00193CBB" w:rsidRPr="00C9465D">
        <w:rPr>
          <w:lang w:val="en-US"/>
        </w:rPr>
        <w:t>and the Commission</w:t>
      </w:r>
      <w:r w:rsidR="00D42D24" w:rsidRPr="00C9465D">
        <w:rPr>
          <w:lang w:val="en-US"/>
        </w:rPr>
        <w:t xml:space="preserve"> </w:t>
      </w:r>
      <w:r w:rsidRPr="00C9465D">
        <w:rPr>
          <w:lang w:val="en-US"/>
        </w:rPr>
        <w:t xml:space="preserve">in the instant case, the Court will now set out: </w:t>
      </w:r>
      <w:r w:rsidR="00D42D24" w:rsidRPr="00C9465D">
        <w:rPr>
          <w:color w:val="auto"/>
          <w:lang w:val="en-US"/>
        </w:rPr>
        <w:t xml:space="preserve">(1) </w:t>
      </w:r>
      <w:r w:rsidRPr="00C9465D">
        <w:rPr>
          <w:color w:val="auto"/>
          <w:lang w:val="en-US"/>
        </w:rPr>
        <w:t xml:space="preserve">general </w:t>
      </w:r>
      <w:r w:rsidR="00D42D24" w:rsidRPr="00C9465D">
        <w:rPr>
          <w:color w:val="auto"/>
          <w:lang w:val="en-US"/>
        </w:rPr>
        <w:t>considera</w:t>
      </w:r>
      <w:r w:rsidRPr="00C9465D">
        <w:rPr>
          <w:color w:val="auto"/>
          <w:lang w:val="en-US"/>
        </w:rPr>
        <w:t>tions on the right to equality</w:t>
      </w:r>
      <w:r w:rsidR="00193CBB" w:rsidRPr="00C9465D">
        <w:rPr>
          <w:color w:val="auto"/>
          <w:lang w:val="en-US"/>
        </w:rPr>
        <w:t xml:space="preserve"> and </w:t>
      </w:r>
      <w:r w:rsidRPr="00C9465D">
        <w:rPr>
          <w:color w:val="auto"/>
          <w:lang w:val="en-US"/>
        </w:rPr>
        <w:t>non-discrimination,</w:t>
      </w:r>
      <w:r w:rsidR="00193CBB" w:rsidRPr="00C9465D">
        <w:rPr>
          <w:color w:val="auto"/>
          <w:lang w:val="en-US"/>
        </w:rPr>
        <w:t xml:space="preserve"> and </w:t>
      </w:r>
      <w:r w:rsidRPr="00C9465D">
        <w:rPr>
          <w:color w:val="auto"/>
          <w:lang w:val="en-US"/>
        </w:rPr>
        <w:t>will examine</w:t>
      </w:r>
      <w:r w:rsidR="00645799" w:rsidRPr="00C9465D">
        <w:rPr>
          <w:color w:val="auto"/>
          <w:lang w:val="en-US"/>
        </w:rPr>
        <w:t xml:space="preserve"> </w:t>
      </w:r>
      <w:r w:rsidR="00D42D24" w:rsidRPr="00C9465D">
        <w:rPr>
          <w:color w:val="auto"/>
          <w:lang w:val="en-US"/>
        </w:rPr>
        <w:t xml:space="preserve">(2) </w:t>
      </w:r>
      <w:r w:rsidRPr="00C9465D">
        <w:rPr>
          <w:color w:val="auto"/>
          <w:lang w:val="en-US"/>
        </w:rPr>
        <w:t>the rights to</w:t>
      </w:r>
      <w:r w:rsidR="00123E95" w:rsidRPr="00C9465D">
        <w:rPr>
          <w:color w:val="auto"/>
          <w:lang w:val="en-US"/>
        </w:rPr>
        <w:t xml:space="preserve"> </w:t>
      </w:r>
      <w:r w:rsidRPr="00C9465D">
        <w:rPr>
          <w:color w:val="auto"/>
          <w:lang w:val="en-US"/>
        </w:rPr>
        <w:t>recognition of juridical personality</w:t>
      </w:r>
      <w:r w:rsidR="00CD4B47" w:rsidRPr="00C9465D">
        <w:rPr>
          <w:color w:val="auto"/>
          <w:lang w:val="en-US"/>
        </w:rPr>
        <w:t>,</w:t>
      </w:r>
      <w:r w:rsidRPr="00C9465D">
        <w:rPr>
          <w:color w:val="auto"/>
          <w:lang w:val="en-US"/>
        </w:rPr>
        <w:t xml:space="preserve"> life</w:t>
      </w:r>
      <w:r w:rsidR="00D71CA4" w:rsidRPr="00C9465D">
        <w:rPr>
          <w:color w:val="auto"/>
          <w:lang w:val="en-US"/>
        </w:rPr>
        <w:t xml:space="preserve">, </w:t>
      </w:r>
      <w:r w:rsidRPr="00C9465D">
        <w:rPr>
          <w:color w:val="auto"/>
          <w:lang w:val="en-US"/>
        </w:rPr>
        <w:t>integrity</w:t>
      </w:r>
      <w:r w:rsidR="00D71CA4" w:rsidRPr="00C9465D">
        <w:rPr>
          <w:color w:val="auto"/>
          <w:lang w:val="en-US"/>
        </w:rPr>
        <w:t xml:space="preserve">, </w:t>
      </w:r>
      <w:r w:rsidRPr="00C9465D">
        <w:rPr>
          <w:color w:val="auto"/>
          <w:lang w:val="en-US"/>
        </w:rPr>
        <w:t>personal liberty</w:t>
      </w:r>
      <w:r w:rsidR="00AB4725" w:rsidRPr="00C9465D">
        <w:rPr>
          <w:color w:val="auto"/>
          <w:lang w:val="en-US"/>
        </w:rPr>
        <w:t xml:space="preserve">, </w:t>
      </w:r>
      <w:r w:rsidRPr="00C9465D">
        <w:rPr>
          <w:color w:val="auto"/>
          <w:lang w:val="en-US"/>
        </w:rPr>
        <w:t>dignity</w:t>
      </w:r>
      <w:r w:rsidR="00123E95" w:rsidRPr="00C9465D">
        <w:rPr>
          <w:color w:val="auto"/>
          <w:lang w:val="en-US"/>
        </w:rPr>
        <w:t xml:space="preserve">, </w:t>
      </w:r>
      <w:r w:rsidRPr="00C9465D">
        <w:rPr>
          <w:color w:val="auto"/>
          <w:lang w:val="en-US"/>
        </w:rPr>
        <w:t>privacy</w:t>
      </w:r>
      <w:r w:rsidR="00CD4B47" w:rsidRPr="00C9465D">
        <w:rPr>
          <w:color w:val="auto"/>
          <w:lang w:val="en-US"/>
        </w:rPr>
        <w:t>,</w:t>
      </w:r>
      <w:r w:rsidR="00AB4725" w:rsidRPr="00C9465D">
        <w:rPr>
          <w:color w:val="auto"/>
          <w:lang w:val="en-US"/>
        </w:rPr>
        <w:t xml:space="preserve"> </w:t>
      </w:r>
      <w:r w:rsidRPr="00C9465D">
        <w:rPr>
          <w:color w:val="auto"/>
          <w:lang w:val="en-US"/>
        </w:rPr>
        <w:t>access to information</w:t>
      </w:r>
      <w:r w:rsidR="00193CBB" w:rsidRPr="00C9465D">
        <w:rPr>
          <w:color w:val="auto"/>
          <w:lang w:val="en-US"/>
        </w:rPr>
        <w:t xml:space="preserve"> and </w:t>
      </w:r>
      <w:r w:rsidRPr="00C9465D">
        <w:rPr>
          <w:color w:val="auto"/>
          <w:lang w:val="en-US"/>
        </w:rPr>
        <w:t>health</w:t>
      </w:r>
      <w:r w:rsidR="00D42D24" w:rsidRPr="00C9465D">
        <w:rPr>
          <w:color w:val="auto"/>
          <w:lang w:val="en-US"/>
        </w:rPr>
        <w:t xml:space="preserve">; (3) </w:t>
      </w:r>
      <w:r w:rsidRPr="00C9465D">
        <w:rPr>
          <w:color w:val="auto"/>
          <w:lang w:val="en-US"/>
        </w:rPr>
        <w:t>the rights to</w:t>
      </w:r>
      <w:r w:rsidR="00AB4725" w:rsidRPr="00C9465D">
        <w:rPr>
          <w:color w:val="auto"/>
          <w:lang w:val="en-US"/>
        </w:rPr>
        <w:t xml:space="preserve"> </w:t>
      </w:r>
      <w:r w:rsidRPr="00C9465D">
        <w:rPr>
          <w:color w:val="auto"/>
          <w:lang w:val="en-US"/>
        </w:rPr>
        <w:t>judicial guarantees and judicial protection</w:t>
      </w:r>
      <w:r w:rsidR="00AB4725" w:rsidRPr="00C9465D">
        <w:rPr>
          <w:color w:val="auto"/>
          <w:lang w:val="en-US"/>
        </w:rPr>
        <w:t>,</w:t>
      </w:r>
      <w:r w:rsidR="00193CBB" w:rsidRPr="00C9465D">
        <w:rPr>
          <w:color w:val="auto"/>
          <w:lang w:val="en-US"/>
        </w:rPr>
        <w:t xml:space="preserve"> and </w:t>
      </w:r>
      <w:r w:rsidR="00D42D24" w:rsidRPr="00C9465D">
        <w:rPr>
          <w:color w:val="auto"/>
          <w:lang w:val="en-US"/>
        </w:rPr>
        <w:t>(</w:t>
      </w:r>
      <w:r w:rsidR="0020138F" w:rsidRPr="00C9465D">
        <w:rPr>
          <w:color w:val="auto"/>
          <w:lang w:val="en-US"/>
        </w:rPr>
        <w:t>4</w:t>
      </w:r>
      <w:r w:rsidR="00D42D24" w:rsidRPr="00C9465D">
        <w:rPr>
          <w:color w:val="auto"/>
          <w:lang w:val="en-US"/>
        </w:rPr>
        <w:t xml:space="preserve">) </w:t>
      </w:r>
      <w:r w:rsidRPr="00C9465D">
        <w:rPr>
          <w:color w:val="auto"/>
          <w:lang w:val="en-US"/>
        </w:rPr>
        <w:t>the right to</w:t>
      </w:r>
      <w:r w:rsidR="00D42D24" w:rsidRPr="00C9465D">
        <w:rPr>
          <w:color w:val="auto"/>
          <w:lang w:val="en-US"/>
        </w:rPr>
        <w:t xml:space="preserve"> </w:t>
      </w:r>
      <w:r w:rsidRPr="00C9465D">
        <w:rPr>
          <w:color w:val="auto"/>
          <w:lang w:val="en-US"/>
        </w:rPr>
        <w:t>personal integrity</w:t>
      </w:r>
      <w:r w:rsidR="00D42D24" w:rsidRPr="00C9465D">
        <w:rPr>
          <w:color w:val="auto"/>
          <w:lang w:val="en-US"/>
        </w:rPr>
        <w:t xml:space="preserve"> </w:t>
      </w:r>
      <w:r w:rsidRPr="00C9465D">
        <w:rPr>
          <w:color w:val="auto"/>
          <w:lang w:val="en-US"/>
        </w:rPr>
        <w:t>of</w:t>
      </w:r>
      <w:r w:rsidR="00D42D24" w:rsidRPr="00C9465D">
        <w:rPr>
          <w:color w:val="auto"/>
          <w:lang w:val="en-US"/>
        </w:rPr>
        <w:t xml:space="preserve"> </w:t>
      </w:r>
      <w:r w:rsidRPr="00C9465D">
        <w:rPr>
          <w:color w:val="auto"/>
          <w:lang w:val="en-US"/>
        </w:rPr>
        <w:t>the members of Mr. Guachalá Chimbo’s family</w:t>
      </w:r>
      <w:r w:rsidR="00D42D24" w:rsidRPr="00C9465D">
        <w:rPr>
          <w:color w:val="auto"/>
          <w:lang w:val="en-US"/>
        </w:rPr>
        <w:t>.</w:t>
      </w:r>
      <w:r w:rsidR="00A47679" w:rsidRPr="00C9465D">
        <w:rPr>
          <w:color w:val="auto"/>
          <w:lang w:val="en-US"/>
        </w:rPr>
        <w:t xml:space="preserve"> </w:t>
      </w:r>
    </w:p>
    <w:p w14:paraId="7858356D" w14:textId="6E887666" w:rsidR="00626D13" w:rsidRPr="00C9465D" w:rsidRDefault="00A5429E" w:rsidP="00E5784B">
      <w:pPr>
        <w:pStyle w:val="Heading1"/>
        <w:rPr>
          <w:lang w:val="en-US"/>
        </w:rPr>
      </w:pPr>
      <w:bookmarkStart w:id="25" w:name="_Toc74298446"/>
      <w:r w:rsidRPr="00C9465D">
        <w:rPr>
          <w:lang w:val="en-US"/>
        </w:rPr>
        <w:t>V</w:t>
      </w:r>
      <w:r w:rsidR="00AA3C22" w:rsidRPr="00C9465D">
        <w:rPr>
          <w:lang w:val="en-US"/>
        </w:rPr>
        <w:t>I</w:t>
      </w:r>
      <w:r w:rsidR="00B94BE6" w:rsidRPr="00C9465D">
        <w:rPr>
          <w:lang w:val="en-US"/>
        </w:rPr>
        <w:t>I</w:t>
      </w:r>
      <w:r w:rsidR="00B525C8" w:rsidRPr="00C9465D">
        <w:rPr>
          <w:lang w:val="en-US"/>
        </w:rPr>
        <w:t>-1</w:t>
      </w:r>
      <w:r w:rsidR="0097587D" w:rsidRPr="00C9465D">
        <w:rPr>
          <w:lang w:val="en-US"/>
        </w:rPr>
        <w:br/>
      </w:r>
      <w:r w:rsidR="00D12C0E" w:rsidRPr="00C9465D">
        <w:rPr>
          <w:lang w:val="en-US"/>
        </w:rPr>
        <w:t>GENERAL CONSIDERATIONS ON</w:t>
      </w:r>
      <w:r w:rsidR="00626D13" w:rsidRPr="00C9465D">
        <w:rPr>
          <w:lang w:val="en-US"/>
        </w:rPr>
        <w:t xml:space="preserve"> </w:t>
      </w:r>
      <w:r w:rsidR="00D12C0E" w:rsidRPr="00C9465D">
        <w:rPr>
          <w:lang w:val="en-US"/>
        </w:rPr>
        <w:t>THE RIGHT TO EQUALITY</w:t>
      </w:r>
      <w:r w:rsidR="00992C98" w:rsidRPr="00C9465D">
        <w:rPr>
          <w:rStyle w:val="FootnoteReference"/>
          <w:lang w:val="en-US"/>
        </w:rPr>
        <w:footnoteReference w:id="132"/>
      </w:r>
      <w:r w:rsidR="00193CBB" w:rsidRPr="00C9465D">
        <w:rPr>
          <w:lang w:val="en-US"/>
        </w:rPr>
        <w:t xml:space="preserve"> </w:t>
      </w:r>
      <w:r w:rsidR="00D12C0E" w:rsidRPr="00C9465D">
        <w:rPr>
          <w:lang w:val="en-US"/>
        </w:rPr>
        <w:t>AND NON-DISCRIMINATION</w:t>
      </w:r>
      <w:r w:rsidR="00992C98" w:rsidRPr="00C9465D">
        <w:rPr>
          <w:rStyle w:val="FootnoteReference"/>
          <w:lang w:val="en-US"/>
        </w:rPr>
        <w:footnoteReference w:id="133"/>
      </w:r>
      <w:bookmarkEnd w:id="25"/>
      <w:r w:rsidR="00992C98" w:rsidRPr="00C9465D">
        <w:rPr>
          <w:lang w:val="en-US"/>
        </w:rPr>
        <w:t xml:space="preserve"> </w:t>
      </w:r>
      <w:r w:rsidR="00626D13" w:rsidRPr="00C9465D">
        <w:rPr>
          <w:lang w:val="en-US"/>
        </w:rPr>
        <w:t xml:space="preserve"> </w:t>
      </w:r>
    </w:p>
    <w:p w14:paraId="6B067E39" w14:textId="2B17DCC7" w:rsidR="00626D13" w:rsidRPr="00C9465D" w:rsidRDefault="009E5D69" w:rsidP="00D47F8D">
      <w:pPr>
        <w:pStyle w:val="Heading2"/>
        <w:numPr>
          <w:ilvl w:val="0"/>
          <w:numId w:val="8"/>
        </w:numPr>
        <w:ind w:left="1134" w:hanging="566"/>
        <w:rPr>
          <w:lang w:val="en-US"/>
        </w:rPr>
      </w:pPr>
      <w:bookmarkStart w:id="26" w:name="_Toc74298447"/>
      <w:r w:rsidRPr="00C9465D">
        <w:rPr>
          <w:lang w:val="en-US"/>
        </w:rPr>
        <w:t>Arguments of the parties</w:t>
      </w:r>
      <w:r w:rsidR="00193CBB" w:rsidRPr="00C9465D">
        <w:rPr>
          <w:lang w:val="en-US"/>
        </w:rPr>
        <w:t xml:space="preserve"> and of the Commission</w:t>
      </w:r>
      <w:bookmarkEnd w:id="26"/>
    </w:p>
    <w:p w14:paraId="24D06B13" w14:textId="2EB715EA" w:rsidR="002C16D7" w:rsidRPr="00C9465D" w:rsidRDefault="00193CBB" w:rsidP="002C16D7">
      <w:pPr>
        <w:pStyle w:val="Numberedparagraphs"/>
        <w:rPr>
          <w:b/>
          <w:lang w:val="en-US"/>
        </w:rPr>
      </w:pPr>
      <w:r w:rsidRPr="00C9465D">
        <w:rPr>
          <w:lang w:val="en-US"/>
        </w:rPr>
        <w:t xml:space="preserve">The </w:t>
      </w:r>
      <w:r w:rsidRPr="00C9465D">
        <w:rPr>
          <w:b/>
          <w:bCs/>
          <w:i/>
          <w:iCs/>
          <w:lang w:val="en-US"/>
        </w:rPr>
        <w:t>Commission</w:t>
      </w:r>
      <w:r w:rsidR="003C5253" w:rsidRPr="00C9465D">
        <w:rPr>
          <w:b/>
          <w:i/>
          <w:lang w:val="en-US"/>
        </w:rPr>
        <w:t xml:space="preserve"> </w:t>
      </w:r>
      <w:r w:rsidR="009E5D69" w:rsidRPr="00C9465D">
        <w:rPr>
          <w:lang w:val="en-US"/>
        </w:rPr>
        <w:t>underlined that</w:t>
      </w:r>
      <w:r w:rsidR="003C5253" w:rsidRPr="00C9465D">
        <w:rPr>
          <w:lang w:val="en-US"/>
        </w:rPr>
        <w:t xml:space="preserve"> </w:t>
      </w:r>
      <w:r w:rsidR="002F3237" w:rsidRPr="00C9465D">
        <w:rPr>
          <w:lang w:val="en-US"/>
        </w:rPr>
        <w:t>Mr. Guachalá</w:t>
      </w:r>
      <w:r w:rsidR="003C5253" w:rsidRPr="00C9465D">
        <w:rPr>
          <w:lang w:val="en-US"/>
        </w:rPr>
        <w:t xml:space="preserve"> Chimbo </w:t>
      </w:r>
      <w:r w:rsidR="00092C2A" w:rsidRPr="00C9465D">
        <w:rPr>
          <w:lang w:val="en-US"/>
        </w:rPr>
        <w:t>had a</w:t>
      </w:r>
      <w:r w:rsidR="009E5D69" w:rsidRPr="00C9465D">
        <w:rPr>
          <w:lang w:val="en-US"/>
        </w:rPr>
        <w:t xml:space="preserve"> mental disability. It argued that the medical center was influenced by “</w:t>
      </w:r>
      <w:r w:rsidR="009E5D69" w:rsidRPr="00C9465D">
        <w:rPr>
          <w:color w:val="auto"/>
          <w:lang w:val="en-US"/>
        </w:rPr>
        <w:t>stereotypes regarding the ability of persons with mental disability to make autonomous decision about their health</w:t>
      </w:r>
      <w:r w:rsidR="00092C2A" w:rsidRPr="00C9465D">
        <w:rPr>
          <w:color w:val="auto"/>
          <w:lang w:val="en-US"/>
        </w:rPr>
        <w:t>;</w:t>
      </w:r>
      <w:r w:rsidR="009E5D69" w:rsidRPr="00C9465D">
        <w:rPr>
          <w:color w:val="auto"/>
          <w:lang w:val="en-US"/>
        </w:rPr>
        <w:t xml:space="preserve"> hospitalization and medication without their consent are clear expressions of the predominance of discriminatory treatment in the mental health services that deprive those with some type of mental disability of the ability to take decisions regarding their own body and health.</w:t>
      </w:r>
      <w:r w:rsidR="003C5253" w:rsidRPr="00C9465D">
        <w:rPr>
          <w:lang w:val="en-US"/>
        </w:rPr>
        <w:t xml:space="preserve">” </w:t>
      </w:r>
      <w:r w:rsidR="009E5D69" w:rsidRPr="00C9465D">
        <w:rPr>
          <w:lang w:val="en-US"/>
        </w:rPr>
        <w:t>In this way</w:t>
      </w:r>
      <w:r w:rsidR="003C5253" w:rsidRPr="00C9465D">
        <w:rPr>
          <w:lang w:val="en-US"/>
        </w:rPr>
        <w:t xml:space="preserve">, “Ecuador </w:t>
      </w:r>
      <w:r w:rsidR="009E5D69" w:rsidRPr="00C9465D">
        <w:rPr>
          <w:color w:val="auto"/>
          <w:lang w:val="en-US"/>
        </w:rPr>
        <w:t xml:space="preserve">restricted Mr. Guachalá’s right to decide on his </w:t>
      </w:r>
      <w:r w:rsidR="00092C2A" w:rsidRPr="00C9465D">
        <w:rPr>
          <w:color w:val="auto"/>
          <w:lang w:val="en-US"/>
        </w:rPr>
        <w:t>hospit</w:t>
      </w:r>
      <w:r w:rsidR="009E5D69" w:rsidRPr="00C9465D">
        <w:rPr>
          <w:color w:val="auto"/>
          <w:lang w:val="en-US"/>
        </w:rPr>
        <w:t>alization based exclusively on his disability, which is a form of discrimination</w:t>
      </w:r>
      <w:r w:rsidR="009E5D69" w:rsidRPr="00C9465D">
        <w:rPr>
          <w:lang w:val="en-US"/>
        </w:rPr>
        <w:t>.” According to</w:t>
      </w:r>
      <w:r w:rsidR="00F46FFC" w:rsidRPr="00C9465D">
        <w:rPr>
          <w:lang w:val="en-US"/>
        </w:rPr>
        <w:t xml:space="preserve"> the Commission, the case of Mr. Guachalá </w:t>
      </w:r>
      <w:r w:rsidR="00092C2A" w:rsidRPr="00C9465D">
        <w:rPr>
          <w:lang w:val="en-US"/>
        </w:rPr>
        <w:t>is consistent with</w:t>
      </w:r>
      <w:r w:rsidR="00F46FFC" w:rsidRPr="00C9465D">
        <w:rPr>
          <w:lang w:val="en-US"/>
        </w:rPr>
        <w:t xml:space="preserve"> the “problems identified by the [Committee on the Rights of Persons with Disabilities] </w:t>
      </w:r>
      <w:r w:rsidR="00092C2A" w:rsidRPr="00C9465D">
        <w:rPr>
          <w:lang w:val="en-US"/>
        </w:rPr>
        <w:t>relating to</w:t>
      </w:r>
      <w:r w:rsidR="00F46FFC" w:rsidRPr="00C9465D">
        <w:rPr>
          <w:lang w:val="en-US"/>
        </w:rPr>
        <w:t xml:space="preserve"> the existence </w:t>
      </w:r>
      <w:r w:rsidR="00F46FFC" w:rsidRPr="00C9465D">
        <w:rPr>
          <w:color w:val="auto"/>
          <w:lang w:val="en-US"/>
        </w:rPr>
        <w:t>of the model of substitute decision-making, and the institutionalization of persons with disabilities without their consent in mental health facilities and without giving the</w:t>
      </w:r>
      <w:r w:rsidR="00092C2A" w:rsidRPr="00C9465D">
        <w:rPr>
          <w:color w:val="auto"/>
          <w:lang w:val="en-US"/>
        </w:rPr>
        <w:t>m</w:t>
      </w:r>
      <w:r w:rsidR="00F46FFC" w:rsidRPr="00C9465D">
        <w:rPr>
          <w:color w:val="auto"/>
          <w:lang w:val="en-US"/>
        </w:rPr>
        <w:t xml:space="preserve"> the support needed so that they are able to </w:t>
      </w:r>
      <w:r w:rsidR="00092C2A" w:rsidRPr="00C9465D">
        <w:rPr>
          <w:color w:val="auto"/>
          <w:lang w:val="en-US"/>
        </w:rPr>
        <w:t>give this consent</w:t>
      </w:r>
      <w:r w:rsidR="00F46FFC" w:rsidRPr="00C9465D">
        <w:rPr>
          <w:color w:val="auto"/>
          <w:lang w:val="en-US"/>
        </w:rPr>
        <w:t>.</w:t>
      </w:r>
      <w:r w:rsidR="003C5253" w:rsidRPr="00C9465D">
        <w:rPr>
          <w:lang w:val="en-US"/>
        </w:rPr>
        <w:t>”</w:t>
      </w:r>
      <w:r w:rsidR="00F46FFC" w:rsidRPr="00C9465D">
        <w:rPr>
          <w:lang w:val="en-US"/>
        </w:rPr>
        <w:t xml:space="preserve"> The said Committee noted that the </w:t>
      </w:r>
      <w:r w:rsidR="003E0263" w:rsidRPr="00C9465D">
        <w:rPr>
          <w:lang w:val="en-US"/>
        </w:rPr>
        <w:t xml:space="preserve">Organic Act on Disabilities “retains a definition </w:t>
      </w:r>
      <w:r w:rsidR="003E0263" w:rsidRPr="00C9465D">
        <w:rPr>
          <w:lang w:val="en-US"/>
        </w:rPr>
        <w:lastRenderedPageBreak/>
        <w:t xml:space="preserve">and understanding of disability that are based on a medical approach </w:t>
      </w:r>
      <w:r w:rsidR="00520411" w:rsidRPr="00C9465D">
        <w:rPr>
          <w:lang w:val="en-US"/>
        </w:rPr>
        <w:t>[…]</w:t>
      </w:r>
      <w:r w:rsidR="003E0263" w:rsidRPr="00C9465D">
        <w:rPr>
          <w:lang w:val="en-US"/>
        </w:rPr>
        <w:t xml:space="preserve"> [which] emphasizes their limited abilities and neglects the social and relational dimension of disability” and that the civil legislation “provides for a substitute decision-making model through the use of roles such as guardians and wards, and that there is no immediate plan to reform [it …] to include a supported decision-making model.” Regarding the medical treatment that Mr. Guachalá Chimbo received without his consent, the Commission argued that the State’s omission in this regard was “absolute</w:t>
      </w:r>
      <w:r w:rsidR="002C16D7" w:rsidRPr="00C9465D">
        <w:rPr>
          <w:lang w:val="en-US"/>
        </w:rPr>
        <w:t xml:space="preserve"> </w:t>
      </w:r>
      <w:r w:rsidR="002C16D7" w:rsidRPr="00C9465D">
        <w:rPr>
          <w:color w:val="auto"/>
          <w:lang w:val="en-US"/>
        </w:rPr>
        <w:t>and reflects a conception of mental disorders that automatically equates them with disability and, in turn, a conception of persons with mental disability that assumes they have no autonomy to make decisions regarding their own health and treatment, which constitutes a form of discrimination.</w:t>
      </w:r>
      <w:r w:rsidR="003C5253" w:rsidRPr="00C9465D">
        <w:rPr>
          <w:lang w:val="en-US"/>
        </w:rPr>
        <w:t xml:space="preserve">” </w:t>
      </w:r>
      <w:r w:rsidR="002C16D7" w:rsidRPr="00C9465D">
        <w:rPr>
          <w:lang w:val="en-US"/>
        </w:rPr>
        <w:t xml:space="preserve">It also underscored that “Luis Eduardo’s situation of poverty </w:t>
      </w:r>
      <w:r w:rsidR="00520411" w:rsidRPr="00C9465D">
        <w:rPr>
          <w:lang w:val="en-US"/>
        </w:rPr>
        <w:t>[…]</w:t>
      </w:r>
      <w:r w:rsidR="002C16D7" w:rsidRPr="00C9465D">
        <w:rPr>
          <w:lang w:val="en-US"/>
        </w:rPr>
        <w:t xml:space="preserve"> </w:t>
      </w:r>
      <w:r w:rsidR="00813093" w:rsidRPr="00C9465D">
        <w:rPr>
          <w:lang w:val="en-US"/>
        </w:rPr>
        <w:t>constituted an additional factor of vulnerability, and exemplified a situation of discrimination.”</w:t>
      </w:r>
    </w:p>
    <w:p w14:paraId="192B0AC6" w14:textId="2D9DDFF1" w:rsidR="00813093" w:rsidRPr="00C9465D" w:rsidRDefault="00193CBB" w:rsidP="00D47F8D">
      <w:pPr>
        <w:pStyle w:val="Numberedparagraphs"/>
        <w:numPr>
          <w:ilvl w:val="0"/>
          <w:numId w:val="12"/>
        </w:numPr>
        <w:tabs>
          <w:tab w:val="clear" w:pos="720"/>
          <w:tab w:val="num" w:pos="567"/>
        </w:tabs>
        <w:rPr>
          <w:lang w:val="en-US"/>
        </w:rPr>
      </w:pPr>
      <w:r w:rsidRPr="00C9465D">
        <w:rPr>
          <w:lang w:val="en-US"/>
        </w:rPr>
        <w:t xml:space="preserve">The </w:t>
      </w:r>
      <w:r w:rsidRPr="00C9465D">
        <w:rPr>
          <w:b/>
          <w:bCs/>
          <w:i/>
          <w:iCs/>
          <w:lang w:val="en-US"/>
        </w:rPr>
        <w:t>representatives</w:t>
      </w:r>
      <w:r w:rsidR="003C5253" w:rsidRPr="00C9465D">
        <w:rPr>
          <w:b/>
          <w:i/>
          <w:lang w:val="en-US"/>
        </w:rPr>
        <w:t xml:space="preserve"> </w:t>
      </w:r>
      <w:r w:rsidR="00B63846" w:rsidRPr="00C9465D">
        <w:rPr>
          <w:lang w:val="en-US"/>
        </w:rPr>
        <w:t>argued</w:t>
      </w:r>
      <w:r w:rsidR="00813093" w:rsidRPr="00C9465D">
        <w:rPr>
          <w:lang w:val="en-US"/>
        </w:rPr>
        <w:t xml:space="preserve"> that “the structural discrimination revealed against the person of </w:t>
      </w:r>
      <w:r w:rsidR="003C5253" w:rsidRPr="00C9465D">
        <w:rPr>
          <w:lang w:val="en-US"/>
        </w:rPr>
        <w:t xml:space="preserve">Luis Guachalá </w:t>
      </w:r>
      <w:r w:rsidR="00813093" w:rsidRPr="00C9465D">
        <w:rPr>
          <w:lang w:val="en-US"/>
        </w:rPr>
        <w:t>is based</w:t>
      </w:r>
      <w:r w:rsidR="003C5253" w:rsidRPr="00C9465D">
        <w:rPr>
          <w:lang w:val="en-US"/>
        </w:rPr>
        <w:t xml:space="preserve"> </w:t>
      </w:r>
      <w:r w:rsidR="00520411" w:rsidRPr="00C9465D">
        <w:rPr>
          <w:lang w:val="en-US"/>
        </w:rPr>
        <w:t>[…]</w:t>
      </w:r>
      <w:r w:rsidR="003C5253" w:rsidRPr="00C9465D">
        <w:rPr>
          <w:lang w:val="en-US"/>
        </w:rPr>
        <w:t xml:space="preserve"> </w:t>
      </w:r>
      <w:r w:rsidR="00813093" w:rsidRPr="00C9465D">
        <w:rPr>
          <w:lang w:val="en-US"/>
        </w:rPr>
        <w:t xml:space="preserve">on a biological and medical paradigm,” under which persons with disabilities are considered “an object for protection </w:t>
      </w:r>
      <w:r w:rsidR="00D74FC9" w:rsidRPr="00C9465D">
        <w:rPr>
          <w:lang w:val="en-US"/>
        </w:rPr>
        <w:t xml:space="preserve">rather than a </w:t>
      </w:r>
      <w:r w:rsidR="00813093" w:rsidRPr="00C9465D">
        <w:rPr>
          <w:lang w:val="en-US"/>
        </w:rPr>
        <w:t>subject of law,” which, “in the case of Luis Eduardo, resulted in the loss of his juridical capacity.” They advised that the Organic Act on Disabilities “distinguishes persons with disabilities based on the permanent or temporary nature of their disabilit</w:t>
      </w:r>
      <w:r w:rsidR="00D74FC9" w:rsidRPr="00C9465D">
        <w:rPr>
          <w:lang w:val="en-US"/>
        </w:rPr>
        <w:t>y</w:t>
      </w:r>
      <w:r w:rsidR="00813093" w:rsidRPr="00C9465D">
        <w:rPr>
          <w:lang w:val="en-US"/>
        </w:rPr>
        <w:t xml:space="preserve">. In addition, it identifies four types of disability: (a) physical; (b) mental and psychological; (c) intellectual, and (d) sensorial.” They indicated that, in 2014 and 2019, the Committee on the Rights of Persons with Disabilities had “expressed its concern that Ecuador had not defined disability in accordance with </w:t>
      </w:r>
      <w:r w:rsidR="00A35921" w:rsidRPr="00C9465D">
        <w:rPr>
          <w:lang w:val="en-US"/>
        </w:rPr>
        <w:t xml:space="preserve">the principles of Convention on the Rights of Persons with Disabilities.” They argued that “the discrimination suffered by Mr. Guachalá, as a systematic process that violated human rights, constitutes, </w:t>
      </w:r>
      <w:r w:rsidR="00A35921" w:rsidRPr="00C9465D">
        <w:rPr>
          <w:i/>
          <w:iCs/>
          <w:lang w:val="en-US"/>
        </w:rPr>
        <w:t>per se</w:t>
      </w:r>
      <w:r w:rsidR="00A35921" w:rsidRPr="00C9465D">
        <w:rPr>
          <w:lang w:val="en-US"/>
        </w:rPr>
        <w:t>, an action of violence linked to socio-economic inequalities.”</w:t>
      </w:r>
    </w:p>
    <w:p w14:paraId="056232EE" w14:textId="3819DC82" w:rsidR="003C5253" w:rsidRPr="00C9465D" w:rsidRDefault="00193CBB" w:rsidP="00A35921">
      <w:pPr>
        <w:pStyle w:val="Numberedparagraphs"/>
        <w:numPr>
          <w:ilvl w:val="0"/>
          <w:numId w:val="12"/>
        </w:numPr>
        <w:tabs>
          <w:tab w:val="clear" w:pos="720"/>
          <w:tab w:val="num" w:pos="567"/>
        </w:tabs>
        <w:rPr>
          <w:b/>
          <w:lang w:val="en-US"/>
        </w:rPr>
      </w:pPr>
      <w:r w:rsidRPr="00C9465D">
        <w:rPr>
          <w:rFonts w:cs="Times New Roman"/>
          <w:lang w:val="en-US"/>
        </w:rPr>
        <w:t xml:space="preserve">The </w:t>
      </w:r>
      <w:r w:rsidRPr="00C9465D">
        <w:rPr>
          <w:rFonts w:cs="Times New Roman"/>
          <w:b/>
          <w:bCs/>
          <w:i/>
          <w:iCs/>
          <w:lang w:val="en-US"/>
        </w:rPr>
        <w:t>State</w:t>
      </w:r>
      <w:r w:rsidR="003C5253" w:rsidRPr="00C9465D">
        <w:rPr>
          <w:rFonts w:cs="Times New Roman"/>
          <w:lang w:val="en-US"/>
        </w:rPr>
        <w:t xml:space="preserve"> a</w:t>
      </w:r>
      <w:r w:rsidR="00A35921" w:rsidRPr="00C9465D">
        <w:rPr>
          <w:rFonts w:cs="Times New Roman"/>
          <w:lang w:val="en-US"/>
        </w:rPr>
        <w:t xml:space="preserve">rgued that the </w:t>
      </w:r>
      <w:r w:rsidR="00A35921" w:rsidRPr="00C9465D">
        <w:rPr>
          <w:lang w:val="en-US"/>
        </w:rPr>
        <w:t>Organic Act on Disabilities</w:t>
      </w:r>
      <w:r w:rsidR="003C5253" w:rsidRPr="00C9465D">
        <w:rPr>
          <w:lang w:val="en-US"/>
        </w:rPr>
        <w:t xml:space="preserve"> </w:t>
      </w:r>
      <w:r w:rsidR="00A35921" w:rsidRPr="00C9465D">
        <w:rPr>
          <w:lang w:val="en-US"/>
        </w:rPr>
        <w:t xml:space="preserve">is adapted to </w:t>
      </w:r>
      <w:r w:rsidRPr="00C9465D">
        <w:rPr>
          <w:lang w:val="en-US"/>
        </w:rPr>
        <w:t xml:space="preserve">the </w:t>
      </w:r>
      <w:r w:rsidR="00A35921" w:rsidRPr="00C9465D">
        <w:rPr>
          <w:lang w:val="en-US"/>
        </w:rPr>
        <w:t xml:space="preserve">United Nations </w:t>
      </w:r>
      <w:r w:rsidRPr="00C9465D">
        <w:rPr>
          <w:lang w:val="en-US"/>
        </w:rPr>
        <w:t>Convention</w:t>
      </w:r>
      <w:r w:rsidR="003C5253" w:rsidRPr="00C9465D">
        <w:rPr>
          <w:lang w:val="en-US"/>
        </w:rPr>
        <w:t xml:space="preserve"> </w:t>
      </w:r>
      <w:r w:rsidR="00A35921" w:rsidRPr="00C9465D">
        <w:rPr>
          <w:lang w:val="en-US"/>
        </w:rPr>
        <w:t xml:space="preserve">on the Rights of Persons with Disabilities, so that the allegation of the existence of a structural discriminatory pattern was inappropriate and lacked </w:t>
      </w:r>
      <w:r w:rsidR="00D74FC9" w:rsidRPr="00C9465D">
        <w:rPr>
          <w:lang w:val="en-US"/>
        </w:rPr>
        <w:t>practical</w:t>
      </w:r>
      <w:r w:rsidR="00A35921" w:rsidRPr="00C9465D">
        <w:rPr>
          <w:lang w:val="en-US"/>
        </w:rPr>
        <w:t xml:space="preserve"> support. In addition, it explained that “the Ecuadorian Civil Code establishes, directly, that persons with intellectual disability are absolutely incapable. In addition, persons with disability may, based on their condition, be subject to processes of interdiction and curatorship.” Regarding this specific case, it indicated that “there has been no violation of Mr. Guachalá’s right to juridical </w:t>
      </w:r>
      <w:r w:rsidR="00883A59" w:rsidRPr="00C9465D">
        <w:rPr>
          <w:lang w:val="en-US"/>
        </w:rPr>
        <w:t>personality</w:t>
      </w:r>
      <w:r w:rsidR="00A35921" w:rsidRPr="00C9465D">
        <w:rPr>
          <w:lang w:val="en-US"/>
        </w:rPr>
        <w:t xml:space="preserve"> and, in particular, discriminatory treatment against him on the grounds argued by</w:t>
      </w:r>
      <w:r w:rsidR="00A35921" w:rsidRPr="00C9465D">
        <w:rPr>
          <w:b/>
          <w:lang w:val="en-US"/>
        </w:rPr>
        <w:t xml:space="preserve"> </w:t>
      </w:r>
      <w:r w:rsidRPr="00C9465D">
        <w:rPr>
          <w:lang w:val="en-US"/>
        </w:rPr>
        <w:t>the Commission</w:t>
      </w:r>
      <w:r w:rsidR="00A35921" w:rsidRPr="00C9465D">
        <w:rPr>
          <w:lang w:val="en-US"/>
        </w:rPr>
        <w:t>.</w:t>
      </w:r>
      <w:r w:rsidR="003C5253" w:rsidRPr="00C9465D">
        <w:rPr>
          <w:lang w:val="en-US"/>
        </w:rPr>
        <w:t>”</w:t>
      </w:r>
      <w:r w:rsidR="00A35921" w:rsidRPr="00C9465D">
        <w:rPr>
          <w:lang w:val="en-US"/>
        </w:rPr>
        <w:t xml:space="preserve"> The State also indicated that “the treatment given to </w:t>
      </w:r>
      <w:r w:rsidR="002F3237" w:rsidRPr="00C9465D">
        <w:rPr>
          <w:lang w:val="en-US"/>
        </w:rPr>
        <w:t>Mr. Guachalá</w:t>
      </w:r>
      <w:r w:rsidR="00A35921" w:rsidRPr="00C9465D">
        <w:rPr>
          <w:lang w:val="en-US"/>
        </w:rPr>
        <w:t xml:space="preserve"> was aimed at ensuring his well-being and right to health, so that it is absurd to affirm that this could have been discriminatory.” On this point,</w:t>
      </w:r>
      <w:r w:rsidR="003C5253" w:rsidRPr="00C9465D">
        <w:rPr>
          <w:lang w:val="en-US"/>
        </w:rPr>
        <w:t xml:space="preserve"> Ecuador </w:t>
      </w:r>
      <w:r w:rsidR="00A35921" w:rsidRPr="00C9465D">
        <w:rPr>
          <w:lang w:val="en-US"/>
        </w:rPr>
        <w:t>stressed that</w:t>
      </w:r>
      <w:r w:rsidR="003C5253" w:rsidRPr="00C9465D">
        <w:rPr>
          <w:lang w:val="en-US"/>
        </w:rPr>
        <w:t xml:space="preserve"> “</w:t>
      </w:r>
      <w:r w:rsidR="00A35921" w:rsidRPr="00C9465D">
        <w:rPr>
          <w:lang w:val="en-US"/>
        </w:rPr>
        <w:t>no document in the case file reveals discriminatory treatment or the violation of rights.”</w:t>
      </w:r>
      <w:r w:rsidR="003C5253" w:rsidRPr="00C9465D">
        <w:rPr>
          <w:lang w:val="en-US"/>
        </w:rPr>
        <w:t xml:space="preserve"> </w:t>
      </w:r>
    </w:p>
    <w:p w14:paraId="13039013" w14:textId="21E42534" w:rsidR="00626D13" w:rsidRPr="00C9465D" w:rsidRDefault="007540C2" w:rsidP="00BB407B">
      <w:pPr>
        <w:pStyle w:val="Heading2"/>
        <w:rPr>
          <w:lang w:val="en-US"/>
        </w:rPr>
      </w:pPr>
      <w:bookmarkStart w:id="27" w:name="_Toc74298448"/>
      <w:r w:rsidRPr="00C9465D">
        <w:rPr>
          <w:lang w:val="en-US"/>
        </w:rPr>
        <w:t>Considerations</w:t>
      </w:r>
      <w:r w:rsidR="00193CBB" w:rsidRPr="00C9465D">
        <w:rPr>
          <w:lang w:val="en-US"/>
        </w:rPr>
        <w:t xml:space="preserve"> of the Court</w:t>
      </w:r>
      <w:bookmarkEnd w:id="27"/>
    </w:p>
    <w:p w14:paraId="3B0BF933" w14:textId="194C013A" w:rsidR="00842E79" w:rsidRPr="00C9465D" w:rsidRDefault="00F7235E" w:rsidP="00DE693F">
      <w:pPr>
        <w:pStyle w:val="Numberedparagraphs"/>
        <w:rPr>
          <w:lang w:val="en-US"/>
        </w:rPr>
      </w:pPr>
      <w:bookmarkStart w:id="28" w:name="_Ref532908704"/>
      <w:r w:rsidRPr="00C9465D">
        <w:rPr>
          <w:lang w:val="en-US"/>
        </w:rPr>
        <w:t>In the instant case</w:t>
      </w:r>
      <w:r w:rsidR="002C7989" w:rsidRPr="00C9465D">
        <w:rPr>
          <w:lang w:val="en-US"/>
        </w:rPr>
        <w:t xml:space="preserve">, </w:t>
      </w:r>
      <w:r w:rsidR="00193CBB" w:rsidRPr="00C9465D">
        <w:rPr>
          <w:lang w:val="en-US"/>
        </w:rPr>
        <w:t>the Court</w:t>
      </w:r>
      <w:r w:rsidR="002C7989" w:rsidRPr="00C9465D">
        <w:rPr>
          <w:lang w:val="en-US"/>
        </w:rPr>
        <w:t xml:space="preserve"> not</w:t>
      </w:r>
      <w:r w:rsidR="00DE693F" w:rsidRPr="00C9465D">
        <w:rPr>
          <w:lang w:val="en-US"/>
        </w:rPr>
        <w:t>es that</w:t>
      </w:r>
      <w:r w:rsidR="007B2793" w:rsidRPr="00C9465D">
        <w:rPr>
          <w:lang w:val="en-US"/>
        </w:rPr>
        <w:t xml:space="preserve"> </w:t>
      </w:r>
      <w:r w:rsidR="002F3237" w:rsidRPr="00C9465D">
        <w:rPr>
          <w:lang w:val="en-US"/>
        </w:rPr>
        <w:t>Mr. Guachalá</w:t>
      </w:r>
      <w:r w:rsidR="007B2793" w:rsidRPr="00C9465D">
        <w:rPr>
          <w:lang w:val="en-US"/>
        </w:rPr>
        <w:t xml:space="preserve"> Chimbo </w:t>
      </w:r>
      <w:r w:rsidR="00DE693F" w:rsidRPr="00C9465D">
        <w:rPr>
          <w:lang w:val="en-US"/>
        </w:rPr>
        <w:t>suffered from epilepsy, did not have continuous access to the necessary treatment for this illness, and displayed psychotic symptom that could be related to epilepsy</w:t>
      </w:r>
      <w:r w:rsidR="007B2793" w:rsidRPr="00C9465D">
        <w:rPr>
          <w:lang w:val="en-US"/>
        </w:rPr>
        <w:t xml:space="preserve"> (</w:t>
      </w:r>
      <w:r w:rsidR="007B2793" w:rsidRPr="00C9465D">
        <w:rPr>
          <w:i/>
          <w:lang w:val="en-US"/>
        </w:rPr>
        <w:t xml:space="preserve">supra </w:t>
      </w:r>
      <w:r w:rsidR="00D8466F" w:rsidRPr="00C9465D">
        <w:rPr>
          <w:lang w:val="en-US"/>
        </w:rPr>
        <w:t>paras.</w:t>
      </w:r>
      <w:r w:rsidR="007B2793" w:rsidRPr="00C9465D">
        <w:rPr>
          <w:lang w:val="en-US"/>
        </w:rPr>
        <w:t xml:space="preserve"> </w:t>
      </w:r>
      <w:r w:rsidR="0055319C" w:rsidRPr="00C9465D">
        <w:rPr>
          <w:lang w:val="en-US"/>
        </w:rPr>
        <w:fldChar w:fldCharType="begin"/>
      </w:r>
      <w:r w:rsidR="0055319C" w:rsidRPr="00C9465D">
        <w:rPr>
          <w:lang w:val="en-US"/>
        </w:rPr>
        <w:instrText xml:space="preserve"> REF _Ref72158515 \r \h  \* MERGEFORMAT </w:instrText>
      </w:r>
      <w:r w:rsidR="0055319C" w:rsidRPr="00C9465D">
        <w:rPr>
          <w:lang w:val="en-US"/>
        </w:rPr>
      </w:r>
      <w:r w:rsidR="0055319C" w:rsidRPr="00C9465D">
        <w:rPr>
          <w:lang w:val="en-US"/>
        </w:rPr>
        <w:fldChar w:fldCharType="separate"/>
      </w:r>
      <w:r w:rsidR="0055319C" w:rsidRPr="00C9465D">
        <w:rPr>
          <w:lang w:val="en-US"/>
        </w:rPr>
        <w:t>26</w:t>
      </w:r>
      <w:r w:rsidR="0055319C" w:rsidRPr="00C9465D">
        <w:rPr>
          <w:lang w:val="en-US"/>
        </w:rPr>
        <w:fldChar w:fldCharType="end"/>
      </w:r>
      <w:r w:rsidR="00193CBB" w:rsidRPr="00C9465D">
        <w:rPr>
          <w:lang w:val="en-US"/>
        </w:rPr>
        <w:t xml:space="preserve"> and </w:t>
      </w:r>
      <w:r w:rsidR="0055319C" w:rsidRPr="00C9465D">
        <w:rPr>
          <w:lang w:val="en-US"/>
        </w:rPr>
        <w:fldChar w:fldCharType="begin"/>
      </w:r>
      <w:r w:rsidR="0055319C" w:rsidRPr="00C9465D">
        <w:rPr>
          <w:lang w:val="en-US"/>
        </w:rPr>
        <w:instrText xml:space="preserve"> REF _Ref72158532 \r \h  \* MERGEFORMAT </w:instrText>
      </w:r>
      <w:r w:rsidR="0055319C" w:rsidRPr="00C9465D">
        <w:rPr>
          <w:lang w:val="en-US"/>
        </w:rPr>
      </w:r>
      <w:r w:rsidR="0055319C" w:rsidRPr="00C9465D">
        <w:rPr>
          <w:lang w:val="en-US"/>
        </w:rPr>
        <w:fldChar w:fldCharType="separate"/>
      </w:r>
      <w:r w:rsidR="0055319C" w:rsidRPr="00C9465D">
        <w:rPr>
          <w:lang w:val="en-US"/>
        </w:rPr>
        <w:t>29</w:t>
      </w:r>
      <w:r w:rsidR="0055319C" w:rsidRPr="00C9465D">
        <w:rPr>
          <w:lang w:val="en-US"/>
        </w:rPr>
        <w:fldChar w:fldCharType="end"/>
      </w:r>
      <w:r w:rsidR="007B2793" w:rsidRPr="00C9465D">
        <w:rPr>
          <w:lang w:val="en-US"/>
        </w:rPr>
        <w:t>).</w:t>
      </w:r>
      <w:r w:rsidR="00842E79" w:rsidRPr="00C9465D">
        <w:rPr>
          <w:lang w:val="en-US"/>
        </w:rPr>
        <w:t xml:space="preserve"> </w:t>
      </w:r>
      <w:r w:rsidR="00DE693F" w:rsidRPr="00C9465D">
        <w:rPr>
          <w:lang w:val="en-US"/>
        </w:rPr>
        <w:t>There is no dispute between the parties that,</w:t>
      </w:r>
      <w:r w:rsidR="00842E79" w:rsidRPr="00C9465D">
        <w:rPr>
          <w:lang w:val="en-US"/>
        </w:rPr>
        <w:t xml:space="preserve"> </w:t>
      </w:r>
      <w:r w:rsidR="00DE693F" w:rsidRPr="00C9465D">
        <w:rPr>
          <w:lang w:val="en-US"/>
        </w:rPr>
        <w:t xml:space="preserve">at the time of his confinement in the </w:t>
      </w:r>
      <w:r w:rsidR="001F65A3" w:rsidRPr="00C9465D">
        <w:rPr>
          <w:lang w:val="en-US"/>
        </w:rPr>
        <w:t>Julio Endara Hospital</w:t>
      </w:r>
      <w:r w:rsidR="0078472D" w:rsidRPr="00C9465D">
        <w:rPr>
          <w:lang w:val="en-US"/>
        </w:rPr>
        <w:t>,</w:t>
      </w:r>
      <w:r w:rsidR="00842E79" w:rsidRPr="00C9465D">
        <w:rPr>
          <w:lang w:val="en-US"/>
        </w:rPr>
        <w:t xml:space="preserve"> </w:t>
      </w:r>
      <w:r w:rsidR="00DE693F" w:rsidRPr="00C9465D">
        <w:rPr>
          <w:lang w:val="en-US"/>
        </w:rPr>
        <w:t>Mr. Guachalá Chimbo was a person with a disability.</w:t>
      </w:r>
      <w:r w:rsidR="00664AE7" w:rsidRPr="00C9465D">
        <w:rPr>
          <w:rStyle w:val="FootnoteReference"/>
          <w:lang w:val="en-US"/>
        </w:rPr>
        <w:footnoteReference w:id="134"/>
      </w:r>
      <w:r w:rsidR="00DE693F" w:rsidRPr="00C9465D">
        <w:rPr>
          <w:lang w:val="en-US"/>
        </w:rPr>
        <w:t xml:space="preserve"> For this reasons, the Court finds it pertinent to begin the examination of the merits of this case based on the scope of the principle of equality and non-discrimination in relation to persons with disabilities.</w:t>
      </w:r>
    </w:p>
    <w:p w14:paraId="0ABAD4D0" w14:textId="7FF40E34" w:rsidR="00626D13" w:rsidRPr="00C9465D" w:rsidRDefault="00577DE0" w:rsidP="00AA3C22">
      <w:pPr>
        <w:pStyle w:val="Numberedparagraphs"/>
        <w:rPr>
          <w:lang w:val="en-US"/>
        </w:rPr>
      </w:pPr>
      <w:r w:rsidRPr="00C9465D">
        <w:rPr>
          <w:lang w:val="en-US"/>
        </w:rPr>
        <w:lastRenderedPageBreak/>
        <w:t>Article 1(1)</w:t>
      </w:r>
      <w:r w:rsidR="00193CBB" w:rsidRPr="00C9465D">
        <w:rPr>
          <w:lang w:val="en-US"/>
        </w:rPr>
        <w:t xml:space="preserve"> of the Convention</w:t>
      </w:r>
      <w:r w:rsidR="00626D13" w:rsidRPr="00C9465D">
        <w:rPr>
          <w:lang w:val="en-US"/>
        </w:rPr>
        <w:t xml:space="preserve"> </w:t>
      </w:r>
      <w:r w:rsidR="00DE693F" w:rsidRPr="00C9465D">
        <w:rPr>
          <w:lang w:val="en-US"/>
        </w:rPr>
        <w:t>establishes that</w:t>
      </w:r>
      <w:r w:rsidR="00626D13" w:rsidRPr="00C9465D">
        <w:rPr>
          <w:lang w:val="en-US"/>
        </w:rPr>
        <w:t xml:space="preserve"> “</w:t>
      </w:r>
      <w:r w:rsidR="00DE693F" w:rsidRPr="00C9465D">
        <w:rPr>
          <w:snapToGrid w:val="0"/>
          <w:spacing w:val="-3"/>
          <w:lang w:val="en-US"/>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00626D13" w:rsidRPr="00C9465D">
        <w:rPr>
          <w:lang w:val="en-US"/>
        </w:rPr>
        <w:t xml:space="preserve">” </w:t>
      </w:r>
    </w:p>
    <w:p w14:paraId="6EAC3D99" w14:textId="19680866" w:rsidR="00A8627D" w:rsidRPr="00C9465D" w:rsidRDefault="00193CBB" w:rsidP="00DE693F">
      <w:pPr>
        <w:pStyle w:val="Numberedparagraphs"/>
        <w:rPr>
          <w:rFonts w:eastAsia="Times"/>
          <w:lang w:val="en-US" w:eastAsia="es-ES"/>
        </w:rPr>
      </w:pPr>
      <w:bookmarkStart w:id="29" w:name="_Ref318188208"/>
      <w:r w:rsidRPr="00C9465D">
        <w:rPr>
          <w:lang w:val="en-US"/>
        </w:rPr>
        <w:t>The Court</w:t>
      </w:r>
      <w:r w:rsidR="00A8627D" w:rsidRPr="00C9465D">
        <w:rPr>
          <w:lang w:val="en-US"/>
        </w:rPr>
        <w:t xml:space="preserve"> ha</w:t>
      </w:r>
      <w:r w:rsidR="00DE693F" w:rsidRPr="00C9465D">
        <w:rPr>
          <w:lang w:val="en-US"/>
        </w:rPr>
        <w:t xml:space="preserve">s established that </w:t>
      </w:r>
      <w:r w:rsidR="00577DE0" w:rsidRPr="00C9465D">
        <w:rPr>
          <w:lang w:val="en-US"/>
        </w:rPr>
        <w:t>Article 1(1)</w:t>
      </w:r>
      <w:r w:rsidRPr="00C9465D">
        <w:rPr>
          <w:lang w:val="en-US"/>
        </w:rPr>
        <w:t xml:space="preserve"> of the Convention</w:t>
      </w:r>
      <w:r w:rsidR="00A8627D" w:rsidRPr="00C9465D">
        <w:rPr>
          <w:lang w:val="en-US"/>
        </w:rPr>
        <w:t xml:space="preserve"> </w:t>
      </w:r>
      <w:r w:rsidR="00DE693F" w:rsidRPr="00C9465D">
        <w:rPr>
          <w:lang w:val="en-US"/>
        </w:rPr>
        <w:t xml:space="preserve">is a general provision the content of which extends to all the provisions of the treaty and establishes the obligation of the States Parties to respect and to ensure the </w:t>
      </w:r>
      <w:r w:rsidR="00DE693F" w:rsidRPr="00C9465D">
        <w:rPr>
          <w:snapToGrid w:val="0"/>
          <w:spacing w:val="-3"/>
          <w:lang w:val="en-US"/>
        </w:rPr>
        <w:t>free and full exercise of the rights and freedoms recognized therein “without any discrimination.” In other words, whatever its origin or the form it takes, any treatment that may be considered discriminatory in relation to the exercise of any of the rights guaranteed in the Convention is</w:t>
      </w:r>
      <w:r w:rsidR="00DE693F" w:rsidRPr="00C9465D">
        <w:rPr>
          <w:rFonts w:eastAsia="Times"/>
          <w:lang w:val="en-US" w:eastAsia="es-ES"/>
        </w:rPr>
        <w:t xml:space="preserve"> </w:t>
      </w:r>
      <w:r w:rsidR="00A8627D" w:rsidRPr="00C9465D">
        <w:rPr>
          <w:i/>
          <w:lang w:val="en-US"/>
        </w:rPr>
        <w:t>per se</w:t>
      </w:r>
      <w:r w:rsidR="00A8627D" w:rsidRPr="00C9465D">
        <w:rPr>
          <w:lang w:val="en-US"/>
        </w:rPr>
        <w:t xml:space="preserve"> incompatible </w:t>
      </w:r>
      <w:bookmarkStart w:id="30" w:name="_Ref318125325"/>
      <w:r w:rsidR="00DE693F" w:rsidRPr="00C9465D">
        <w:rPr>
          <w:lang w:val="en-US"/>
        </w:rPr>
        <w:t>with this instrument.</w:t>
      </w:r>
      <w:r w:rsidR="00A8627D" w:rsidRPr="00C9465D">
        <w:rPr>
          <w:rStyle w:val="FootnoteReference"/>
          <w:lang w:val="en-US"/>
        </w:rPr>
        <w:footnoteReference w:id="135"/>
      </w:r>
      <w:bookmarkEnd w:id="29"/>
      <w:bookmarkEnd w:id="30"/>
      <w:r w:rsidR="00A8627D" w:rsidRPr="00C9465D">
        <w:rPr>
          <w:lang w:val="en-US"/>
        </w:rPr>
        <w:t xml:space="preserve"> </w:t>
      </w:r>
    </w:p>
    <w:p w14:paraId="25393EE4" w14:textId="0221A4CA" w:rsidR="00433B7D" w:rsidRPr="00C9465D" w:rsidRDefault="00DE693F" w:rsidP="00AA3C22">
      <w:pPr>
        <w:pStyle w:val="Numberedparagraphs"/>
        <w:rPr>
          <w:lang w:val="en-US" w:eastAsia="es-ES"/>
        </w:rPr>
      </w:pPr>
      <w:r w:rsidRPr="00C9465D">
        <w:rPr>
          <w:lang w:val="en-US" w:eastAsia="es-ES"/>
        </w:rPr>
        <w:t xml:space="preserve">Bearing this in mind, the Court will now examine: </w:t>
      </w:r>
      <w:r w:rsidR="00F03131" w:rsidRPr="00C9465D">
        <w:rPr>
          <w:lang w:val="en-US" w:eastAsia="es-ES"/>
        </w:rPr>
        <w:t>(</w:t>
      </w:r>
      <w:r w:rsidR="00433B7D" w:rsidRPr="00C9465D">
        <w:rPr>
          <w:lang w:val="en-US" w:eastAsia="es-ES"/>
        </w:rPr>
        <w:t xml:space="preserve">1) </w:t>
      </w:r>
      <w:r w:rsidRPr="00C9465D">
        <w:rPr>
          <w:lang w:val="en-US" w:eastAsia="es-ES"/>
        </w:rPr>
        <w:t xml:space="preserve">whether disability can be considered a category protected by </w:t>
      </w:r>
      <w:r w:rsidR="00577DE0" w:rsidRPr="00C9465D">
        <w:rPr>
          <w:lang w:val="en-US" w:eastAsia="es-ES"/>
        </w:rPr>
        <w:t>Article 1(1)</w:t>
      </w:r>
      <w:r w:rsidR="00193CBB" w:rsidRPr="00C9465D">
        <w:rPr>
          <w:lang w:val="en-US" w:eastAsia="es-ES"/>
        </w:rPr>
        <w:t xml:space="preserve"> of the American Convention</w:t>
      </w:r>
      <w:r w:rsidR="00433B7D" w:rsidRPr="00C9465D">
        <w:rPr>
          <w:lang w:val="en-US" w:eastAsia="es-ES"/>
        </w:rPr>
        <w:t>,</w:t>
      </w:r>
      <w:r w:rsidR="00193CBB" w:rsidRPr="00C9465D">
        <w:rPr>
          <w:lang w:val="en-US" w:eastAsia="es-ES"/>
        </w:rPr>
        <w:t xml:space="preserve"> and </w:t>
      </w:r>
      <w:r w:rsidR="00F03131" w:rsidRPr="00C9465D">
        <w:rPr>
          <w:lang w:val="en-US" w:eastAsia="es-ES"/>
        </w:rPr>
        <w:t>(</w:t>
      </w:r>
      <w:r w:rsidR="00433B7D" w:rsidRPr="00C9465D">
        <w:rPr>
          <w:lang w:val="en-US" w:eastAsia="es-ES"/>
        </w:rPr>
        <w:t xml:space="preserve">2) </w:t>
      </w:r>
      <w:r w:rsidRPr="00C9465D">
        <w:rPr>
          <w:lang w:val="en-US" w:eastAsia="es-ES"/>
        </w:rPr>
        <w:t xml:space="preserve">what general obligations </w:t>
      </w:r>
      <w:r w:rsidR="000D1A38" w:rsidRPr="00C9465D">
        <w:rPr>
          <w:lang w:val="en-US" w:eastAsia="es-ES"/>
        </w:rPr>
        <w:t>do</w:t>
      </w:r>
      <w:r w:rsidRPr="00C9465D">
        <w:rPr>
          <w:lang w:val="en-US" w:eastAsia="es-ES"/>
        </w:rPr>
        <w:t xml:space="preserve"> the States have with regard to persons with disabilities. </w:t>
      </w:r>
    </w:p>
    <w:p w14:paraId="1F8CC048" w14:textId="789B3ED7" w:rsidR="00DF35CA" w:rsidRPr="00C9465D" w:rsidRDefault="00A8627D" w:rsidP="00C95348">
      <w:pPr>
        <w:pStyle w:val="Heading3"/>
        <w:rPr>
          <w:lang w:val="en-US"/>
        </w:rPr>
      </w:pPr>
      <w:bookmarkStart w:id="31" w:name="_Toc74298449"/>
      <w:r w:rsidRPr="00C9465D">
        <w:rPr>
          <w:lang w:val="en-US"/>
        </w:rPr>
        <w:t xml:space="preserve">B.1 </w:t>
      </w:r>
      <w:r w:rsidRPr="00C9465D">
        <w:rPr>
          <w:lang w:val="en-US"/>
        </w:rPr>
        <w:tab/>
      </w:r>
      <w:r w:rsidR="00DE693F" w:rsidRPr="00C9465D">
        <w:rPr>
          <w:lang w:val="en-US"/>
        </w:rPr>
        <w:t>Disability as a category protected by</w:t>
      </w:r>
      <w:r w:rsidRPr="00C9465D">
        <w:rPr>
          <w:lang w:val="en-US"/>
        </w:rPr>
        <w:t xml:space="preserve"> </w:t>
      </w:r>
      <w:r w:rsidR="00577DE0" w:rsidRPr="00C9465D">
        <w:rPr>
          <w:lang w:val="en-US"/>
        </w:rPr>
        <w:t>Article 1(1)</w:t>
      </w:r>
      <w:r w:rsidR="00193CBB" w:rsidRPr="00C9465D">
        <w:rPr>
          <w:lang w:val="en-US"/>
        </w:rPr>
        <w:t xml:space="preserve"> of the Convention</w:t>
      </w:r>
      <w:bookmarkEnd w:id="31"/>
      <w:r w:rsidRPr="00C9465D">
        <w:rPr>
          <w:lang w:val="en-US"/>
        </w:rPr>
        <w:t xml:space="preserve"> </w:t>
      </w:r>
    </w:p>
    <w:p w14:paraId="7D3657CB" w14:textId="5D49DFDA" w:rsidR="00A8627D" w:rsidRPr="00C9465D" w:rsidRDefault="00193CBB" w:rsidP="00AA3C22">
      <w:pPr>
        <w:pStyle w:val="Numberedparagraphs"/>
        <w:rPr>
          <w:lang w:val="en-US"/>
        </w:rPr>
      </w:pPr>
      <w:bookmarkStart w:id="32" w:name="_Ref319668062"/>
      <w:r w:rsidRPr="00C9465D">
        <w:rPr>
          <w:lang w:val="en-US"/>
        </w:rPr>
        <w:t>The Court</w:t>
      </w:r>
      <w:r w:rsidR="00A8627D" w:rsidRPr="00C9465D">
        <w:rPr>
          <w:lang w:val="en-US"/>
        </w:rPr>
        <w:t xml:space="preserve"> ha</w:t>
      </w:r>
      <w:r w:rsidR="00DE693F" w:rsidRPr="00C9465D">
        <w:rPr>
          <w:lang w:val="en-US"/>
        </w:rPr>
        <w:t xml:space="preserve">s established that human rights treaties are living instruments, the interpretation of which </w:t>
      </w:r>
      <w:r w:rsidR="00C8741F" w:rsidRPr="00C9465D">
        <w:rPr>
          <w:lang w:val="en-US"/>
        </w:rPr>
        <w:t>must evolve with the times and current circumstances.</w:t>
      </w:r>
      <w:bookmarkStart w:id="33" w:name="_Ref318130233"/>
      <w:r w:rsidR="00A8627D" w:rsidRPr="00C9465D">
        <w:rPr>
          <w:rStyle w:val="FootnoteReference"/>
          <w:rFonts w:eastAsia="Calibri"/>
          <w:lang w:val="en-US"/>
        </w:rPr>
        <w:footnoteReference w:id="136"/>
      </w:r>
      <w:bookmarkEnd w:id="33"/>
      <w:r w:rsidR="00C8741F" w:rsidRPr="00C9465D">
        <w:rPr>
          <w:lang w:val="en-US"/>
        </w:rPr>
        <w:t xml:space="preserve"> This evolutive interpretation is consequent with the general rules of interpretation established in </w:t>
      </w:r>
      <w:r w:rsidRPr="00C9465D">
        <w:rPr>
          <w:lang w:val="en-US"/>
        </w:rPr>
        <w:t>Article</w:t>
      </w:r>
      <w:r w:rsidR="00A8627D" w:rsidRPr="00C9465D">
        <w:rPr>
          <w:lang w:val="en-US"/>
        </w:rPr>
        <w:t xml:space="preserve"> 29</w:t>
      </w:r>
      <w:r w:rsidRPr="00C9465D">
        <w:rPr>
          <w:lang w:val="en-US"/>
        </w:rPr>
        <w:t xml:space="preserve"> of the American Convention</w:t>
      </w:r>
      <w:r w:rsidR="00A8627D" w:rsidRPr="00C9465D">
        <w:rPr>
          <w:lang w:val="en-US"/>
        </w:rPr>
        <w:t>, as</w:t>
      </w:r>
      <w:r w:rsidR="00C8741F" w:rsidRPr="00C9465D">
        <w:rPr>
          <w:lang w:val="en-US"/>
        </w:rPr>
        <w:t xml:space="preserve"> well as those established by the Vienna Convention on the Law of Treaties.</w:t>
      </w:r>
      <w:bookmarkStart w:id="36" w:name="_Ref318188457"/>
      <w:r w:rsidR="00A8627D" w:rsidRPr="00C9465D">
        <w:rPr>
          <w:rStyle w:val="FootnoteReference"/>
          <w:rFonts w:eastAsia="Calibri"/>
          <w:lang w:val="en-US"/>
        </w:rPr>
        <w:footnoteReference w:id="137"/>
      </w:r>
      <w:bookmarkEnd w:id="32"/>
      <w:bookmarkEnd w:id="36"/>
      <w:r w:rsidR="00A8627D" w:rsidRPr="00C9465D">
        <w:rPr>
          <w:lang w:val="en-US"/>
        </w:rPr>
        <w:t xml:space="preserve"> </w:t>
      </w:r>
    </w:p>
    <w:p w14:paraId="664B5946" w14:textId="75EBD9BF" w:rsidR="00A8627D" w:rsidRPr="00C9465D" w:rsidRDefault="00C8741F" w:rsidP="00AA3C22">
      <w:pPr>
        <w:pStyle w:val="Numberedparagraphs"/>
        <w:rPr>
          <w:lang w:val="en-US" w:eastAsia="es-ES"/>
        </w:rPr>
      </w:pPr>
      <w:r w:rsidRPr="00C9465D">
        <w:rPr>
          <w:lang w:val="en-US" w:eastAsia="es-ES"/>
        </w:rPr>
        <w:t xml:space="preserve">The specific criteria based on which discrimination is prohibited according to </w:t>
      </w:r>
      <w:r w:rsidR="00577DE0" w:rsidRPr="00C9465D">
        <w:rPr>
          <w:lang w:val="en-US" w:eastAsia="es-ES"/>
        </w:rPr>
        <w:t>Article 1(1)</w:t>
      </w:r>
      <w:r w:rsidR="00193CBB" w:rsidRPr="00C9465D">
        <w:rPr>
          <w:lang w:val="en-US" w:eastAsia="es-ES"/>
        </w:rPr>
        <w:t xml:space="preserve"> of the American Convention</w:t>
      </w:r>
      <w:r w:rsidRPr="00C9465D">
        <w:rPr>
          <w:lang w:val="en-US" w:eastAsia="es-ES"/>
        </w:rPr>
        <w:t xml:space="preserve"> does not represent an exhaustive or restrictive list, but merely an illustrative</w:t>
      </w:r>
      <w:r w:rsidR="000D1A38" w:rsidRPr="00C9465D">
        <w:rPr>
          <w:lang w:val="en-US" w:eastAsia="es-ES"/>
        </w:rPr>
        <w:t xml:space="preserve"> one</w:t>
      </w:r>
      <w:r w:rsidRPr="00C9465D">
        <w:rPr>
          <w:lang w:val="en-US" w:eastAsia="es-ES"/>
        </w:rPr>
        <w:t>. The wording of this article leaves the criteria open by including the phrase “any other social condition” for the incorporation of other categories that were not explicitly indicated.</w:t>
      </w:r>
      <w:r w:rsidR="00A8627D" w:rsidRPr="00C9465D">
        <w:rPr>
          <w:rStyle w:val="FootnoteReference"/>
          <w:lang w:val="en-US" w:eastAsia="es-ES"/>
        </w:rPr>
        <w:footnoteReference w:id="138"/>
      </w:r>
    </w:p>
    <w:p w14:paraId="5CBA76B2" w14:textId="52F6BA67" w:rsidR="00086BC4" w:rsidRPr="00C9465D" w:rsidRDefault="00C8741F" w:rsidP="00086BC4">
      <w:pPr>
        <w:pStyle w:val="Numberedparagraphs"/>
        <w:rPr>
          <w:lang w:val="en-US" w:eastAsia="es-ES"/>
        </w:rPr>
      </w:pPr>
      <w:r w:rsidRPr="00C9465D">
        <w:rPr>
          <w:lang w:val="en-US"/>
        </w:rPr>
        <w:t xml:space="preserve">Therefore, when interpreting the phrase </w:t>
      </w:r>
      <w:r w:rsidR="00086BC4" w:rsidRPr="00C9465D">
        <w:rPr>
          <w:lang w:val="en-US"/>
        </w:rPr>
        <w:t>“</w:t>
      </w:r>
      <w:r w:rsidRPr="00C9465D">
        <w:rPr>
          <w:lang w:val="en-US" w:eastAsia="es-ES"/>
        </w:rPr>
        <w:t>any other social condition</w:t>
      </w:r>
      <w:r w:rsidR="00086BC4" w:rsidRPr="00C9465D">
        <w:rPr>
          <w:lang w:val="en-US"/>
        </w:rPr>
        <w:t xml:space="preserve">” </w:t>
      </w:r>
      <w:r w:rsidR="007A3CA5" w:rsidRPr="00C9465D">
        <w:rPr>
          <w:lang w:val="en-US"/>
        </w:rPr>
        <w:t>of Article</w:t>
      </w:r>
      <w:r w:rsidR="00577DE0" w:rsidRPr="00C9465D">
        <w:rPr>
          <w:lang w:val="en-US"/>
        </w:rPr>
        <w:t xml:space="preserve"> 1(1)</w:t>
      </w:r>
      <w:r w:rsidR="00193CBB" w:rsidRPr="00C9465D">
        <w:rPr>
          <w:lang w:val="en-US"/>
        </w:rPr>
        <w:t xml:space="preserve"> of the Convention</w:t>
      </w:r>
      <w:r w:rsidR="00086BC4" w:rsidRPr="00C9465D">
        <w:rPr>
          <w:lang w:val="en-US"/>
        </w:rPr>
        <w:t xml:space="preserve">, </w:t>
      </w:r>
      <w:r w:rsidRPr="00C9465D">
        <w:rPr>
          <w:lang w:val="en-US"/>
        </w:rPr>
        <w:t>the most favorable alternative to  protect the rights recognized by this treaty should be chosen based on the principle of the norm most favorable to those concerned.</w:t>
      </w:r>
      <w:r w:rsidR="00086BC4" w:rsidRPr="00C9465D">
        <w:rPr>
          <w:rStyle w:val="FootnoteReference"/>
          <w:rFonts w:eastAsia="Calibri"/>
          <w:lang w:val="en-US"/>
        </w:rPr>
        <w:footnoteReference w:id="139"/>
      </w:r>
      <w:r w:rsidR="00086BC4" w:rsidRPr="00C9465D">
        <w:rPr>
          <w:lang w:val="en-US"/>
        </w:rPr>
        <w:t xml:space="preserve"> </w:t>
      </w:r>
    </w:p>
    <w:p w14:paraId="07D1324E" w14:textId="202A58B4" w:rsidR="00500A18" w:rsidRPr="00C9465D" w:rsidRDefault="00C8741F" w:rsidP="00AA3C22">
      <w:pPr>
        <w:pStyle w:val="Numberedparagraphs"/>
        <w:rPr>
          <w:color w:val="FF0000"/>
          <w:lang w:val="en-US"/>
        </w:rPr>
      </w:pPr>
      <w:r w:rsidRPr="00C9465D">
        <w:rPr>
          <w:lang w:val="en-US" w:eastAsia="es-ES"/>
        </w:rPr>
        <w:lastRenderedPageBreak/>
        <w:t>Under the inter-American system, since its inception with the American Declaration of the Rights and Duties of Man adopted in</w:t>
      </w:r>
      <w:r w:rsidR="00500A18" w:rsidRPr="00C9465D">
        <w:rPr>
          <w:lang w:val="en-US"/>
        </w:rPr>
        <w:t xml:space="preserve"> 1948, </w:t>
      </w:r>
      <w:r w:rsidRPr="00C9465D">
        <w:rPr>
          <w:lang w:val="en-US"/>
        </w:rPr>
        <w:t xml:space="preserve">the rights of persons with disabilities have been </w:t>
      </w:r>
      <w:r w:rsidR="000D1A38" w:rsidRPr="00C9465D">
        <w:rPr>
          <w:lang w:val="en-US"/>
        </w:rPr>
        <w:t>defend</w:t>
      </w:r>
      <w:r w:rsidRPr="00C9465D">
        <w:rPr>
          <w:lang w:val="en-US"/>
        </w:rPr>
        <w:t>ed</w:t>
      </w:r>
      <w:r w:rsidR="000D1A38" w:rsidRPr="00C9465D">
        <w:rPr>
          <w:lang w:val="en-US"/>
        </w:rPr>
        <w:t>.</w:t>
      </w:r>
      <w:r w:rsidR="00500A18" w:rsidRPr="00C9465D">
        <w:rPr>
          <w:rStyle w:val="FootnoteReference"/>
          <w:rFonts w:cs="Verdana"/>
          <w:bCs/>
          <w:lang w:val="en-US"/>
        </w:rPr>
        <w:footnoteReference w:id="140"/>
      </w:r>
      <w:r w:rsidR="00500A18" w:rsidRPr="00C9465D">
        <w:rPr>
          <w:lang w:val="en-US"/>
        </w:rPr>
        <w:t xml:space="preserve"> </w:t>
      </w:r>
    </w:p>
    <w:p w14:paraId="298E2ED3" w14:textId="6130E799" w:rsidR="00500A18" w:rsidRPr="00C9465D" w:rsidRDefault="005A0B42" w:rsidP="00AA3C22">
      <w:pPr>
        <w:pStyle w:val="Numberedparagraphs"/>
        <w:rPr>
          <w:lang w:val="en-US"/>
        </w:rPr>
      </w:pPr>
      <w:r w:rsidRPr="00C9465D">
        <w:rPr>
          <w:lang w:val="en-US"/>
        </w:rPr>
        <w:t>Subsequently,</w:t>
      </w:r>
      <w:r w:rsidR="00C8741F" w:rsidRPr="00C9465D">
        <w:rPr>
          <w:lang w:val="en-US"/>
        </w:rPr>
        <w:t xml:space="preserve"> the Additional Protocol to </w:t>
      </w:r>
      <w:r w:rsidR="00193CBB" w:rsidRPr="00C9465D">
        <w:rPr>
          <w:lang w:val="en-US"/>
        </w:rPr>
        <w:t>the American Convention</w:t>
      </w:r>
      <w:r w:rsidR="00500A18" w:rsidRPr="00C9465D">
        <w:rPr>
          <w:lang w:val="en-US"/>
        </w:rPr>
        <w:t xml:space="preserve"> </w:t>
      </w:r>
      <w:r w:rsidR="00C8741F" w:rsidRPr="00C9465D">
        <w:rPr>
          <w:lang w:val="en-US"/>
        </w:rPr>
        <w:t xml:space="preserve">in the Area of Economic, Social and Cultural Rights </w:t>
      </w:r>
      <w:r w:rsidR="00500A18" w:rsidRPr="00C9465D">
        <w:rPr>
          <w:lang w:val="en-US"/>
        </w:rPr>
        <w:t>("Protocol</w:t>
      </w:r>
      <w:r w:rsidR="00C8741F" w:rsidRPr="00C9465D">
        <w:rPr>
          <w:lang w:val="en-US"/>
        </w:rPr>
        <w:t xml:space="preserve"> of</w:t>
      </w:r>
      <w:r w:rsidR="00500A18" w:rsidRPr="00C9465D">
        <w:rPr>
          <w:lang w:val="en-US"/>
        </w:rPr>
        <w:t xml:space="preserve"> San Salvador"</w:t>
      </w:r>
      <w:r w:rsidR="00500A18" w:rsidRPr="00C9465D">
        <w:rPr>
          <w:rStyle w:val="FootnoteReference"/>
          <w:bCs/>
          <w:lang w:val="en-US"/>
        </w:rPr>
        <w:footnoteReference w:id="141"/>
      </w:r>
      <w:r w:rsidR="00500A18" w:rsidRPr="00C9465D">
        <w:rPr>
          <w:lang w:val="en-US"/>
        </w:rPr>
        <w:t xml:space="preserve">), </w:t>
      </w:r>
      <w:r w:rsidR="00C8741F" w:rsidRPr="00C9465D">
        <w:rPr>
          <w:lang w:val="en-US"/>
        </w:rPr>
        <w:t>in its</w:t>
      </w:r>
      <w:r w:rsidR="00500A18" w:rsidRPr="00C9465D">
        <w:rPr>
          <w:lang w:val="en-US"/>
        </w:rPr>
        <w:t xml:space="preserve"> </w:t>
      </w:r>
      <w:r w:rsidR="00193CBB" w:rsidRPr="00C9465D">
        <w:rPr>
          <w:lang w:val="en-US"/>
        </w:rPr>
        <w:t>Article</w:t>
      </w:r>
      <w:r w:rsidR="00500A18" w:rsidRPr="00C9465D">
        <w:rPr>
          <w:lang w:val="en-US"/>
        </w:rPr>
        <w:t xml:space="preserve"> 18, </w:t>
      </w:r>
      <w:r w:rsidR="00C8741F" w:rsidRPr="00C9465D">
        <w:rPr>
          <w:lang w:val="en-US"/>
        </w:rPr>
        <w:t>indicate</w:t>
      </w:r>
      <w:r w:rsidRPr="00C9465D">
        <w:rPr>
          <w:lang w:val="en-US"/>
        </w:rPr>
        <w:t>d</w:t>
      </w:r>
      <w:r w:rsidR="00C8741F" w:rsidRPr="00C9465D">
        <w:rPr>
          <w:lang w:val="en-US"/>
        </w:rPr>
        <w:t xml:space="preserve"> that</w:t>
      </w:r>
      <w:r w:rsidR="00500A18" w:rsidRPr="00C9465D">
        <w:rPr>
          <w:lang w:val="en-US"/>
        </w:rPr>
        <w:t xml:space="preserve"> “[</w:t>
      </w:r>
      <w:r w:rsidRPr="00C9465D">
        <w:rPr>
          <w:lang w:val="en-US"/>
        </w:rPr>
        <w:t>e</w:t>
      </w:r>
      <w:r w:rsidR="00500A18" w:rsidRPr="00C9465D">
        <w:rPr>
          <w:lang w:val="en-US"/>
        </w:rPr>
        <w:t>]</w:t>
      </w:r>
      <w:r w:rsidRPr="00C9465D">
        <w:rPr>
          <w:rFonts w:eastAsia="Times New Roman" w:cs="Tahoma"/>
          <w:lang w:val="en-US"/>
        </w:rPr>
        <w:t>veryone affected by a diminution of his physical or mental capacities is entitled to receive special attention designed to help him achieve the greatest possible development of his personality.</w:t>
      </w:r>
      <w:r w:rsidR="00500A18" w:rsidRPr="00C9465D">
        <w:rPr>
          <w:lang w:val="en-US"/>
        </w:rPr>
        <w:t>”</w:t>
      </w:r>
    </w:p>
    <w:p w14:paraId="4EA729B2" w14:textId="3A528BAB" w:rsidR="00500A18" w:rsidRPr="00C9465D" w:rsidRDefault="005A0B42" w:rsidP="005A0B42">
      <w:pPr>
        <w:pStyle w:val="Numberedparagraphs"/>
        <w:rPr>
          <w:lang w:val="en-US"/>
        </w:rPr>
      </w:pPr>
      <w:r w:rsidRPr="00C9465D">
        <w:rPr>
          <w:rFonts w:cs="Verdana"/>
          <w:lang w:val="en-US"/>
        </w:rPr>
        <w:t>Then, in 1999, the Inter-American Convention on the Elimination of All Forms of Discrimination against Persons with Disabilities</w:t>
      </w:r>
      <w:r w:rsidR="00500A18" w:rsidRPr="00C9465D">
        <w:rPr>
          <w:rStyle w:val="FootnoteReference"/>
          <w:bCs/>
          <w:lang w:val="en-US"/>
        </w:rPr>
        <w:footnoteReference w:id="142"/>
      </w:r>
      <w:r w:rsidR="00500A18" w:rsidRPr="00C9465D">
        <w:rPr>
          <w:lang w:val="en-US"/>
        </w:rPr>
        <w:t xml:space="preserve"> (</w:t>
      </w:r>
      <w:r w:rsidR="00193CBB" w:rsidRPr="00C9465D">
        <w:rPr>
          <w:lang w:val="en-US"/>
        </w:rPr>
        <w:t>hereinafter</w:t>
      </w:r>
      <w:r w:rsidR="00500A18" w:rsidRPr="00C9465D">
        <w:rPr>
          <w:lang w:val="en-US"/>
        </w:rPr>
        <w:t xml:space="preserve"> “</w:t>
      </w:r>
      <w:r w:rsidR="00EA340A" w:rsidRPr="00C9465D">
        <w:rPr>
          <w:rFonts w:cs="TimesNewRoman,Bold"/>
          <w:lang w:val="en-US"/>
        </w:rPr>
        <w:t>IACDIS</w:t>
      </w:r>
      <w:r w:rsidR="00500A18" w:rsidRPr="00C9465D">
        <w:rPr>
          <w:rFonts w:cs="TimesNewRoman,Bold"/>
          <w:lang w:val="en-US"/>
        </w:rPr>
        <w:t>”</w:t>
      </w:r>
      <w:r w:rsidR="00500A18" w:rsidRPr="00C9465D">
        <w:rPr>
          <w:lang w:val="en-US"/>
        </w:rPr>
        <w:t>)</w:t>
      </w:r>
      <w:r w:rsidRPr="00C9465D">
        <w:rPr>
          <w:lang w:val="en-US"/>
        </w:rPr>
        <w:t xml:space="preserve"> indicate</w:t>
      </w:r>
      <w:r w:rsidR="000D1A38" w:rsidRPr="00C9465D">
        <w:rPr>
          <w:lang w:val="en-US"/>
        </w:rPr>
        <w:t>d</w:t>
      </w:r>
      <w:r w:rsidRPr="00C9465D">
        <w:rPr>
          <w:lang w:val="en-US"/>
        </w:rPr>
        <w:t xml:space="preserve"> in its Preamble that the States Parties reaffirm “</w:t>
      </w:r>
      <w:r w:rsidRPr="00C9465D">
        <w:rPr>
          <w:rFonts w:cs="Tahoma"/>
          <w:lang w:val="en-US"/>
        </w:rPr>
        <w:t>that persons with disabilities have the same human rights and fundamental freedoms as other persons; and that these rights, which include freedom from discrimination based on disability, flow from the inherent dignity and equality of each person</w:t>
      </w:r>
      <w:r w:rsidRPr="00C9465D">
        <w:rPr>
          <w:lang w:val="en-US"/>
        </w:rPr>
        <w:t>.</w:t>
      </w:r>
      <w:r w:rsidR="00500A18" w:rsidRPr="00C9465D">
        <w:rPr>
          <w:lang w:val="en-US"/>
        </w:rPr>
        <w:t xml:space="preserve">” </w:t>
      </w:r>
    </w:p>
    <w:p w14:paraId="2AAB008F" w14:textId="3A3D9C56" w:rsidR="00500A18" w:rsidRPr="00C9465D" w:rsidRDefault="005A0B42" w:rsidP="00AA3C22">
      <w:pPr>
        <w:pStyle w:val="Numberedparagraphs"/>
        <w:rPr>
          <w:lang w:val="en-US" w:eastAsia="es-ES"/>
        </w:rPr>
      </w:pPr>
      <w:r w:rsidRPr="00C9465D">
        <w:rPr>
          <w:lang w:val="en-US" w:eastAsia="es-ES"/>
        </w:rPr>
        <w:t xml:space="preserve">Under the universal human rights system, on different occasions the United Nations General Assembly has stressed that </w:t>
      </w:r>
      <w:r w:rsidR="00A80158" w:rsidRPr="00C9465D">
        <w:rPr>
          <w:lang w:val="en-US" w:eastAsia="es-ES"/>
        </w:rPr>
        <w:t>a person may not be discriminated against due to a disability.</w:t>
      </w:r>
      <w:r w:rsidR="00692A3C" w:rsidRPr="00C9465D">
        <w:rPr>
          <w:rStyle w:val="FootnoteReference"/>
          <w:lang w:val="en-US" w:eastAsia="es-ES"/>
        </w:rPr>
        <w:footnoteReference w:id="143"/>
      </w:r>
      <w:r w:rsidR="00A80158" w:rsidRPr="00C9465D">
        <w:rPr>
          <w:lang w:val="en-US" w:eastAsia="es-ES"/>
        </w:rPr>
        <w:t xml:space="preserve"> The Committee on Economic, Social and Cultural Rights has classified disability as one of the prohibited categories of discrimination contemplated in </w:t>
      </w:r>
      <w:r w:rsidR="00193CBB" w:rsidRPr="00C9465D">
        <w:rPr>
          <w:lang w:val="en-US" w:eastAsia="es-ES"/>
        </w:rPr>
        <w:t>Article</w:t>
      </w:r>
      <w:r w:rsidR="00500A18" w:rsidRPr="00C9465D">
        <w:rPr>
          <w:lang w:val="en-US" w:eastAsia="es-ES"/>
        </w:rPr>
        <w:t xml:space="preserve"> 2</w:t>
      </w:r>
      <w:r w:rsidR="00A80158" w:rsidRPr="00C9465D">
        <w:rPr>
          <w:lang w:val="en-US" w:eastAsia="es-ES"/>
        </w:rPr>
        <w:t>(</w:t>
      </w:r>
      <w:r w:rsidR="00500A18" w:rsidRPr="00C9465D">
        <w:rPr>
          <w:lang w:val="en-US" w:eastAsia="es-ES"/>
        </w:rPr>
        <w:t>2</w:t>
      </w:r>
      <w:r w:rsidR="00A80158" w:rsidRPr="00C9465D">
        <w:rPr>
          <w:lang w:val="en-US" w:eastAsia="es-ES"/>
        </w:rPr>
        <w:t>)</w:t>
      </w:r>
      <w:r w:rsidR="00500A18" w:rsidRPr="00C9465D">
        <w:rPr>
          <w:rStyle w:val="FootnoteReference"/>
          <w:lang w:val="en-US" w:eastAsia="es-ES"/>
        </w:rPr>
        <w:footnoteReference w:id="144"/>
      </w:r>
      <w:r w:rsidR="00500A18" w:rsidRPr="00C9465D">
        <w:rPr>
          <w:lang w:val="en-US" w:eastAsia="es-ES"/>
        </w:rPr>
        <w:t xml:space="preserve"> </w:t>
      </w:r>
      <w:r w:rsidR="00A80158" w:rsidRPr="00C9465D">
        <w:rPr>
          <w:lang w:val="en-US" w:eastAsia="es-ES"/>
        </w:rPr>
        <w:t>of the International Covenant on Economic, Social and Cultural Rights, including it under</w:t>
      </w:r>
      <w:r w:rsidR="00500A18" w:rsidRPr="00C9465D">
        <w:rPr>
          <w:lang w:val="en-US" w:eastAsia="es-ES"/>
        </w:rPr>
        <w:t xml:space="preserve"> “</w:t>
      </w:r>
      <w:r w:rsidR="00593C0F" w:rsidRPr="00C9465D">
        <w:rPr>
          <w:lang w:val="en-US" w:eastAsia="es-ES"/>
        </w:rPr>
        <w:t>or other status.</w:t>
      </w:r>
      <w:r w:rsidR="00500A18" w:rsidRPr="00C9465D">
        <w:rPr>
          <w:lang w:val="en-US" w:eastAsia="es-ES"/>
        </w:rPr>
        <w:t>”</w:t>
      </w:r>
      <w:r w:rsidR="00500A18" w:rsidRPr="00C9465D">
        <w:rPr>
          <w:rStyle w:val="FootnoteReference"/>
          <w:lang w:val="en-US" w:eastAsia="es-ES"/>
        </w:rPr>
        <w:footnoteReference w:id="145"/>
      </w:r>
      <w:r w:rsidR="00500A18" w:rsidRPr="00C9465D">
        <w:rPr>
          <w:color w:val="FF0000"/>
          <w:lang w:val="en-US" w:eastAsia="es-ES"/>
        </w:rPr>
        <w:t xml:space="preserve"> </w:t>
      </w:r>
    </w:p>
    <w:p w14:paraId="40010994" w14:textId="474F266C" w:rsidR="00A8627D" w:rsidRPr="00C9465D" w:rsidRDefault="00193CBB" w:rsidP="00AA3C22">
      <w:pPr>
        <w:pStyle w:val="Numberedparagraphs"/>
        <w:rPr>
          <w:lang w:val="en-US" w:eastAsia="es-ES"/>
        </w:rPr>
      </w:pPr>
      <w:bookmarkStart w:id="37" w:name="_Ref72158606"/>
      <w:r w:rsidRPr="00C9465D">
        <w:rPr>
          <w:lang w:val="en-US" w:eastAsia="es-ES"/>
        </w:rPr>
        <w:t>The Convention</w:t>
      </w:r>
      <w:r w:rsidR="004C4167" w:rsidRPr="00C9465D">
        <w:rPr>
          <w:lang w:val="en-US" w:eastAsia="es-ES"/>
        </w:rPr>
        <w:t xml:space="preserve"> </w:t>
      </w:r>
      <w:r w:rsidR="00593C0F" w:rsidRPr="00C9465D">
        <w:rPr>
          <w:lang w:val="en-US" w:eastAsia="es-ES"/>
        </w:rPr>
        <w:t>on the Rights of the Child, which entered into force on September 2,</w:t>
      </w:r>
      <w:r w:rsidR="000523BF" w:rsidRPr="00C9465D">
        <w:rPr>
          <w:lang w:val="en-US" w:eastAsia="es-ES"/>
        </w:rPr>
        <w:t xml:space="preserve"> 1990</w:t>
      </w:r>
      <w:r w:rsidR="00EB76B1" w:rsidRPr="00C9465D">
        <w:rPr>
          <w:lang w:val="en-US" w:eastAsia="es-ES"/>
        </w:rPr>
        <w:t xml:space="preserve">, </w:t>
      </w:r>
      <w:r w:rsidR="00593C0F" w:rsidRPr="00C9465D">
        <w:rPr>
          <w:lang w:val="en-US" w:eastAsia="es-ES"/>
        </w:rPr>
        <w:t>was the first treaty of the universal system to explicitly include disability as one of the protected categories within its article that prohibits discrimination.</w:t>
      </w:r>
      <w:r w:rsidR="004C4167" w:rsidRPr="00C9465D">
        <w:rPr>
          <w:rStyle w:val="FootnoteReference"/>
          <w:lang w:val="en-US" w:eastAsia="es-ES"/>
        </w:rPr>
        <w:footnoteReference w:id="146"/>
      </w:r>
      <w:r w:rsidR="00593C0F" w:rsidRPr="00C9465D">
        <w:rPr>
          <w:lang w:val="en-US" w:eastAsia="es-ES"/>
        </w:rPr>
        <w:t xml:space="preserve"> Subsequently, on May 3, 2008, </w:t>
      </w:r>
      <w:r w:rsidRPr="00C9465D">
        <w:rPr>
          <w:lang w:val="en-US" w:eastAsia="es-ES"/>
        </w:rPr>
        <w:t xml:space="preserve">the </w:t>
      </w:r>
      <w:r w:rsidR="00593C0F" w:rsidRPr="00C9465D">
        <w:rPr>
          <w:lang w:val="en-US" w:eastAsia="es-ES"/>
        </w:rPr>
        <w:t>Convention on the Rights of Persons with Disabilities</w:t>
      </w:r>
      <w:r w:rsidR="00EB76B1" w:rsidRPr="00C9465D">
        <w:rPr>
          <w:bCs/>
          <w:lang w:val="en-US"/>
        </w:rPr>
        <w:t xml:space="preserve"> (</w:t>
      </w:r>
      <w:r w:rsidRPr="00C9465D">
        <w:rPr>
          <w:bCs/>
          <w:lang w:val="en-US"/>
        </w:rPr>
        <w:t>hereinafter</w:t>
      </w:r>
      <w:r w:rsidR="00EB76B1" w:rsidRPr="00C9465D">
        <w:rPr>
          <w:bCs/>
          <w:lang w:val="en-US"/>
        </w:rPr>
        <w:t xml:space="preserve"> “</w:t>
      </w:r>
      <w:r w:rsidR="00593C0F" w:rsidRPr="00C9465D">
        <w:rPr>
          <w:bCs/>
          <w:lang w:val="en-US"/>
        </w:rPr>
        <w:t>CRPD</w:t>
      </w:r>
      <w:r w:rsidR="00EB76B1" w:rsidRPr="00C9465D">
        <w:rPr>
          <w:bCs/>
          <w:lang w:val="en-US"/>
        </w:rPr>
        <w:t xml:space="preserve">”) </w:t>
      </w:r>
      <w:r w:rsidR="00593C0F" w:rsidRPr="00C9465D">
        <w:rPr>
          <w:bCs/>
          <w:lang w:val="en-US"/>
        </w:rPr>
        <w:t xml:space="preserve">entered </w:t>
      </w:r>
      <w:r w:rsidR="00593C0F" w:rsidRPr="00C9465D">
        <w:rPr>
          <w:bCs/>
          <w:lang w:val="en-US"/>
        </w:rPr>
        <w:lastRenderedPageBreak/>
        <w:t xml:space="preserve">into force, establishing </w:t>
      </w:r>
      <w:r w:rsidR="00D12C0E" w:rsidRPr="00C9465D">
        <w:rPr>
          <w:bCs/>
          <w:lang w:val="en-US"/>
        </w:rPr>
        <w:t>non-discrimination</w:t>
      </w:r>
      <w:r w:rsidR="00EB76B1" w:rsidRPr="00C9465D">
        <w:rPr>
          <w:bCs/>
          <w:lang w:val="en-US"/>
        </w:rPr>
        <w:t xml:space="preserve"> </w:t>
      </w:r>
      <w:r w:rsidR="00593C0F" w:rsidRPr="00C9465D">
        <w:rPr>
          <w:bCs/>
          <w:lang w:val="en-US"/>
        </w:rPr>
        <w:t xml:space="preserve">as one of its general principles and prohibiting all </w:t>
      </w:r>
      <w:r w:rsidR="00B1525D" w:rsidRPr="00C9465D">
        <w:rPr>
          <w:bCs/>
          <w:lang w:val="en-US"/>
        </w:rPr>
        <w:t xml:space="preserve">disability-based </w:t>
      </w:r>
      <w:r w:rsidR="00593C0F" w:rsidRPr="00C9465D">
        <w:rPr>
          <w:bCs/>
          <w:lang w:val="en-US"/>
        </w:rPr>
        <w:t>discrimination</w:t>
      </w:r>
      <w:r w:rsidR="00B1525D" w:rsidRPr="00C9465D">
        <w:rPr>
          <w:bCs/>
          <w:lang w:val="en-US"/>
        </w:rPr>
        <w:t>.</w:t>
      </w:r>
      <w:r w:rsidR="000523BF" w:rsidRPr="00C9465D">
        <w:rPr>
          <w:rStyle w:val="FootnoteReference"/>
          <w:rFonts w:cs="TimesNewRoman"/>
          <w:lang w:val="en-US"/>
        </w:rPr>
        <w:footnoteReference w:id="147"/>
      </w:r>
      <w:bookmarkEnd w:id="37"/>
      <w:r w:rsidR="000523BF" w:rsidRPr="00C9465D">
        <w:rPr>
          <w:rFonts w:cs="TimesNewRoman"/>
          <w:lang w:val="en-US"/>
        </w:rPr>
        <w:t xml:space="preserve"> </w:t>
      </w:r>
    </w:p>
    <w:p w14:paraId="0C1E6B06" w14:textId="5FABB4B0" w:rsidR="00102F22" w:rsidRPr="00C9465D" w:rsidRDefault="00B1525D" w:rsidP="00AA3C22">
      <w:pPr>
        <w:pStyle w:val="Numberedparagraphs"/>
        <w:rPr>
          <w:lang w:val="en-US" w:eastAsia="es-MX"/>
        </w:rPr>
      </w:pPr>
      <w:r w:rsidRPr="00C9465D">
        <w:rPr>
          <w:lang w:val="en-US" w:eastAsia="es-MX"/>
        </w:rPr>
        <w:t xml:space="preserve">Specifically in </w:t>
      </w:r>
      <w:r w:rsidR="00EB76B1" w:rsidRPr="00C9465D">
        <w:rPr>
          <w:lang w:val="en-US" w:eastAsia="es-MX"/>
        </w:rPr>
        <w:t>Ecuador,</w:t>
      </w:r>
      <w:r w:rsidRPr="00C9465D">
        <w:rPr>
          <w:lang w:val="en-US" w:eastAsia="es-MX"/>
        </w:rPr>
        <w:t xml:space="preserve"> article 23 of</w:t>
      </w:r>
      <w:r w:rsidR="00EB76B1" w:rsidRPr="00C9465D">
        <w:rPr>
          <w:lang w:val="en-US" w:eastAsia="es-MX"/>
        </w:rPr>
        <w:t xml:space="preserve"> </w:t>
      </w:r>
      <w:r w:rsidRPr="00C9465D">
        <w:rPr>
          <w:lang w:val="en-US" w:eastAsia="es-MX"/>
        </w:rPr>
        <w:t>the</w:t>
      </w:r>
      <w:r w:rsidR="00DF35CA" w:rsidRPr="00C9465D">
        <w:rPr>
          <w:lang w:val="en-US" w:eastAsia="es-MX"/>
        </w:rPr>
        <w:t xml:space="preserve"> 1998</w:t>
      </w:r>
      <w:r w:rsidRPr="00C9465D">
        <w:rPr>
          <w:lang w:val="en-US" w:eastAsia="es-MX"/>
        </w:rPr>
        <w:t xml:space="preserve"> Constitution, in force at the time of the events, established that</w:t>
      </w:r>
      <w:r w:rsidR="008F13A4" w:rsidRPr="00C9465D">
        <w:rPr>
          <w:lang w:val="en-US" w:eastAsia="es-MX"/>
        </w:rPr>
        <w:t>:</w:t>
      </w:r>
    </w:p>
    <w:p w14:paraId="6A2AF762" w14:textId="3E3A3104" w:rsidR="00DF35CA" w:rsidRPr="00C9465D" w:rsidRDefault="00B1525D" w:rsidP="00AB4761">
      <w:pPr>
        <w:pStyle w:val="ListParagraph"/>
        <w:spacing w:before="120" w:after="120" w:line="240" w:lineRule="auto"/>
        <w:ind w:left="567" w:right="404"/>
        <w:contextualSpacing w:val="0"/>
        <w:rPr>
          <w:sz w:val="18"/>
          <w:szCs w:val="18"/>
          <w:lang w:val="en-US"/>
        </w:rPr>
      </w:pPr>
      <w:r w:rsidRPr="00C9465D">
        <w:rPr>
          <w:sz w:val="18"/>
          <w:szCs w:val="18"/>
          <w:lang w:val="en-US"/>
        </w:rPr>
        <w:t>Equality before the law. Everyone shall be considered equal and shall enjoy the same rights, freedoms and opportunities, without discrimination due to birth, age, sex, ethnic</w:t>
      </w:r>
      <w:r w:rsidR="00D85850" w:rsidRPr="00C9465D">
        <w:rPr>
          <w:sz w:val="18"/>
          <w:szCs w:val="18"/>
          <w:lang w:val="en-US"/>
        </w:rPr>
        <w:t>ity</w:t>
      </w:r>
      <w:r w:rsidRPr="00C9465D">
        <w:rPr>
          <w:sz w:val="18"/>
          <w:szCs w:val="18"/>
          <w:lang w:val="en-US"/>
        </w:rPr>
        <w:t xml:space="preserve">, color, social origin, language, religion, political affiliation, economic status, sexual orientation, health, </w:t>
      </w:r>
      <w:r w:rsidRPr="00C9465D">
        <w:rPr>
          <w:sz w:val="18"/>
          <w:szCs w:val="18"/>
          <w:u w:val="single"/>
          <w:lang w:val="en-US"/>
        </w:rPr>
        <w:t>disabilities</w:t>
      </w:r>
      <w:r w:rsidRPr="00C9465D">
        <w:rPr>
          <w:sz w:val="18"/>
          <w:szCs w:val="18"/>
          <w:lang w:val="en-US"/>
        </w:rPr>
        <w:t xml:space="preserve"> or difference</w:t>
      </w:r>
      <w:r w:rsidR="00D85850" w:rsidRPr="00C9465D">
        <w:rPr>
          <w:sz w:val="18"/>
          <w:szCs w:val="18"/>
          <w:lang w:val="en-US"/>
        </w:rPr>
        <w:t>s</w:t>
      </w:r>
      <w:r w:rsidRPr="00C9465D">
        <w:rPr>
          <w:sz w:val="18"/>
          <w:szCs w:val="18"/>
          <w:lang w:val="en-US"/>
        </w:rPr>
        <w:t xml:space="preserve"> of any other type</w:t>
      </w:r>
      <w:r w:rsidR="00D85850" w:rsidRPr="00C9465D">
        <w:rPr>
          <w:sz w:val="18"/>
          <w:szCs w:val="18"/>
          <w:lang w:val="en-US"/>
        </w:rPr>
        <w:t xml:space="preserve"> [underlining added]</w:t>
      </w:r>
      <w:r w:rsidRPr="00C9465D">
        <w:rPr>
          <w:sz w:val="18"/>
          <w:szCs w:val="18"/>
          <w:lang w:val="en-US"/>
        </w:rPr>
        <w:t>.</w:t>
      </w:r>
      <w:r w:rsidR="00DF35CA" w:rsidRPr="00C9465D">
        <w:rPr>
          <w:rStyle w:val="FootnoteReference"/>
          <w:sz w:val="18"/>
          <w:szCs w:val="18"/>
          <w:lang w:val="en-US"/>
        </w:rPr>
        <w:footnoteReference w:id="148"/>
      </w:r>
    </w:p>
    <w:p w14:paraId="778E9829" w14:textId="4AC84BC3" w:rsidR="00D85850" w:rsidRPr="00C9465D" w:rsidRDefault="001F59C9" w:rsidP="00AA3C22">
      <w:pPr>
        <w:pStyle w:val="Numberedparagraphs"/>
        <w:rPr>
          <w:lang w:val="en-US" w:eastAsia="es-MX"/>
        </w:rPr>
      </w:pPr>
      <w:bookmarkStart w:id="38" w:name="_Ref72158792"/>
      <w:r w:rsidRPr="00C9465D">
        <w:rPr>
          <w:lang w:val="en-US" w:eastAsia="es-ES"/>
        </w:rPr>
        <w:t>T</w:t>
      </w:r>
      <w:r w:rsidR="00D85850" w:rsidRPr="00C9465D">
        <w:rPr>
          <w:lang w:val="en-US" w:eastAsia="es-ES"/>
        </w:rPr>
        <w:t xml:space="preserve">aking into account the general obligations to respect and to ensure rights established in </w:t>
      </w:r>
      <w:r w:rsidR="00577DE0" w:rsidRPr="00C9465D">
        <w:rPr>
          <w:lang w:val="en-US" w:eastAsia="es-ES"/>
        </w:rPr>
        <w:t>Article 1(1)</w:t>
      </w:r>
      <w:r w:rsidR="00193CBB" w:rsidRPr="00C9465D">
        <w:rPr>
          <w:lang w:val="en-US" w:eastAsia="es-ES"/>
        </w:rPr>
        <w:t xml:space="preserve"> of the American Convention</w:t>
      </w:r>
      <w:r w:rsidRPr="00C9465D">
        <w:rPr>
          <w:lang w:val="en-US" w:eastAsia="es-ES"/>
        </w:rPr>
        <w:t xml:space="preserve">, </w:t>
      </w:r>
      <w:r w:rsidR="00D85850" w:rsidRPr="00C9465D">
        <w:rPr>
          <w:lang w:val="en-US" w:eastAsia="es-ES"/>
        </w:rPr>
        <w:t xml:space="preserve">the interpretation criteria stipulated in </w:t>
      </w:r>
      <w:r w:rsidR="00193CBB" w:rsidRPr="00C9465D">
        <w:rPr>
          <w:lang w:val="en-US" w:eastAsia="es-ES"/>
        </w:rPr>
        <w:t>Article</w:t>
      </w:r>
      <w:r w:rsidRPr="00C9465D">
        <w:rPr>
          <w:lang w:val="en-US" w:eastAsia="es-ES"/>
        </w:rPr>
        <w:t xml:space="preserve"> 29 </w:t>
      </w:r>
      <w:r w:rsidR="00D85850" w:rsidRPr="00C9465D">
        <w:rPr>
          <w:lang w:val="en-US" w:eastAsia="es-ES"/>
        </w:rPr>
        <w:t>of this</w:t>
      </w:r>
      <w:r w:rsidRPr="00C9465D">
        <w:rPr>
          <w:lang w:val="en-US" w:eastAsia="es-ES"/>
        </w:rPr>
        <w:t xml:space="preserve"> Conven</w:t>
      </w:r>
      <w:r w:rsidR="00D85850" w:rsidRPr="00C9465D">
        <w:rPr>
          <w:lang w:val="en-US" w:eastAsia="es-ES"/>
        </w:rPr>
        <w:t>tio</w:t>
      </w:r>
      <w:r w:rsidRPr="00C9465D">
        <w:rPr>
          <w:lang w:val="en-US" w:eastAsia="es-ES"/>
        </w:rPr>
        <w:t xml:space="preserve">n, </w:t>
      </w:r>
      <w:r w:rsidR="00D85850" w:rsidRPr="00C9465D">
        <w:rPr>
          <w:lang w:val="en-US" w:eastAsia="es-ES"/>
        </w:rPr>
        <w:t xml:space="preserve">and the provisions of </w:t>
      </w:r>
      <w:r w:rsidR="00193CBB" w:rsidRPr="00C9465D">
        <w:rPr>
          <w:lang w:val="en-US" w:eastAsia="es-ES"/>
        </w:rPr>
        <w:t xml:space="preserve">the </w:t>
      </w:r>
      <w:r w:rsidR="00D85850" w:rsidRPr="00C9465D">
        <w:rPr>
          <w:lang w:val="en-US" w:eastAsia="es-ES"/>
        </w:rPr>
        <w:t xml:space="preserve">Vienna </w:t>
      </w:r>
      <w:r w:rsidR="00193CBB" w:rsidRPr="00C9465D">
        <w:rPr>
          <w:lang w:val="en-US" w:eastAsia="es-ES"/>
        </w:rPr>
        <w:t>Convention</w:t>
      </w:r>
      <w:r w:rsidRPr="00C9465D">
        <w:rPr>
          <w:lang w:val="en-US" w:eastAsia="es-ES"/>
        </w:rPr>
        <w:t xml:space="preserve"> </w:t>
      </w:r>
      <w:r w:rsidR="00D85850" w:rsidRPr="00C9465D">
        <w:rPr>
          <w:lang w:val="en-US" w:eastAsia="es-ES"/>
        </w:rPr>
        <w:t xml:space="preserve">on the Law of Treaties, the Inter-American </w:t>
      </w:r>
      <w:r w:rsidR="00D85850" w:rsidRPr="00C9465D">
        <w:rPr>
          <w:rFonts w:cs="Verdana"/>
          <w:bCs/>
          <w:lang w:val="en-US"/>
        </w:rPr>
        <w:t>Convention on the Elimination of All Forms of Discrimination against Persons with Disabilities</w:t>
      </w:r>
      <w:r w:rsidR="00102F22" w:rsidRPr="00C9465D">
        <w:rPr>
          <w:bCs/>
          <w:lang w:val="en-US"/>
        </w:rPr>
        <w:t xml:space="preserve">, </w:t>
      </w:r>
      <w:r w:rsidR="00193CBB" w:rsidRPr="00C9465D">
        <w:rPr>
          <w:bCs/>
          <w:lang w:val="en-US"/>
        </w:rPr>
        <w:t xml:space="preserve">the </w:t>
      </w:r>
      <w:r w:rsidR="00593C0F" w:rsidRPr="00C9465D">
        <w:rPr>
          <w:bCs/>
          <w:lang w:val="en-US"/>
        </w:rPr>
        <w:t>Convention on the Rights of Persons with Disabilities</w:t>
      </w:r>
      <w:r w:rsidR="00193CBB" w:rsidRPr="00C9465D">
        <w:rPr>
          <w:bCs/>
          <w:lang w:val="en-US"/>
        </w:rPr>
        <w:t xml:space="preserve"> and </w:t>
      </w:r>
      <w:r w:rsidR="00D85850" w:rsidRPr="00C9465D">
        <w:rPr>
          <w:bCs/>
          <w:lang w:val="en-US"/>
        </w:rPr>
        <w:t xml:space="preserve">other international instruments </w:t>
      </w:r>
      <w:r w:rsidR="00D85850" w:rsidRPr="00C9465D">
        <w:rPr>
          <w:lang w:val="en-US" w:eastAsia="es-ES"/>
        </w:rPr>
        <w:t>(</w:t>
      </w:r>
      <w:r w:rsidRPr="00C9465D">
        <w:rPr>
          <w:i/>
          <w:lang w:val="en-US" w:eastAsia="es-ES"/>
        </w:rPr>
        <w:t>supra</w:t>
      </w:r>
      <w:r w:rsidRPr="00C9465D">
        <w:rPr>
          <w:lang w:val="en-US" w:eastAsia="es-ES"/>
        </w:rPr>
        <w:t xml:space="preserve"> </w:t>
      </w:r>
      <w:r w:rsidR="00D8466F" w:rsidRPr="00C9465D">
        <w:rPr>
          <w:lang w:val="en-US" w:eastAsia="es-ES"/>
        </w:rPr>
        <w:t>paras.</w:t>
      </w:r>
      <w:r w:rsidR="0055319C" w:rsidRPr="00C9465D">
        <w:rPr>
          <w:lang w:val="en-US" w:eastAsia="es-ES"/>
        </w:rPr>
        <w:t xml:space="preserve"> </w:t>
      </w:r>
      <w:r w:rsidR="0055319C" w:rsidRPr="00C9465D">
        <w:rPr>
          <w:lang w:val="en-US" w:eastAsia="es-ES"/>
        </w:rPr>
        <w:fldChar w:fldCharType="begin"/>
      </w:r>
      <w:r w:rsidR="0055319C" w:rsidRPr="00C9465D">
        <w:rPr>
          <w:lang w:val="en-US" w:eastAsia="es-ES"/>
        </w:rPr>
        <w:instrText xml:space="preserve"> REF _Ref319668062 \r \h </w:instrText>
      </w:r>
      <w:r w:rsidR="00496133" w:rsidRPr="00C9465D">
        <w:rPr>
          <w:lang w:val="en-US" w:eastAsia="es-ES"/>
        </w:rPr>
        <w:instrText xml:space="preserve"> \* MERGEFORMAT </w:instrText>
      </w:r>
      <w:r w:rsidR="0055319C" w:rsidRPr="00C9465D">
        <w:rPr>
          <w:lang w:val="en-US" w:eastAsia="es-ES"/>
        </w:rPr>
      </w:r>
      <w:r w:rsidR="0055319C" w:rsidRPr="00C9465D">
        <w:rPr>
          <w:lang w:val="en-US" w:eastAsia="es-ES"/>
        </w:rPr>
        <w:fldChar w:fldCharType="separate"/>
      </w:r>
      <w:r w:rsidR="0055319C" w:rsidRPr="00C9465D">
        <w:rPr>
          <w:lang w:val="en-US" w:eastAsia="es-ES"/>
        </w:rPr>
        <w:t>70</w:t>
      </w:r>
      <w:r w:rsidR="0055319C" w:rsidRPr="00C9465D">
        <w:rPr>
          <w:lang w:val="en-US" w:eastAsia="es-ES"/>
        </w:rPr>
        <w:fldChar w:fldCharType="end"/>
      </w:r>
      <w:r w:rsidR="0055319C" w:rsidRPr="00C9465D">
        <w:rPr>
          <w:lang w:val="en-US" w:eastAsia="es-ES"/>
        </w:rPr>
        <w:t xml:space="preserve"> </w:t>
      </w:r>
      <w:r w:rsidR="00D85850" w:rsidRPr="00C9465D">
        <w:rPr>
          <w:lang w:val="en-US" w:eastAsia="es-ES"/>
        </w:rPr>
        <w:t>to</w:t>
      </w:r>
      <w:r w:rsidR="0055319C" w:rsidRPr="00C9465D">
        <w:rPr>
          <w:lang w:val="en-US" w:eastAsia="es-ES"/>
        </w:rPr>
        <w:t xml:space="preserve"> </w:t>
      </w:r>
      <w:r w:rsidR="0055319C" w:rsidRPr="00C9465D">
        <w:rPr>
          <w:lang w:val="en-US" w:eastAsia="es-ES"/>
        </w:rPr>
        <w:fldChar w:fldCharType="begin"/>
      </w:r>
      <w:r w:rsidR="0055319C" w:rsidRPr="00C9465D">
        <w:rPr>
          <w:lang w:val="en-US" w:eastAsia="es-ES"/>
        </w:rPr>
        <w:instrText xml:space="preserve"> REF _Ref72158606 \r \h </w:instrText>
      </w:r>
      <w:r w:rsidR="00496133" w:rsidRPr="00C9465D">
        <w:rPr>
          <w:lang w:val="en-US" w:eastAsia="es-ES"/>
        </w:rPr>
        <w:instrText xml:space="preserve"> \* MERGEFORMAT </w:instrText>
      </w:r>
      <w:r w:rsidR="0055319C" w:rsidRPr="00C9465D">
        <w:rPr>
          <w:lang w:val="en-US" w:eastAsia="es-ES"/>
        </w:rPr>
      </w:r>
      <w:r w:rsidR="0055319C" w:rsidRPr="00C9465D">
        <w:rPr>
          <w:lang w:val="en-US" w:eastAsia="es-ES"/>
        </w:rPr>
        <w:fldChar w:fldCharType="separate"/>
      </w:r>
      <w:r w:rsidR="0055319C" w:rsidRPr="00C9465D">
        <w:rPr>
          <w:lang w:val="en-US" w:eastAsia="es-ES"/>
        </w:rPr>
        <w:t>77</w:t>
      </w:r>
      <w:r w:rsidR="0055319C" w:rsidRPr="00C9465D">
        <w:rPr>
          <w:lang w:val="en-US" w:eastAsia="es-ES"/>
        </w:rPr>
        <w:fldChar w:fldCharType="end"/>
      </w:r>
      <w:r w:rsidRPr="00C9465D">
        <w:rPr>
          <w:lang w:val="en-US" w:eastAsia="es-ES"/>
        </w:rPr>
        <w:t xml:space="preserve">), </w:t>
      </w:r>
      <w:r w:rsidR="00193CBB" w:rsidRPr="00C9465D">
        <w:rPr>
          <w:lang w:val="en-US" w:eastAsia="es-ES"/>
        </w:rPr>
        <w:t>the Inter-American Court</w:t>
      </w:r>
      <w:r w:rsidRPr="00C9465D">
        <w:rPr>
          <w:lang w:val="en-US" w:eastAsia="es-ES"/>
        </w:rPr>
        <w:t xml:space="preserve"> </w:t>
      </w:r>
      <w:r w:rsidR="00D85850" w:rsidRPr="00C9465D">
        <w:rPr>
          <w:lang w:val="en-US" w:eastAsia="es-ES"/>
        </w:rPr>
        <w:t xml:space="preserve">affirms that disability is a category protected by </w:t>
      </w:r>
      <w:r w:rsidR="00193CBB" w:rsidRPr="00C9465D">
        <w:rPr>
          <w:lang w:val="en-US" w:eastAsia="es-ES"/>
        </w:rPr>
        <w:t>the American Convention</w:t>
      </w:r>
      <w:r w:rsidRPr="00C9465D">
        <w:rPr>
          <w:lang w:val="en-US" w:eastAsia="es-ES"/>
        </w:rPr>
        <w:t xml:space="preserve">. </w:t>
      </w:r>
      <w:r w:rsidR="00D85850" w:rsidRPr="00C9465D">
        <w:rPr>
          <w:lang w:val="en-US" w:eastAsia="es-ES"/>
        </w:rPr>
        <w:t xml:space="preserve">Accordingly, the Convention prohibits any law, act or practice that discriminates based </w:t>
      </w:r>
      <w:r w:rsidR="00EA340A" w:rsidRPr="00C9465D">
        <w:rPr>
          <w:lang w:val="en-US" w:eastAsia="es-ES"/>
        </w:rPr>
        <w:t>an individual’s</w:t>
      </w:r>
      <w:r w:rsidR="00D85850" w:rsidRPr="00C9465D">
        <w:rPr>
          <w:lang w:val="en-US" w:eastAsia="es-ES"/>
        </w:rPr>
        <w:t xml:space="preserve"> real or perceived disability. Consequently, no domestic legal norm, decision or practice, either by state authorities or by private individuals, may reduce or restrict in a discriminating way the rights of a person based on his or her disabilities.</w:t>
      </w:r>
    </w:p>
    <w:p w14:paraId="5C6309E6" w14:textId="74422C23" w:rsidR="00184936" w:rsidRPr="00C9465D" w:rsidRDefault="00184936" w:rsidP="00C95348">
      <w:pPr>
        <w:pStyle w:val="Heading3"/>
        <w:rPr>
          <w:rFonts w:eastAsia="Batang"/>
          <w:lang w:val="en-US"/>
        </w:rPr>
      </w:pPr>
      <w:bookmarkStart w:id="39" w:name="_Toc74298450"/>
      <w:bookmarkEnd w:id="38"/>
      <w:r w:rsidRPr="00C9465D">
        <w:rPr>
          <w:lang w:val="en-US"/>
        </w:rPr>
        <w:t xml:space="preserve">B.2 </w:t>
      </w:r>
      <w:r w:rsidRPr="00C9465D">
        <w:rPr>
          <w:lang w:val="en-US"/>
        </w:rPr>
        <w:tab/>
      </w:r>
      <w:r w:rsidR="00D85850" w:rsidRPr="00C9465D">
        <w:rPr>
          <w:lang w:val="en-US"/>
        </w:rPr>
        <w:t>General obligations with regard to persons with disabilities</w:t>
      </w:r>
      <w:bookmarkEnd w:id="39"/>
    </w:p>
    <w:p w14:paraId="0B260244" w14:textId="304AE23E" w:rsidR="00433B7D" w:rsidRPr="00C9465D" w:rsidRDefault="00D85850" w:rsidP="00D85850">
      <w:pPr>
        <w:pStyle w:val="Numberedparagraphs"/>
        <w:rPr>
          <w:lang w:val="en-US"/>
        </w:rPr>
      </w:pPr>
      <w:r w:rsidRPr="00C9465D">
        <w:rPr>
          <w:lang w:val="en-US"/>
        </w:rPr>
        <w:t>Persons with disabilities</w:t>
      </w:r>
      <w:r w:rsidR="002D675C" w:rsidRPr="00C9465D">
        <w:rPr>
          <w:lang w:val="en-US"/>
        </w:rPr>
        <w:t xml:space="preserve"> </w:t>
      </w:r>
      <w:r w:rsidRPr="00C9465D">
        <w:rPr>
          <w:lang w:val="en-US"/>
        </w:rPr>
        <w:t xml:space="preserve">are entitled to the rights established in </w:t>
      </w:r>
      <w:r w:rsidR="00193CBB" w:rsidRPr="00C9465D">
        <w:rPr>
          <w:lang w:val="en-US"/>
        </w:rPr>
        <w:t>the American Convention</w:t>
      </w:r>
      <w:r w:rsidR="002D675C" w:rsidRPr="00C9465D">
        <w:rPr>
          <w:lang w:val="en-US"/>
        </w:rPr>
        <w:t xml:space="preserve">. </w:t>
      </w:r>
      <w:r w:rsidRPr="00C9465D">
        <w:rPr>
          <w:lang w:val="en-US"/>
        </w:rPr>
        <w:t xml:space="preserve">The obligation to respect human rights recognized in </w:t>
      </w:r>
      <w:r w:rsidR="00193CBB" w:rsidRPr="00C9465D">
        <w:rPr>
          <w:lang w:val="en-US"/>
        </w:rPr>
        <w:t>the Convention</w:t>
      </w:r>
      <w:r w:rsidRPr="00C9465D">
        <w:rPr>
          <w:lang w:val="en-US"/>
        </w:rPr>
        <w:t xml:space="preserve"> </w:t>
      </w:r>
      <w:r w:rsidR="00433B7D" w:rsidRPr="00C9465D">
        <w:rPr>
          <w:lang w:val="en-US"/>
        </w:rPr>
        <w:t>conc</w:t>
      </w:r>
      <w:r w:rsidRPr="00C9465D">
        <w:rPr>
          <w:lang w:val="en-US"/>
        </w:rPr>
        <w:t>erns all those who act in the name of the State, especially if they act in the capacity of state organs, so that any possible violations committed by the latter are directly attributable to the State. The obligation to ensure the free and full exercise of the said rights means that the State is responsible for their violation by third parties if it has not adopted the essential measures to prevent their infringement or to make this cease, redressing the harm caused. And the foregoing with regard to any person who, for any reason or circumstance, is subject to its jurisdiction.</w:t>
      </w:r>
      <w:r w:rsidR="00576FEB" w:rsidRPr="00C9465D">
        <w:rPr>
          <w:rStyle w:val="FootnoteReference"/>
          <w:lang w:val="en-US"/>
        </w:rPr>
        <w:footnoteReference w:id="149"/>
      </w:r>
    </w:p>
    <w:p w14:paraId="4C31A9CB" w14:textId="5897984A" w:rsidR="00433B7D" w:rsidRPr="00C9465D" w:rsidRDefault="00D85850" w:rsidP="00AA3C22">
      <w:pPr>
        <w:pStyle w:val="Numberedparagraphs"/>
        <w:rPr>
          <w:strike/>
          <w:lang w:val="en-US"/>
        </w:rPr>
      </w:pPr>
      <w:r w:rsidRPr="00C9465D">
        <w:rPr>
          <w:lang w:val="en-US"/>
        </w:rPr>
        <w:t xml:space="preserve">In light of the obligation not to discriminate, States are also obliged to adopt positive </w:t>
      </w:r>
      <w:r w:rsidR="00EA340A" w:rsidRPr="00C9465D">
        <w:rPr>
          <w:lang w:val="en-US"/>
        </w:rPr>
        <w:t xml:space="preserve">measures </w:t>
      </w:r>
      <w:r w:rsidRPr="00C9465D">
        <w:rPr>
          <w:lang w:val="en-US"/>
        </w:rPr>
        <w:t xml:space="preserve">to reverse or change any discriminatory situations that exist in their societies </w:t>
      </w:r>
      <w:r w:rsidR="00EA340A" w:rsidRPr="00C9465D">
        <w:rPr>
          <w:lang w:val="en-US"/>
        </w:rPr>
        <w:t xml:space="preserve">which </w:t>
      </w:r>
      <w:r w:rsidRPr="00C9465D">
        <w:rPr>
          <w:lang w:val="en-US"/>
        </w:rPr>
        <w:t>affect a determined group of individuals. This entails the special duty of protection that the State must exercise as regards actions and practices of third parties who, with its tolerance or acquiescence, create, maintain or encourage discriminatory situations.</w:t>
      </w:r>
      <w:r w:rsidR="00433B7D" w:rsidRPr="00C9465D">
        <w:rPr>
          <w:rStyle w:val="FootnoteReference"/>
          <w:lang w:val="en-US"/>
        </w:rPr>
        <w:footnoteReference w:id="150"/>
      </w:r>
      <w:r w:rsidR="00433B7D" w:rsidRPr="00C9465D">
        <w:rPr>
          <w:lang w:val="en-US"/>
        </w:rPr>
        <w:t xml:space="preserve"> </w:t>
      </w:r>
    </w:p>
    <w:p w14:paraId="18DB3EBF" w14:textId="164D900B" w:rsidR="000202C8" w:rsidRPr="00C9465D" w:rsidRDefault="00513943" w:rsidP="00513943">
      <w:pPr>
        <w:pStyle w:val="Numberedparagraphs"/>
        <w:rPr>
          <w:lang w:val="en-US"/>
        </w:rPr>
      </w:pPr>
      <w:r w:rsidRPr="00C9465D">
        <w:rPr>
          <w:bCs/>
          <w:lang w:val="en-US"/>
        </w:rPr>
        <w:lastRenderedPageBreak/>
        <w:t>The</w:t>
      </w:r>
      <w:r w:rsidR="000202C8" w:rsidRPr="00C9465D">
        <w:rPr>
          <w:bCs/>
          <w:lang w:val="en-US"/>
        </w:rPr>
        <w:t xml:space="preserve"> </w:t>
      </w:r>
      <w:r w:rsidR="00EA340A" w:rsidRPr="00C9465D">
        <w:rPr>
          <w:bCs/>
          <w:lang w:val="en-US"/>
        </w:rPr>
        <w:t>IACDIS</w:t>
      </w:r>
      <w:r w:rsidR="000202C8" w:rsidRPr="00C9465D">
        <w:rPr>
          <w:bCs/>
          <w:lang w:val="en-US"/>
        </w:rPr>
        <w:t xml:space="preserve"> </w:t>
      </w:r>
      <w:r w:rsidRPr="00C9465D">
        <w:rPr>
          <w:bCs/>
          <w:lang w:val="en-US"/>
        </w:rPr>
        <w:t xml:space="preserve">establishes a list of obligations that States must meet in order </w:t>
      </w:r>
      <w:r w:rsidRPr="00C9465D">
        <w:rPr>
          <w:lang w:val="en-US"/>
        </w:rPr>
        <w:t>“t</w:t>
      </w:r>
      <w:r w:rsidRPr="00C9465D">
        <w:rPr>
          <w:rFonts w:cs="Tahoma"/>
          <w:lang w:val="en-US"/>
        </w:rPr>
        <w:t>o prevent and eliminate all forms of discrimination against persons with disabilities and to promote their full integration into society.</w:t>
      </w:r>
      <w:r w:rsidR="000202C8" w:rsidRPr="00C9465D">
        <w:rPr>
          <w:bCs/>
          <w:lang w:val="en-US"/>
        </w:rPr>
        <w:t>”</w:t>
      </w:r>
      <w:r w:rsidR="000202C8" w:rsidRPr="00C9465D">
        <w:rPr>
          <w:rStyle w:val="FootnoteReference"/>
          <w:bCs/>
          <w:lang w:val="en-US"/>
        </w:rPr>
        <w:footnoteReference w:id="151"/>
      </w:r>
      <w:r w:rsidRPr="00C9465D">
        <w:rPr>
          <w:bCs/>
          <w:lang w:val="en-US"/>
        </w:rPr>
        <w:t xml:space="preserve"> Ecuador ratified this convention on March 18, </w:t>
      </w:r>
      <w:r w:rsidR="000202C8" w:rsidRPr="00C9465D">
        <w:rPr>
          <w:lang w:val="en-US"/>
        </w:rPr>
        <w:t>2004</w:t>
      </w:r>
      <w:r w:rsidRPr="00C9465D">
        <w:rPr>
          <w:lang w:val="en-US"/>
        </w:rPr>
        <w:t>.</w:t>
      </w:r>
      <w:r w:rsidR="000202C8" w:rsidRPr="00C9465D">
        <w:rPr>
          <w:rStyle w:val="FootnoteReference"/>
          <w:lang w:val="en-US"/>
        </w:rPr>
        <w:footnoteReference w:id="152"/>
      </w:r>
      <w:r w:rsidR="000202C8" w:rsidRPr="00C9465D">
        <w:rPr>
          <w:bCs/>
          <w:lang w:val="en-US"/>
        </w:rPr>
        <w:t xml:space="preserve"> </w:t>
      </w:r>
    </w:p>
    <w:p w14:paraId="22C56DC5" w14:textId="543F4C70" w:rsidR="008E5B0F" w:rsidRPr="00C9465D" w:rsidRDefault="00513943" w:rsidP="00513943">
      <w:pPr>
        <w:pStyle w:val="Numberedparagraphs"/>
        <w:rPr>
          <w:lang w:val="en-US"/>
        </w:rPr>
      </w:pPr>
      <w:r w:rsidRPr="00C9465D">
        <w:rPr>
          <w:bCs/>
          <w:lang w:val="en-US"/>
        </w:rPr>
        <w:t xml:space="preserve">Meanwhile, the </w:t>
      </w:r>
      <w:r w:rsidR="00593C0F" w:rsidRPr="00C9465D">
        <w:rPr>
          <w:bCs/>
          <w:lang w:val="en-US"/>
        </w:rPr>
        <w:t>CRPD</w:t>
      </w:r>
      <w:r w:rsidR="00626D13" w:rsidRPr="00C9465D">
        <w:rPr>
          <w:bCs/>
          <w:lang w:val="en-US"/>
        </w:rPr>
        <w:t xml:space="preserve"> establ</w:t>
      </w:r>
      <w:r w:rsidRPr="00C9465D">
        <w:rPr>
          <w:bCs/>
          <w:lang w:val="en-US"/>
        </w:rPr>
        <w:t>ishes the following general principles in this regard</w:t>
      </w:r>
      <w:r w:rsidR="00626D13" w:rsidRPr="00C9465D">
        <w:rPr>
          <w:bCs/>
          <w:lang w:val="en-US"/>
        </w:rPr>
        <w:t xml:space="preserve">: </w:t>
      </w:r>
      <w:r w:rsidRPr="00C9465D">
        <w:rPr>
          <w:bCs/>
          <w:lang w:val="en-US"/>
        </w:rPr>
        <w:t>(</w:t>
      </w:r>
      <w:r w:rsidR="00626D13" w:rsidRPr="00C9465D">
        <w:rPr>
          <w:rFonts w:cs="TimesNewRoman,Italic"/>
          <w:iCs/>
          <w:lang w:val="en-US"/>
        </w:rPr>
        <w:t>i</w:t>
      </w:r>
      <w:r w:rsidR="00626D13" w:rsidRPr="00C9465D">
        <w:rPr>
          <w:lang w:val="en-US"/>
        </w:rPr>
        <w:t xml:space="preserve">) </w:t>
      </w:r>
      <w:r w:rsidRPr="00C9465D">
        <w:rPr>
          <w:lang w:val="en-US"/>
        </w:rPr>
        <w:t>respect for inherent dignity, individual autonomy including the freedom to make one’s own choices, and independence of persons; (ii) non-discrimination; (iii) full and effective participation and inclusion in society;  (iv) respect for difference and acceptance of persons with disabilities as part of human diversity and humanity; (v) equality of opportunity; (vi) accessibility; (vii) equality between men and women, and (viii) respect for the evolving capacities of children with disabilities and respect for the right of children with disabilities to preserve their identities.</w:t>
      </w:r>
      <w:r w:rsidR="00F2797F" w:rsidRPr="00C9465D">
        <w:rPr>
          <w:rStyle w:val="FootnoteReference"/>
          <w:rFonts w:cs="TimesNewRoman"/>
          <w:lang w:val="en-US"/>
        </w:rPr>
        <w:footnoteReference w:id="153"/>
      </w:r>
      <w:r w:rsidR="00626D13" w:rsidRPr="00C9465D">
        <w:rPr>
          <w:lang w:val="en-US"/>
        </w:rPr>
        <w:t xml:space="preserve"> </w:t>
      </w:r>
      <w:r w:rsidRPr="00C9465D">
        <w:rPr>
          <w:bCs/>
          <w:lang w:val="en-US"/>
        </w:rPr>
        <w:t xml:space="preserve">Ecuador ratified this convention on April 3, </w:t>
      </w:r>
      <w:r w:rsidR="00626D13" w:rsidRPr="00C9465D">
        <w:rPr>
          <w:lang w:val="en-US"/>
        </w:rPr>
        <w:t>2008</w:t>
      </w:r>
      <w:r w:rsidRPr="00C9465D">
        <w:rPr>
          <w:lang w:val="en-US"/>
        </w:rPr>
        <w:t>.</w:t>
      </w:r>
      <w:r w:rsidR="00626D13" w:rsidRPr="00C9465D">
        <w:rPr>
          <w:rStyle w:val="FootnoteReference"/>
          <w:rFonts w:cs="TimesNewRoman"/>
          <w:lang w:val="en-US"/>
        </w:rPr>
        <w:footnoteReference w:id="154"/>
      </w:r>
    </w:p>
    <w:p w14:paraId="5E23CAE9" w14:textId="68BB2583" w:rsidR="00626D13" w:rsidRPr="00C9465D" w:rsidRDefault="00513943" w:rsidP="00AA3C22">
      <w:pPr>
        <w:pStyle w:val="Numberedparagraphs"/>
        <w:rPr>
          <w:lang w:val="en-US"/>
        </w:rPr>
      </w:pPr>
      <w:r w:rsidRPr="00C9465D">
        <w:rPr>
          <w:bCs/>
          <w:lang w:val="en-US"/>
        </w:rPr>
        <w:t>The</w:t>
      </w:r>
      <w:r w:rsidR="00626D13" w:rsidRPr="00C9465D">
        <w:rPr>
          <w:bCs/>
          <w:lang w:val="en-US"/>
        </w:rPr>
        <w:t xml:space="preserve"> </w:t>
      </w:r>
      <w:r w:rsidR="00EA340A" w:rsidRPr="00C9465D">
        <w:rPr>
          <w:bCs/>
          <w:lang w:val="en-US"/>
        </w:rPr>
        <w:t>IACDIS</w:t>
      </w:r>
      <w:r w:rsidR="00626D13" w:rsidRPr="00C9465D">
        <w:rPr>
          <w:bCs/>
          <w:lang w:val="en-US"/>
        </w:rPr>
        <w:t xml:space="preserve"> define</w:t>
      </w:r>
      <w:r w:rsidRPr="00C9465D">
        <w:rPr>
          <w:bCs/>
          <w:lang w:val="en-US"/>
        </w:rPr>
        <w:t>s</w:t>
      </w:r>
      <w:r w:rsidR="00626D13" w:rsidRPr="00C9465D">
        <w:rPr>
          <w:bCs/>
          <w:lang w:val="en-US"/>
        </w:rPr>
        <w:t xml:space="preserve"> </w:t>
      </w:r>
      <w:r w:rsidR="00AE0473" w:rsidRPr="00C9465D">
        <w:rPr>
          <w:bCs/>
          <w:lang w:val="en-US"/>
        </w:rPr>
        <w:t>the term</w:t>
      </w:r>
      <w:r w:rsidR="00626D13" w:rsidRPr="00C9465D">
        <w:rPr>
          <w:bCs/>
          <w:lang w:val="en-US"/>
        </w:rPr>
        <w:t xml:space="preserve"> “dis</w:t>
      </w:r>
      <w:r w:rsidR="00AE0473" w:rsidRPr="00C9465D">
        <w:rPr>
          <w:bCs/>
          <w:lang w:val="en-US"/>
        </w:rPr>
        <w:t>abilities</w:t>
      </w:r>
      <w:r w:rsidR="00626D13" w:rsidRPr="00C9465D">
        <w:rPr>
          <w:bCs/>
          <w:lang w:val="en-US"/>
        </w:rPr>
        <w:t xml:space="preserve">” </w:t>
      </w:r>
      <w:r w:rsidR="00AE0473" w:rsidRPr="00C9465D">
        <w:rPr>
          <w:bCs/>
          <w:lang w:val="en-US"/>
        </w:rPr>
        <w:t>as</w:t>
      </w:r>
      <w:r w:rsidR="00AE0473" w:rsidRPr="00C9465D">
        <w:rPr>
          <w:rFonts w:cs="Tahoma"/>
          <w:lang w:val="en-US"/>
        </w:rPr>
        <w:t xml:space="preserve"> “a physical, mental, or sensory impairment, whether permanent or temporary, that limits the capacity to perform one or more essential activities of daily life, and which can be caused or aggravated by the economic and social environment.</w:t>
      </w:r>
      <w:r w:rsidR="00626D13" w:rsidRPr="00C9465D">
        <w:rPr>
          <w:bCs/>
          <w:lang w:val="en-US"/>
        </w:rPr>
        <w:t>”</w:t>
      </w:r>
      <w:r w:rsidR="00626D13" w:rsidRPr="00C9465D">
        <w:rPr>
          <w:rStyle w:val="FootnoteReference"/>
          <w:bCs/>
          <w:lang w:val="en-US"/>
        </w:rPr>
        <w:footnoteReference w:id="155"/>
      </w:r>
      <w:r w:rsidR="00313620" w:rsidRPr="00C9465D">
        <w:rPr>
          <w:bCs/>
          <w:lang w:val="en-US"/>
        </w:rPr>
        <w:t xml:space="preserve"> </w:t>
      </w:r>
      <w:r w:rsidR="00AE0473" w:rsidRPr="00C9465D">
        <w:rPr>
          <w:bCs/>
          <w:lang w:val="en-US"/>
        </w:rPr>
        <w:t>While</w:t>
      </w:r>
      <w:r w:rsidR="00626D13" w:rsidRPr="00C9465D">
        <w:rPr>
          <w:bCs/>
          <w:lang w:val="en-US"/>
        </w:rPr>
        <w:t xml:space="preserve"> </w:t>
      </w:r>
      <w:r w:rsidR="00AE0473" w:rsidRPr="00C9465D">
        <w:rPr>
          <w:bCs/>
          <w:lang w:val="en-US"/>
        </w:rPr>
        <w:t>the</w:t>
      </w:r>
      <w:r w:rsidR="00626D13" w:rsidRPr="00C9465D">
        <w:rPr>
          <w:bCs/>
          <w:lang w:val="en-US"/>
        </w:rPr>
        <w:t xml:space="preserve"> </w:t>
      </w:r>
      <w:r w:rsidR="00593C0F" w:rsidRPr="00C9465D">
        <w:rPr>
          <w:bCs/>
          <w:lang w:val="en-US"/>
        </w:rPr>
        <w:t>CRPD</w:t>
      </w:r>
      <w:r w:rsidR="00626D13" w:rsidRPr="00C9465D">
        <w:rPr>
          <w:bCs/>
          <w:lang w:val="en-US"/>
        </w:rPr>
        <w:t xml:space="preserve"> establ</w:t>
      </w:r>
      <w:r w:rsidR="00AE0473" w:rsidRPr="00C9465D">
        <w:rPr>
          <w:bCs/>
          <w:lang w:val="en-US"/>
        </w:rPr>
        <w:t xml:space="preserve">ishes that </w:t>
      </w:r>
      <w:r w:rsidR="00D85850" w:rsidRPr="00C9465D">
        <w:rPr>
          <w:bCs/>
          <w:lang w:val="en-US"/>
        </w:rPr>
        <w:t>persons with disabilities</w:t>
      </w:r>
      <w:r w:rsidR="00626D13" w:rsidRPr="00C9465D">
        <w:rPr>
          <w:bCs/>
          <w:lang w:val="en-US"/>
        </w:rPr>
        <w:t xml:space="preserve"> “</w:t>
      </w:r>
      <w:r w:rsidR="00AE0473" w:rsidRPr="00C9465D">
        <w:rPr>
          <w:shd w:val="clear" w:color="auto" w:fill="FFFFFF"/>
          <w:lang w:val="en-US"/>
        </w:rPr>
        <w:t>include those who have long-term physical, mental, intellectual or sensory impairments which in interaction with various barriers may hinder their full and effective participation in society on an equal basis with others</w:t>
      </w:r>
      <w:r w:rsidR="00AE0473" w:rsidRPr="00C9465D">
        <w:rPr>
          <w:rFonts w:cs="TimesNewRoman"/>
          <w:lang w:val="en-US"/>
        </w:rPr>
        <w:t>.</w:t>
      </w:r>
      <w:r w:rsidR="00626D13" w:rsidRPr="00C9465D">
        <w:rPr>
          <w:rFonts w:cs="TimesNewRoman"/>
          <w:lang w:val="en-US"/>
        </w:rPr>
        <w:t>”</w:t>
      </w:r>
      <w:r w:rsidR="00626D13" w:rsidRPr="00C9465D">
        <w:rPr>
          <w:rStyle w:val="FootnoteReference"/>
          <w:lang w:val="en-US"/>
        </w:rPr>
        <w:footnoteReference w:id="156"/>
      </w:r>
    </w:p>
    <w:p w14:paraId="1FE21424" w14:textId="53CB17F0" w:rsidR="00592D5B" w:rsidRPr="00C9465D" w:rsidRDefault="00AE0473" w:rsidP="00AE0473">
      <w:pPr>
        <w:pStyle w:val="Numberedparagraphs"/>
        <w:rPr>
          <w:lang w:val="en-US"/>
        </w:rPr>
      </w:pPr>
      <w:r w:rsidRPr="00C9465D">
        <w:rPr>
          <w:lang w:val="en-US"/>
        </w:rPr>
        <w:t xml:space="preserve">In this regard, </w:t>
      </w:r>
      <w:r w:rsidR="00193CBB" w:rsidRPr="00C9465D">
        <w:rPr>
          <w:lang w:val="en-US"/>
        </w:rPr>
        <w:t>the Court</w:t>
      </w:r>
      <w:r w:rsidR="00626D13" w:rsidRPr="00C9465D">
        <w:rPr>
          <w:lang w:val="en-US"/>
        </w:rPr>
        <w:t xml:space="preserve"> observ</w:t>
      </w:r>
      <w:r w:rsidRPr="00C9465D">
        <w:rPr>
          <w:lang w:val="en-US"/>
        </w:rPr>
        <w:t>es that, these conventions take the social model into account to address disabilities, and this means that disability is not defined exclusively by the presence of a physical, mental, intellectual or sensorial impairment, but interrelates this with the barriers or limitations that exist in the social environment that prevent the individual from being able to exercise his or her rights effectively.</w:t>
      </w:r>
      <w:r w:rsidR="00626D13" w:rsidRPr="00C9465D">
        <w:rPr>
          <w:rStyle w:val="FootnoteReference"/>
          <w:rFonts w:cs="TimesNewRoman"/>
          <w:lang w:val="en-US"/>
        </w:rPr>
        <w:footnoteReference w:id="157"/>
      </w:r>
      <w:r w:rsidRPr="00C9465D">
        <w:rPr>
          <w:lang w:val="en-US"/>
        </w:rPr>
        <w:t xml:space="preserve"> Persons with functional diversity regularly face physical, architectural, communicative, attitudinal or socio-economic </w:t>
      </w:r>
      <w:r w:rsidR="001B007D" w:rsidRPr="00C9465D">
        <w:rPr>
          <w:lang w:val="en-US"/>
        </w:rPr>
        <w:t xml:space="preserve">limitations or </w:t>
      </w:r>
      <w:r w:rsidRPr="00C9465D">
        <w:rPr>
          <w:lang w:val="en-US"/>
        </w:rPr>
        <w:t>barriers in society.</w:t>
      </w:r>
      <w:r w:rsidR="00626D13" w:rsidRPr="00C9465D">
        <w:rPr>
          <w:rStyle w:val="FootnoteReference"/>
          <w:lang w:val="en-US"/>
        </w:rPr>
        <w:footnoteReference w:id="158"/>
      </w:r>
      <w:r w:rsidR="00626D13" w:rsidRPr="00C9465D">
        <w:rPr>
          <w:lang w:val="en-US"/>
        </w:rPr>
        <w:t xml:space="preserve"> </w:t>
      </w:r>
    </w:p>
    <w:p w14:paraId="6C9A29D0" w14:textId="1C45616D" w:rsidR="00626D13" w:rsidRPr="00C9465D" w:rsidRDefault="001B007D" w:rsidP="00AA3C22">
      <w:pPr>
        <w:pStyle w:val="Numberedparagraphs"/>
        <w:rPr>
          <w:rFonts w:cs="TimesNewRoman"/>
          <w:lang w:val="en-US"/>
        </w:rPr>
      </w:pPr>
      <w:r w:rsidRPr="00C9465D">
        <w:rPr>
          <w:lang w:val="en-US"/>
        </w:rPr>
        <w:t xml:space="preserve">To comply with the special obligations of protection for all those who are in a vulnerable situation, it is essential that States adopt positive measures, to be determined based on the particular needs for protection of the subject of law, due to his or her personal condition or specific situation, such as being </w:t>
      </w:r>
      <w:r w:rsidR="00EA340A" w:rsidRPr="00C9465D">
        <w:rPr>
          <w:lang w:val="en-US"/>
        </w:rPr>
        <w:t xml:space="preserve">a </w:t>
      </w:r>
      <w:r w:rsidRPr="00C9465D">
        <w:rPr>
          <w:lang w:val="en-US"/>
        </w:rPr>
        <w:t>person with disabilities.</w:t>
      </w:r>
      <w:r w:rsidR="00626D13" w:rsidRPr="00C9465D">
        <w:rPr>
          <w:rStyle w:val="FootnoteAnchor"/>
          <w:bCs/>
          <w:lang w:val="en-US"/>
        </w:rPr>
        <w:footnoteReference w:id="159"/>
      </w:r>
      <w:r w:rsidR="00626D13" w:rsidRPr="00C9465D">
        <w:rPr>
          <w:lang w:val="en-US"/>
        </w:rPr>
        <w:t xml:space="preserve"> </w:t>
      </w:r>
      <w:r w:rsidRPr="00C9465D">
        <w:rPr>
          <w:lang w:val="en-US"/>
        </w:rPr>
        <w:t xml:space="preserve">Therefore, States have the obligation to encourage the inclusion of </w:t>
      </w:r>
      <w:r w:rsidR="00D85850" w:rsidRPr="00C9465D">
        <w:rPr>
          <w:lang w:val="en-US"/>
        </w:rPr>
        <w:t>persons with disabilities</w:t>
      </w:r>
      <w:r w:rsidR="00626D13" w:rsidRPr="00C9465D">
        <w:rPr>
          <w:lang w:val="en-US"/>
        </w:rPr>
        <w:t xml:space="preserve"> </w:t>
      </w:r>
      <w:r w:rsidRPr="00C9465D">
        <w:rPr>
          <w:lang w:val="en-US"/>
        </w:rPr>
        <w:t xml:space="preserve">by ensuring equal conditions, </w:t>
      </w:r>
      <w:r w:rsidRPr="00C9465D">
        <w:rPr>
          <w:lang w:val="en-US"/>
        </w:rPr>
        <w:lastRenderedPageBreak/>
        <w:t>opportunities and participation in all spheres of society,</w:t>
      </w:r>
      <w:r w:rsidR="00626D13" w:rsidRPr="00C9465D">
        <w:rPr>
          <w:rStyle w:val="FootnoteAnchor"/>
          <w:bCs/>
          <w:lang w:val="en-US"/>
        </w:rPr>
        <w:footnoteReference w:id="160"/>
      </w:r>
      <w:r w:rsidRPr="00C9465D">
        <w:rPr>
          <w:lang w:val="en-US"/>
        </w:rPr>
        <w:t xml:space="preserve"> to ensure that any legal or </w:t>
      </w:r>
      <w:r w:rsidRPr="00C9465D">
        <w:rPr>
          <w:i/>
          <w:iCs/>
          <w:lang w:val="en-US"/>
        </w:rPr>
        <w:t>de facto</w:t>
      </w:r>
      <w:r w:rsidRPr="00C9465D">
        <w:rPr>
          <w:lang w:val="en-US"/>
        </w:rPr>
        <w:t xml:space="preserve"> limitations are dismantled. Consequently, States must promote social inclusion practices and adopt positive differentiation measures to removes such barriers.</w:t>
      </w:r>
      <w:r w:rsidR="00626D13" w:rsidRPr="00C9465D">
        <w:rPr>
          <w:rStyle w:val="FootnoteAnchor"/>
          <w:rFonts w:cs="DejaVuSans"/>
          <w:lang w:val="en-US"/>
        </w:rPr>
        <w:footnoteReference w:id="161"/>
      </w:r>
      <w:r w:rsidR="00626D13" w:rsidRPr="00C9465D">
        <w:rPr>
          <w:rFonts w:eastAsia="Calibri"/>
          <w:lang w:val="en-US" w:eastAsia="es-CR"/>
        </w:rPr>
        <w:t xml:space="preserve"> </w:t>
      </w:r>
    </w:p>
    <w:p w14:paraId="6CD5016B" w14:textId="59DE1548" w:rsidR="008E5B0F" w:rsidRPr="00C9465D" w:rsidRDefault="00193CBB" w:rsidP="007F66C0">
      <w:pPr>
        <w:pStyle w:val="Numberedparagraphs"/>
        <w:rPr>
          <w:rFonts w:cs="Verdana"/>
          <w:bCs/>
          <w:lang w:val="en-US"/>
        </w:rPr>
      </w:pPr>
      <w:r w:rsidRPr="00C9465D">
        <w:rPr>
          <w:lang w:val="en-US"/>
        </w:rPr>
        <w:t>The Court</w:t>
      </w:r>
      <w:r w:rsidR="008D662E" w:rsidRPr="00C9465D">
        <w:rPr>
          <w:lang w:val="en-US"/>
        </w:rPr>
        <w:t xml:space="preserve"> </w:t>
      </w:r>
      <w:r w:rsidR="00AB4761" w:rsidRPr="00C9465D">
        <w:rPr>
          <w:lang w:val="en-US"/>
        </w:rPr>
        <w:t>holds</w:t>
      </w:r>
      <w:r w:rsidR="001B007D" w:rsidRPr="00C9465D">
        <w:rPr>
          <w:lang w:val="en-US"/>
        </w:rPr>
        <w:t xml:space="preserve"> that</w:t>
      </w:r>
      <w:r w:rsidR="008D662E" w:rsidRPr="00C9465D">
        <w:rPr>
          <w:lang w:val="en-US"/>
        </w:rPr>
        <w:t xml:space="preserve"> </w:t>
      </w:r>
      <w:r w:rsidR="00D85850" w:rsidRPr="00C9465D">
        <w:rPr>
          <w:lang w:val="en-US"/>
        </w:rPr>
        <w:t>persons with disabilities</w:t>
      </w:r>
      <w:r w:rsidR="00626D13" w:rsidRPr="00C9465D">
        <w:rPr>
          <w:lang w:val="en-US"/>
        </w:rPr>
        <w:t xml:space="preserve"> </w:t>
      </w:r>
      <w:r w:rsidR="001B007D" w:rsidRPr="00C9465D">
        <w:rPr>
          <w:lang w:val="en-US"/>
        </w:rPr>
        <w:t>are often subject to discrimination based on their condition</w:t>
      </w:r>
      <w:r w:rsidR="00AB4761" w:rsidRPr="00C9465D">
        <w:rPr>
          <w:lang w:val="en-US"/>
        </w:rPr>
        <w:t>.</w:t>
      </w:r>
      <w:r w:rsidR="001B007D" w:rsidRPr="00C9465D">
        <w:rPr>
          <w:lang w:val="en-US"/>
        </w:rPr>
        <w:t xml:space="preserve"> </w:t>
      </w:r>
      <w:r w:rsidR="00AB4761" w:rsidRPr="00C9465D">
        <w:rPr>
          <w:lang w:val="en-US"/>
        </w:rPr>
        <w:t>T</w:t>
      </w:r>
      <w:r w:rsidR="001B007D" w:rsidRPr="00C9465D">
        <w:rPr>
          <w:lang w:val="en-US"/>
        </w:rPr>
        <w:t xml:space="preserve">herefore, State must adopt the necessary legislative, social, educational, labor or any other measures to eliminate all </w:t>
      </w:r>
      <w:r w:rsidR="00AB4761" w:rsidRPr="00C9465D">
        <w:rPr>
          <w:lang w:val="en-US"/>
        </w:rPr>
        <w:t xml:space="preserve">disability-based </w:t>
      </w:r>
      <w:r w:rsidR="001B007D" w:rsidRPr="00C9465D">
        <w:rPr>
          <w:lang w:val="en-US"/>
        </w:rPr>
        <w:t xml:space="preserve">discrimination </w:t>
      </w:r>
      <w:r w:rsidR="00626D13" w:rsidRPr="00C9465D">
        <w:rPr>
          <w:lang w:val="en-US"/>
        </w:rPr>
        <w:t>a</w:t>
      </w:r>
      <w:r w:rsidR="001B007D" w:rsidRPr="00C9465D">
        <w:rPr>
          <w:lang w:val="en-US"/>
        </w:rPr>
        <w:t>nd to promote the full integration of persons with disabilities into society.</w:t>
      </w:r>
      <w:r w:rsidR="00626D13" w:rsidRPr="00C9465D">
        <w:rPr>
          <w:rStyle w:val="FootnoteReference"/>
          <w:lang w:val="en-US"/>
        </w:rPr>
        <w:footnoteReference w:id="162"/>
      </w:r>
      <w:r w:rsidR="00626D13" w:rsidRPr="00C9465D">
        <w:rPr>
          <w:lang w:val="en-US"/>
        </w:rPr>
        <w:t xml:space="preserve"> </w:t>
      </w:r>
      <w:bookmarkEnd w:id="28"/>
      <w:r w:rsidR="00B07FDE" w:rsidRPr="00C9465D">
        <w:rPr>
          <w:lang w:val="en-US"/>
        </w:rPr>
        <w:t>In this regard, the Committee on Economic, Social and Cultural Rights</w:t>
      </w:r>
      <w:r w:rsidR="002E7B6D" w:rsidRPr="00C9465D">
        <w:rPr>
          <w:lang w:val="en-US"/>
        </w:rPr>
        <w:t xml:space="preserve"> ha</w:t>
      </w:r>
      <w:r w:rsidR="00B07FDE" w:rsidRPr="00C9465D">
        <w:rPr>
          <w:lang w:val="en-US"/>
        </w:rPr>
        <w:t xml:space="preserve">s emphasized </w:t>
      </w:r>
      <w:r w:rsidR="00AB4761" w:rsidRPr="00C9465D">
        <w:rPr>
          <w:lang w:val="en-US"/>
        </w:rPr>
        <w:t xml:space="preserve">that States have </w:t>
      </w:r>
      <w:r w:rsidR="00B07FDE" w:rsidRPr="00C9465D">
        <w:rPr>
          <w:lang w:val="en-US"/>
        </w:rPr>
        <w:t>the obligation “</w:t>
      </w:r>
      <w:r w:rsidR="007F66C0" w:rsidRPr="00C9465D">
        <w:rPr>
          <w:rStyle w:val="markedcontent"/>
          <w:lang w:val="en-US"/>
        </w:rPr>
        <w:t>to take appropriate measures, to the maximum extent of their available resources, to enable [persons with disabilities] to seek to overcome any disadvantages, in terms of the enjoyment of the rights specified in the Covenant, flowing from their disability.</w:t>
      </w:r>
      <w:r w:rsidR="00284A8F" w:rsidRPr="00C9465D">
        <w:rPr>
          <w:lang w:val="en-US"/>
        </w:rPr>
        <w:t>”</w:t>
      </w:r>
      <w:r w:rsidR="00CC2389" w:rsidRPr="00C9465D">
        <w:rPr>
          <w:rStyle w:val="FootnoteReference"/>
          <w:rFonts w:cs="Verdana"/>
          <w:bCs/>
          <w:lang w:val="en-US"/>
        </w:rPr>
        <w:footnoteReference w:id="163"/>
      </w:r>
    </w:p>
    <w:p w14:paraId="4A494660" w14:textId="24FA5AE3" w:rsidR="001F0CBE" w:rsidRPr="00C9465D" w:rsidRDefault="007F66C0" w:rsidP="00AA3C22">
      <w:pPr>
        <w:pStyle w:val="Numberedparagraphs"/>
        <w:rPr>
          <w:lang w:val="en-US"/>
        </w:rPr>
      </w:pPr>
      <w:r w:rsidRPr="00C9465D">
        <w:rPr>
          <w:rFonts w:cs="Verdana"/>
          <w:lang w:val="en-US"/>
        </w:rPr>
        <w:t>On this point</w:t>
      </w:r>
      <w:r w:rsidR="001F0CBE" w:rsidRPr="00C9465D">
        <w:rPr>
          <w:rFonts w:cs="Verdana"/>
          <w:lang w:val="en-US"/>
        </w:rPr>
        <w:t xml:space="preserve">, </w:t>
      </w:r>
      <w:r w:rsidRPr="00C9465D">
        <w:rPr>
          <w:rFonts w:cs="Verdana"/>
          <w:lang w:val="en-US"/>
        </w:rPr>
        <w:t>the</w:t>
      </w:r>
      <w:r w:rsidR="001F0CBE" w:rsidRPr="00C9465D">
        <w:rPr>
          <w:lang w:val="en-US"/>
        </w:rPr>
        <w:t xml:space="preserve"> </w:t>
      </w:r>
      <w:r w:rsidR="00593C0F" w:rsidRPr="00C9465D">
        <w:rPr>
          <w:lang w:val="en-US"/>
        </w:rPr>
        <w:t>CRPD</w:t>
      </w:r>
      <w:r w:rsidR="001F0CBE" w:rsidRPr="00C9465D">
        <w:rPr>
          <w:lang w:val="en-US"/>
        </w:rPr>
        <w:t xml:space="preserve"> establ</w:t>
      </w:r>
      <w:r w:rsidRPr="00C9465D">
        <w:rPr>
          <w:lang w:val="en-US"/>
        </w:rPr>
        <w:t xml:space="preserve">ishes that disability-based discrimination also occurs when </w:t>
      </w:r>
      <w:r w:rsidR="00960FB5" w:rsidRPr="00C9465D">
        <w:rPr>
          <w:shd w:val="clear" w:color="auto" w:fill="FFFFFF"/>
          <w:lang w:val="en-US"/>
        </w:rPr>
        <w:t>reasonable accommodation</w:t>
      </w:r>
      <w:r w:rsidR="00960FB5" w:rsidRPr="00C9465D">
        <w:rPr>
          <w:lang w:val="en-US"/>
        </w:rPr>
        <w:t xml:space="preserve"> is</w:t>
      </w:r>
      <w:r w:rsidRPr="00C9465D">
        <w:rPr>
          <w:lang w:val="en-US"/>
        </w:rPr>
        <w:t xml:space="preserve"> denied. The </w:t>
      </w:r>
      <w:r w:rsidR="00AB4761" w:rsidRPr="00C9465D">
        <w:rPr>
          <w:lang w:val="en-US"/>
        </w:rPr>
        <w:t>C</w:t>
      </w:r>
      <w:r w:rsidRPr="00C9465D">
        <w:rPr>
          <w:lang w:val="en-US"/>
        </w:rPr>
        <w:t xml:space="preserve">onvention defines reasonable </w:t>
      </w:r>
      <w:r w:rsidR="00960FB5" w:rsidRPr="00C9465D">
        <w:rPr>
          <w:shd w:val="clear" w:color="auto" w:fill="FFFFFF"/>
          <w:lang w:val="en-US"/>
        </w:rPr>
        <w:t>accommodation</w:t>
      </w:r>
      <w:r w:rsidRPr="00C9465D">
        <w:rPr>
          <w:lang w:val="en-US"/>
        </w:rPr>
        <w:t xml:space="preserve"> as:</w:t>
      </w:r>
    </w:p>
    <w:p w14:paraId="3D9D7AF5" w14:textId="2D8DDB26" w:rsidR="001F0CBE" w:rsidRPr="00C9465D" w:rsidRDefault="00960FB5" w:rsidP="00960FB5">
      <w:pPr>
        <w:pStyle w:val="Numberedparagraphs"/>
        <w:numPr>
          <w:ilvl w:val="0"/>
          <w:numId w:val="0"/>
        </w:numPr>
        <w:ind w:left="630" w:right="404" w:hanging="63"/>
        <w:rPr>
          <w:sz w:val="18"/>
          <w:szCs w:val="18"/>
          <w:lang w:val="en-US"/>
        </w:rPr>
      </w:pPr>
      <w:r w:rsidRPr="00C9465D">
        <w:rPr>
          <w:sz w:val="18"/>
          <w:szCs w:val="18"/>
          <w:shd w:val="clear" w:color="auto" w:fill="FFFFFF"/>
          <w:lang w:val="en-US"/>
        </w:rPr>
        <w:t xml:space="preserve"> </w:t>
      </w:r>
      <w:r w:rsidR="007F66C0" w:rsidRPr="00C9465D">
        <w:rPr>
          <w:sz w:val="18"/>
          <w:szCs w:val="18"/>
          <w:shd w:val="clear" w:color="auto" w:fill="FFFFFF"/>
          <w:lang w:val="en-US"/>
        </w:rPr>
        <w:t>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r w:rsidRPr="00C9465D">
        <w:rPr>
          <w:sz w:val="18"/>
          <w:szCs w:val="18"/>
          <w:shd w:val="clear" w:color="auto" w:fill="FFFFFF"/>
          <w:lang w:val="en-US"/>
        </w:rPr>
        <w:t>.</w:t>
      </w:r>
      <w:r w:rsidR="001F0CBE" w:rsidRPr="00C9465D">
        <w:rPr>
          <w:rStyle w:val="FootnoteReference"/>
          <w:sz w:val="18"/>
          <w:szCs w:val="18"/>
          <w:lang w:val="en-US"/>
        </w:rPr>
        <w:footnoteReference w:id="164"/>
      </w:r>
      <w:r w:rsidR="001F0CBE" w:rsidRPr="00C9465D">
        <w:rPr>
          <w:bCs/>
          <w:sz w:val="18"/>
          <w:szCs w:val="18"/>
          <w:lang w:val="en-US"/>
        </w:rPr>
        <w:t xml:space="preserve"> </w:t>
      </w:r>
    </w:p>
    <w:p w14:paraId="5C22A987" w14:textId="65EABA15" w:rsidR="001F0CBE" w:rsidRPr="00C9465D" w:rsidRDefault="00193CBB" w:rsidP="00960FB5">
      <w:pPr>
        <w:pStyle w:val="Numberedparagraphs"/>
        <w:rPr>
          <w:lang w:val="en-US"/>
        </w:rPr>
      </w:pPr>
      <w:r w:rsidRPr="00C9465D">
        <w:rPr>
          <w:lang w:val="en-US"/>
        </w:rPr>
        <w:t>The Court</w:t>
      </w:r>
      <w:r w:rsidR="00313620" w:rsidRPr="00C9465D">
        <w:rPr>
          <w:lang w:val="en-US"/>
        </w:rPr>
        <w:t xml:space="preserve"> </w:t>
      </w:r>
      <w:r w:rsidR="00960FB5" w:rsidRPr="00C9465D">
        <w:rPr>
          <w:lang w:val="en-US"/>
        </w:rPr>
        <w:t xml:space="preserve">notes that these standards are also established in the 1998 </w:t>
      </w:r>
      <w:r w:rsidR="00561A0C" w:rsidRPr="00C9465D">
        <w:rPr>
          <w:lang w:val="en-US"/>
        </w:rPr>
        <w:t>Constitution</w:t>
      </w:r>
      <w:r w:rsidR="001F0CBE" w:rsidRPr="00C9465D">
        <w:rPr>
          <w:lang w:val="en-US"/>
        </w:rPr>
        <w:t xml:space="preserve"> </w:t>
      </w:r>
      <w:r w:rsidR="00960FB5" w:rsidRPr="00C9465D">
        <w:rPr>
          <w:lang w:val="en-US"/>
        </w:rPr>
        <w:t>of</w:t>
      </w:r>
      <w:r w:rsidR="001F0CBE" w:rsidRPr="00C9465D">
        <w:rPr>
          <w:lang w:val="en-US"/>
        </w:rPr>
        <w:t xml:space="preserve"> Ecuador</w:t>
      </w:r>
      <w:r w:rsidR="00960FB5" w:rsidRPr="00C9465D">
        <w:rPr>
          <w:lang w:val="en-US"/>
        </w:rPr>
        <w:t>, in force at the time of the facts</w:t>
      </w:r>
      <w:r w:rsidR="00AB4761" w:rsidRPr="00C9465D">
        <w:rPr>
          <w:lang w:val="en-US"/>
        </w:rPr>
        <w:t>, which</w:t>
      </w:r>
      <w:r w:rsidR="00960FB5" w:rsidRPr="00C9465D">
        <w:rPr>
          <w:lang w:val="en-US"/>
        </w:rPr>
        <w:t xml:space="preserve"> indicates that “priority, preferential and special attention” will be given to persons with disabilities as they are considered a vulnerable group,</w:t>
      </w:r>
      <w:r w:rsidR="001F0CBE" w:rsidRPr="00C9465D">
        <w:rPr>
          <w:rStyle w:val="FootnoteReference"/>
          <w:lang w:val="en-US"/>
        </w:rPr>
        <w:footnoteReference w:id="165"/>
      </w:r>
      <w:r w:rsidR="00650BF9" w:rsidRPr="00C9465D">
        <w:rPr>
          <w:lang w:val="en-US"/>
        </w:rPr>
        <w:t xml:space="preserve"> </w:t>
      </w:r>
      <w:r w:rsidR="00960FB5" w:rsidRPr="00C9465D">
        <w:rPr>
          <w:lang w:val="en-US"/>
        </w:rPr>
        <w:t>and also that</w:t>
      </w:r>
      <w:r w:rsidR="00650BF9" w:rsidRPr="00C9465D">
        <w:rPr>
          <w:lang w:val="en-US"/>
        </w:rPr>
        <w:t>:</w:t>
      </w:r>
    </w:p>
    <w:p w14:paraId="667C89DF" w14:textId="734D3947" w:rsidR="001F0CBE" w:rsidRPr="00C9465D" w:rsidRDefault="00193CBB" w:rsidP="00AB4761">
      <w:pPr>
        <w:tabs>
          <w:tab w:val="left" w:pos="9000"/>
        </w:tabs>
        <w:spacing w:line="240" w:lineRule="auto"/>
        <w:ind w:left="567" w:right="404"/>
        <w:jc w:val="both"/>
        <w:rPr>
          <w:rFonts w:ascii="Verdana" w:hAnsi="Verdana"/>
          <w:sz w:val="18"/>
          <w:szCs w:val="18"/>
          <w:lang w:val="en-US"/>
        </w:rPr>
      </w:pPr>
      <w:r w:rsidRPr="00C9465D">
        <w:rPr>
          <w:rFonts w:ascii="Verdana" w:hAnsi="Verdana"/>
          <w:sz w:val="18"/>
          <w:szCs w:val="18"/>
          <w:lang w:val="en-US"/>
        </w:rPr>
        <w:t>Article</w:t>
      </w:r>
      <w:r w:rsidR="001F0CBE" w:rsidRPr="00C9465D">
        <w:rPr>
          <w:rFonts w:ascii="Verdana" w:hAnsi="Verdana"/>
          <w:sz w:val="18"/>
          <w:szCs w:val="18"/>
          <w:lang w:val="en-US"/>
        </w:rPr>
        <w:t xml:space="preserve"> 53.</w:t>
      </w:r>
      <w:r w:rsidR="00960FB5" w:rsidRPr="00C9465D">
        <w:rPr>
          <w:rFonts w:ascii="Verdana" w:hAnsi="Verdana"/>
          <w:sz w:val="18"/>
          <w:szCs w:val="18"/>
          <w:lang w:val="en-US"/>
        </w:rPr>
        <w:t xml:space="preserve"> T</w:t>
      </w:r>
      <w:r w:rsidRPr="00C9465D">
        <w:rPr>
          <w:rFonts w:ascii="Verdana" w:hAnsi="Verdana"/>
          <w:sz w:val="18"/>
          <w:szCs w:val="18"/>
          <w:lang w:val="en-US"/>
        </w:rPr>
        <w:t>he State</w:t>
      </w:r>
      <w:r w:rsidR="001F0CBE" w:rsidRPr="00C9465D">
        <w:rPr>
          <w:rFonts w:ascii="Verdana" w:hAnsi="Verdana"/>
          <w:sz w:val="18"/>
          <w:szCs w:val="18"/>
          <w:lang w:val="en-US"/>
        </w:rPr>
        <w:t xml:space="preserve"> </w:t>
      </w:r>
      <w:r w:rsidR="00960FB5" w:rsidRPr="00C9465D">
        <w:rPr>
          <w:rFonts w:ascii="Verdana" w:hAnsi="Verdana"/>
          <w:sz w:val="18"/>
          <w:szCs w:val="18"/>
          <w:lang w:val="en-US"/>
        </w:rPr>
        <w:t xml:space="preserve">shall </w:t>
      </w:r>
      <w:r w:rsidR="00AB4761" w:rsidRPr="00C9465D">
        <w:rPr>
          <w:rFonts w:ascii="Verdana" w:hAnsi="Verdana"/>
          <w:sz w:val="18"/>
          <w:szCs w:val="18"/>
          <w:lang w:val="en-US"/>
        </w:rPr>
        <w:t>ensure</w:t>
      </w:r>
      <w:r w:rsidR="00960FB5" w:rsidRPr="00C9465D">
        <w:rPr>
          <w:rFonts w:ascii="Verdana" w:hAnsi="Verdana"/>
          <w:sz w:val="18"/>
          <w:szCs w:val="18"/>
          <w:lang w:val="en-US"/>
        </w:rPr>
        <w:t xml:space="preserve"> the prevention of disabilities and also </w:t>
      </w:r>
      <w:r w:rsidR="00DD2D29" w:rsidRPr="00C9465D">
        <w:rPr>
          <w:rFonts w:ascii="Verdana" w:hAnsi="Verdana"/>
          <w:sz w:val="18"/>
          <w:szCs w:val="18"/>
          <w:lang w:val="en-US"/>
        </w:rPr>
        <w:t xml:space="preserve">guarantee </w:t>
      </w:r>
      <w:r w:rsidR="00960FB5" w:rsidRPr="00C9465D">
        <w:rPr>
          <w:rFonts w:ascii="Verdana" w:hAnsi="Verdana"/>
          <w:sz w:val="18"/>
          <w:szCs w:val="18"/>
          <w:lang w:val="en-US"/>
        </w:rPr>
        <w:t xml:space="preserve">comprehensive care and rehabilitation for </w:t>
      </w:r>
      <w:r w:rsidR="00D85850" w:rsidRPr="00C9465D">
        <w:rPr>
          <w:rFonts w:ascii="Verdana" w:hAnsi="Verdana"/>
          <w:sz w:val="18"/>
          <w:szCs w:val="18"/>
          <w:lang w:val="en-US"/>
        </w:rPr>
        <w:t>persons with disabilities</w:t>
      </w:r>
      <w:r w:rsidR="00960FB5" w:rsidRPr="00C9465D">
        <w:rPr>
          <w:rFonts w:ascii="Verdana" w:hAnsi="Verdana"/>
          <w:sz w:val="18"/>
          <w:szCs w:val="18"/>
          <w:lang w:val="en-US"/>
        </w:rPr>
        <w:t>;</w:t>
      </w:r>
      <w:r w:rsidR="001F0CBE" w:rsidRPr="00C9465D">
        <w:rPr>
          <w:rFonts w:ascii="Verdana" w:hAnsi="Verdana"/>
          <w:sz w:val="18"/>
          <w:szCs w:val="18"/>
          <w:lang w:val="en-US"/>
        </w:rPr>
        <w:t xml:space="preserve"> </w:t>
      </w:r>
      <w:r w:rsidR="00960FB5" w:rsidRPr="00C9465D">
        <w:rPr>
          <w:rFonts w:ascii="Verdana" w:hAnsi="Verdana"/>
          <w:sz w:val="18"/>
          <w:szCs w:val="18"/>
          <w:lang w:val="en-US"/>
        </w:rPr>
        <w:t>particularly in cases of poverty. Together with society and the family, it shall assume responsibility for their social integration and equality of opportunities</w:t>
      </w:r>
      <w:r w:rsidR="001F0CBE" w:rsidRPr="00C9465D">
        <w:rPr>
          <w:rFonts w:ascii="Verdana" w:hAnsi="Verdana"/>
          <w:sz w:val="18"/>
          <w:szCs w:val="18"/>
          <w:lang w:val="en-US"/>
        </w:rPr>
        <w:t>.</w:t>
      </w:r>
    </w:p>
    <w:p w14:paraId="52C22294" w14:textId="78A0D7FF" w:rsidR="001F0CBE" w:rsidRPr="00C9465D" w:rsidRDefault="00193CBB" w:rsidP="00AB4761">
      <w:pPr>
        <w:tabs>
          <w:tab w:val="left" w:pos="9000"/>
        </w:tabs>
        <w:spacing w:line="240" w:lineRule="auto"/>
        <w:ind w:left="567" w:right="404"/>
        <w:jc w:val="both"/>
        <w:rPr>
          <w:rFonts w:ascii="Verdana" w:hAnsi="Verdana"/>
          <w:sz w:val="18"/>
          <w:szCs w:val="18"/>
          <w:lang w:val="en-US"/>
        </w:rPr>
      </w:pPr>
      <w:r w:rsidRPr="00C9465D">
        <w:rPr>
          <w:rFonts w:ascii="Verdana" w:hAnsi="Verdana"/>
          <w:sz w:val="18"/>
          <w:szCs w:val="18"/>
          <w:lang w:val="en-US"/>
        </w:rPr>
        <w:t>The State</w:t>
      </w:r>
      <w:r w:rsidR="001F0CBE" w:rsidRPr="00C9465D">
        <w:rPr>
          <w:rFonts w:ascii="Verdana" w:hAnsi="Verdana"/>
          <w:sz w:val="18"/>
          <w:szCs w:val="18"/>
          <w:lang w:val="en-US"/>
        </w:rPr>
        <w:t xml:space="preserve"> </w:t>
      </w:r>
      <w:r w:rsidR="00960FB5" w:rsidRPr="00C9465D">
        <w:rPr>
          <w:rFonts w:ascii="Verdana" w:hAnsi="Verdana"/>
          <w:sz w:val="18"/>
          <w:szCs w:val="18"/>
          <w:lang w:val="en-US"/>
        </w:rPr>
        <w:t>shall establish measures that guarantee persons with disabilities the use of goods and services, especially in the areas of health, education, training, work and recreation, a</w:t>
      </w:r>
      <w:r w:rsidR="00DD2D29" w:rsidRPr="00C9465D">
        <w:rPr>
          <w:rFonts w:ascii="Verdana" w:hAnsi="Verdana"/>
          <w:sz w:val="18"/>
          <w:szCs w:val="18"/>
          <w:lang w:val="en-US"/>
        </w:rPr>
        <w:t>s well as</w:t>
      </w:r>
      <w:r w:rsidR="00485923" w:rsidRPr="00C9465D">
        <w:rPr>
          <w:rFonts w:ascii="Verdana" w:hAnsi="Verdana"/>
          <w:sz w:val="18"/>
          <w:szCs w:val="18"/>
          <w:lang w:val="en-US"/>
        </w:rPr>
        <w:t xml:space="preserve"> </w:t>
      </w:r>
      <w:r w:rsidR="00960FB5" w:rsidRPr="00C9465D">
        <w:rPr>
          <w:rFonts w:ascii="Verdana" w:hAnsi="Verdana"/>
          <w:sz w:val="18"/>
          <w:szCs w:val="18"/>
          <w:lang w:val="en-US"/>
        </w:rPr>
        <w:t xml:space="preserve">measures that eliminate </w:t>
      </w:r>
      <w:r w:rsidR="00485923" w:rsidRPr="00C9465D">
        <w:rPr>
          <w:rFonts w:ascii="Verdana" w:hAnsi="Verdana"/>
          <w:sz w:val="18"/>
          <w:szCs w:val="18"/>
          <w:lang w:val="en-US"/>
        </w:rPr>
        <w:t xml:space="preserve">barriers to </w:t>
      </w:r>
      <w:r w:rsidR="00932896" w:rsidRPr="00C9465D">
        <w:rPr>
          <w:rFonts w:ascii="Verdana" w:hAnsi="Verdana"/>
          <w:sz w:val="18"/>
          <w:szCs w:val="18"/>
          <w:lang w:val="en-US"/>
        </w:rPr>
        <w:t>communication</w:t>
      </w:r>
      <w:r w:rsidR="00485923" w:rsidRPr="00C9465D">
        <w:rPr>
          <w:rFonts w:ascii="Verdana" w:hAnsi="Verdana"/>
          <w:sz w:val="18"/>
          <w:szCs w:val="18"/>
          <w:lang w:val="en-US"/>
        </w:rPr>
        <w:t xml:space="preserve">, and </w:t>
      </w:r>
      <w:r w:rsidR="00932896" w:rsidRPr="00C9465D">
        <w:rPr>
          <w:rFonts w:ascii="Verdana" w:hAnsi="Verdana"/>
          <w:sz w:val="18"/>
          <w:szCs w:val="18"/>
          <w:lang w:val="en-US"/>
        </w:rPr>
        <w:t xml:space="preserve">architectural, urban and transport accessibility barriers, that hinder their mobilization. Municipalities shall </w:t>
      </w:r>
      <w:r w:rsidR="00485923" w:rsidRPr="00C9465D">
        <w:rPr>
          <w:rFonts w:ascii="Verdana" w:hAnsi="Verdana"/>
          <w:sz w:val="18"/>
          <w:szCs w:val="18"/>
          <w:lang w:val="en-US"/>
        </w:rPr>
        <w:t>be obliged</w:t>
      </w:r>
      <w:r w:rsidR="00932896" w:rsidRPr="00C9465D">
        <w:rPr>
          <w:rFonts w:ascii="Verdana" w:hAnsi="Verdana"/>
          <w:sz w:val="18"/>
          <w:szCs w:val="18"/>
          <w:lang w:val="en-US"/>
        </w:rPr>
        <w:t xml:space="preserve"> to adopt these measures within the sphere of their responsibilities and constituencies. </w:t>
      </w:r>
      <w:r w:rsidR="00D85850" w:rsidRPr="00C9465D">
        <w:rPr>
          <w:rFonts w:ascii="Verdana" w:hAnsi="Verdana"/>
          <w:sz w:val="18"/>
          <w:szCs w:val="18"/>
          <w:lang w:val="en-US"/>
        </w:rPr>
        <w:t>Persons with disabilities</w:t>
      </w:r>
      <w:r w:rsidR="001F0CBE" w:rsidRPr="00C9465D">
        <w:rPr>
          <w:rFonts w:ascii="Verdana" w:hAnsi="Verdana"/>
          <w:sz w:val="18"/>
          <w:szCs w:val="18"/>
          <w:lang w:val="en-US"/>
        </w:rPr>
        <w:t xml:space="preserve"> </w:t>
      </w:r>
      <w:r w:rsidR="00932896" w:rsidRPr="00C9465D">
        <w:rPr>
          <w:rFonts w:ascii="Verdana" w:hAnsi="Verdana"/>
          <w:sz w:val="18"/>
          <w:szCs w:val="18"/>
          <w:lang w:val="en-US"/>
        </w:rPr>
        <w:t>shall receive preferential treatment to obtain credits, and for tax reductions and exemptions pursuant to the law. The right of</w:t>
      </w:r>
      <w:r w:rsidR="001F0CBE" w:rsidRPr="00C9465D">
        <w:rPr>
          <w:rFonts w:ascii="Verdana" w:hAnsi="Verdana"/>
          <w:sz w:val="18"/>
          <w:szCs w:val="18"/>
          <w:lang w:val="en-US"/>
        </w:rPr>
        <w:t xml:space="preserve"> </w:t>
      </w:r>
      <w:r w:rsidR="00D85850" w:rsidRPr="00C9465D">
        <w:rPr>
          <w:rFonts w:ascii="Verdana" w:hAnsi="Verdana"/>
          <w:sz w:val="18"/>
          <w:szCs w:val="18"/>
          <w:lang w:val="en-US"/>
        </w:rPr>
        <w:t>persons with disabilities</w:t>
      </w:r>
      <w:r w:rsidR="00932896" w:rsidRPr="00C9465D">
        <w:rPr>
          <w:rFonts w:ascii="Verdana" w:hAnsi="Verdana"/>
          <w:sz w:val="18"/>
          <w:szCs w:val="18"/>
          <w:lang w:val="en-US"/>
        </w:rPr>
        <w:t xml:space="preserve"> is recognized to alternative means of communication, such as the Ecuadorian sign language for the deaf, oralism,</w:t>
      </w:r>
      <w:r w:rsidR="00485923" w:rsidRPr="00C9465D">
        <w:rPr>
          <w:rFonts w:ascii="Verdana" w:hAnsi="Verdana"/>
          <w:sz w:val="18"/>
          <w:szCs w:val="18"/>
          <w:lang w:val="en-US"/>
        </w:rPr>
        <w:t xml:space="preserve"> Braille, and others.</w:t>
      </w:r>
      <w:r w:rsidR="001F0CBE" w:rsidRPr="00C9465D">
        <w:rPr>
          <w:rStyle w:val="FootnoteReference"/>
          <w:rFonts w:ascii="Verdana" w:hAnsi="Verdana"/>
          <w:sz w:val="18"/>
          <w:szCs w:val="18"/>
          <w:lang w:val="en-US"/>
        </w:rPr>
        <w:footnoteReference w:id="166"/>
      </w:r>
    </w:p>
    <w:p w14:paraId="1B323393" w14:textId="62011B6D" w:rsidR="001B743A" w:rsidRPr="00C9465D" w:rsidRDefault="00485923" w:rsidP="00D31142">
      <w:pPr>
        <w:pStyle w:val="Numberedparagraphs"/>
        <w:rPr>
          <w:lang w:val="en-US"/>
        </w:rPr>
      </w:pPr>
      <w:r w:rsidRPr="00C9465D">
        <w:rPr>
          <w:lang w:val="en-US"/>
        </w:rPr>
        <w:lastRenderedPageBreak/>
        <w:t xml:space="preserve">The Court also notes that the facts of the instant case occurred while </w:t>
      </w:r>
      <w:r w:rsidR="002F3237" w:rsidRPr="00C9465D">
        <w:rPr>
          <w:lang w:val="en-US"/>
        </w:rPr>
        <w:t>Mr. Guachalá</w:t>
      </w:r>
      <w:r w:rsidR="001B743A" w:rsidRPr="00C9465D">
        <w:rPr>
          <w:lang w:val="en-US"/>
        </w:rPr>
        <w:t xml:space="preserve"> Chimbo </w:t>
      </w:r>
      <w:r w:rsidRPr="00C9465D">
        <w:rPr>
          <w:lang w:val="en-US"/>
        </w:rPr>
        <w:t xml:space="preserve">was institutionalized in a psychiatric </w:t>
      </w:r>
      <w:r w:rsidR="001B743A" w:rsidRPr="00C9465D">
        <w:rPr>
          <w:lang w:val="en-US"/>
        </w:rPr>
        <w:t xml:space="preserve">hospital. </w:t>
      </w:r>
      <w:r w:rsidRPr="00C9465D">
        <w:rPr>
          <w:lang w:val="en-US"/>
        </w:rPr>
        <w:t>In this regard</w:t>
      </w:r>
      <w:r w:rsidR="001B743A" w:rsidRPr="00C9465D">
        <w:rPr>
          <w:lang w:val="en-US"/>
        </w:rPr>
        <w:t xml:space="preserve">, </w:t>
      </w:r>
      <w:r w:rsidR="00B71E4D" w:rsidRPr="00C9465D">
        <w:rPr>
          <w:lang w:val="en-US"/>
        </w:rPr>
        <w:t>th</w:t>
      </w:r>
      <w:r w:rsidRPr="00C9465D">
        <w:rPr>
          <w:lang w:val="en-US"/>
        </w:rPr>
        <w:t>e</w:t>
      </w:r>
      <w:r w:rsidR="00B71E4D" w:rsidRPr="00C9465D">
        <w:rPr>
          <w:lang w:val="en-US"/>
        </w:rPr>
        <w:t xml:space="preserve"> Court</w:t>
      </w:r>
      <w:r w:rsidR="001B743A" w:rsidRPr="00C9465D">
        <w:rPr>
          <w:lang w:val="en-US"/>
        </w:rPr>
        <w:t xml:space="preserve"> </w:t>
      </w:r>
      <w:r w:rsidRPr="00C9465D">
        <w:rPr>
          <w:lang w:val="en-US"/>
        </w:rPr>
        <w:t xml:space="preserve">underscores that, in institutional environments, whether in public or private hospitals, the medical staff responsible for the care of the patients exercise strong control or </w:t>
      </w:r>
      <w:r w:rsidR="00DD2D29" w:rsidRPr="00C9465D">
        <w:rPr>
          <w:lang w:val="en-US"/>
        </w:rPr>
        <w:t>authority</w:t>
      </w:r>
      <w:r w:rsidRPr="00C9465D">
        <w:rPr>
          <w:lang w:val="en-US"/>
        </w:rPr>
        <w:t xml:space="preserve"> over the persons in their custody. This intrinsic power imbalance between a person interned and those who are in authority is exponentially greater in psychiatric institutions.</w:t>
      </w:r>
      <w:r w:rsidR="001B743A" w:rsidRPr="00C9465D">
        <w:rPr>
          <w:rStyle w:val="FootnoteReference"/>
          <w:lang w:val="en-US"/>
        </w:rPr>
        <w:footnoteReference w:id="167"/>
      </w:r>
      <w:r w:rsidRPr="00C9465D">
        <w:rPr>
          <w:lang w:val="en-US"/>
        </w:rPr>
        <w:t xml:space="preserve"> This means that, in the case of psychiatric hospitals, States must exercise strict </w:t>
      </w:r>
      <w:r w:rsidR="00DD2D29" w:rsidRPr="00C9465D">
        <w:rPr>
          <w:lang w:val="en-US"/>
        </w:rPr>
        <w:t>oversight of</w:t>
      </w:r>
      <w:r w:rsidRPr="00C9465D">
        <w:rPr>
          <w:lang w:val="en-US"/>
        </w:rPr>
        <w:t xml:space="preserve"> such establishments. States have the duty to </w:t>
      </w:r>
      <w:r w:rsidR="00D31142" w:rsidRPr="00C9465D">
        <w:rPr>
          <w:lang w:val="en-US"/>
        </w:rPr>
        <w:t xml:space="preserve">ensure and to monitor </w:t>
      </w:r>
      <w:r w:rsidRPr="00C9465D">
        <w:rPr>
          <w:lang w:val="en-US"/>
        </w:rPr>
        <w:t xml:space="preserve">that the right of the patients to receive decent, humane and professional treatment and to be protected against exploitation, abuse and </w:t>
      </w:r>
      <w:r w:rsidR="00D31142" w:rsidRPr="00C9465D">
        <w:rPr>
          <w:lang w:val="en-US"/>
        </w:rPr>
        <w:t>humiliation</w:t>
      </w:r>
      <w:r w:rsidRPr="00C9465D">
        <w:rPr>
          <w:lang w:val="en-US"/>
        </w:rPr>
        <w:t xml:space="preserve"> is </w:t>
      </w:r>
      <w:r w:rsidR="00D31142" w:rsidRPr="00C9465D">
        <w:rPr>
          <w:lang w:val="en-US"/>
        </w:rPr>
        <w:t>respected in all public or private psychiatric institutions.</w:t>
      </w:r>
      <w:r w:rsidR="00BE3B22" w:rsidRPr="00C9465D">
        <w:rPr>
          <w:rStyle w:val="FootnoteReference"/>
          <w:lang w:val="en-US"/>
        </w:rPr>
        <w:footnoteReference w:id="168"/>
      </w:r>
    </w:p>
    <w:p w14:paraId="040009DB" w14:textId="47BF5014" w:rsidR="004F479F" w:rsidRPr="00C9465D" w:rsidRDefault="00D31142" w:rsidP="00DD2D29">
      <w:pPr>
        <w:pStyle w:val="Numberedparagraphs"/>
        <w:rPr>
          <w:lang w:val="en-US"/>
        </w:rPr>
      </w:pPr>
      <w:r w:rsidRPr="00C9465D">
        <w:rPr>
          <w:lang w:val="en-US"/>
        </w:rPr>
        <w:t xml:space="preserve">Additionally, the Court notes that a social </w:t>
      </w:r>
      <w:r w:rsidR="00DD2D29" w:rsidRPr="00C9465D">
        <w:rPr>
          <w:lang w:val="en-US"/>
        </w:rPr>
        <w:t xml:space="preserve">environmental </w:t>
      </w:r>
      <w:r w:rsidRPr="00C9465D">
        <w:rPr>
          <w:lang w:val="en-US"/>
        </w:rPr>
        <w:t>assessment made by the Pichincha Prosecutor determined that Mr. Guachalá Chimbo’s family “</w:t>
      </w:r>
      <w:r w:rsidR="00DD2D29" w:rsidRPr="00C9465D">
        <w:rPr>
          <w:lang w:val="en-US"/>
        </w:rPr>
        <w:t>has insufficient income to cover its basic needs, such as subsistence, health, housing [and] recreation</w:t>
      </w:r>
      <w:r w:rsidRPr="00C9465D">
        <w:rPr>
          <w:lang w:val="en-US"/>
        </w:rPr>
        <w:t>.</w:t>
      </w:r>
      <w:r w:rsidR="004F479F" w:rsidRPr="00C9465D">
        <w:rPr>
          <w:lang w:val="en-US"/>
        </w:rPr>
        <w:t>”</w:t>
      </w:r>
      <w:r w:rsidR="004F479F" w:rsidRPr="00C9465D">
        <w:rPr>
          <w:rStyle w:val="FootnoteReference"/>
          <w:lang w:val="en-US"/>
        </w:rPr>
        <w:footnoteReference w:id="169"/>
      </w:r>
      <w:r w:rsidRPr="00C9465D">
        <w:rPr>
          <w:lang w:val="en-US"/>
        </w:rPr>
        <w:t xml:space="preserve"> Also, the lack of financial resources prevented the presumed victim from having access to the medication he needed to treat his epilepsy. The Court considers that, in the case of Luis Eduardo Guachalá Chimb</w:t>
      </w:r>
      <w:r w:rsidR="00B63846" w:rsidRPr="00C9465D">
        <w:rPr>
          <w:lang w:val="en-US"/>
        </w:rPr>
        <w:t>o</w:t>
      </w:r>
      <w:r w:rsidRPr="00C9465D">
        <w:rPr>
          <w:lang w:val="en-US"/>
        </w:rPr>
        <w:t>, if the di</w:t>
      </w:r>
      <w:r w:rsidR="009F4B36" w:rsidRPr="00C9465D">
        <w:rPr>
          <w:lang w:val="en-US"/>
        </w:rPr>
        <w:t>verse</w:t>
      </w:r>
      <w:r w:rsidRPr="00C9465D">
        <w:rPr>
          <w:lang w:val="en-US"/>
        </w:rPr>
        <w:t xml:space="preserve"> grounds for discrimination alleged in th</w:t>
      </w:r>
      <w:r w:rsidR="009F4B36" w:rsidRPr="00C9465D">
        <w:rPr>
          <w:lang w:val="en-US"/>
        </w:rPr>
        <w:t>is</w:t>
      </w:r>
      <w:r w:rsidRPr="00C9465D">
        <w:rPr>
          <w:lang w:val="en-US"/>
        </w:rPr>
        <w:t xml:space="preserve"> case are verified, different factors of vulnerability or sources of discrimination associated with his condition as a person with disabilities and </w:t>
      </w:r>
      <w:r w:rsidR="009F4B36" w:rsidRPr="00C9465D">
        <w:rPr>
          <w:lang w:val="en-US"/>
        </w:rPr>
        <w:t>his</w:t>
      </w:r>
      <w:r w:rsidRPr="00C9465D">
        <w:rPr>
          <w:lang w:val="en-US"/>
        </w:rPr>
        <w:t xml:space="preserve"> financial situation</w:t>
      </w:r>
      <w:r w:rsidR="009F4B36" w:rsidRPr="00C9465D">
        <w:rPr>
          <w:lang w:val="en-US"/>
        </w:rPr>
        <w:t xml:space="preserve"> – owi</w:t>
      </w:r>
      <w:r w:rsidRPr="00C9465D">
        <w:rPr>
          <w:lang w:val="en-US"/>
        </w:rPr>
        <w:t>ng to the situation of extreme poverty in which he lived</w:t>
      </w:r>
      <w:r w:rsidR="009F4B36" w:rsidRPr="00C9465D">
        <w:rPr>
          <w:lang w:val="en-US"/>
        </w:rPr>
        <w:t xml:space="preserve"> – had</w:t>
      </w:r>
      <w:r w:rsidRPr="00C9465D">
        <w:rPr>
          <w:lang w:val="en-US"/>
        </w:rPr>
        <w:t xml:space="preserve"> coalesced intersectionally.</w:t>
      </w:r>
      <w:r w:rsidR="009F4B36" w:rsidRPr="00C9465D">
        <w:rPr>
          <w:lang w:val="en-US"/>
        </w:rPr>
        <w:t xml:space="preserve"> Thus, the Court stresses that the lack of financial resources may hinder or preclude access to the medical care required to prevent possible disabilities or to prevent or reduce the appearance of new disabilities. Based on the foregoing, the Court has indicated that the positive measures that States must take for persons with disabilities living in poverty include those necessary to prevent all forms of avoidable disabilities and to accord </w:t>
      </w:r>
      <w:r w:rsidR="00D85850" w:rsidRPr="00C9465D">
        <w:rPr>
          <w:lang w:val="en-US"/>
        </w:rPr>
        <w:t>persons with disabilities</w:t>
      </w:r>
      <w:r w:rsidR="00CE33F2" w:rsidRPr="00C9465D">
        <w:rPr>
          <w:lang w:val="en-US"/>
        </w:rPr>
        <w:t xml:space="preserve"> </w:t>
      </w:r>
      <w:r w:rsidR="009F4B36" w:rsidRPr="00C9465D">
        <w:rPr>
          <w:lang w:val="en-US"/>
        </w:rPr>
        <w:t>preferential treatment appropriate to their condition.</w:t>
      </w:r>
      <w:r w:rsidR="00050702" w:rsidRPr="00C9465D">
        <w:rPr>
          <w:rStyle w:val="FootnoteReference"/>
          <w:lang w:val="en-US"/>
        </w:rPr>
        <w:footnoteReference w:id="170"/>
      </w:r>
    </w:p>
    <w:p w14:paraId="3DA69730" w14:textId="18B350E9" w:rsidR="00906F65" w:rsidRPr="00C9465D" w:rsidRDefault="00A5429E" w:rsidP="00E5784B">
      <w:pPr>
        <w:pStyle w:val="Heading1"/>
        <w:rPr>
          <w:lang w:val="en-US"/>
        </w:rPr>
      </w:pPr>
      <w:bookmarkStart w:id="40" w:name="_Toc74298451"/>
      <w:r w:rsidRPr="00C9465D">
        <w:rPr>
          <w:lang w:val="en-US"/>
        </w:rPr>
        <w:t>V</w:t>
      </w:r>
      <w:r w:rsidR="00B94BE6" w:rsidRPr="00C9465D">
        <w:rPr>
          <w:lang w:val="en-US"/>
        </w:rPr>
        <w:t>I</w:t>
      </w:r>
      <w:r w:rsidR="00AA3C22" w:rsidRPr="00C9465D">
        <w:rPr>
          <w:lang w:val="en-US"/>
        </w:rPr>
        <w:t>I</w:t>
      </w:r>
      <w:r w:rsidR="00B138FF" w:rsidRPr="00C9465D">
        <w:rPr>
          <w:lang w:val="en-US"/>
        </w:rPr>
        <w:t>-2</w:t>
      </w:r>
      <w:r w:rsidR="004E315F" w:rsidRPr="00C9465D">
        <w:rPr>
          <w:lang w:val="en-US"/>
        </w:rPr>
        <w:br/>
      </w:r>
      <w:r w:rsidR="00AB2038" w:rsidRPr="00C9465D">
        <w:rPr>
          <w:lang w:val="en-US"/>
        </w:rPr>
        <w:t>RIGHTS TO</w:t>
      </w:r>
      <w:r w:rsidR="004774FF" w:rsidRPr="00C9465D">
        <w:rPr>
          <w:lang w:val="en-US"/>
        </w:rPr>
        <w:t xml:space="preserve"> </w:t>
      </w:r>
      <w:r w:rsidR="00D12C0E" w:rsidRPr="00C9465D">
        <w:rPr>
          <w:lang w:val="en-US"/>
        </w:rPr>
        <w:t>RECOGNITION OF JURIDICAL PERSONALITY</w:t>
      </w:r>
      <w:r w:rsidR="00AB2038" w:rsidRPr="00C9465D">
        <w:rPr>
          <w:lang w:val="en-US"/>
        </w:rPr>
        <w:t>,</w:t>
      </w:r>
      <w:r w:rsidR="00992C98" w:rsidRPr="00C9465D">
        <w:rPr>
          <w:rStyle w:val="FootnoteReference"/>
          <w:lang w:val="en-US"/>
        </w:rPr>
        <w:footnoteReference w:id="171"/>
      </w:r>
      <w:r w:rsidR="00D12C0E" w:rsidRPr="00C9465D">
        <w:rPr>
          <w:lang w:val="en-US"/>
        </w:rPr>
        <w:t xml:space="preserve"> </w:t>
      </w:r>
      <w:r w:rsidR="00AB2038" w:rsidRPr="00C9465D">
        <w:rPr>
          <w:lang w:val="en-US"/>
        </w:rPr>
        <w:t>LIFE,</w:t>
      </w:r>
      <w:r w:rsidR="00C63964" w:rsidRPr="00C9465D">
        <w:rPr>
          <w:rStyle w:val="FootnoteReference"/>
          <w:lang w:val="en-US"/>
        </w:rPr>
        <w:footnoteReference w:id="172"/>
      </w:r>
      <w:r w:rsidR="00D71CA4" w:rsidRPr="00C9465D">
        <w:rPr>
          <w:lang w:val="en-US"/>
        </w:rPr>
        <w:t xml:space="preserve"> </w:t>
      </w:r>
      <w:r w:rsidR="00D12C0E" w:rsidRPr="00C9465D">
        <w:rPr>
          <w:lang w:val="en-US"/>
        </w:rPr>
        <w:t>INTEGRITY</w:t>
      </w:r>
      <w:r w:rsidR="00AB2038" w:rsidRPr="00C9465D">
        <w:rPr>
          <w:lang w:val="en-US"/>
        </w:rPr>
        <w:t>,</w:t>
      </w:r>
      <w:r w:rsidR="00C63964" w:rsidRPr="00C9465D">
        <w:rPr>
          <w:rStyle w:val="FootnoteReference"/>
          <w:lang w:val="en-US"/>
        </w:rPr>
        <w:footnoteReference w:id="173"/>
      </w:r>
      <w:r w:rsidR="00D71CA4" w:rsidRPr="00C9465D">
        <w:rPr>
          <w:lang w:val="en-US"/>
        </w:rPr>
        <w:t xml:space="preserve"> </w:t>
      </w:r>
      <w:r w:rsidR="00D12C0E" w:rsidRPr="00C9465D">
        <w:rPr>
          <w:lang w:val="en-US"/>
        </w:rPr>
        <w:t>PERSONAL LIBERTY</w:t>
      </w:r>
      <w:r w:rsidR="00AB2038" w:rsidRPr="00C9465D">
        <w:rPr>
          <w:lang w:val="en-US"/>
        </w:rPr>
        <w:t>,</w:t>
      </w:r>
      <w:r w:rsidR="00992C98" w:rsidRPr="00C9465D">
        <w:rPr>
          <w:rStyle w:val="FootnoteReference"/>
          <w:lang w:val="en-US"/>
        </w:rPr>
        <w:footnoteReference w:id="174"/>
      </w:r>
      <w:r w:rsidR="00906F65" w:rsidRPr="00C9465D">
        <w:rPr>
          <w:lang w:val="en-US"/>
        </w:rPr>
        <w:t xml:space="preserve"> </w:t>
      </w:r>
      <w:r w:rsidR="00D12C0E" w:rsidRPr="00C9465D">
        <w:rPr>
          <w:lang w:val="en-US"/>
        </w:rPr>
        <w:t>DIGNITY</w:t>
      </w:r>
      <w:r w:rsidR="00193CBB" w:rsidRPr="00C9465D">
        <w:rPr>
          <w:lang w:val="en-US"/>
        </w:rPr>
        <w:t xml:space="preserve"> </w:t>
      </w:r>
      <w:r w:rsidR="00AB2038" w:rsidRPr="00C9465D">
        <w:rPr>
          <w:lang w:val="en-US"/>
        </w:rPr>
        <w:t>AND</w:t>
      </w:r>
      <w:r w:rsidR="00193CBB" w:rsidRPr="00C9465D">
        <w:rPr>
          <w:lang w:val="en-US"/>
        </w:rPr>
        <w:t xml:space="preserve"> </w:t>
      </w:r>
      <w:r w:rsidR="00D12C0E" w:rsidRPr="00C9465D">
        <w:rPr>
          <w:lang w:val="en-US"/>
        </w:rPr>
        <w:t>PRIVACY</w:t>
      </w:r>
      <w:r w:rsidR="00AB2038" w:rsidRPr="00C9465D">
        <w:rPr>
          <w:lang w:val="en-US"/>
        </w:rPr>
        <w:t>,</w:t>
      </w:r>
      <w:r w:rsidR="00992C98" w:rsidRPr="00C9465D">
        <w:rPr>
          <w:rStyle w:val="FootnoteReference"/>
          <w:lang w:val="en-US"/>
        </w:rPr>
        <w:footnoteReference w:id="175"/>
      </w:r>
      <w:r w:rsidR="00FD3CFB" w:rsidRPr="00C9465D">
        <w:rPr>
          <w:lang w:val="en-US"/>
        </w:rPr>
        <w:t xml:space="preserve"> </w:t>
      </w:r>
      <w:r w:rsidR="00D12C0E" w:rsidRPr="00C9465D">
        <w:rPr>
          <w:lang w:val="en-US"/>
        </w:rPr>
        <w:t>ACCESS TO INFORMATION</w:t>
      </w:r>
      <w:r w:rsidR="00770064" w:rsidRPr="00C9465D">
        <w:rPr>
          <w:lang w:val="en-US"/>
        </w:rPr>
        <w:t>,</w:t>
      </w:r>
      <w:r w:rsidR="00992C98" w:rsidRPr="00C9465D">
        <w:rPr>
          <w:rStyle w:val="FootnoteReference"/>
          <w:lang w:val="en-US"/>
        </w:rPr>
        <w:footnoteReference w:id="176"/>
      </w:r>
      <w:r w:rsidR="00193CBB" w:rsidRPr="00C9465D">
        <w:rPr>
          <w:lang w:val="en-US"/>
        </w:rPr>
        <w:t xml:space="preserve"> </w:t>
      </w:r>
      <w:r w:rsidR="00AB2038" w:rsidRPr="00C9465D">
        <w:rPr>
          <w:lang w:val="en-US"/>
        </w:rPr>
        <w:t>AND</w:t>
      </w:r>
      <w:r w:rsidR="00193CBB" w:rsidRPr="00C9465D">
        <w:rPr>
          <w:lang w:val="en-US"/>
        </w:rPr>
        <w:t xml:space="preserve"> </w:t>
      </w:r>
      <w:r w:rsidR="00D12C0E" w:rsidRPr="00C9465D">
        <w:rPr>
          <w:lang w:val="en-US"/>
        </w:rPr>
        <w:t>HEALTH</w:t>
      </w:r>
      <w:r w:rsidR="00AB2038" w:rsidRPr="00C9465D">
        <w:rPr>
          <w:lang w:val="en-US"/>
        </w:rPr>
        <w:t>,</w:t>
      </w:r>
      <w:r w:rsidR="00D71CA4" w:rsidRPr="00C9465D">
        <w:rPr>
          <w:rStyle w:val="FootnoteReference"/>
          <w:lang w:val="en-US"/>
        </w:rPr>
        <w:footnoteReference w:id="177"/>
      </w:r>
      <w:r w:rsidR="00D71CA4" w:rsidRPr="00C9465D">
        <w:rPr>
          <w:lang w:val="en-US"/>
        </w:rPr>
        <w:t xml:space="preserve"> </w:t>
      </w:r>
      <w:r w:rsidR="00AB2038" w:rsidRPr="00C9465D">
        <w:rPr>
          <w:lang w:val="en-US"/>
        </w:rPr>
        <w:t>IN RELATION TO THE OBLIGATION TO RESPECT AND</w:t>
      </w:r>
      <w:r w:rsidR="00193CBB" w:rsidRPr="00C9465D">
        <w:rPr>
          <w:lang w:val="en-US"/>
        </w:rPr>
        <w:t xml:space="preserve"> </w:t>
      </w:r>
      <w:r w:rsidR="00F75F34" w:rsidRPr="00C9465D">
        <w:rPr>
          <w:lang w:val="en-US"/>
        </w:rPr>
        <w:t>TO ENSURE</w:t>
      </w:r>
      <w:r w:rsidR="00AB2038" w:rsidRPr="00C9465D">
        <w:rPr>
          <w:lang w:val="en-US"/>
        </w:rPr>
        <w:t xml:space="preserve"> RIGHTS</w:t>
      </w:r>
      <w:r w:rsidR="00992C98" w:rsidRPr="00C9465D">
        <w:rPr>
          <w:rStyle w:val="FootnoteReference"/>
          <w:lang w:val="en-US"/>
        </w:rPr>
        <w:footnoteReference w:id="178"/>
      </w:r>
      <w:r w:rsidR="00193CBB" w:rsidRPr="00C9465D">
        <w:rPr>
          <w:lang w:val="en-US"/>
        </w:rPr>
        <w:t xml:space="preserve"> </w:t>
      </w:r>
      <w:r w:rsidR="00AB2038" w:rsidRPr="00C9465D">
        <w:rPr>
          <w:lang w:val="en-US"/>
        </w:rPr>
        <w:t>AND THE OBLIGATION TO ADOPT DOMESTIC LEGAL PROVISIONS</w:t>
      </w:r>
      <w:r w:rsidR="00CC2101" w:rsidRPr="00C9465D">
        <w:rPr>
          <w:rStyle w:val="FootnoteReference"/>
          <w:lang w:val="en-US"/>
        </w:rPr>
        <w:footnoteReference w:id="179"/>
      </w:r>
      <w:bookmarkEnd w:id="40"/>
    </w:p>
    <w:p w14:paraId="1ECEF452" w14:textId="2682E6DC" w:rsidR="00B138FF" w:rsidRPr="00C9465D" w:rsidRDefault="009E5D69" w:rsidP="00D47F8D">
      <w:pPr>
        <w:pStyle w:val="Heading2"/>
        <w:numPr>
          <w:ilvl w:val="0"/>
          <w:numId w:val="7"/>
        </w:numPr>
        <w:ind w:left="1134" w:hanging="567"/>
        <w:rPr>
          <w:lang w:val="en-US"/>
        </w:rPr>
      </w:pPr>
      <w:bookmarkStart w:id="41" w:name="_Toc74298452"/>
      <w:r w:rsidRPr="00C9465D">
        <w:rPr>
          <w:lang w:val="en-US"/>
        </w:rPr>
        <w:lastRenderedPageBreak/>
        <w:t>Arguments of the parties</w:t>
      </w:r>
      <w:r w:rsidR="00193CBB" w:rsidRPr="00C9465D">
        <w:rPr>
          <w:lang w:val="en-US"/>
        </w:rPr>
        <w:t xml:space="preserve"> and the Commission</w:t>
      </w:r>
      <w:bookmarkEnd w:id="41"/>
    </w:p>
    <w:p w14:paraId="2CB2C8AA" w14:textId="17063874" w:rsidR="00611330" w:rsidRPr="00C9465D" w:rsidRDefault="00193CBB" w:rsidP="00076DF8">
      <w:pPr>
        <w:pStyle w:val="Numberedparagraphs"/>
        <w:rPr>
          <w:b/>
          <w:lang w:val="en-US"/>
        </w:rPr>
      </w:pPr>
      <w:r w:rsidRPr="00C9465D">
        <w:rPr>
          <w:lang w:val="en-US"/>
        </w:rPr>
        <w:t xml:space="preserve">The </w:t>
      </w:r>
      <w:r w:rsidRPr="00C9465D">
        <w:rPr>
          <w:b/>
          <w:bCs/>
          <w:i/>
          <w:iCs/>
          <w:lang w:val="en-US"/>
        </w:rPr>
        <w:t>Commission</w:t>
      </w:r>
      <w:r w:rsidR="00611330" w:rsidRPr="00C9465D">
        <w:rPr>
          <w:b/>
          <w:i/>
          <w:lang w:val="en-US"/>
        </w:rPr>
        <w:t xml:space="preserve"> </w:t>
      </w:r>
      <w:r w:rsidR="007F2DB3" w:rsidRPr="00C9465D">
        <w:rPr>
          <w:color w:val="auto"/>
          <w:lang w:val="en-US"/>
        </w:rPr>
        <w:t>pointed out that</w:t>
      </w:r>
      <w:r w:rsidR="00611330" w:rsidRPr="00C9465D">
        <w:rPr>
          <w:color w:val="auto"/>
          <w:lang w:val="en-US"/>
        </w:rPr>
        <w:t xml:space="preserve"> </w:t>
      </w:r>
      <w:r w:rsidR="002F3237" w:rsidRPr="00C9465D">
        <w:rPr>
          <w:color w:val="auto"/>
          <w:lang w:val="en-US"/>
        </w:rPr>
        <w:t>Mr. Guachalá</w:t>
      </w:r>
      <w:r w:rsidR="007F2DB3" w:rsidRPr="00C9465D">
        <w:rPr>
          <w:color w:val="auto"/>
          <w:lang w:val="en-US"/>
        </w:rPr>
        <w:t xml:space="preserve"> was a person with a mental disability. Regarding </w:t>
      </w:r>
      <w:r w:rsidR="002F3237" w:rsidRPr="00C9465D">
        <w:rPr>
          <w:lang w:val="en-US"/>
        </w:rPr>
        <w:t>Mr. Guachalá</w:t>
      </w:r>
      <w:r w:rsidR="007F2DB3" w:rsidRPr="00C9465D">
        <w:rPr>
          <w:lang w:val="en-US"/>
        </w:rPr>
        <w:t>’s hospitalization</w:t>
      </w:r>
      <w:r w:rsidR="00611330" w:rsidRPr="00C9465D">
        <w:rPr>
          <w:lang w:val="en-US"/>
        </w:rPr>
        <w:t xml:space="preserve">, </w:t>
      </w:r>
      <w:r w:rsidRPr="00C9465D">
        <w:rPr>
          <w:lang w:val="en-US"/>
        </w:rPr>
        <w:t>the Commission</w:t>
      </w:r>
      <w:r w:rsidR="00611330" w:rsidRPr="00C9465D">
        <w:rPr>
          <w:lang w:val="en-US"/>
        </w:rPr>
        <w:t xml:space="preserve"> </w:t>
      </w:r>
      <w:r w:rsidR="007F2DB3" w:rsidRPr="00C9465D">
        <w:rPr>
          <w:lang w:val="en-US"/>
        </w:rPr>
        <w:t xml:space="preserve">emphasized that this was </w:t>
      </w:r>
      <w:r w:rsidR="004D337E" w:rsidRPr="00C9465D">
        <w:rPr>
          <w:lang w:val="en-US"/>
        </w:rPr>
        <w:t>carried out</w:t>
      </w:r>
      <w:r w:rsidR="007F2DB3" w:rsidRPr="00C9465D">
        <w:rPr>
          <w:lang w:val="en-US"/>
        </w:rPr>
        <w:t xml:space="preserve"> with his mother’s authorization and based on the evaluation made by the hospital authorities of the possible consequences of his cognitive or psychosocial disabilities.” Therefore, Mr. Guachalá never gave his consent to be hospitalized and there is no record that the State made any assessment to determine that this was not possible, or provided the necessary support to enable Mr. Guachalá to give his consent. In addition, the Commission emphasized that the actions of the medical center were influenced by a stereotype according to which persons with mental disabilities are unable to take autonomous decisions regarding their health. It added that the State had not offered any type of evidence to justify an emergency situation and to rule out that the hospitalization occurred owing to his disability. Furthermore, there is no record that his mother was advised about the different </w:t>
      </w:r>
      <w:r w:rsidR="00076DF8" w:rsidRPr="00C9465D">
        <w:rPr>
          <w:lang w:val="en-US"/>
        </w:rPr>
        <w:t>treatment alternatives and their consequences, or given any information in order to obtain her informed consent. On this basis, the Commission concluded that the State had violated the rights to</w:t>
      </w:r>
      <w:r w:rsidR="00076DF8" w:rsidRPr="00C9465D">
        <w:rPr>
          <w:b/>
          <w:lang w:val="en-US"/>
        </w:rPr>
        <w:t xml:space="preserve"> </w:t>
      </w:r>
      <w:r w:rsidR="00D12C0E" w:rsidRPr="00C9465D">
        <w:rPr>
          <w:lang w:val="en-US"/>
        </w:rPr>
        <w:t>recognition of juridical personality</w:t>
      </w:r>
      <w:r w:rsidR="00611330" w:rsidRPr="00C9465D">
        <w:rPr>
          <w:lang w:val="en-US"/>
        </w:rPr>
        <w:t xml:space="preserve">, </w:t>
      </w:r>
      <w:r w:rsidR="00D12C0E" w:rsidRPr="00C9465D">
        <w:rPr>
          <w:lang w:val="en-US"/>
        </w:rPr>
        <w:t>personal liberty</w:t>
      </w:r>
      <w:r w:rsidR="00611330" w:rsidRPr="00C9465D">
        <w:rPr>
          <w:lang w:val="en-US"/>
        </w:rPr>
        <w:t xml:space="preserve">, </w:t>
      </w:r>
      <w:r w:rsidR="00076DF8" w:rsidRPr="00C9465D">
        <w:rPr>
          <w:lang w:val="en-US"/>
        </w:rPr>
        <w:t xml:space="preserve">non-discrimination, </w:t>
      </w:r>
      <w:r w:rsidR="00D12C0E" w:rsidRPr="00C9465D">
        <w:rPr>
          <w:lang w:val="en-US"/>
        </w:rPr>
        <w:t>access to information</w:t>
      </w:r>
      <w:r w:rsidR="00611330" w:rsidRPr="00C9465D">
        <w:rPr>
          <w:lang w:val="en-US"/>
        </w:rPr>
        <w:t xml:space="preserve"> </w:t>
      </w:r>
      <w:r w:rsidR="00076DF8" w:rsidRPr="00C9465D">
        <w:rPr>
          <w:lang w:val="en-US"/>
        </w:rPr>
        <w:t>to give consent in health-related matters, and health.</w:t>
      </w:r>
      <w:r w:rsidR="00611330" w:rsidRPr="00C9465D">
        <w:rPr>
          <w:b/>
          <w:lang w:val="en-US"/>
        </w:rPr>
        <w:t xml:space="preserve"> </w:t>
      </w:r>
    </w:p>
    <w:p w14:paraId="3770EAA6" w14:textId="5ADA4A30" w:rsidR="00611330" w:rsidRPr="00C9465D" w:rsidRDefault="00076DF8" w:rsidP="00EC290C">
      <w:pPr>
        <w:pStyle w:val="Numberedparagraphs"/>
        <w:rPr>
          <w:lang w:val="en-US"/>
        </w:rPr>
      </w:pPr>
      <w:r w:rsidRPr="00C9465D">
        <w:rPr>
          <w:lang w:val="en-US"/>
        </w:rPr>
        <w:t xml:space="preserve">Regarding the treatment that </w:t>
      </w:r>
      <w:r w:rsidR="002F3237" w:rsidRPr="00C9465D">
        <w:rPr>
          <w:lang w:val="en-US"/>
        </w:rPr>
        <w:t>Mr. Guachalá</w:t>
      </w:r>
      <w:r w:rsidRPr="00C9465D">
        <w:rPr>
          <w:lang w:val="en-US"/>
        </w:rPr>
        <w:t xml:space="preserve"> received</w:t>
      </w:r>
      <w:r w:rsidR="00611330" w:rsidRPr="00C9465D">
        <w:rPr>
          <w:lang w:val="en-US"/>
        </w:rPr>
        <w:t xml:space="preserve">, </w:t>
      </w:r>
      <w:r w:rsidR="00193CBB" w:rsidRPr="00C9465D">
        <w:rPr>
          <w:lang w:val="en-US"/>
        </w:rPr>
        <w:t>the Commission</w:t>
      </w:r>
      <w:r w:rsidR="00611330" w:rsidRPr="00C9465D">
        <w:rPr>
          <w:lang w:val="en-US"/>
        </w:rPr>
        <w:t xml:space="preserve"> </w:t>
      </w:r>
      <w:r w:rsidRPr="00C9465D">
        <w:rPr>
          <w:lang w:val="en-US"/>
        </w:rPr>
        <w:t>alleged that</w:t>
      </w:r>
      <w:r w:rsidR="00611330" w:rsidRPr="00C9465D">
        <w:rPr>
          <w:lang w:val="en-US"/>
        </w:rPr>
        <w:t xml:space="preserve"> “</w:t>
      </w:r>
      <w:r w:rsidRPr="00C9465D">
        <w:rPr>
          <w:lang w:val="en-US"/>
        </w:rPr>
        <w:t xml:space="preserve">the medical center </w:t>
      </w:r>
      <w:r w:rsidR="004D337E" w:rsidRPr="00C9465D">
        <w:rPr>
          <w:lang w:val="en-US"/>
        </w:rPr>
        <w:t>performed</w:t>
      </w:r>
      <w:r w:rsidRPr="00C9465D">
        <w:rPr>
          <w:lang w:val="en-US"/>
        </w:rPr>
        <w:t xml:space="preserve"> an unjustified paternalistic intervention because, by </w:t>
      </w:r>
      <w:r w:rsidR="004D337E" w:rsidRPr="00C9465D">
        <w:rPr>
          <w:lang w:val="en-US"/>
        </w:rPr>
        <w:t>limiting</w:t>
      </w:r>
      <w:r w:rsidRPr="00C9465D">
        <w:rPr>
          <w:lang w:val="en-US"/>
        </w:rPr>
        <w:t xml:space="preserve"> his </w:t>
      </w:r>
      <w:r w:rsidR="004D337E" w:rsidRPr="00C9465D">
        <w:rPr>
          <w:lang w:val="en-US"/>
        </w:rPr>
        <w:t>legal</w:t>
      </w:r>
      <w:r w:rsidRPr="00C9465D">
        <w:rPr>
          <w:lang w:val="en-US"/>
        </w:rPr>
        <w:t xml:space="preserve"> capacity without seeking to obtain his prior, free, full and informed consent, it restricted Mr. Guachalá’s </w:t>
      </w:r>
      <w:r w:rsidR="004D337E" w:rsidRPr="00C9465D">
        <w:rPr>
          <w:lang w:val="en-US"/>
        </w:rPr>
        <w:t xml:space="preserve">health and </w:t>
      </w:r>
      <w:r w:rsidRPr="00C9465D">
        <w:rPr>
          <w:lang w:val="en-US"/>
        </w:rPr>
        <w:t xml:space="preserve">integrity and </w:t>
      </w:r>
      <w:r w:rsidR="004D337E" w:rsidRPr="00C9465D">
        <w:rPr>
          <w:lang w:val="en-US"/>
        </w:rPr>
        <w:t xml:space="preserve">his </w:t>
      </w:r>
      <w:r w:rsidRPr="00C9465D">
        <w:rPr>
          <w:lang w:val="en-US"/>
        </w:rPr>
        <w:t>autonomy</w:t>
      </w:r>
      <w:r w:rsidR="004D337E" w:rsidRPr="00C9465D">
        <w:rPr>
          <w:lang w:val="en-US"/>
        </w:rPr>
        <w:t xml:space="preserve"> </w:t>
      </w:r>
      <w:r w:rsidRPr="00C9465D">
        <w:rPr>
          <w:lang w:val="en-US"/>
        </w:rPr>
        <w:t xml:space="preserve">to take a decision about his mental health </w:t>
      </w:r>
      <w:r w:rsidR="004D337E" w:rsidRPr="00C9465D">
        <w:rPr>
          <w:lang w:val="en-US"/>
        </w:rPr>
        <w:t>through</w:t>
      </w:r>
      <w:r w:rsidRPr="00C9465D">
        <w:rPr>
          <w:lang w:val="en-US"/>
        </w:rPr>
        <w:t xml:space="preserve"> the medical treatment provided.</w:t>
      </w:r>
      <w:r w:rsidR="00611330" w:rsidRPr="00C9465D">
        <w:rPr>
          <w:lang w:val="en-US"/>
        </w:rPr>
        <w:t>”</w:t>
      </w:r>
      <w:r w:rsidR="005559D7" w:rsidRPr="00C9465D">
        <w:rPr>
          <w:b/>
          <w:lang w:val="en-US"/>
        </w:rPr>
        <w:t xml:space="preserve"> </w:t>
      </w:r>
      <w:r w:rsidRPr="00C9465D">
        <w:rPr>
          <w:lang w:val="en-US"/>
        </w:rPr>
        <w:t>Likewise</w:t>
      </w:r>
      <w:r w:rsidR="00611330" w:rsidRPr="00C9465D">
        <w:rPr>
          <w:lang w:val="en-US"/>
        </w:rPr>
        <w:t xml:space="preserve">, </w:t>
      </w:r>
      <w:r w:rsidR="002F3237" w:rsidRPr="00C9465D">
        <w:rPr>
          <w:color w:val="auto"/>
          <w:lang w:val="en-US"/>
        </w:rPr>
        <w:t>Mr. Guachalá</w:t>
      </w:r>
      <w:r w:rsidR="00611330" w:rsidRPr="00C9465D">
        <w:rPr>
          <w:color w:val="auto"/>
          <w:lang w:val="en-US"/>
        </w:rPr>
        <w:t xml:space="preserve"> Chimbo</w:t>
      </w:r>
      <w:r w:rsidRPr="00C9465D">
        <w:rPr>
          <w:color w:val="auto"/>
          <w:lang w:val="en-US"/>
        </w:rPr>
        <w:t xml:space="preserve"> was not advised about and his consent was not sought as regards the treatment he received, and he was not provided with support so that he could give this consent. Moreover, the State failed to provide treatments other than non-consensual medication and institutionalization. Additionally, the Commission indicated that “the Ecuadorian State has been unable to clarify</w:t>
      </w:r>
      <w:r w:rsidRPr="00C9465D">
        <w:rPr>
          <w:lang w:val="en-US"/>
        </w:rPr>
        <w:t xml:space="preserve"> Mr. Guachalá’s</w:t>
      </w:r>
      <w:r w:rsidR="00BF6AD0" w:rsidRPr="00C9465D">
        <w:rPr>
          <w:lang w:val="en-US"/>
        </w:rPr>
        <w:t xml:space="preserve"> disappearance</w:t>
      </w:r>
      <w:r w:rsidRPr="00C9465D">
        <w:rPr>
          <w:lang w:val="en-US"/>
        </w:rPr>
        <w:t xml:space="preserve">, or discover his fate or whereabouts.” It also stressed that there was evidence </w:t>
      </w:r>
      <w:r w:rsidR="00EC290C" w:rsidRPr="00C9465D">
        <w:rPr>
          <w:lang w:val="en-US"/>
        </w:rPr>
        <w:t xml:space="preserve">indicating “that his fate could be </w:t>
      </w:r>
      <w:r w:rsidR="004D337E" w:rsidRPr="00C9465D">
        <w:rPr>
          <w:lang w:val="en-US"/>
        </w:rPr>
        <w:t xml:space="preserve">that he died </w:t>
      </w:r>
      <w:r w:rsidR="00EC290C" w:rsidRPr="00C9465D">
        <w:rPr>
          <w:lang w:val="en-US"/>
        </w:rPr>
        <w:t xml:space="preserve">in the context of the treatment received from the State and </w:t>
      </w:r>
      <w:r w:rsidR="00603283" w:rsidRPr="00C9465D">
        <w:rPr>
          <w:lang w:val="en-US"/>
        </w:rPr>
        <w:t>that this was subsequently</w:t>
      </w:r>
      <w:r w:rsidR="00EC290C" w:rsidRPr="00C9465D">
        <w:rPr>
          <w:lang w:val="en-US"/>
        </w:rPr>
        <w:t xml:space="preserve"> conceal</w:t>
      </w:r>
      <w:r w:rsidR="00603283" w:rsidRPr="00C9465D">
        <w:rPr>
          <w:lang w:val="en-US"/>
        </w:rPr>
        <w:t>ed</w:t>
      </w:r>
      <w:r w:rsidR="00EC290C" w:rsidRPr="00C9465D">
        <w:rPr>
          <w:lang w:val="en-US"/>
        </w:rPr>
        <w:t xml:space="preserve">.” Given that </w:t>
      </w:r>
      <w:r w:rsidR="002F3237" w:rsidRPr="00C9465D">
        <w:rPr>
          <w:lang w:val="en-US"/>
        </w:rPr>
        <w:t>Mr. Guachalá</w:t>
      </w:r>
      <w:r w:rsidR="00611330" w:rsidRPr="00C9465D">
        <w:rPr>
          <w:lang w:val="en-US"/>
        </w:rPr>
        <w:t xml:space="preserve"> Chimbo </w:t>
      </w:r>
      <w:r w:rsidR="00EC290C" w:rsidRPr="00C9465D">
        <w:rPr>
          <w:lang w:val="en-US"/>
        </w:rPr>
        <w:t>was in the State’s custody</w:t>
      </w:r>
      <w:r w:rsidR="00F723B0" w:rsidRPr="00C9465D">
        <w:rPr>
          <w:lang w:val="en-US"/>
        </w:rPr>
        <w:t>,</w:t>
      </w:r>
      <w:r w:rsidR="00611330" w:rsidRPr="00C9465D">
        <w:rPr>
          <w:lang w:val="en-US"/>
        </w:rPr>
        <w:t xml:space="preserve"> </w:t>
      </w:r>
      <w:r w:rsidR="00193CBB" w:rsidRPr="00C9465D">
        <w:rPr>
          <w:lang w:val="en-US"/>
        </w:rPr>
        <w:t>the Commission</w:t>
      </w:r>
      <w:r w:rsidR="00611330" w:rsidRPr="00C9465D">
        <w:rPr>
          <w:lang w:val="en-US"/>
        </w:rPr>
        <w:t xml:space="preserve"> presum</w:t>
      </w:r>
      <w:r w:rsidR="00EC290C" w:rsidRPr="00C9465D">
        <w:rPr>
          <w:lang w:val="en-US"/>
        </w:rPr>
        <w:t>ed that the State was responsible for what occurred, because Ecuador has not provided a satisfactory and convincing explanation to support its version that the presumed victim escaped from the</w:t>
      </w:r>
      <w:r w:rsidR="00611330" w:rsidRPr="00C9465D">
        <w:rPr>
          <w:lang w:val="en-US"/>
        </w:rPr>
        <w:t xml:space="preserve"> hospital. </w:t>
      </w:r>
    </w:p>
    <w:p w14:paraId="54C083F4" w14:textId="41D6C148" w:rsidR="00811475" w:rsidRPr="00C9465D" w:rsidRDefault="00193CBB" w:rsidP="00811475">
      <w:pPr>
        <w:pStyle w:val="Numberedparagraphs"/>
        <w:tabs>
          <w:tab w:val="clear" w:pos="567"/>
          <w:tab w:val="num" w:pos="720"/>
        </w:tabs>
        <w:rPr>
          <w:lang w:val="en-US"/>
        </w:rPr>
      </w:pPr>
      <w:r w:rsidRPr="00C9465D">
        <w:rPr>
          <w:rFonts w:cs="Times New Roman"/>
          <w:lang w:val="en-US"/>
        </w:rPr>
        <w:t xml:space="preserve">The </w:t>
      </w:r>
      <w:r w:rsidRPr="00C9465D">
        <w:rPr>
          <w:rFonts w:cs="Times New Roman"/>
          <w:b/>
          <w:bCs/>
          <w:i/>
          <w:iCs/>
          <w:lang w:val="en-US"/>
        </w:rPr>
        <w:t>representatives</w:t>
      </w:r>
      <w:r w:rsidR="005559D7" w:rsidRPr="00C9465D">
        <w:rPr>
          <w:lang w:val="en-US"/>
        </w:rPr>
        <w:t xml:space="preserve"> </w:t>
      </w:r>
      <w:r w:rsidR="00DB025E" w:rsidRPr="00C9465D">
        <w:rPr>
          <w:lang w:val="en-US"/>
        </w:rPr>
        <w:t>argued that</w:t>
      </w:r>
      <w:r w:rsidR="005559D7" w:rsidRPr="00C9465D">
        <w:rPr>
          <w:lang w:val="en-US"/>
        </w:rPr>
        <w:t xml:space="preserve"> </w:t>
      </w:r>
      <w:r w:rsidRPr="00C9465D">
        <w:rPr>
          <w:lang w:val="en-US"/>
        </w:rPr>
        <w:t xml:space="preserve">the </w:t>
      </w:r>
      <w:r w:rsidR="00DB025E" w:rsidRPr="00C9465D">
        <w:rPr>
          <w:lang w:val="en-US"/>
        </w:rPr>
        <w:t xml:space="preserve">Ecuadorian </w:t>
      </w:r>
      <w:r w:rsidRPr="00C9465D">
        <w:rPr>
          <w:lang w:val="en-US"/>
        </w:rPr>
        <w:t>State</w:t>
      </w:r>
      <w:r w:rsidR="005559D7" w:rsidRPr="00C9465D">
        <w:rPr>
          <w:lang w:val="en-US"/>
        </w:rPr>
        <w:t xml:space="preserve"> </w:t>
      </w:r>
      <w:r w:rsidR="00DB025E" w:rsidRPr="00C9465D">
        <w:rPr>
          <w:lang w:val="en-US"/>
        </w:rPr>
        <w:t>had not ensured</w:t>
      </w:r>
      <w:r w:rsidR="002F3237" w:rsidRPr="00C9465D">
        <w:rPr>
          <w:lang w:val="en-US"/>
        </w:rPr>
        <w:t xml:space="preserve"> Mr. Guachalá</w:t>
      </w:r>
      <w:r w:rsidR="00DB025E" w:rsidRPr="00C9465D">
        <w:rPr>
          <w:lang w:val="en-US"/>
        </w:rPr>
        <w:t>’s right to health by providing the necessary and urgent services required by his special situation of vulnerability as a person with disabilities. Regarding the quality of the health services, they indicated that: (i) Luis Guachalá never had access to care appropriate to his situation; (ii) one of the hospital employees indicated that Luis was “shelling corn” with the other interns; (iii) Mrs. Chimbo was informed that she should buy the medic</w:t>
      </w:r>
      <w:r w:rsidR="0042142B" w:rsidRPr="00C9465D">
        <w:rPr>
          <w:lang w:val="en-US"/>
        </w:rPr>
        <w:t>ines</w:t>
      </w:r>
      <w:r w:rsidR="00DB025E" w:rsidRPr="00C9465D">
        <w:rPr>
          <w:lang w:val="en-US"/>
        </w:rPr>
        <w:t xml:space="preserve"> and articles of hygiene for Luis, and (iv) the </w:t>
      </w:r>
      <w:r w:rsidR="0042142B" w:rsidRPr="00C9465D">
        <w:rPr>
          <w:lang w:val="en-US"/>
        </w:rPr>
        <w:t>patients</w:t>
      </w:r>
      <w:r w:rsidR="00DB025E" w:rsidRPr="00C9465D">
        <w:rPr>
          <w:lang w:val="en-US"/>
        </w:rPr>
        <w:t xml:space="preserve"> were dressed in </w:t>
      </w:r>
      <w:r w:rsidR="0042142B" w:rsidRPr="00C9465D">
        <w:rPr>
          <w:lang w:val="en-US"/>
        </w:rPr>
        <w:t>second-hand</w:t>
      </w:r>
      <w:r w:rsidR="00DB025E" w:rsidRPr="00C9465D">
        <w:rPr>
          <w:lang w:val="en-US"/>
        </w:rPr>
        <w:t xml:space="preserve"> cloth</w:t>
      </w:r>
      <w:r w:rsidR="0042142B" w:rsidRPr="00C9465D">
        <w:rPr>
          <w:lang w:val="en-US"/>
        </w:rPr>
        <w:t>ing</w:t>
      </w:r>
      <w:r w:rsidR="00DB025E" w:rsidRPr="00C9465D">
        <w:rPr>
          <w:lang w:val="en-US"/>
        </w:rPr>
        <w:t xml:space="preserve">. Regarding the acceptability, they mentioned: (i) the delays in providing Mrs. Chimbo with information on the </w:t>
      </w:r>
      <w:r w:rsidR="000B737E" w:rsidRPr="00C9465D">
        <w:rPr>
          <w:lang w:val="en-US"/>
        </w:rPr>
        <w:t xml:space="preserve">condition, treatment and evolution of her son’s </w:t>
      </w:r>
      <w:r w:rsidR="0042142B" w:rsidRPr="00C9465D">
        <w:rPr>
          <w:lang w:val="en-US"/>
        </w:rPr>
        <w:t>health</w:t>
      </w:r>
      <w:r w:rsidR="000B737E" w:rsidRPr="00C9465D">
        <w:rPr>
          <w:lang w:val="en-US"/>
        </w:rPr>
        <w:t xml:space="preserve">; (ii) the mistreatment suffered by Luis when he was given an injection at the start of his </w:t>
      </w:r>
      <w:r w:rsidR="0042142B" w:rsidRPr="00C9465D">
        <w:rPr>
          <w:lang w:val="en-US"/>
        </w:rPr>
        <w:t>hospit</w:t>
      </w:r>
      <w:r w:rsidR="000B737E" w:rsidRPr="00C9465D">
        <w:rPr>
          <w:lang w:val="en-US"/>
        </w:rPr>
        <w:t xml:space="preserve">alization, and (iii) at one time, Luis Guachalá fell and his mother was informed </w:t>
      </w:r>
      <w:r w:rsidR="000B737E" w:rsidRPr="00C9465D">
        <w:rPr>
          <w:i/>
          <w:lang w:val="en-US"/>
        </w:rPr>
        <w:t>a posteriori</w:t>
      </w:r>
      <w:r w:rsidR="000B737E" w:rsidRPr="00C9465D">
        <w:rPr>
          <w:lang w:val="en-US"/>
        </w:rPr>
        <w:t xml:space="preserve">. The representatives also indicated that: (i) after his fall on January 15, 2004, Mr. Guachalá Chimbo did not undergo a basic examination to determine his health status; (ii) he received high doses of medication, and (iii) the Julio Endara Psychiatric Hospital did not have protocols to follow in case of escapes. Based on the foregoing, the representatives argued that the State had violated Mr. Guachalá Chimbo’s right to health, pursuant to Article 26 of the American Convention in relation to Article 1(1) of this instrument. They also indicated that the State had violated the right to juridical personality in relation to Article 1(1) of the Convention because: (i) Luis Guachalá ceased to be a subject of law who took decisions about his life and </w:t>
      </w:r>
      <w:r w:rsidR="000B737E" w:rsidRPr="00C9465D">
        <w:rPr>
          <w:lang w:val="en-US"/>
        </w:rPr>
        <w:lastRenderedPageBreak/>
        <w:t xml:space="preserve">became an object of protection by the State which had the power to take decisions on all aspects of his life, and (ii) the actions of the Ecuadorian State condemned Luis Eduardo to a “civil death,” manifested by the impossibility of taking </w:t>
      </w:r>
      <w:r w:rsidR="00811475" w:rsidRPr="00C9465D">
        <w:rPr>
          <w:lang w:val="en-US"/>
        </w:rPr>
        <w:t>extremely</w:t>
      </w:r>
      <w:r w:rsidR="000B737E" w:rsidRPr="00C9465D">
        <w:rPr>
          <w:lang w:val="en-US"/>
        </w:rPr>
        <w:t xml:space="preserve"> personal legal actions.</w:t>
      </w:r>
      <w:r w:rsidR="00811475" w:rsidRPr="00C9465D">
        <w:rPr>
          <w:lang w:val="en-US"/>
        </w:rPr>
        <w:t xml:space="preserve"> </w:t>
      </w:r>
      <w:r w:rsidRPr="00C9465D">
        <w:rPr>
          <w:lang w:val="en-US"/>
        </w:rPr>
        <w:t>The representatives</w:t>
      </w:r>
      <w:r w:rsidR="00D230AF" w:rsidRPr="00C9465D">
        <w:rPr>
          <w:lang w:val="en-US"/>
        </w:rPr>
        <w:t xml:space="preserve"> c</w:t>
      </w:r>
      <w:r w:rsidR="00811475" w:rsidRPr="00C9465D">
        <w:rPr>
          <w:lang w:val="en-US"/>
        </w:rPr>
        <w:t>h</w:t>
      </w:r>
      <w:r w:rsidR="00D230AF" w:rsidRPr="00C9465D">
        <w:rPr>
          <w:lang w:val="en-US"/>
        </w:rPr>
        <w:t>aracteriz</w:t>
      </w:r>
      <w:r w:rsidR="00811475" w:rsidRPr="00C9465D">
        <w:rPr>
          <w:lang w:val="en-US"/>
        </w:rPr>
        <w:t>ed</w:t>
      </w:r>
      <w:r w:rsidR="00D230AF" w:rsidRPr="00C9465D">
        <w:rPr>
          <w:lang w:val="en-US"/>
        </w:rPr>
        <w:t xml:space="preserve"> </w:t>
      </w:r>
      <w:r w:rsidR="00BF6AD0" w:rsidRPr="00C9465D">
        <w:rPr>
          <w:lang w:val="en-US"/>
        </w:rPr>
        <w:t>the disappearance of</w:t>
      </w:r>
      <w:r w:rsidR="002F3237" w:rsidRPr="00C9465D">
        <w:rPr>
          <w:lang w:val="en-US"/>
        </w:rPr>
        <w:t xml:space="preserve"> Mr. Guachalá</w:t>
      </w:r>
      <w:r w:rsidR="00811475" w:rsidRPr="00C9465D">
        <w:rPr>
          <w:lang w:val="en-US"/>
        </w:rPr>
        <w:t xml:space="preserve"> as</w:t>
      </w:r>
      <w:r w:rsidR="005559D7" w:rsidRPr="00C9465D">
        <w:rPr>
          <w:lang w:val="en-US"/>
        </w:rPr>
        <w:t xml:space="preserve"> </w:t>
      </w:r>
      <w:r w:rsidR="00CF3A9D" w:rsidRPr="00C9465D">
        <w:rPr>
          <w:lang w:val="en-US"/>
        </w:rPr>
        <w:t>a forced disappearance</w:t>
      </w:r>
      <w:r w:rsidR="005559D7" w:rsidRPr="00C9465D">
        <w:rPr>
          <w:lang w:val="en-US"/>
        </w:rPr>
        <w:t xml:space="preserve">, </w:t>
      </w:r>
      <w:r w:rsidR="00811475" w:rsidRPr="00C9465D">
        <w:rPr>
          <w:lang w:val="en-US"/>
        </w:rPr>
        <w:t>and indicated that it is possible to presume that “he died at the hands of the State agents in whose care he was, and that they hid his remains.”</w:t>
      </w:r>
    </w:p>
    <w:p w14:paraId="5CE417CA" w14:textId="1DF9A5C6" w:rsidR="007540C2" w:rsidRPr="00C9465D" w:rsidRDefault="00193CBB" w:rsidP="007540C2">
      <w:pPr>
        <w:pStyle w:val="Numberedparagraphs"/>
        <w:tabs>
          <w:tab w:val="clear" w:pos="567"/>
        </w:tabs>
        <w:rPr>
          <w:lang w:val="en-US"/>
        </w:rPr>
      </w:pPr>
      <w:r w:rsidRPr="00C9465D">
        <w:rPr>
          <w:lang w:val="en-US"/>
        </w:rPr>
        <w:t xml:space="preserve">The </w:t>
      </w:r>
      <w:r w:rsidRPr="00C9465D">
        <w:rPr>
          <w:b/>
          <w:bCs/>
          <w:i/>
          <w:iCs/>
          <w:lang w:val="en-US"/>
        </w:rPr>
        <w:t>State</w:t>
      </w:r>
      <w:r w:rsidR="00611330" w:rsidRPr="00C9465D">
        <w:rPr>
          <w:b/>
          <w:i/>
          <w:lang w:val="en-US"/>
        </w:rPr>
        <w:t xml:space="preserve"> </w:t>
      </w:r>
      <w:r w:rsidR="00811475" w:rsidRPr="00C9465D">
        <w:rPr>
          <w:lang w:val="en-US"/>
        </w:rPr>
        <w:t xml:space="preserve">indicated that it “ratifies is position concurring” with the partially dissenting opinions of Judges </w:t>
      </w:r>
      <w:r w:rsidR="00611330" w:rsidRPr="00C9465D">
        <w:rPr>
          <w:lang w:val="en-US"/>
        </w:rPr>
        <w:t>Vio Grossi</w:t>
      </w:r>
      <w:r w:rsidRPr="00C9465D">
        <w:rPr>
          <w:lang w:val="en-US"/>
        </w:rPr>
        <w:t xml:space="preserve"> and </w:t>
      </w:r>
      <w:r w:rsidR="00611330" w:rsidRPr="00C9465D">
        <w:rPr>
          <w:lang w:val="en-US"/>
        </w:rPr>
        <w:t xml:space="preserve">Sierra Porto </w:t>
      </w:r>
      <w:r w:rsidR="00811475" w:rsidRPr="00C9465D">
        <w:rPr>
          <w:lang w:val="en-US"/>
        </w:rPr>
        <w:t>in the case of</w:t>
      </w:r>
      <w:r w:rsidR="00611330" w:rsidRPr="00C9465D">
        <w:rPr>
          <w:i/>
          <w:iCs/>
          <w:lang w:val="en-US"/>
        </w:rPr>
        <w:t xml:space="preserve"> Lagos del Campo </w:t>
      </w:r>
      <w:r w:rsidRPr="00C9465D">
        <w:rPr>
          <w:i/>
          <w:iCs/>
          <w:lang w:val="en-US"/>
        </w:rPr>
        <w:t>v.</w:t>
      </w:r>
      <w:r w:rsidR="00611330" w:rsidRPr="00C9465D">
        <w:rPr>
          <w:i/>
          <w:iCs/>
          <w:lang w:val="en-US"/>
        </w:rPr>
        <w:t xml:space="preserve"> Per</w:t>
      </w:r>
      <w:r w:rsidR="00811475" w:rsidRPr="00C9465D">
        <w:rPr>
          <w:i/>
          <w:iCs/>
          <w:lang w:val="en-US"/>
        </w:rPr>
        <w:t>u</w:t>
      </w:r>
      <w:r w:rsidR="00611330" w:rsidRPr="00C9465D">
        <w:rPr>
          <w:lang w:val="en-US"/>
        </w:rPr>
        <w:t xml:space="preserve">. </w:t>
      </w:r>
      <w:r w:rsidR="00811475" w:rsidRPr="00C9465D">
        <w:rPr>
          <w:lang w:val="en-US"/>
        </w:rPr>
        <w:t xml:space="preserve">Despite this, the State argued that “the international obligations in the area of social, economic and cultural rights are of a progressive nature” so that “the </w:t>
      </w:r>
      <w:r w:rsidR="0042142B" w:rsidRPr="00C9465D">
        <w:rPr>
          <w:lang w:val="en-US"/>
        </w:rPr>
        <w:t>hospitali</w:t>
      </w:r>
      <w:r w:rsidR="00811475" w:rsidRPr="00C9465D">
        <w:rPr>
          <w:lang w:val="en-US"/>
        </w:rPr>
        <w:t xml:space="preserve">zation and treatment to which Mr. Guachalá was submitted at the request of his mother were the measures that could best ensure his health </w:t>
      </w:r>
      <w:r w:rsidR="0042142B" w:rsidRPr="00C9465D">
        <w:rPr>
          <w:lang w:val="en-US"/>
        </w:rPr>
        <w:t>based on</w:t>
      </w:r>
      <w:r w:rsidR="00811475" w:rsidRPr="00C9465D">
        <w:rPr>
          <w:lang w:val="en-US"/>
        </w:rPr>
        <w:t xml:space="preserve"> the </w:t>
      </w:r>
      <w:r w:rsidR="0042142B" w:rsidRPr="00C9465D">
        <w:rPr>
          <w:lang w:val="en-US"/>
        </w:rPr>
        <w:t xml:space="preserve">country’s </w:t>
      </w:r>
      <w:r w:rsidR="00811475" w:rsidRPr="00C9465D">
        <w:rPr>
          <w:lang w:val="en-US"/>
        </w:rPr>
        <w:t>circumstances and the scientific standards at that time.</w:t>
      </w:r>
      <w:r w:rsidR="00611330" w:rsidRPr="00C9465D">
        <w:rPr>
          <w:lang w:val="en-US"/>
        </w:rPr>
        <w:t>”</w:t>
      </w:r>
      <w:r w:rsidR="00811475" w:rsidRPr="00C9465D">
        <w:rPr>
          <w:lang w:val="en-US"/>
        </w:rPr>
        <w:t xml:space="preserve"> It added that Mr. Guachalá’s hospitalization had not violated his autonomy or liberty because “his admittance to the hospital was requested and authorized by Mrs</w:t>
      </w:r>
      <w:r w:rsidR="00A56F98" w:rsidRPr="00C9465D">
        <w:rPr>
          <w:lang w:val="en-US"/>
        </w:rPr>
        <w:t>. Chimbo</w:t>
      </w:r>
      <w:r w:rsidR="00611330" w:rsidRPr="00C9465D">
        <w:rPr>
          <w:lang w:val="en-US"/>
        </w:rPr>
        <w:t xml:space="preserve"> Jarro </w:t>
      </w:r>
      <w:r w:rsidR="00520411" w:rsidRPr="00C9465D">
        <w:rPr>
          <w:lang w:val="en-US"/>
        </w:rPr>
        <w:t>[…]</w:t>
      </w:r>
      <w:r w:rsidR="00611330" w:rsidRPr="00C9465D">
        <w:rPr>
          <w:lang w:val="en-US"/>
        </w:rPr>
        <w:t xml:space="preserve"> </w:t>
      </w:r>
      <w:r w:rsidR="00811475" w:rsidRPr="00C9465D">
        <w:rPr>
          <w:lang w:val="en-US"/>
        </w:rPr>
        <w:t>who consciously and voluntarily hospitalized her son so that he could receive psychiatric treatment that would cure the problems resulting from his illness.” This constituted “a prior, free, full and informed consent that</w:t>
      </w:r>
      <w:r w:rsidR="0042142B" w:rsidRPr="00C9465D">
        <w:rPr>
          <w:lang w:val="en-US"/>
        </w:rPr>
        <w:t xml:space="preserve">, </w:t>
      </w:r>
      <w:r w:rsidR="00811475" w:rsidRPr="00C9465D">
        <w:rPr>
          <w:lang w:val="en-US"/>
        </w:rPr>
        <w:t>necessarily</w:t>
      </w:r>
      <w:r w:rsidR="0042142B" w:rsidRPr="00C9465D">
        <w:rPr>
          <w:lang w:val="en-US"/>
        </w:rPr>
        <w:t>,</w:t>
      </w:r>
      <w:r w:rsidR="00811475" w:rsidRPr="00C9465D">
        <w:rPr>
          <w:lang w:val="en-US"/>
        </w:rPr>
        <w:t xml:space="preserve"> </w:t>
      </w:r>
      <w:r w:rsidR="0042142B" w:rsidRPr="00C9465D">
        <w:rPr>
          <w:lang w:val="en-US"/>
        </w:rPr>
        <w:t xml:space="preserve">had </w:t>
      </w:r>
      <w:r w:rsidR="00811475" w:rsidRPr="00C9465D">
        <w:rPr>
          <w:lang w:val="en-US"/>
        </w:rPr>
        <w:t xml:space="preserve">to be provided owing to Guachalá’s critical and serious situation, which Mrs. Chimbo Jarro herself described and ratified in her sworn statement.” The State argued that Mr. Guachalá’s medical record “reveals that the patient </w:t>
      </w:r>
      <w:r w:rsidR="007540C2" w:rsidRPr="00C9465D">
        <w:rPr>
          <w:lang w:val="en-US"/>
        </w:rPr>
        <w:t xml:space="preserve">was suffering from psychotic symptoms” and this constituted a case of medical emergency, which justified the consent </w:t>
      </w:r>
      <w:r w:rsidR="0042142B" w:rsidRPr="00C9465D">
        <w:rPr>
          <w:lang w:val="en-US"/>
        </w:rPr>
        <w:t>being</w:t>
      </w:r>
      <w:r w:rsidR="007540C2" w:rsidRPr="00C9465D">
        <w:rPr>
          <w:lang w:val="en-US"/>
        </w:rPr>
        <w:t xml:space="preserve"> given by his mother. Ecuador argued that the </w:t>
      </w:r>
      <w:r w:rsidR="0042142B" w:rsidRPr="00C9465D">
        <w:rPr>
          <w:lang w:val="en-US"/>
        </w:rPr>
        <w:t>hospit</w:t>
      </w:r>
      <w:r w:rsidR="007540C2" w:rsidRPr="00C9465D">
        <w:rPr>
          <w:lang w:val="en-US"/>
        </w:rPr>
        <w:t xml:space="preserve">alization and the treatment applied to Mr. Guachalá constituted “essential, appropriate, necessary and proportionate measures to ensure his health and integrity.” </w:t>
      </w:r>
      <w:r w:rsidR="002F3237" w:rsidRPr="00C9465D">
        <w:rPr>
          <w:lang w:val="en-US"/>
        </w:rPr>
        <w:t>Mr. Guachalá</w:t>
      </w:r>
      <w:r w:rsidR="00611330" w:rsidRPr="00C9465D">
        <w:rPr>
          <w:lang w:val="en-US"/>
        </w:rPr>
        <w:t xml:space="preserve"> “</w:t>
      </w:r>
      <w:r w:rsidR="007540C2" w:rsidRPr="00C9465D">
        <w:rPr>
          <w:lang w:val="en-US"/>
        </w:rPr>
        <w:t>was always properly fed and kept clea</w:t>
      </w:r>
      <w:r w:rsidR="0042142B" w:rsidRPr="00C9465D">
        <w:rPr>
          <w:lang w:val="en-US"/>
        </w:rPr>
        <w:t>n</w:t>
      </w:r>
      <w:r w:rsidR="007540C2" w:rsidRPr="00C9465D">
        <w:rPr>
          <w:lang w:val="en-US"/>
        </w:rPr>
        <w:t xml:space="preserve"> and received his medication opportunely.” Lastly, the State stressed that “there is no indication whatsoever that Mr. Guachalá was deprived of his life within the hospital,”</w:t>
      </w:r>
      <w:r w:rsidR="0042142B" w:rsidRPr="00C9465D">
        <w:rPr>
          <w:lang w:val="en-US"/>
        </w:rPr>
        <w:t xml:space="preserve"> and</w:t>
      </w:r>
      <w:r w:rsidR="007540C2" w:rsidRPr="00C9465D">
        <w:rPr>
          <w:lang w:val="en-US"/>
        </w:rPr>
        <w:t xml:space="preserve"> “the three requirements for the constitution of a forced disappearance </w:t>
      </w:r>
      <w:r w:rsidR="00C971B8" w:rsidRPr="00C9465D">
        <w:rPr>
          <w:lang w:val="en-US"/>
        </w:rPr>
        <w:t>have</w:t>
      </w:r>
      <w:r w:rsidR="007540C2" w:rsidRPr="00C9465D">
        <w:rPr>
          <w:lang w:val="en-US"/>
        </w:rPr>
        <w:t xml:space="preserve"> </w:t>
      </w:r>
      <w:r w:rsidR="0042142B" w:rsidRPr="00C9465D">
        <w:rPr>
          <w:lang w:val="en-US"/>
        </w:rPr>
        <w:t xml:space="preserve">not been </w:t>
      </w:r>
      <w:r w:rsidR="007540C2" w:rsidRPr="00C9465D">
        <w:rPr>
          <w:lang w:val="en-US"/>
        </w:rPr>
        <w:t>proved.”</w:t>
      </w:r>
    </w:p>
    <w:p w14:paraId="1B364818" w14:textId="7A22F8D6" w:rsidR="00B138FF" w:rsidRPr="00C9465D" w:rsidRDefault="007540C2" w:rsidP="00D47F8D">
      <w:pPr>
        <w:pStyle w:val="Heading2"/>
        <w:numPr>
          <w:ilvl w:val="0"/>
          <w:numId w:val="4"/>
        </w:numPr>
        <w:ind w:left="1134" w:hanging="567"/>
        <w:rPr>
          <w:lang w:val="en-US"/>
        </w:rPr>
      </w:pPr>
      <w:bookmarkStart w:id="42" w:name="_Toc74298453"/>
      <w:r w:rsidRPr="00C9465D">
        <w:rPr>
          <w:lang w:val="en-US"/>
        </w:rPr>
        <w:t>Considerations</w:t>
      </w:r>
      <w:r w:rsidR="00193CBB" w:rsidRPr="00C9465D">
        <w:rPr>
          <w:lang w:val="en-US"/>
        </w:rPr>
        <w:t xml:space="preserve"> of the Court</w:t>
      </w:r>
      <w:bookmarkEnd w:id="42"/>
    </w:p>
    <w:p w14:paraId="041E470E" w14:textId="6EF655D2" w:rsidR="007234A8" w:rsidRPr="00C9465D" w:rsidRDefault="007540C2" w:rsidP="007234A8">
      <w:pPr>
        <w:pStyle w:val="Numberedparagraphs"/>
        <w:rPr>
          <w:lang w:val="en-US"/>
        </w:rPr>
      </w:pPr>
      <w:bookmarkStart w:id="43" w:name="_Ref72330012"/>
      <w:r w:rsidRPr="00C9465D">
        <w:rPr>
          <w:lang w:val="en-US"/>
        </w:rPr>
        <w:t>The central dispute in the</w:t>
      </w:r>
      <w:r w:rsidR="004952F2" w:rsidRPr="00C9465D">
        <w:rPr>
          <w:lang w:val="en-US"/>
        </w:rPr>
        <w:t xml:space="preserve"> instant case relates to what happened </w:t>
      </w:r>
      <w:r w:rsidR="002F3237" w:rsidRPr="00C9465D">
        <w:rPr>
          <w:lang w:val="en-US"/>
        </w:rPr>
        <w:t>to Mr. Guachalá</w:t>
      </w:r>
      <w:r w:rsidR="007234A8" w:rsidRPr="00C9465D">
        <w:rPr>
          <w:lang w:val="en-US"/>
        </w:rPr>
        <w:t xml:space="preserve"> Chimbo </w:t>
      </w:r>
      <w:r w:rsidR="004952F2" w:rsidRPr="00C9465D">
        <w:rPr>
          <w:lang w:val="en-US"/>
        </w:rPr>
        <w:t>owing to his illness and, in particular, when receiving medical treatment in a public hospital in 2004. Therefore, the Court finds it pertinent to examine the hospitalization and</w:t>
      </w:r>
      <w:r w:rsidR="00260D95" w:rsidRPr="00C9465D">
        <w:rPr>
          <w:lang w:val="en-US"/>
        </w:rPr>
        <w:t xml:space="preserve"> the</w:t>
      </w:r>
      <w:r w:rsidR="004952F2" w:rsidRPr="00C9465D">
        <w:rPr>
          <w:lang w:val="en-US"/>
        </w:rPr>
        <w:t xml:space="preserve"> treatment received by </w:t>
      </w:r>
      <w:r w:rsidR="007234A8" w:rsidRPr="00C9465D">
        <w:rPr>
          <w:color w:val="auto"/>
          <w:lang w:val="en-US"/>
        </w:rPr>
        <w:t xml:space="preserve">Luis Eduardo Guachalá </w:t>
      </w:r>
      <w:r w:rsidR="004952F2" w:rsidRPr="00C9465D">
        <w:rPr>
          <w:color w:val="auto"/>
          <w:lang w:val="en-US"/>
        </w:rPr>
        <w:t>in the</w:t>
      </w:r>
      <w:r w:rsidR="007234A8" w:rsidRPr="00C9465D">
        <w:rPr>
          <w:color w:val="auto"/>
          <w:lang w:val="en-US"/>
        </w:rPr>
        <w:t xml:space="preserve"> </w:t>
      </w:r>
      <w:r w:rsidR="001F65A3" w:rsidRPr="00C9465D">
        <w:rPr>
          <w:color w:val="auto"/>
          <w:lang w:val="en-US"/>
        </w:rPr>
        <w:t>Julio Endara Hospital</w:t>
      </w:r>
      <w:r w:rsidR="007234A8" w:rsidRPr="00C9465D">
        <w:rPr>
          <w:color w:val="auto"/>
          <w:lang w:val="en-US"/>
        </w:rPr>
        <w:t xml:space="preserve"> </w:t>
      </w:r>
      <w:r w:rsidR="004952F2" w:rsidRPr="00C9465D">
        <w:rPr>
          <w:color w:val="auto"/>
          <w:lang w:val="en-US"/>
        </w:rPr>
        <w:t xml:space="preserve">in the context of the right to </w:t>
      </w:r>
      <w:r w:rsidR="00D12C0E" w:rsidRPr="00C9465D">
        <w:rPr>
          <w:color w:val="auto"/>
          <w:lang w:val="en-US"/>
        </w:rPr>
        <w:t>health</w:t>
      </w:r>
      <w:r w:rsidR="007234A8" w:rsidRPr="00C9465D">
        <w:rPr>
          <w:color w:val="auto"/>
          <w:lang w:val="en-US"/>
        </w:rPr>
        <w:t xml:space="preserve">. </w:t>
      </w:r>
      <w:r w:rsidR="004952F2" w:rsidRPr="00C9465D">
        <w:rPr>
          <w:color w:val="auto"/>
          <w:lang w:val="en-US"/>
        </w:rPr>
        <w:t>The events regarding Mr. Guachalá Chimbo’s alleged disappearance from the hospital will be examined taking into account, also, the State’s obligations to ensure the rights to</w:t>
      </w:r>
      <w:r w:rsidR="00D12C0E" w:rsidRPr="00C9465D">
        <w:rPr>
          <w:color w:val="auto"/>
          <w:lang w:val="en-US"/>
        </w:rPr>
        <w:t xml:space="preserve"> life</w:t>
      </w:r>
      <w:r w:rsidR="00193CBB" w:rsidRPr="00C9465D">
        <w:rPr>
          <w:color w:val="auto"/>
          <w:lang w:val="en-US"/>
        </w:rPr>
        <w:t xml:space="preserve"> and </w:t>
      </w:r>
      <w:r w:rsidR="004952F2" w:rsidRPr="00C9465D">
        <w:rPr>
          <w:color w:val="auto"/>
          <w:lang w:val="en-US"/>
        </w:rPr>
        <w:t>to</w:t>
      </w:r>
      <w:r w:rsidR="007234A8" w:rsidRPr="00C9465D">
        <w:rPr>
          <w:color w:val="auto"/>
          <w:lang w:val="en-US"/>
        </w:rPr>
        <w:t xml:space="preserve"> </w:t>
      </w:r>
      <w:r w:rsidR="00D12C0E" w:rsidRPr="00C9465D">
        <w:rPr>
          <w:color w:val="auto"/>
          <w:lang w:val="en-US"/>
        </w:rPr>
        <w:t>integrity</w:t>
      </w:r>
      <w:r w:rsidR="007234A8" w:rsidRPr="00C9465D">
        <w:rPr>
          <w:color w:val="auto"/>
          <w:lang w:val="en-US"/>
        </w:rPr>
        <w:t xml:space="preserve"> </w:t>
      </w:r>
      <w:r w:rsidR="004952F2" w:rsidRPr="00C9465D">
        <w:rPr>
          <w:color w:val="auto"/>
          <w:lang w:val="en-US"/>
        </w:rPr>
        <w:t>of th</w:t>
      </w:r>
      <w:r w:rsidR="0042142B" w:rsidRPr="00C9465D">
        <w:rPr>
          <w:color w:val="auto"/>
          <w:lang w:val="en-US"/>
        </w:rPr>
        <w:t>os</w:t>
      </w:r>
      <w:r w:rsidR="004952F2" w:rsidRPr="00C9465D">
        <w:rPr>
          <w:color w:val="auto"/>
          <w:lang w:val="en-US"/>
        </w:rPr>
        <w:t>e persons admitted to a public hospital.</w:t>
      </w:r>
      <w:bookmarkEnd w:id="43"/>
    </w:p>
    <w:p w14:paraId="5BF10606" w14:textId="791C0125" w:rsidR="00BD0BA1" w:rsidRPr="00C9465D" w:rsidRDefault="00260D95" w:rsidP="00260D95">
      <w:pPr>
        <w:pStyle w:val="Numberedparagraphs"/>
        <w:rPr>
          <w:lang w:val="en-US"/>
        </w:rPr>
      </w:pPr>
      <w:r w:rsidRPr="00C9465D">
        <w:rPr>
          <w:lang w:val="en-US"/>
        </w:rPr>
        <w:t>Regarding</w:t>
      </w:r>
      <w:r w:rsidR="00CE5734" w:rsidRPr="00C9465D">
        <w:rPr>
          <w:lang w:val="en-US"/>
        </w:rPr>
        <w:t xml:space="preserve"> </w:t>
      </w:r>
      <w:r w:rsidRPr="00C9465D">
        <w:rPr>
          <w:lang w:val="en-US"/>
        </w:rPr>
        <w:t>the right to health</w:t>
      </w:r>
      <w:r w:rsidR="00CE5734" w:rsidRPr="00C9465D">
        <w:rPr>
          <w:lang w:val="en-US"/>
        </w:rPr>
        <w:t xml:space="preserve">, </w:t>
      </w:r>
      <w:r w:rsidR="00193CBB" w:rsidRPr="00C9465D">
        <w:rPr>
          <w:lang w:val="en-US"/>
        </w:rPr>
        <w:t>the Court</w:t>
      </w:r>
      <w:r w:rsidR="00CE5734" w:rsidRPr="00C9465D">
        <w:rPr>
          <w:lang w:val="en-US"/>
        </w:rPr>
        <w:t xml:space="preserve"> rec</w:t>
      </w:r>
      <w:r w:rsidRPr="00C9465D">
        <w:rPr>
          <w:lang w:val="en-US"/>
        </w:rPr>
        <w:t xml:space="preserve">alls that, taking into account that, pursuant to </w:t>
      </w:r>
      <w:r w:rsidR="00193CBB" w:rsidRPr="00C9465D">
        <w:rPr>
          <w:lang w:val="en-US"/>
        </w:rPr>
        <w:t>Articles</w:t>
      </w:r>
      <w:r w:rsidR="00CE5734" w:rsidRPr="00C9465D">
        <w:rPr>
          <w:lang w:val="en-US"/>
        </w:rPr>
        <w:t xml:space="preserve"> </w:t>
      </w:r>
      <w:r w:rsidRPr="00C9465D">
        <w:rPr>
          <w:lang w:val="en-US"/>
        </w:rPr>
        <w:t>34(i)</w:t>
      </w:r>
      <w:r w:rsidR="0042142B" w:rsidRPr="00C9465D">
        <w:rPr>
          <w:lang w:val="en-US"/>
        </w:rPr>
        <w:t>,</w:t>
      </w:r>
      <w:r w:rsidR="00CE5734" w:rsidRPr="00C9465D">
        <w:rPr>
          <w:rStyle w:val="FootnoteReference"/>
          <w:color w:val="auto"/>
          <w:lang w:val="en-US"/>
        </w:rPr>
        <w:footnoteReference w:id="180"/>
      </w:r>
      <w:r w:rsidR="00CE5734" w:rsidRPr="00C9465D">
        <w:rPr>
          <w:lang w:val="en-US"/>
        </w:rPr>
        <w:t xml:space="preserve"> </w:t>
      </w:r>
      <w:r w:rsidRPr="00C9465D">
        <w:rPr>
          <w:lang w:val="en-US"/>
        </w:rPr>
        <w:t>34(l)</w:t>
      </w:r>
      <w:r w:rsidR="00CE5734" w:rsidRPr="00C9465D">
        <w:rPr>
          <w:rStyle w:val="FootnoteReference"/>
          <w:color w:val="auto"/>
          <w:lang w:val="en-US"/>
        </w:rPr>
        <w:footnoteReference w:id="181"/>
      </w:r>
      <w:r w:rsidR="00193CBB" w:rsidRPr="00C9465D">
        <w:rPr>
          <w:lang w:val="en-US"/>
        </w:rPr>
        <w:t xml:space="preserve"> and </w:t>
      </w:r>
      <w:r w:rsidRPr="00C9465D">
        <w:rPr>
          <w:lang w:val="en-US"/>
        </w:rPr>
        <w:t>45(h)</w:t>
      </w:r>
      <w:r w:rsidR="00CE5734" w:rsidRPr="00C9465D">
        <w:rPr>
          <w:rStyle w:val="FootnoteReference"/>
          <w:color w:val="auto"/>
          <w:lang w:val="en-US"/>
        </w:rPr>
        <w:footnoteReference w:id="182"/>
      </w:r>
      <w:r w:rsidRPr="00C9465D">
        <w:rPr>
          <w:lang w:val="en-US"/>
        </w:rPr>
        <w:t xml:space="preserve"> of the OAS Charter, it is derived that the right to </w:t>
      </w:r>
      <w:r w:rsidRPr="00C9465D">
        <w:rPr>
          <w:lang w:val="en-US"/>
        </w:rPr>
        <w:lastRenderedPageBreak/>
        <w:t>health is included in this Charter</w:t>
      </w:r>
      <w:r w:rsidR="00FA33EA" w:rsidRPr="00C9465D">
        <w:rPr>
          <w:lang w:val="en-US"/>
        </w:rPr>
        <w:t xml:space="preserve">, </w:t>
      </w:r>
      <w:r w:rsidR="00B71E4D" w:rsidRPr="00C9465D">
        <w:rPr>
          <w:lang w:val="en-US"/>
        </w:rPr>
        <w:t>this Court</w:t>
      </w:r>
      <w:r w:rsidR="00FA33EA" w:rsidRPr="00C9465D">
        <w:rPr>
          <w:lang w:val="en-US"/>
        </w:rPr>
        <w:t xml:space="preserve"> </w:t>
      </w:r>
      <w:r w:rsidRPr="00C9465D">
        <w:rPr>
          <w:lang w:val="en-US"/>
        </w:rPr>
        <w:t>in various precedents has recognized the right to health as a right protected by</w:t>
      </w:r>
      <w:r w:rsidR="00FA33EA" w:rsidRPr="00C9465D">
        <w:rPr>
          <w:lang w:val="en-US"/>
        </w:rPr>
        <w:t xml:space="preserve"> </w:t>
      </w:r>
      <w:r w:rsidR="007A3CA5" w:rsidRPr="00C9465D">
        <w:rPr>
          <w:lang w:val="en-US"/>
        </w:rPr>
        <w:t>Article</w:t>
      </w:r>
      <w:r w:rsidR="00FA33EA" w:rsidRPr="00C9465D">
        <w:rPr>
          <w:lang w:val="en-US"/>
        </w:rPr>
        <w:t xml:space="preserve"> 26</w:t>
      </w:r>
      <w:r w:rsidR="00193CBB" w:rsidRPr="00C9465D">
        <w:rPr>
          <w:lang w:val="en-US"/>
        </w:rPr>
        <w:t xml:space="preserve"> of the Convention</w:t>
      </w:r>
      <w:r w:rsidRPr="00C9465D">
        <w:rPr>
          <w:lang w:val="en-US"/>
        </w:rPr>
        <w:t>.</w:t>
      </w:r>
      <w:r w:rsidR="00CE5734" w:rsidRPr="00C9465D">
        <w:rPr>
          <w:rStyle w:val="FootnoteReference"/>
          <w:color w:val="auto"/>
          <w:lang w:val="en-US"/>
        </w:rPr>
        <w:footnoteReference w:id="183"/>
      </w:r>
      <w:r w:rsidRPr="00C9465D">
        <w:rPr>
          <w:lang w:val="en-US"/>
        </w:rPr>
        <w:t xml:space="preserve"> In addition,</w:t>
      </w:r>
      <w:r w:rsidR="00667CB8" w:rsidRPr="00C9465D">
        <w:rPr>
          <w:lang w:val="en-US"/>
        </w:rPr>
        <w:t xml:space="preserve"> </w:t>
      </w:r>
      <w:r w:rsidR="00193CBB" w:rsidRPr="00C9465D">
        <w:rPr>
          <w:lang w:val="en-US"/>
        </w:rPr>
        <w:t>Article</w:t>
      </w:r>
      <w:r w:rsidR="00BD0BA1" w:rsidRPr="00C9465D">
        <w:rPr>
          <w:lang w:val="en-US"/>
        </w:rPr>
        <w:t xml:space="preserve"> XI</w:t>
      </w:r>
      <w:r w:rsidRPr="00C9465D">
        <w:rPr>
          <w:lang w:val="en-US"/>
        </w:rPr>
        <w:t xml:space="preserve"> of the American Declaration</w:t>
      </w:r>
      <w:r w:rsidR="00BD0BA1" w:rsidRPr="00C9465D">
        <w:rPr>
          <w:lang w:val="en-US"/>
        </w:rPr>
        <w:t xml:space="preserve"> </w:t>
      </w:r>
      <w:r w:rsidRPr="00C9465D">
        <w:rPr>
          <w:lang w:val="en-US"/>
        </w:rPr>
        <w:t>allows</w:t>
      </w:r>
      <w:r w:rsidR="00BD0BA1" w:rsidRPr="00C9465D">
        <w:rPr>
          <w:lang w:val="en-US"/>
        </w:rPr>
        <w:t xml:space="preserve"> </w:t>
      </w:r>
      <w:r w:rsidRPr="00C9465D">
        <w:rPr>
          <w:lang w:val="en-US"/>
        </w:rPr>
        <w:t>the right to health</w:t>
      </w:r>
      <w:r w:rsidR="00BD0BA1" w:rsidRPr="00C9465D">
        <w:rPr>
          <w:lang w:val="en-US"/>
        </w:rPr>
        <w:t xml:space="preserve"> </w:t>
      </w:r>
      <w:r w:rsidRPr="00C9465D">
        <w:rPr>
          <w:lang w:val="en-US"/>
        </w:rPr>
        <w:t xml:space="preserve">to be identified when stating that “[e]veryone has the right </w:t>
      </w:r>
      <w:r w:rsidRPr="00C9465D">
        <w:rPr>
          <w:rFonts w:cs="Verdana"/>
          <w:lang w:val="en-US"/>
        </w:rPr>
        <w:t xml:space="preserve">to the preservation of his health through sanitary and social measures relating to </w:t>
      </w:r>
      <w:r w:rsidR="00520411" w:rsidRPr="00C9465D">
        <w:rPr>
          <w:lang w:val="en-US"/>
        </w:rPr>
        <w:t>[…]</w:t>
      </w:r>
      <w:r w:rsidRPr="00C9465D">
        <w:rPr>
          <w:lang w:val="en-US"/>
        </w:rPr>
        <w:t xml:space="preserve"> </w:t>
      </w:r>
      <w:r w:rsidRPr="00C9465D">
        <w:rPr>
          <w:rFonts w:cs="Verdana"/>
          <w:lang w:val="en-US"/>
        </w:rPr>
        <w:t>medical care, to the extent</w:t>
      </w:r>
      <w:r w:rsidRPr="00C9465D">
        <w:rPr>
          <w:lang w:val="en-US"/>
        </w:rPr>
        <w:t xml:space="preserve"> </w:t>
      </w:r>
      <w:r w:rsidRPr="00C9465D">
        <w:rPr>
          <w:rFonts w:cs="Verdana"/>
          <w:lang w:val="en-US"/>
        </w:rPr>
        <w:t>permitted by public and community resources</w:t>
      </w:r>
      <w:r w:rsidRPr="00C9465D">
        <w:rPr>
          <w:lang w:val="en-US"/>
        </w:rPr>
        <w:t>.</w:t>
      </w:r>
      <w:r w:rsidR="00BD0BA1" w:rsidRPr="00C9465D">
        <w:rPr>
          <w:lang w:val="en-US"/>
        </w:rPr>
        <w:t>”</w:t>
      </w:r>
      <w:r w:rsidR="00CE5734" w:rsidRPr="00C9465D">
        <w:rPr>
          <w:rStyle w:val="FootnoteReference"/>
          <w:lang w:val="en-US"/>
        </w:rPr>
        <w:footnoteReference w:id="184"/>
      </w:r>
    </w:p>
    <w:p w14:paraId="4880FD61" w14:textId="57B24512" w:rsidR="00BD0BA1" w:rsidRPr="00C9465D" w:rsidRDefault="00260D95" w:rsidP="00295743">
      <w:pPr>
        <w:pStyle w:val="Numberedparagraphs"/>
        <w:rPr>
          <w:rFonts w:eastAsia="Times"/>
          <w:lang w:val="en-US"/>
        </w:rPr>
      </w:pPr>
      <w:r w:rsidRPr="00C9465D">
        <w:rPr>
          <w:lang w:val="en-US"/>
        </w:rPr>
        <w:t>Similarly,</w:t>
      </w:r>
      <w:r w:rsidR="00BD0BA1" w:rsidRPr="00C9465D">
        <w:rPr>
          <w:lang w:val="en-US"/>
        </w:rPr>
        <w:t xml:space="preserve"> </w:t>
      </w:r>
      <w:r w:rsidR="00193CBB" w:rsidRPr="00C9465D">
        <w:rPr>
          <w:lang w:val="en-US"/>
        </w:rPr>
        <w:t>Article</w:t>
      </w:r>
      <w:r w:rsidR="00BD0BA1" w:rsidRPr="00C9465D">
        <w:rPr>
          <w:lang w:val="en-US"/>
        </w:rPr>
        <w:t xml:space="preserve"> 10</w:t>
      </w:r>
      <w:r w:rsidRPr="00C9465D">
        <w:rPr>
          <w:lang w:val="en-US"/>
        </w:rPr>
        <w:t xml:space="preserve"> of the Protocol of San</w:t>
      </w:r>
      <w:r w:rsidR="00BD0BA1" w:rsidRPr="00C9465D">
        <w:rPr>
          <w:lang w:val="en-US"/>
        </w:rPr>
        <w:t xml:space="preserve"> Salvador establ</w:t>
      </w:r>
      <w:r w:rsidR="00295743" w:rsidRPr="00C9465D">
        <w:rPr>
          <w:lang w:val="en-US"/>
        </w:rPr>
        <w:t>i</w:t>
      </w:r>
      <w:r w:rsidRPr="00C9465D">
        <w:rPr>
          <w:lang w:val="en-US"/>
        </w:rPr>
        <w:t>shes that everyone has the right to health</w:t>
      </w:r>
      <w:r w:rsidR="00BD0BA1" w:rsidRPr="00C9465D">
        <w:rPr>
          <w:lang w:val="en-US"/>
        </w:rPr>
        <w:t xml:space="preserve">, </w:t>
      </w:r>
      <w:r w:rsidRPr="00C9465D">
        <w:rPr>
          <w:lang w:val="en-US"/>
        </w:rPr>
        <w:t xml:space="preserve">understood </w:t>
      </w:r>
      <w:r w:rsidR="00295743" w:rsidRPr="00C9465D">
        <w:rPr>
          <w:rFonts w:eastAsia="Times New Roman" w:cs="Tahoma"/>
          <w:lang w:val="en-US"/>
        </w:rPr>
        <w:t>to mean the enjoyment of the highest level of physical, mental and social well-being</w:t>
      </w:r>
      <w:r w:rsidR="00295743" w:rsidRPr="00C9465D">
        <w:rPr>
          <w:lang w:val="en-US"/>
        </w:rPr>
        <w:t>, and indicates that health is a public good.</w:t>
      </w:r>
      <w:r w:rsidR="00BD0BA1" w:rsidRPr="00C9465D">
        <w:rPr>
          <w:rStyle w:val="FootnoteReference"/>
          <w:lang w:val="en-US"/>
        </w:rPr>
        <w:footnoteReference w:id="185"/>
      </w:r>
      <w:r w:rsidR="00295743" w:rsidRPr="00C9465D">
        <w:rPr>
          <w:lang w:val="en-US"/>
        </w:rPr>
        <w:t xml:space="preserve"> The same article</w:t>
      </w:r>
      <w:r w:rsidR="00BD0BA1" w:rsidRPr="00C9465D">
        <w:rPr>
          <w:lang w:val="en-US"/>
        </w:rPr>
        <w:t xml:space="preserve"> </w:t>
      </w:r>
      <w:r w:rsidRPr="00C9465D">
        <w:rPr>
          <w:lang w:val="en-US"/>
        </w:rPr>
        <w:t>establishes</w:t>
      </w:r>
      <w:r w:rsidR="00BD0BA1" w:rsidRPr="00C9465D">
        <w:rPr>
          <w:lang w:val="en-US"/>
        </w:rPr>
        <w:t xml:space="preserve"> </w:t>
      </w:r>
      <w:r w:rsidR="00295743" w:rsidRPr="00C9465D">
        <w:rPr>
          <w:lang w:val="en-US"/>
        </w:rPr>
        <w:t xml:space="preserve">that, among the measures to </w:t>
      </w:r>
      <w:r w:rsidR="006836BD" w:rsidRPr="00C9465D">
        <w:rPr>
          <w:lang w:val="en-US"/>
        </w:rPr>
        <w:t xml:space="preserve">ensure </w:t>
      </w:r>
      <w:r w:rsidRPr="00C9465D">
        <w:rPr>
          <w:lang w:val="en-US"/>
        </w:rPr>
        <w:t>the right to health</w:t>
      </w:r>
      <w:r w:rsidR="00BD0BA1" w:rsidRPr="00C9465D">
        <w:rPr>
          <w:lang w:val="en-US"/>
        </w:rPr>
        <w:t>,</w:t>
      </w:r>
      <w:r w:rsidR="00295743" w:rsidRPr="00C9465D">
        <w:rPr>
          <w:lang w:val="en-US"/>
        </w:rPr>
        <w:t xml:space="preserve"> States must promote “</w:t>
      </w:r>
      <w:r w:rsidR="00295743" w:rsidRPr="00C9465D">
        <w:rPr>
          <w:rFonts w:eastAsia="Times New Roman" w:cs="Tahoma"/>
          <w:lang w:val="en-US"/>
        </w:rPr>
        <w:t>[u]niversal immunization against the principal infectious diseases,”</w:t>
      </w:r>
      <w:r w:rsidR="00295743" w:rsidRPr="00C9465D">
        <w:rPr>
          <w:lang w:val="en-US"/>
        </w:rPr>
        <w:t xml:space="preserve"> “[p]</w:t>
      </w:r>
      <w:r w:rsidR="00295743" w:rsidRPr="00C9465D">
        <w:rPr>
          <w:rFonts w:eastAsia="Times New Roman" w:cs="Tahoma"/>
          <w:lang w:val="en-US"/>
        </w:rPr>
        <w:t>revention and treatment of endemic, occupational and other diseases</w:t>
      </w:r>
      <w:r w:rsidR="00295743" w:rsidRPr="00C9465D">
        <w:rPr>
          <w:lang w:val="en-US"/>
        </w:rPr>
        <w:t>” and “</w:t>
      </w:r>
      <w:r w:rsidR="00295743" w:rsidRPr="00C9465D">
        <w:rPr>
          <w:rFonts w:eastAsia="Times New Roman" w:cs="Tahoma"/>
          <w:lang w:val="en-US"/>
        </w:rPr>
        <w:t>[s]atisfaction of the health needs of the highest risk groups and of those whose poverty makes them the most vulnerable</w:t>
      </w:r>
      <w:r w:rsidR="00295743" w:rsidRPr="00C9465D">
        <w:rPr>
          <w:lang w:val="en-US"/>
        </w:rPr>
        <w:t>.</w:t>
      </w:r>
      <w:r w:rsidR="00BD0BA1" w:rsidRPr="00C9465D">
        <w:rPr>
          <w:lang w:val="en-US"/>
        </w:rPr>
        <w:t>”</w:t>
      </w:r>
    </w:p>
    <w:p w14:paraId="31D06F53" w14:textId="6F858513" w:rsidR="00BD0BA1" w:rsidRPr="00C9465D" w:rsidRDefault="00295743" w:rsidP="0043347F">
      <w:pPr>
        <w:pStyle w:val="Numberedparagraphs"/>
        <w:rPr>
          <w:lang w:val="en-US"/>
        </w:rPr>
      </w:pPr>
      <w:r w:rsidRPr="00C9465D">
        <w:rPr>
          <w:lang w:val="en-US"/>
        </w:rPr>
        <w:t xml:space="preserve">The Court also notes a broad regional consensus in relation to consolidation of </w:t>
      </w:r>
      <w:r w:rsidR="00260D95" w:rsidRPr="00C9465D">
        <w:rPr>
          <w:lang w:val="en-US"/>
        </w:rPr>
        <w:t>the right to health</w:t>
      </w:r>
      <w:r w:rsidR="00BD0BA1" w:rsidRPr="00C9465D">
        <w:rPr>
          <w:lang w:val="en-US"/>
        </w:rPr>
        <w:t xml:space="preserve">, </w:t>
      </w:r>
      <w:r w:rsidRPr="00C9465D">
        <w:rPr>
          <w:lang w:val="en-US"/>
        </w:rPr>
        <w:t>which is explicitly recognized in various Constitutions and internal laws of the States of the region.</w:t>
      </w:r>
      <w:r w:rsidR="00FE193A" w:rsidRPr="00C9465D">
        <w:rPr>
          <w:rStyle w:val="FootnoteReference"/>
          <w:iCs/>
          <w:lang w:val="en-US"/>
        </w:rPr>
        <w:footnoteReference w:id="186"/>
      </w:r>
      <w:r w:rsidR="00FE193A" w:rsidRPr="00C9465D">
        <w:rPr>
          <w:iCs/>
          <w:lang w:val="en-US"/>
        </w:rPr>
        <w:t xml:space="preserve"> </w:t>
      </w:r>
      <w:r w:rsidRPr="00C9465D">
        <w:rPr>
          <w:iCs/>
          <w:lang w:val="en-US"/>
        </w:rPr>
        <w:t xml:space="preserve">In this regard, it underscores that </w:t>
      </w:r>
      <w:r w:rsidR="00260D95" w:rsidRPr="00C9465D">
        <w:rPr>
          <w:lang w:val="en-US"/>
        </w:rPr>
        <w:t>the right to health</w:t>
      </w:r>
      <w:r w:rsidRPr="00C9465D">
        <w:rPr>
          <w:lang w:val="en-US"/>
        </w:rPr>
        <w:t xml:space="preserve"> is recognized at the constitutional level in </w:t>
      </w:r>
      <w:r w:rsidR="005D5EAF" w:rsidRPr="00C9465D">
        <w:rPr>
          <w:lang w:val="en-US"/>
        </w:rPr>
        <w:t xml:space="preserve">Ecuador, </w:t>
      </w:r>
      <w:r w:rsidRPr="00C9465D">
        <w:rPr>
          <w:lang w:val="en-US"/>
        </w:rPr>
        <w:t xml:space="preserve">both in the </w:t>
      </w:r>
      <w:r w:rsidR="00561A0C" w:rsidRPr="00C9465D">
        <w:rPr>
          <w:lang w:val="en-US"/>
        </w:rPr>
        <w:t>Constitution</w:t>
      </w:r>
      <w:r w:rsidR="006836BD" w:rsidRPr="00C9465D">
        <w:rPr>
          <w:lang w:val="en-US"/>
        </w:rPr>
        <w:t xml:space="preserve"> currently</w:t>
      </w:r>
      <w:r w:rsidR="005D5EAF" w:rsidRPr="00C9465D">
        <w:rPr>
          <w:lang w:val="en-US"/>
        </w:rPr>
        <w:t xml:space="preserve"> </w:t>
      </w:r>
      <w:r w:rsidRPr="00C9465D">
        <w:rPr>
          <w:lang w:val="en-US"/>
        </w:rPr>
        <w:t xml:space="preserve">in force and in the Constitution in force when </w:t>
      </w:r>
      <w:r w:rsidR="002F3237" w:rsidRPr="00C9465D">
        <w:rPr>
          <w:lang w:val="en-US"/>
        </w:rPr>
        <w:t>Mr. Guachalá</w:t>
      </w:r>
      <w:r w:rsidR="005D5EAF" w:rsidRPr="00C9465D">
        <w:rPr>
          <w:lang w:val="en-US"/>
        </w:rPr>
        <w:t xml:space="preserve"> Chimbo</w:t>
      </w:r>
      <w:r w:rsidRPr="00C9465D">
        <w:rPr>
          <w:lang w:val="en-US"/>
        </w:rPr>
        <w:t xml:space="preserve"> was hospitalized.</w:t>
      </w:r>
      <w:r w:rsidR="005D5EAF" w:rsidRPr="00C9465D">
        <w:rPr>
          <w:rStyle w:val="FootnoteReference"/>
          <w:rFonts w:eastAsia="Times"/>
          <w:lang w:val="en-US"/>
        </w:rPr>
        <w:footnoteReference w:id="187"/>
      </w:r>
    </w:p>
    <w:p w14:paraId="20687CEB" w14:textId="0B54CE5C" w:rsidR="00D62B40" w:rsidRPr="00C9465D" w:rsidRDefault="00295743" w:rsidP="005D79EB">
      <w:pPr>
        <w:pStyle w:val="Numberedparagraphs"/>
        <w:rPr>
          <w:rFonts w:eastAsia="Times"/>
          <w:lang w:val="en-US"/>
        </w:rPr>
      </w:pPr>
      <w:r w:rsidRPr="00C9465D">
        <w:rPr>
          <w:rFonts w:eastAsia="Calibri"/>
          <w:lang w:val="en-US"/>
        </w:rPr>
        <w:t>H</w:t>
      </w:r>
      <w:r w:rsidR="00D12C0E" w:rsidRPr="00C9465D">
        <w:rPr>
          <w:lang w:val="en-US"/>
        </w:rPr>
        <w:t>ealth</w:t>
      </w:r>
      <w:r w:rsidR="00BD0BA1" w:rsidRPr="00C9465D">
        <w:rPr>
          <w:lang w:val="en-US"/>
        </w:rPr>
        <w:t xml:space="preserve"> </w:t>
      </w:r>
      <w:r w:rsidRPr="00C9465D">
        <w:rPr>
          <w:lang w:val="en-US"/>
        </w:rPr>
        <w:t xml:space="preserve">is a fundamental human right, essential for the satisfactory exercise of the other human rights and everyone has the right to enjoy the highest </w:t>
      </w:r>
      <w:r w:rsidR="00891BEF" w:rsidRPr="00C9465D">
        <w:rPr>
          <w:lang w:val="en-US"/>
        </w:rPr>
        <w:t>attainable standard</w:t>
      </w:r>
      <w:r w:rsidRPr="00C9465D">
        <w:rPr>
          <w:lang w:val="en-US"/>
        </w:rPr>
        <w:t xml:space="preserve"> of health that allows</w:t>
      </w:r>
      <w:r w:rsidR="005D79EB" w:rsidRPr="00C9465D">
        <w:rPr>
          <w:lang w:val="en-US"/>
        </w:rPr>
        <w:t xml:space="preserve"> them to live with dignity, understanding health not only as the absence of disease</w:t>
      </w:r>
      <w:r w:rsidR="00891BEF" w:rsidRPr="00C9465D">
        <w:rPr>
          <w:lang w:val="en-US"/>
        </w:rPr>
        <w:t xml:space="preserve"> or infirmity</w:t>
      </w:r>
      <w:r w:rsidR="005D79EB" w:rsidRPr="00C9465D">
        <w:rPr>
          <w:lang w:val="en-US"/>
        </w:rPr>
        <w:t xml:space="preserve">, but also as a state of </w:t>
      </w:r>
      <w:r w:rsidR="00891BEF" w:rsidRPr="00C9465D">
        <w:rPr>
          <w:lang w:val="en-US"/>
        </w:rPr>
        <w:t xml:space="preserve">complete </w:t>
      </w:r>
      <w:r w:rsidR="005D79EB" w:rsidRPr="00C9465D">
        <w:rPr>
          <w:lang w:val="en-US"/>
        </w:rPr>
        <w:t xml:space="preserve">physical, mental and social well-being derived </w:t>
      </w:r>
      <w:r w:rsidR="005D79EB" w:rsidRPr="00C9465D">
        <w:rPr>
          <w:lang w:val="en-US"/>
        </w:rPr>
        <w:lastRenderedPageBreak/>
        <w:t xml:space="preserve">from a lifestyle that allows the individual to achieve </w:t>
      </w:r>
      <w:r w:rsidR="00E34B6C" w:rsidRPr="00C9465D">
        <w:rPr>
          <w:lang w:val="en-US"/>
        </w:rPr>
        <w:t xml:space="preserve">total </w:t>
      </w:r>
      <w:r w:rsidR="005D79EB" w:rsidRPr="00C9465D">
        <w:rPr>
          <w:lang w:val="en-US"/>
        </w:rPr>
        <w:t>balance.</w:t>
      </w:r>
      <w:r w:rsidR="00D62B40" w:rsidRPr="00C9465D">
        <w:rPr>
          <w:rStyle w:val="FootnoteReference"/>
          <w:lang w:val="en-US"/>
        </w:rPr>
        <w:footnoteReference w:id="188"/>
      </w:r>
      <w:r w:rsidR="00D62B40" w:rsidRPr="00C9465D">
        <w:rPr>
          <w:lang w:val="en-US"/>
        </w:rPr>
        <w:t xml:space="preserve"> </w:t>
      </w:r>
      <w:r w:rsidR="005D79EB" w:rsidRPr="00C9465D">
        <w:rPr>
          <w:lang w:val="en-US"/>
        </w:rPr>
        <w:t>Thus,</w:t>
      </w:r>
      <w:r w:rsidR="00D62B40" w:rsidRPr="00C9465D">
        <w:rPr>
          <w:lang w:val="en-US"/>
        </w:rPr>
        <w:t xml:space="preserve"> </w:t>
      </w:r>
      <w:r w:rsidR="00260D95" w:rsidRPr="00C9465D">
        <w:rPr>
          <w:lang w:val="en-US"/>
        </w:rPr>
        <w:t>the right to health</w:t>
      </w:r>
      <w:r w:rsidR="00D62B40" w:rsidRPr="00C9465D">
        <w:rPr>
          <w:lang w:val="en-US"/>
        </w:rPr>
        <w:t xml:space="preserve"> </w:t>
      </w:r>
      <w:r w:rsidR="005D79EB" w:rsidRPr="00C9465D">
        <w:rPr>
          <w:lang w:val="en-US"/>
        </w:rPr>
        <w:t>refers to the right of everyone to enjoy the highest level of physical, mental and social well-being.</w:t>
      </w:r>
      <w:r w:rsidR="004E5FE7" w:rsidRPr="00C9465D">
        <w:rPr>
          <w:rStyle w:val="FootnoteReference"/>
          <w:lang w:val="en-US"/>
        </w:rPr>
        <w:footnoteReference w:id="189"/>
      </w:r>
    </w:p>
    <w:p w14:paraId="244BA04A" w14:textId="6F76B2F5" w:rsidR="00BD0BA1" w:rsidRPr="00C9465D" w:rsidRDefault="007F1FD9" w:rsidP="00834FCC">
      <w:pPr>
        <w:pStyle w:val="Numberedparagraphs"/>
        <w:rPr>
          <w:lang w:val="en-US"/>
        </w:rPr>
      </w:pPr>
      <w:r w:rsidRPr="00C9465D">
        <w:rPr>
          <w:lang w:val="en-US"/>
        </w:rPr>
        <w:t xml:space="preserve">The general obligation to protect health translates into the state obligation to ensure access to essential health services, ensuring effective and quality medical services, and to promote the improvement of the </w:t>
      </w:r>
      <w:r w:rsidR="006836BD" w:rsidRPr="00C9465D">
        <w:rPr>
          <w:lang w:val="en-US"/>
        </w:rPr>
        <w:t xml:space="preserve">population’s </w:t>
      </w:r>
      <w:r w:rsidRPr="00C9465D">
        <w:rPr>
          <w:lang w:val="en-US"/>
        </w:rPr>
        <w:t>health</w:t>
      </w:r>
      <w:r w:rsidR="00834FCC" w:rsidRPr="00C9465D">
        <w:rPr>
          <w:lang w:val="en-US"/>
        </w:rPr>
        <w:t>.</w:t>
      </w:r>
      <w:r w:rsidR="00BD0BA1" w:rsidRPr="00C9465D">
        <w:rPr>
          <w:rStyle w:val="FootnoteReference"/>
          <w:lang w:val="en-US"/>
        </w:rPr>
        <w:footnoteReference w:id="190"/>
      </w:r>
      <w:r w:rsidR="00834FCC" w:rsidRPr="00C9465D">
        <w:rPr>
          <w:lang w:val="en-US"/>
        </w:rPr>
        <w:t xml:space="preserve"> This right encompasses timely and appropriate health care in keeping with the principles of availability, accessibility, acceptability and quality, the application of which will depend on the prevailing c</w:t>
      </w:r>
      <w:r w:rsidR="0029671E" w:rsidRPr="00C9465D">
        <w:rPr>
          <w:lang w:val="en-US"/>
        </w:rPr>
        <w:t xml:space="preserve">ircumstances </w:t>
      </w:r>
      <w:r w:rsidR="00834FCC" w:rsidRPr="00C9465D">
        <w:rPr>
          <w:lang w:val="en-US"/>
        </w:rPr>
        <w:t>in each State.</w:t>
      </w:r>
      <w:r w:rsidR="00D62B40" w:rsidRPr="00C9465D">
        <w:rPr>
          <w:rStyle w:val="FootnoteReference"/>
          <w:lang w:val="en-US"/>
        </w:rPr>
        <w:footnoteReference w:id="191"/>
      </w:r>
      <w:r w:rsidR="00834FCC" w:rsidRPr="00C9465D">
        <w:rPr>
          <w:lang w:val="en-US"/>
        </w:rPr>
        <w:t xml:space="preserve"> Compliance with the State obligation to respect and to ensure this right must pay special attention to vulnerable and marginalized groups, and must be realized progressively in line with available resources and the applicable domestic laws.</w:t>
      </w:r>
      <w:r w:rsidR="004E5FE7" w:rsidRPr="00C9465D">
        <w:rPr>
          <w:rStyle w:val="FootnoteReference"/>
          <w:lang w:val="en-US"/>
        </w:rPr>
        <w:footnoteReference w:id="192"/>
      </w:r>
    </w:p>
    <w:p w14:paraId="05173EF2" w14:textId="4E2B546B" w:rsidR="00BD0BA1" w:rsidRPr="00C9465D" w:rsidRDefault="00834FCC" w:rsidP="00834FCC">
      <w:pPr>
        <w:pStyle w:val="Numberedparagraphs"/>
        <w:rPr>
          <w:snapToGrid w:val="0"/>
          <w:lang w:val="en-US"/>
        </w:rPr>
      </w:pPr>
      <w:bookmarkStart w:id="44" w:name="_Ref72158701"/>
      <w:r w:rsidRPr="00C9465D">
        <w:rPr>
          <w:lang w:val="en-US"/>
        </w:rPr>
        <w:t>Th</w:t>
      </w:r>
      <w:r w:rsidR="0029671E" w:rsidRPr="00C9465D">
        <w:rPr>
          <w:lang w:val="en-US"/>
        </w:rPr>
        <w:t>e</w:t>
      </w:r>
      <w:r w:rsidRPr="00C9465D">
        <w:rPr>
          <w:lang w:val="en-US"/>
        </w:rPr>
        <w:t xml:space="preserve"> Court notes that specific obligations arise for the provision of health care in the case of </w:t>
      </w:r>
      <w:r w:rsidR="00D85850" w:rsidRPr="00C9465D">
        <w:rPr>
          <w:lang w:val="en-US"/>
        </w:rPr>
        <w:t>persons with disabilities</w:t>
      </w:r>
      <w:r w:rsidRPr="00C9465D">
        <w:rPr>
          <w:lang w:val="en-US"/>
        </w:rPr>
        <w:t xml:space="preserve">. According to the 1998 Ecuadorian </w:t>
      </w:r>
      <w:r w:rsidR="00561A0C" w:rsidRPr="00C9465D">
        <w:rPr>
          <w:snapToGrid w:val="0"/>
          <w:lang w:val="en-US"/>
        </w:rPr>
        <w:t>Constitution</w:t>
      </w:r>
      <w:r w:rsidRPr="00C9465D">
        <w:rPr>
          <w:snapToGrid w:val="0"/>
          <w:lang w:val="en-US"/>
        </w:rPr>
        <w:t>, in force when</w:t>
      </w:r>
      <w:r w:rsidR="002F3237" w:rsidRPr="00C9465D">
        <w:rPr>
          <w:snapToGrid w:val="0"/>
          <w:lang w:val="en-US"/>
        </w:rPr>
        <w:t xml:space="preserve"> Mr. Guachalá</w:t>
      </w:r>
      <w:r w:rsidR="00BD0BA1" w:rsidRPr="00C9465D">
        <w:rPr>
          <w:snapToGrid w:val="0"/>
          <w:lang w:val="en-US"/>
        </w:rPr>
        <w:t xml:space="preserve"> Chimbo</w:t>
      </w:r>
      <w:r w:rsidRPr="00C9465D">
        <w:rPr>
          <w:snapToGrid w:val="0"/>
          <w:lang w:val="en-US"/>
        </w:rPr>
        <w:t xml:space="preserve"> was hospitalized</w:t>
      </w:r>
      <w:r w:rsidR="00BD0BA1" w:rsidRPr="00C9465D">
        <w:rPr>
          <w:snapToGrid w:val="0"/>
          <w:lang w:val="en-US"/>
        </w:rPr>
        <w:t xml:space="preserve">, </w:t>
      </w:r>
      <w:r w:rsidR="00193CBB" w:rsidRPr="00C9465D">
        <w:rPr>
          <w:snapToGrid w:val="0"/>
          <w:lang w:val="en-US"/>
        </w:rPr>
        <w:t>the State</w:t>
      </w:r>
      <w:r w:rsidRPr="00C9465D">
        <w:rPr>
          <w:snapToGrid w:val="0"/>
          <w:lang w:val="en-US"/>
        </w:rPr>
        <w:t xml:space="preserve"> had to guarantee priority, preferential and specialized access to integral health</w:t>
      </w:r>
      <w:r w:rsidR="009B062B" w:rsidRPr="00C9465D">
        <w:rPr>
          <w:snapToGrid w:val="0"/>
          <w:lang w:val="en-US"/>
        </w:rPr>
        <w:t xml:space="preserve"> care</w:t>
      </w:r>
      <w:r w:rsidRPr="00C9465D">
        <w:rPr>
          <w:snapToGrid w:val="0"/>
          <w:lang w:val="en-US"/>
        </w:rPr>
        <w:t xml:space="preserve"> and rehabilitation services to persons with disabilities.</w:t>
      </w:r>
      <w:r w:rsidR="00BD0BA1" w:rsidRPr="00C9465D">
        <w:rPr>
          <w:rStyle w:val="FootnoteReference"/>
          <w:snapToGrid w:val="0"/>
          <w:lang w:val="en-US"/>
        </w:rPr>
        <w:footnoteReference w:id="193"/>
      </w:r>
      <w:bookmarkEnd w:id="44"/>
    </w:p>
    <w:p w14:paraId="67D67957" w14:textId="777FA959" w:rsidR="00BD0BA1" w:rsidRPr="00C9465D" w:rsidRDefault="00891BEF" w:rsidP="00AA3C22">
      <w:pPr>
        <w:pStyle w:val="Numberedparagraphs"/>
        <w:rPr>
          <w:snapToGrid w:val="0"/>
          <w:lang w:val="en-US"/>
        </w:rPr>
      </w:pPr>
      <w:r w:rsidRPr="00C9465D">
        <w:rPr>
          <w:lang w:val="en-US"/>
        </w:rPr>
        <w:t>The</w:t>
      </w:r>
      <w:r w:rsidR="00BD0BA1" w:rsidRPr="00C9465D">
        <w:rPr>
          <w:lang w:val="en-US"/>
        </w:rPr>
        <w:t xml:space="preserve"> </w:t>
      </w:r>
      <w:r w:rsidR="00B07FDE" w:rsidRPr="00C9465D">
        <w:rPr>
          <w:lang w:val="en-US" w:eastAsia="es-ES"/>
        </w:rPr>
        <w:t>Standard Rules on the Equalization of Opportunities for Persons with Disabilities</w:t>
      </w:r>
      <w:r w:rsidR="00751424" w:rsidRPr="00C9465D">
        <w:rPr>
          <w:lang w:val="en-US" w:eastAsia="es-ES"/>
        </w:rPr>
        <w:t>,</w:t>
      </w:r>
      <w:r w:rsidR="00BD0BA1" w:rsidRPr="00C9465D">
        <w:rPr>
          <w:lang w:val="en-US"/>
        </w:rPr>
        <w:t xml:space="preserve"> adopt</w:t>
      </w:r>
      <w:r w:rsidRPr="00C9465D">
        <w:rPr>
          <w:lang w:val="en-US"/>
        </w:rPr>
        <w:t xml:space="preserve">ed by the United Nations General Assembly in </w:t>
      </w:r>
      <w:r w:rsidR="00BD0BA1" w:rsidRPr="00C9465D">
        <w:rPr>
          <w:lang w:val="en-US"/>
        </w:rPr>
        <w:t>1993</w:t>
      </w:r>
      <w:r w:rsidR="00751424" w:rsidRPr="00C9465D">
        <w:rPr>
          <w:lang w:val="en-US"/>
        </w:rPr>
        <w:t>,</w:t>
      </w:r>
      <w:r w:rsidR="00BD0BA1" w:rsidRPr="00C9465D">
        <w:rPr>
          <w:lang w:val="en-US"/>
        </w:rPr>
        <w:t xml:space="preserve"> </w:t>
      </w:r>
      <w:r w:rsidR="00260D95" w:rsidRPr="00C9465D">
        <w:rPr>
          <w:lang w:val="en-US"/>
        </w:rPr>
        <w:t>establish</w:t>
      </w:r>
      <w:r w:rsidR="00BD0BA1" w:rsidRPr="00C9465D">
        <w:rPr>
          <w:lang w:val="en-US"/>
        </w:rPr>
        <w:t xml:space="preserve"> </w:t>
      </w:r>
      <w:r w:rsidRPr="00C9465D">
        <w:rPr>
          <w:lang w:val="en-US"/>
        </w:rPr>
        <w:t>that</w:t>
      </w:r>
      <w:r w:rsidR="00BD0BA1" w:rsidRPr="00C9465D">
        <w:rPr>
          <w:lang w:val="en-US"/>
        </w:rPr>
        <w:t>:</w:t>
      </w:r>
    </w:p>
    <w:p w14:paraId="29F9FDFC" w14:textId="52430EFE" w:rsidR="00BD0BA1" w:rsidRPr="00C9465D" w:rsidRDefault="00891BEF" w:rsidP="000A411A">
      <w:pPr>
        <w:spacing w:before="120" w:after="120" w:line="240" w:lineRule="auto"/>
        <w:ind w:left="567"/>
        <w:rPr>
          <w:rFonts w:ascii="Verdana" w:hAnsi="Verdana"/>
          <w:sz w:val="18"/>
          <w:szCs w:val="18"/>
          <w:lang w:val="en-US"/>
        </w:rPr>
      </w:pPr>
      <w:r w:rsidRPr="00C9465D">
        <w:rPr>
          <w:rFonts w:ascii="Verdana" w:hAnsi="Verdana"/>
          <w:sz w:val="18"/>
          <w:szCs w:val="18"/>
          <w:lang w:val="en-US"/>
        </w:rPr>
        <w:t>Rule</w:t>
      </w:r>
      <w:r w:rsidR="00BD0BA1" w:rsidRPr="00C9465D">
        <w:rPr>
          <w:rFonts w:ascii="Verdana" w:hAnsi="Verdana"/>
          <w:sz w:val="18"/>
          <w:szCs w:val="18"/>
          <w:lang w:val="en-US"/>
        </w:rPr>
        <w:t xml:space="preserve"> 2: </w:t>
      </w:r>
      <w:r w:rsidRPr="00C9465D">
        <w:rPr>
          <w:rFonts w:ascii="Verdana" w:hAnsi="Verdana"/>
          <w:sz w:val="18"/>
          <w:szCs w:val="18"/>
          <w:lang w:val="en-US"/>
        </w:rPr>
        <w:t>Medical care</w:t>
      </w:r>
    </w:p>
    <w:p w14:paraId="11A6790B" w14:textId="78FB0B2E" w:rsidR="000E193E" w:rsidRPr="00C9465D" w:rsidRDefault="00674752" w:rsidP="00151497">
      <w:pPr>
        <w:pStyle w:val="NormalWeb"/>
        <w:shd w:val="clear" w:color="auto" w:fill="FFFFFF"/>
        <w:spacing w:before="120" w:after="120" w:line="240" w:lineRule="auto"/>
        <w:ind w:left="567" w:right="404"/>
        <w:jc w:val="both"/>
        <w:textAlignment w:val="baseline"/>
        <w:rPr>
          <w:rFonts w:ascii="Verdana" w:hAnsi="Verdana"/>
          <w:sz w:val="18"/>
          <w:szCs w:val="18"/>
          <w:bdr w:val="none" w:sz="0" w:space="0" w:color="auto" w:frame="1"/>
          <w:lang w:val="en-US"/>
        </w:rPr>
      </w:pPr>
      <w:r w:rsidRPr="00C9465D">
        <w:rPr>
          <w:rFonts w:ascii="Verdana" w:hAnsi="Verdana"/>
          <w:sz w:val="18"/>
          <w:szCs w:val="18"/>
          <w:lang w:val="en-US"/>
        </w:rPr>
        <w:t xml:space="preserve">States should ensure the provision of effective medical care to </w:t>
      </w:r>
      <w:r w:rsidR="00D85850" w:rsidRPr="00C9465D">
        <w:rPr>
          <w:rFonts w:ascii="Verdana" w:hAnsi="Verdana"/>
          <w:sz w:val="18"/>
          <w:szCs w:val="18"/>
          <w:bdr w:val="none" w:sz="0" w:space="0" w:color="auto" w:frame="1"/>
          <w:lang w:val="en-US"/>
        </w:rPr>
        <w:t>persons with disabilities</w:t>
      </w:r>
      <w:r w:rsidR="00BD0BA1" w:rsidRPr="00C9465D">
        <w:rPr>
          <w:rFonts w:ascii="Verdana" w:hAnsi="Verdana"/>
          <w:sz w:val="18"/>
          <w:szCs w:val="18"/>
          <w:bdr w:val="none" w:sz="0" w:space="0" w:color="auto" w:frame="1"/>
          <w:lang w:val="en-US"/>
        </w:rPr>
        <w:t>.</w:t>
      </w:r>
    </w:p>
    <w:p w14:paraId="46A6E39B" w14:textId="5F25F3CC" w:rsidR="00BD0BA1" w:rsidRPr="00C9465D" w:rsidRDefault="00674752" w:rsidP="00151497">
      <w:pPr>
        <w:spacing w:before="120" w:after="120" w:line="240" w:lineRule="auto"/>
        <w:ind w:left="567" w:right="404"/>
        <w:rPr>
          <w:rFonts w:ascii="Verdana" w:hAnsi="Verdana"/>
          <w:sz w:val="18"/>
          <w:szCs w:val="18"/>
          <w:lang w:val="en-US"/>
        </w:rPr>
      </w:pPr>
      <w:r w:rsidRPr="00C9465D">
        <w:rPr>
          <w:rFonts w:ascii="Verdana" w:hAnsi="Verdana"/>
          <w:sz w:val="18"/>
          <w:szCs w:val="18"/>
          <w:lang w:val="en-US"/>
        </w:rPr>
        <w:t xml:space="preserve">Rule </w:t>
      </w:r>
      <w:r w:rsidR="00BD0BA1" w:rsidRPr="00C9465D">
        <w:rPr>
          <w:rFonts w:ascii="Verdana" w:hAnsi="Verdana"/>
          <w:sz w:val="18"/>
          <w:szCs w:val="18"/>
          <w:lang w:val="en-US"/>
        </w:rPr>
        <w:t>3: Rehabilita</w:t>
      </w:r>
      <w:r w:rsidRPr="00C9465D">
        <w:rPr>
          <w:rFonts w:ascii="Verdana" w:hAnsi="Verdana"/>
          <w:sz w:val="18"/>
          <w:szCs w:val="18"/>
          <w:lang w:val="en-US"/>
        </w:rPr>
        <w:t>tion</w:t>
      </w:r>
    </w:p>
    <w:p w14:paraId="5B6F1D60" w14:textId="06E1015F" w:rsidR="00BD0BA1" w:rsidRPr="00C9465D" w:rsidRDefault="00674752" w:rsidP="00151497">
      <w:pPr>
        <w:pStyle w:val="NormalWeb"/>
        <w:shd w:val="clear" w:color="auto" w:fill="FFFFFF"/>
        <w:spacing w:before="120" w:after="120" w:line="240" w:lineRule="auto"/>
        <w:ind w:left="567" w:right="404"/>
        <w:jc w:val="both"/>
        <w:textAlignment w:val="baseline"/>
        <w:rPr>
          <w:rFonts w:ascii="Verdana" w:hAnsi="Verdana"/>
          <w:sz w:val="18"/>
          <w:szCs w:val="18"/>
          <w:lang w:val="en-US"/>
        </w:rPr>
      </w:pPr>
      <w:r w:rsidRPr="00C9465D">
        <w:rPr>
          <w:rFonts w:ascii="Verdana" w:hAnsi="Verdana"/>
          <w:sz w:val="18"/>
          <w:szCs w:val="18"/>
          <w:lang w:val="en-US"/>
        </w:rPr>
        <w:t>States should ensure the provision of rehabilitation services to persons with disabilities in order for them to reach and sustain their optimum level of independence and functioning.</w:t>
      </w:r>
      <w:r w:rsidR="00BD0BA1" w:rsidRPr="00C9465D">
        <w:rPr>
          <w:rStyle w:val="FootnoteReference"/>
          <w:rFonts w:ascii="Verdana" w:hAnsi="Verdana"/>
          <w:sz w:val="18"/>
          <w:szCs w:val="18"/>
          <w:lang w:val="en-US"/>
        </w:rPr>
        <w:footnoteReference w:id="194"/>
      </w:r>
    </w:p>
    <w:p w14:paraId="50C6D273" w14:textId="06575790" w:rsidR="00BD0BA1" w:rsidRPr="00C9465D" w:rsidRDefault="00193CBB" w:rsidP="00AA3C22">
      <w:pPr>
        <w:pStyle w:val="Numberedparagraphs"/>
        <w:rPr>
          <w:snapToGrid w:val="0"/>
          <w:lang w:val="en-US"/>
        </w:rPr>
      </w:pPr>
      <w:r w:rsidRPr="00C9465D">
        <w:rPr>
          <w:lang w:val="en-US"/>
        </w:rPr>
        <w:t xml:space="preserve">The </w:t>
      </w:r>
      <w:r w:rsidR="00593C0F" w:rsidRPr="00C9465D">
        <w:rPr>
          <w:lang w:val="en-US"/>
        </w:rPr>
        <w:t>Convention on the Rights of Persons with Disabilities</w:t>
      </w:r>
      <w:r w:rsidR="00BD0BA1" w:rsidRPr="00C9465D">
        <w:rPr>
          <w:lang w:val="en-US"/>
        </w:rPr>
        <w:t xml:space="preserve"> </w:t>
      </w:r>
      <w:r w:rsidR="00260D95" w:rsidRPr="00C9465D">
        <w:rPr>
          <w:lang w:val="en-US"/>
        </w:rPr>
        <w:t>establishes</w:t>
      </w:r>
      <w:r w:rsidR="00BD0BA1" w:rsidRPr="00C9465D">
        <w:rPr>
          <w:lang w:val="en-US"/>
        </w:rPr>
        <w:t xml:space="preserve"> </w:t>
      </w:r>
      <w:r w:rsidR="00674752" w:rsidRPr="00C9465D">
        <w:rPr>
          <w:lang w:val="en-US"/>
        </w:rPr>
        <w:t>that</w:t>
      </w:r>
      <w:r w:rsidR="00BD0BA1" w:rsidRPr="00C9465D">
        <w:rPr>
          <w:lang w:val="en-US"/>
        </w:rPr>
        <w:t>:</w:t>
      </w:r>
    </w:p>
    <w:p w14:paraId="7684792A" w14:textId="7309BCDB" w:rsidR="00BD0BA1" w:rsidRPr="00C9465D" w:rsidRDefault="00193CBB" w:rsidP="001617B2">
      <w:pPr>
        <w:tabs>
          <w:tab w:val="left" w:pos="567"/>
          <w:tab w:val="left" w:pos="8789"/>
        </w:tabs>
        <w:spacing w:before="120" w:after="120" w:line="240" w:lineRule="auto"/>
        <w:ind w:left="567" w:right="615"/>
        <w:jc w:val="both"/>
        <w:rPr>
          <w:rFonts w:ascii="Verdana" w:hAnsi="Verdana"/>
          <w:sz w:val="18"/>
          <w:szCs w:val="18"/>
          <w:lang w:val="en-US"/>
        </w:rPr>
      </w:pPr>
      <w:r w:rsidRPr="00C9465D">
        <w:rPr>
          <w:rFonts w:ascii="Verdana" w:hAnsi="Verdana"/>
          <w:sz w:val="18"/>
          <w:szCs w:val="18"/>
          <w:lang w:val="en-US"/>
        </w:rPr>
        <w:t>Article</w:t>
      </w:r>
      <w:r w:rsidR="00BD0BA1" w:rsidRPr="00C9465D">
        <w:rPr>
          <w:rFonts w:ascii="Verdana" w:hAnsi="Verdana"/>
          <w:sz w:val="18"/>
          <w:szCs w:val="18"/>
          <w:lang w:val="en-US"/>
        </w:rPr>
        <w:t xml:space="preserve"> 25 </w:t>
      </w:r>
      <w:r w:rsidR="00674752" w:rsidRPr="00C9465D">
        <w:rPr>
          <w:rFonts w:ascii="Verdana" w:hAnsi="Verdana"/>
          <w:sz w:val="18"/>
          <w:szCs w:val="18"/>
          <w:lang w:val="en-US"/>
        </w:rPr>
        <w:t xml:space="preserve">- </w:t>
      </w:r>
      <w:r w:rsidR="00D12C0E" w:rsidRPr="00C9465D">
        <w:rPr>
          <w:rFonts w:ascii="Verdana" w:hAnsi="Verdana"/>
          <w:sz w:val="18"/>
          <w:szCs w:val="18"/>
          <w:lang w:val="en-US"/>
        </w:rPr>
        <w:t>Health</w:t>
      </w:r>
    </w:p>
    <w:p w14:paraId="7EEC7418" w14:textId="77777777" w:rsidR="00674752" w:rsidRPr="00C9465D" w:rsidRDefault="00674752" w:rsidP="00151497">
      <w:pPr>
        <w:pStyle w:val="NormalWeb"/>
        <w:spacing w:before="120" w:after="120" w:line="240" w:lineRule="auto"/>
        <w:ind w:left="540" w:right="404"/>
        <w:jc w:val="both"/>
        <w:rPr>
          <w:rFonts w:ascii="Verdana" w:hAnsi="Verdana"/>
          <w:sz w:val="18"/>
          <w:szCs w:val="18"/>
          <w:lang w:val="en-US"/>
        </w:rPr>
      </w:pPr>
      <w:r w:rsidRPr="00C9465D">
        <w:rPr>
          <w:rFonts w:ascii="Verdana" w:hAnsi="Verdana"/>
          <w:sz w:val="18"/>
          <w:szCs w:val="18"/>
          <w:lang w:val="en-US"/>
        </w:rPr>
        <w:t xml:space="preserve">States Parties recognize that persons with disabilities have the right to the enjoyment of the highest attainable standard of health without discrimination on the basis of disability. States Parties shall take all appropriate measures to ensure access for persons with disabilities to </w:t>
      </w:r>
      <w:r w:rsidRPr="00C9465D">
        <w:rPr>
          <w:rFonts w:ascii="Verdana" w:hAnsi="Verdana"/>
          <w:sz w:val="18"/>
          <w:szCs w:val="18"/>
          <w:lang w:val="en-US"/>
        </w:rPr>
        <w:lastRenderedPageBreak/>
        <w:t>health services that are gender-sensitive, including health-related rehabilitation. In particular, States Parties shall:</w:t>
      </w:r>
    </w:p>
    <w:p w14:paraId="502EAA7D" w14:textId="77777777" w:rsidR="00674752" w:rsidRPr="00C9465D" w:rsidRDefault="00674752" w:rsidP="00151497">
      <w:pPr>
        <w:pStyle w:val="NormalWeb"/>
        <w:spacing w:before="120" w:after="120" w:line="240" w:lineRule="auto"/>
        <w:ind w:left="900" w:right="404"/>
        <w:jc w:val="both"/>
        <w:rPr>
          <w:rFonts w:ascii="Verdana" w:hAnsi="Verdana"/>
          <w:sz w:val="18"/>
          <w:szCs w:val="18"/>
          <w:lang w:val="en-US"/>
        </w:rPr>
      </w:pPr>
      <w:r w:rsidRPr="00C9465D">
        <w:rPr>
          <w:rFonts w:ascii="Verdana" w:hAnsi="Verdana"/>
          <w:sz w:val="18"/>
          <w:szCs w:val="18"/>
          <w:lang w:val="en-US"/>
        </w:rPr>
        <w:t>a) Provide persons with disabilities with the same range, quality and standard of free or affordable health care and programmes as provided to other persons, including in the area of sexual and reproductive health and population-based public health programmes;</w:t>
      </w:r>
    </w:p>
    <w:p w14:paraId="294F5B4C" w14:textId="77777777" w:rsidR="00674752" w:rsidRPr="00C9465D" w:rsidRDefault="00674752" w:rsidP="00151497">
      <w:pPr>
        <w:pStyle w:val="NormalWeb"/>
        <w:spacing w:before="120" w:after="120" w:line="240" w:lineRule="auto"/>
        <w:ind w:left="900" w:right="404"/>
        <w:jc w:val="both"/>
        <w:rPr>
          <w:rFonts w:ascii="Verdana" w:hAnsi="Verdana"/>
          <w:sz w:val="18"/>
          <w:szCs w:val="18"/>
          <w:lang w:val="en-US"/>
        </w:rPr>
      </w:pPr>
      <w:r w:rsidRPr="00C9465D">
        <w:rPr>
          <w:rFonts w:ascii="Verdana" w:hAnsi="Verdana"/>
          <w:sz w:val="18"/>
          <w:szCs w:val="18"/>
          <w:lang w:val="en-US"/>
        </w:rPr>
        <w:t>b) Provide those health services needed by persons with disabilities specifically because of their disabilities, including early identification and intervention as appropriate, and services designed to minimize and prevent further disabilities, including among children and older persons;</w:t>
      </w:r>
    </w:p>
    <w:p w14:paraId="646E3CF0" w14:textId="77777777" w:rsidR="00674752" w:rsidRPr="00C9465D" w:rsidRDefault="00674752" w:rsidP="00151497">
      <w:pPr>
        <w:pStyle w:val="NormalWeb"/>
        <w:spacing w:before="120" w:after="120" w:line="240" w:lineRule="auto"/>
        <w:ind w:left="900" w:right="404"/>
        <w:jc w:val="both"/>
        <w:rPr>
          <w:rFonts w:ascii="Verdana" w:hAnsi="Verdana"/>
          <w:sz w:val="18"/>
          <w:szCs w:val="18"/>
          <w:lang w:val="en-US"/>
        </w:rPr>
      </w:pPr>
      <w:r w:rsidRPr="00C9465D">
        <w:rPr>
          <w:rFonts w:ascii="Verdana" w:hAnsi="Verdana"/>
          <w:sz w:val="18"/>
          <w:szCs w:val="18"/>
          <w:lang w:val="en-US"/>
        </w:rPr>
        <w:t>c) Provide these health services as close as possible to people’s own communities, including in rural areas;</w:t>
      </w:r>
    </w:p>
    <w:p w14:paraId="7424A437" w14:textId="77777777" w:rsidR="00674752" w:rsidRPr="00C9465D" w:rsidRDefault="00674752" w:rsidP="00151497">
      <w:pPr>
        <w:pStyle w:val="NormalWeb"/>
        <w:spacing w:before="120" w:after="120" w:line="240" w:lineRule="auto"/>
        <w:ind w:left="900" w:right="404"/>
        <w:jc w:val="both"/>
        <w:rPr>
          <w:rFonts w:ascii="Verdana" w:hAnsi="Verdana"/>
          <w:sz w:val="18"/>
          <w:szCs w:val="18"/>
          <w:lang w:val="en-US"/>
        </w:rPr>
      </w:pPr>
      <w:r w:rsidRPr="00C9465D">
        <w:rPr>
          <w:rFonts w:ascii="Verdana" w:hAnsi="Verdana"/>
          <w:sz w:val="18"/>
          <w:szCs w:val="18"/>
          <w:lang w:val="en-US"/>
        </w:rPr>
        <w:t xml:space="preserve">d) Require health professionals to provide care of the same quality to persons with disabilities as to others, including on the basis of free and informed consent by, </w:t>
      </w:r>
      <w:r w:rsidRPr="00C9465D">
        <w:rPr>
          <w:rFonts w:ascii="Verdana" w:hAnsi="Verdana"/>
          <w:i/>
          <w:iCs/>
          <w:sz w:val="18"/>
          <w:szCs w:val="18"/>
          <w:lang w:val="en-US"/>
        </w:rPr>
        <w:t>inter alia,</w:t>
      </w:r>
      <w:r w:rsidRPr="00C9465D">
        <w:rPr>
          <w:rFonts w:ascii="Verdana" w:hAnsi="Verdana"/>
          <w:sz w:val="18"/>
          <w:szCs w:val="18"/>
          <w:lang w:val="en-US"/>
        </w:rPr>
        <w:t xml:space="preserve"> raising awareness of the human rights, dignity, autonomy and needs of persons with disabilities through training and the promulgation of ethical standards for public and private health care;</w:t>
      </w:r>
    </w:p>
    <w:p w14:paraId="3CBCDACD" w14:textId="77777777" w:rsidR="00674752" w:rsidRPr="00C9465D" w:rsidRDefault="00674752" w:rsidP="00151497">
      <w:pPr>
        <w:pStyle w:val="NormalWeb"/>
        <w:spacing w:before="120" w:after="120" w:line="240" w:lineRule="auto"/>
        <w:ind w:left="900" w:right="404"/>
        <w:jc w:val="both"/>
        <w:rPr>
          <w:rFonts w:ascii="Verdana" w:hAnsi="Verdana"/>
          <w:sz w:val="18"/>
          <w:szCs w:val="18"/>
          <w:lang w:val="en-US"/>
        </w:rPr>
      </w:pPr>
      <w:r w:rsidRPr="00C9465D">
        <w:rPr>
          <w:rFonts w:ascii="Verdana" w:hAnsi="Verdana"/>
          <w:sz w:val="18"/>
          <w:szCs w:val="18"/>
          <w:lang w:val="en-US"/>
        </w:rPr>
        <w:t>e) Prohibit discrimination against persons with disabilities in the provision of health insurance, and life insurance where such insurance is permitted by national law, which shall be provided in a fair and reasonable manner;</w:t>
      </w:r>
    </w:p>
    <w:p w14:paraId="5433C133" w14:textId="65B15A24" w:rsidR="00BD0BA1" w:rsidRPr="00C9465D" w:rsidRDefault="00674752" w:rsidP="00151497">
      <w:pPr>
        <w:pStyle w:val="NormalWeb"/>
        <w:spacing w:before="120" w:after="120" w:line="240" w:lineRule="auto"/>
        <w:ind w:left="900" w:right="404"/>
        <w:jc w:val="both"/>
        <w:rPr>
          <w:rFonts w:ascii="Verdana" w:hAnsi="Verdana"/>
          <w:sz w:val="18"/>
          <w:szCs w:val="18"/>
          <w:lang w:val="en-US"/>
        </w:rPr>
      </w:pPr>
      <w:r w:rsidRPr="00C9465D">
        <w:rPr>
          <w:rFonts w:ascii="Verdana" w:hAnsi="Verdana"/>
          <w:sz w:val="18"/>
          <w:szCs w:val="18"/>
          <w:lang w:val="en-US"/>
        </w:rPr>
        <w:t>f) Prevent discriminatory denial of health care or health services or food and fluids on the basis of disability.</w:t>
      </w:r>
      <w:r w:rsidR="004E5FE7" w:rsidRPr="00C9465D">
        <w:rPr>
          <w:rStyle w:val="FootnoteReference"/>
          <w:rFonts w:ascii="Verdana" w:hAnsi="Verdana"/>
          <w:sz w:val="18"/>
          <w:szCs w:val="18"/>
          <w:lang w:val="en-US"/>
        </w:rPr>
        <w:footnoteReference w:id="195"/>
      </w:r>
    </w:p>
    <w:p w14:paraId="60879286" w14:textId="23C3DF81" w:rsidR="00BD0BA1" w:rsidRPr="00C9465D" w:rsidRDefault="00151497" w:rsidP="00151497">
      <w:pPr>
        <w:pStyle w:val="Numberedparagraphs"/>
        <w:rPr>
          <w:snapToGrid w:val="0"/>
          <w:lang w:val="en-US"/>
        </w:rPr>
      </w:pPr>
      <w:r w:rsidRPr="00C9465D">
        <w:rPr>
          <w:snapToGrid w:val="0"/>
          <w:lang w:val="en-US"/>
        </w:rPr>
        <w:t>Furthermore</w:t>
      </w:r>
      <w:r w:rsidR="00BD0BA1" w:rsidRPr="00C9465D">
        <w:rPr>
          <w:snapToGrid w:val="0"/>
          <w:lang w:val="en-US"/>
        </w:rPr>
        <w:t>,</w:t>
      </w:r>
      <w:r w:rsidRPr="00C9465D">
        <w:rPr>
          <w:snapToGrid w:val="0"/>
          <w:lang w:val="en-US"/>
        </w:rPr>
        <w:t xml:space="preserve"> the</w:t>
      </w:r>
      <w:r w:rsidR="00BD0BA1" w:rsidRPr="00C9465D">
        <w:rPr>
          <w:snapToGrid w:val="0"/>
          <w:lang w:val="en-US"/>
        </w:rPr>
        <w:t xml:space="preserve"> </w:t>
      </w:r>
      <w:r w:rsidRPr="00C9465D">
        <w:rPr>
          <w:snapToGrid w:val="0"/>
          <w:lang w:val="en-US"/>
        </w:rPr>
        <w:t>Committee on Economic, Social and Cultural Rights</w:t>
      </w:r>
      <w:r w:rsidR="00BD0BA1" w:rsidRPr="00C9465D">
        <w:rPr>
          <w:snapToGrid w:val="0"/>
          <w:lang w:val="en-US"/>
        </w:rPr>
        <w:t xml:space="preserve"> ha</w:t>
      </w:r>
      <w:r w:rsidRPr="00C9465D">
        <w:rPr>
          <w:snapToGrid w:val="0"/>
          <w:lang w:val="en-US"/>
        </w:rPr>
        <w:t xml:space="preserve">s underlined that </w:t>
      </w:r>
      <w:r w:rsidR="00D85850" w:rsidRPr="00C9465D">
        <w:rPr>
          <w:snapToGrid w:val="0"/>
          <w:lang w:val="en-US"/>
        </w:rPr>
        <w:t>persons with disabilities</w:t>
      </w:r>
      <w:r w:rsidR="00BD0BA1" w:rsidRPr="00C9465D">
        <w:rPr>
          <w:snapToGrid w:val="0"/>
          <w:lang w:val="en-US"/>
        </w:rPr>
        <w:t xml:space="preserve"> </w:t>
      </w:r>
      <w:r w:rsidRPr="00C9465D">
        <w:rPr>
          <w:snapToGrid w:val="0"/>
          <w:lang w:val="en-US"/>
        </w:rPr>
        <w:t>should have access, without discrimination, to medical and social services, and have rehabilitation services available to them so that they may “reach and sustain their optimum level of independence and functioning.</w:t>
      </w:r>
      <w:r w:rsidR="000E193E" w:rsidRPr="00C9465D">
        <w:rPr>
          <w:lang w:val="en-US"/>
        </w:rPr>
        <w:t>”</w:t>
      </w:r>
      <w:r w:rsidR="00BD0BA1" w:rsidRPr="00C9465D">
        <w:rPr>
          <w:rStyle w:val="FootnoteReference"/>
          <w:lang w:val="en-US"/>
        </w:rPr>
        <w:footnoteReference w:id="196"/>
      </w:r>
      <w:r w:rsidRPr="00C9465D">
        <w:rPr>
          <w:lang w:val="en-US"/>
        </w:rPr>
        <w:t xml:space="preserve"> Also, in its General Comment on</w:t>
      </w:r>
      <w:r w:rsidR="00BD0BA1" w:rsidRPr="00C9465D">
        <w:rPr>
          <w:lang w:val="en-US"/>
        </w:rPr>
        <w:t xml:space="preserve"> </w:t>
      </w:r>
      <w:r w:rsidR="00260D95" w:rsidRPr="00C9465D">
        <w:rPr>
          <w:lang w:val="en-US"/>
        </w:rPr>
        <w:t xml:space="preserve">the right to </w:t>
      </w:r>
      <w:r w:rsidR="00BD0BA1" w:rsidRPr="00C9465D">
        <w:rPr>
          <w:lang w:val="en-US"/>
        </w:rPr>
        <w:t>sexual</w:t>
      </w:r>
      <w:r w:rsidR="00193CBB" w:rsidRPr="00C9465D">
        <w:rPr>
          <w:lang w:val="en-US"/>
        </w:rPr>
        <w:t xml:space="preserve"> and </w:t>
      </w:r>
      <w:r w:rsidRPr="00C9465D">
        <w:rPr>
          <w:lang w:val="en-US"/>
        </w:rPr>
        <w:t xml:space="preserve">reproductive health, it indicated that: </w:t>
      </w:r>
    </w:p>
    <w:p w14:paraId="2AAF2095" w14:textId="505E6D0E" w:rsidR="00BD0BA1" w:rsidRPr="00C9465D" w:rsidRDefault="00520411" w:rsidP="00AC1354">
      <w:pPr>
        <w:tabs>
          <w:tab w:val="left" w:pos="540"/>
          <w:tab w:val="left" w:pos="9000"/>
        </w:tabs>
        <w:spacing w:before="120" w:after="120" w:line="240" w:lineRule="auto"/>
        <w:ind w:left="540" w:right="404"/>
        <w:jc w:val="both"/>
        <w:rPr>
          <w:rFonts w:ascii="Verdana" w:hAnsi="Verdana"/>
          <w:sz w:val="18"/>
          <w:szCs w:val="18"/>
          <w:lang w:val="en-US"/>
        </w:rPr>
      </w:pPr>
      <w:r w:rsidRPr="00C9465D">
        <w:rPr>
          <w:rFonts w:ascii="Verdana" w:hAnsi="Verdana"/>
          <w:sz w:val="18"/>
          <w:szCs w:val="18"/>
          <w:lang w:val="en-US"/>
        </w:rPr>
        <w:t>[…]</w:t>
      </w:r>
      <w:r w:rsidR="00965396" w:rsidRPr="00C9465D">
        <w:rPr>
          <w:rFonts w:ascii="Verdana" w:hAnsi="Verdana"/>
          <w:sz w:val="18"/>
          <w:szCs w:val="18"/>
          <w:lang w:val="en-US"/>
        </w:rPr>
        <w:t xml:space="preserve"> </w:t>
      </w:r>
      <w:r w:rsidR="00151497" w:rsidRPr="00C9465D">
        <w:rPr>
          <w:rStyle w:val="markedcontent"/>
          <w:rFonts w:ascii="Verdana" w:hAnsi="Verdana" w:cs="Arial"/>
          <w:sz w:val="18"/>
          <w:szCs w:val="18"/>
          <w:lang w:val="en-US"/>
        </w:rPr>
        <w:t>reasonable accommodation must be made to enable persons with disabilities to fully access sexual and reproductive health services on an equal basis, such as physically accessible facilities, information in accessible formats and decision-making support, and States should ensure that care is provided in a respectful and dignified manner that does not exacerbate marginalization</w:t>
      </w:r>
      <w:r w:rsidR="00AC1354" w:rsidRPr="00C9465D">
        <w:rPr>
          <w:rFonts w:ascii="Verdana" w:hAnsi="Verdana"/>
          <w:sz w:val="18"/>
          <w:szCs w:val="18"/>
          <w:lang w:val="en-US"/>
        </w:rPr>
        <w:t>.</w:t>
      </w:r>
      <w:r w:rsidR="00BD0BA1" w:rsidRPr="00C9465D">
        <w:rPr>
          <w:rStyle w:val="FootnoteReference"/>
          <w:rFonts w:ascii="Verdana" w:hAnsi="Verdana"/>
          <w:sz w:val="18"/>
          <w:szCs w:val="18"/>
          <w:lang w:val="en-US"/>
        </w:rPr>
        <w:footnoteReference w:id="197"/>
      </w:r>
    </w:p>
    <w:p w14:paraId="1B81BC83" w14:textId="3798CDA9" w:rsidR="00BD0BA1" w:rsidRPr="00C9465D" w:rsidRDefault="00AC1354" w:rsidP="00AC1354">
      <w:pPr>
        <w:pStyle w:val="Numberedparagraphs"/>
        <w:rPr>
          <w:snapToGrid w:val="0"/>
          <w:lang w:val="en-US"/>
        </w:rPr>
      </w:pPr>
      <w:bookmarkStart w:id="45" w:name="_Hlk76813906"/>
      <w:r w:rsidRPr="00C9465D">
        <w:rPr>
          <w:snapToGrid w:val="0"/>
          <w:lang w:val="en-US"/>
        </w:rPr>
        <w:t>As it has reiterated in its recent case law, the Court considers that the nature and scope of the obligations derived from the protection of</w:t>
      </w:r>
      <w:r w:rsidR="00BD0BA1" w:rsidRPr="00C9465D">
        <w:rPr>
          <w:lang w:val="en-US"/>
        </w:rPr>
        <w:t xml:space="preserve"> </w:t>
      </w:r>
      <w:r w:rsidR="00260D95" w:rsidRPr="00C9465D">
        <w:rPr>
          <w:lang w:val="en-US"/>
        </w:rPr>
        <w:t>the right to health</w:t>
      </w:r>
      <w:r w:rsidR="00BD0BA1" w:rsidRPr="00C9465D">
        <w:rPr>
          <w:lang w:val="en-US"/>
        </w:rPr>
        <w:t xml:space="preserve"> inclu</w:t>
      </w:r>
      <w:r w:rsidRPr="00C9465D">
        <w:rPr>
          <w:lang w:val="en-US"/>
        </w:rPr>
        <w:t>de aspects that may be required immediately and those that are of a progressive nature.</w:t>
      </w:r>
      <w:r w:rsidR="00BD0BA1" w:rsidRPr="00C9465D">
        <w:rPr>
          <w:rStyle w:val="FootnoteReference"/>
          <w:rFonts w:eastAsia="Times"/>
          <w:lang w:val="en-US"/>
        </w:rPr>
        <w:footnoteReference w:id="198"/>
      </w:r>
      <w:r w:rsidRPr="00C9465D">
        <w:rPr>
          <w:lang w:val="en-US"/>
        </w:rPr>
        <w:t xml:space="preserve"> In this regard, the Court recalls that, regarding the former (obligations that may be required immediately), States must adopt effective measures to ensure access without discrimination to the services recognized by the right to health, ensure equality of rights between men and women and, in general, </w:t>
      </w:r>
      <w:r w:rsidR="009B062B" w:rsidRPr="00C9465D">
        <w:rPr>
          <w:lang w:val="en-US"/>
        </w:rPr>
        <w:t>advance</w:t>
      </w:r>
      <w:r w:rsidRPr="00C9465D">
        <w:rPr>
          <w:lang w:val="en-US"/>
        </w:rPr>
        <w:t xml:space="preserve"> towards the full effectiveness of the economic, social, cultural and environmental rights (ESCER). Regarding the latter (obligations of a progressive nature), </w:t>
      </w:r>
      <w:r w:rsidRPr="00C9465D">
        <w:rPr>
          <w:lang w:val="en-US"/>
        </w:rPr>
        <w:lastRenderedPageBreak/>
        <w:t xml:space="preserve">progressive realization means that States Parties have the concrete and constant obligation to advance as expeditiously and efficiently as possible towards the full effectiveness of the said right, to the extent of their available resources, by legislation or other appropriate means. In addition, there is an obligation of non-retrogressivity in relation to the rights </w:t>
      </w:r>
      <w:r w:rsidR="009B062B" w:rsidRPr="00C9465D">
        <w:rPr>
          <w:lang w:val="en-US"/>
        </w:rPr>
        <w:t>realized</w:t>
      </w:r>
      <w:r w:rsidRPr="00C9465D">
        <w:rPr>
          <w:lang w:val="en-US"/>
        </w:rPr>
        <w:t>. In light of the above, the treaty-based obligations to respect and to ensure rights, as well as to adopt domestic legal provisions</w:t>
      </w:r>
      <w:r w:rsidR="00BD0BA1" w:rsidRPr="00C9465D">
        <w:rPr>
          <w:lang w:val="en-US"/>
        </w:rPr>
        <w:t xml:space="preserve"> (</w:t>
      </w:r>
      <w:r w:rsidR="00577DE0" w:rsidRPr="00C9465D">
        <w:rPr>
          <w:lang w:val="en-US"/>
        </w:rPr>
        <w:t>Articles 1(1)</w:t>
      </w:r>
      <w:r w:rsidR="00193CBB" w:rsidRPr="00C9465D">
        <w:rPr>
          <w:lang w:val="en-US"/>
        </w:rPr>
        <w:t xml:space="preserve"> and </w:t>
      </w:r>
      <w:r w:rsidR="00BD0BA1" w:rsidRPr="00C9465D">
        <w:rPr>
          <w:lang w:val="en-US"/>
        </w:rPr>
        <w:t xml:space="preserve">2), </w:t>
      </w:r>
      <w:r w:rsidRPr="00C9465D">
        <w:rPr>
          <w:lang w:val="en-US"/>
        </w:rPr>
        <w:t>are essential to achieve their effectiveness.</w:t>
      </w:r>
      <w:bookmarkEnd w:id="45"/>
      <w:r w:rsidR="00BD0BA1" w:rsidRPr="00C9465D">
        <w:rPr>
          <w:rStyle w:val="FootnoteReference"/>
          <w:lang w:val="en-US"/>
        </w:rPr>
        <w:footnoteReference w:id="199"/>
      </w:r>
    </w:p>
    <w:p w14:paraId="5B29B2E6" w14:textId="65E817CF" w:rsidR="00BD0BA1" w:rsidRPr="00C9465D" w:rsidRDefault="00197FB3" w:rsidP="002F03AA">
      <w:pPr>
        <w:pStyle w:val="Numberedparagraphs"/>
        <w:rPr>
          <w:snapToGrid w:val="0"/>
          <w:lang w:val="en-US"/>
        </w:rPr>
      </w:pPr>
      <w:r w:rsidRPr="00C9465D">
        <w:rPr>
          <w:lang w:val="en-US"/>
        </w:rPr>
        <w:t xml:space="preserve">In the instant </w:t>
      </w:r>
      <w:r w:rsidR="00BD0BA1" w:rsidRPr="00C9465D">
        <w:rPr>
          <w:lang w:val="en-US"/>
        </w:rPr>
        <w:t>cas</w:t>
      </w:r>
      <w:r w:rsidRPr="00C9465D">
        <w:rPr>
          <w:lang w:val="en-US"/>
        </w:rPr>
        <w:t xml:space="preserve">e the Court must examine the State’s conduct regarding compliance with its obligations to ensure respect for </w:t>
      </w:r>
      <w:r w:rsidR="002F3237" w:rsidRPr="00C9465D">
        <w:rPr>
          <w:lang w:val="en-US"/>
        </w:rPr>
        <w:t>Mr. Guachalá</w:t>
      </w:r>
      <w:r w:rsidR="00E10AFA" w:rsidRPr="00C9465D">
        <w:rPr>
          <w:lang w:val="en-US"/>
        </w:rPr>
        <w:t xml:space="preserve"> Chimbo</w:t>
      </w:r>
      <w:r w:rsidR="009B062B" w:rsidRPr="00C9465D">
        <w:rPr>
          <w:lang w:val="en-US"/>
        </w:rPr>
        <w:t>’s right to health</w:t>
      </w:r>
      <w:r w:rsidR="00BD0BA1" w:rsidRPr="00C9465D">
        <w:rPr>
          <w:lang w:val="en-US"/>
        </w:rPr>
        <w:t xml:space="preserve">, </w:t>
      </w:r>
      <w:r w:rsidRPr="00C9465D">
        <w:rPr>
          <w:lang w:val="en-US"/>
        </w:rPr>
        <w:t>i</w:t>
      </w:r>
      <w:r w:rsidR="00BD0BA1" w:rsidRPr="00C9465D">
        <w:rPr>
          <w:lang w:val="en-US"/>
        </w:rPr>
        <w:t>n rel</w:t>
      </w:r>
      <w:r w:rsidRPr="00C9465D">
        <w:rPr>
          <w:lang w:val="en-US"/>
        </w:rPr>
        <w:t xml:space="preserve">ation to the medical treatment he received while in the </w:t>
      </w:r>
      <w:r w:rsidR="001F65A3" w:rsidRPr="00C9465D">
        <w:rPr>
          <w:lang w:val="en-US"/>
        </w:rPr>
        <w:t>Julio Endara Hospital</w:t>
      </w:r>
      <w:r w:rsidR="00BD0BA1" w:rsidRPr="00C9465D">
        <w:rPr>
          <w:lang w:val="en-US"/>
        </w:rPr>
        <w:t>.</w:t>
      </w:r>
    </w:p>
    <w:p w14:paraId="5DD773C0" w14:textId="1E5ACAB0" w:rsidR="00BD055F" w:rsidRPr="00C9465D" w:rsidRDefault="00193CBB" w:rsidP="00AA3C22">
      <w:pPr>
        <w:pStyle w:val="Numberedparagraphs"/>
        <w:rPr>
          <w:lang w:val="en-US"/>
        </w:rPr>
      </w:pPr>
      <w:r w:rsidRPr="00C9465D">
        <w:rPr>
          <w:lang w:val="en-US"/>
        </w:rPr>
        <w:t>The Court</w:t>
      </w:r>
      <w:r w:rsidR="00BD055F" w:rsidRPr="00C9465D">
        <w:rPr>
          <w:lang w:val="en-US"/>
        </w:rPr>
        <w:t xml:space="preserve"> </w:t>
      </w:r>
      <w:r w:rsidR="00197FB3" w:rsidRPr="00C9465D">
        <w:rPr>
          <w:lang w:val="en-US"/>
        </w:rPr>
        <w:t>notes that, at the time of the facts, regulations existed with regard to</w:t>
      </w:r>
      <w:r w:rsidR="00BD055F" w:rsidRPr="00C9465D">
        <w:rPr>
          <w:lang w:val="en-US"/>
        </w:rPr>
        <w:t xml:space="preserve"> </w:t>
      </w:r>
      <w:r w:rsidR="00AC1354" w:rsidRPr="00C9465D">
        <w:rPr>
          <w:lang w:val="en-US"/>
        </w:rPr>
        <w:t>the right</w:t>
      </w:r>
      <w:r w:rsidR="00260D95" w:rsidRPr="00C9465D">
        <w:rPr>
          <w:lang w:val="en-US"/>
        </w:rPr>
        <w:t xml:space="preserve"> to health</w:t>
      </w:r>
      <w:r w:rsidR="00BD055F" w:rsidRPr="00C9465D">
        <w:rPr>
          <w:lang w:val="en-US"/>
        </w:rPr>
        <w:t xml:space="preserve"> </w:t>
      </w:r>
      <w:r w:rsidR="00197FB3" w:rsidRPr="00C9465D">
        <w:rPr>
          <w:lang w:val="en-US"/>
        </w:rPr>
        <w:t>that guaranteed this right to everyone without distinction,</w:t>
      </w:r>
      <w:r w:rsidR="00BD055F" w:rsidRPr="00C9465D">
        <w:rPr>
          <w:rStyle w:val="FootnoteReference"/>
          <w:lang w:val="en-US"/>
        </w:rPr>
        <w:footnoteReference w:id="200"/>
      </w:r>
      <w:r w:rsidRPr="00C9465D">
        <w:rPr>
          <w:lang w:val="en-US"/>
        </w:rPr>
        <w:t xml:space="preserve"> and </w:t>
      </w:r>
      <w:r w:rsidR="00197FB3" w:rsidRPr="00C9465D">
        <w:rPr>
          <w:lang w:val="en-US"/>
        </w:rPr>
        <w:t xml:space="preserve">established the obligation to ensure </w:t>
      </w:r>
      <w:r w:rsidR="00D85850" w:rsidRPr="00C9465D">
        <w:rPr>
          <w:lang w:val="en-US"/>
        </w:rPr>
        <w:t>persons with disabilities</w:t>
      </w:r>
      <w:r w:rsidR="00BD055F" w:rsidRPr="00C9465D">
        <w:rPr>
          <w:lang w:val="en-US"/>
        </w:rPr>
        <w:t xml:space="preserve"> </w:t>
      </w:r>
      <w:r w:rsidR="00197FB3" w:rsidRPr="00C9465D">
        <w:rPr>
          <w:lang w:val="en-US"/>
        </w:rPr>
        <w:t>access to health service according them “priority, preferential and special attention</w:t>
      </w:r>
      <w:r w:rsidR="00BD055F" w:rsidRPr="00C9465D">
        <w:rPr>
          <w:snapToGrid w:val="0"/>
          <w:lang w:val="en-US"/>
        </w:rPr>
        <w:t xml:space="preserve">” </w:t>
      </w:r>
      <w:r w:rsidR="00BD055F" w:rsidRPr="00C9465D">
        <w:rPr>
          <w:lang w:val="en-US"/>
        </w:rPr>
        <w:t>(</w:t>
      </w:r>
      <w:r w:rsidR="00BD055F" w:rsidRPr="00C9465D">
        <w:rPr>
          <w:i/>
          <w:lang w:val="en-US"/>
        </w:rPr>
        <w:t>supra</w:t>
      </w:r>
      <w:r w:rsidR="007D2F22" w:rsidRPr="00C9465D">
        <w:rPr>
          <w:lang w:val="en-US"/>
        </w:rPr>
        <w:t xml:space="preserve"> </w:t>
      </w:r>
      <w:r w:rsidR="00D8466F" w:rsidRPr="00C9465D">
        <w:rPr>
          <w:lang w:val="en-US"/>
        </w:rPr>
        <w:t>para.</w:t>
      </w:r>
      <w:r w:rsidR="007D2F22" w:rsidRPr="00C9465D">
        <w:rPr>
          <w:lang w:val="en-US"/>
        </w:rPr>
        <w:t xml:space="preserve"> </w:t>
      </w:r>
      <w:r w:rsidR="0020567B" w:rsidRPr="00C9465D">
        <w:rPr>
          <w:lang w:val="en-US"/>
        </w:rPr>
        <w:fldChar w:fldCharType="begin"/>
      </w:r>
      <w:r w:rsidR="0020567B" w:rsidRPr="00C9465D">
        <w:rPr>
          <w:lang w:val="en-US"/>
        </w:rPr>
        <w:instrText xml:space="preserve"> REF _Ref72158701 \r \h </w:instrText>
      </w:r>
      <w:r w:rsidR="00496133" w:rsidRPr="00C9465D">
        <w:rPr>
          <w:lang w:val="en-US"/>
        </w:rPr>
        <w:instrText xml:space="preserve"> \* MERGEFORMAT </w:instrText>
      </w:r>
      <w:r w:rsidR="0020567B" w:rsidRPr="00C9465D">
        <w:rPr>
          <w:lang w:val="en-US"/>
        </w:rPr>
      </w:r>
      <w:r w:rsidR="0020567B" w:rsidRPr="00C9465D">
        <w:rPr>
          <w:lang w:val="en-US"/>
        </w:rPr>
        <w:fldChar w:fldCharType="separate"/>
      </w:r>
      <w:r w:rsidR="0020567B" w:rsidRPr="00C9465D">
        <w:rPr>
          <w:lang w:val="en-US"/>
        </w:rPr>
        <w:t>102</w:t>
      </w:r>
      <w:r w:rsidR="0020567B" w:rsidRPr="00C9465D">
        <w:rPr>
          <w:lang w:val="en-US"/>
        </w:rPr>
        <w:fldChar w:fldCharType="end"/>
      </w:r>
      <w:r w:rsidR="007D2F22" w:rsidRPr="00C9465D">
        <w:rPr>
          <w:lang w:val="en-US"/>
        </w:rPr>
        <w:t>).</w:t>
      </w:r>
    </w:p>
    <w:p w14:paraId="1FB23E70" w14:textId="1BFE5F56" w:rsidR="000E193E" w:rsidRPr="00C9465D" w:rsidRDefault="00197FB3" w:rsidP="00AA3C22">
      <w:pPr>
        <w:pStyle w:val="Numberedparagraphs"/>
        <w:rPr>
          <w:rFonts w:eastAsia="Verdana"/>
          <w:bCs/>
          <w:lang w:val="en-US" w:eastAsia="x-none"/>
        </w:rPr>
      </w:pPr>
      <w:r w:rsidRPr="00C9465D">
        <w:rPr>
          <w:lang w:val="en-US"/>
        </w:rPr>
        <w:t>Based on the facts of the case and the a</w:t>
      </w:r>
      <w:r w:rsidR="009E5D69" w:rsidRPr="00C9465D">
        <w:rPr>
          <w:lang w:val="en-US"/>
        </w:rPr>
        <w:t>rguments of the parties</w:t>
      </w:r>
      <w:r w:rsidR="00193CBB" w:rsidRPr="00C9465D">
        <w:rPr>
          <w:lang w:val="en-US"/>
        </w:rPr>
        <w:t xml:space="preserve"> and the Commission</w:t>
      </w:r>
      <w:r w:rsidR="000E193E" w:rsidRPr="00C9465D">
        <w:rPr>
          <w:lang w:val="en-US"/>
        </w:rPr>
        <w:t xml:space="preserve">, </w:t>
      </w:r>
      <w:r w:rsidRPr="00C9465D">
        <w:rPr>
          <w:lang w:val="en-US"/>
        </w:rPr>
        <w:t xml:space="preserve">the Court will examine: (1) the right to informed consent; (2) whether the medical treatment that </w:t>
      </w:r>
      <w:r w:rsidR="002F3237" w:rsidRPr="00C9465D">
        <w:rPr>
          <w:lang w:val="en-US"/>
        </w:rPr>
        <w:t>Mr. Guachalá</w:t>
      </w:r>
      <w:r w:rsidR="00BD0BA1" w:rsidRPr="00C9465D">
        <w:rPr>
          <w:lang w:val="en-US"/>
        </w:rPr>
        <w:t xml:space="preserve"> Chimbo </w:t>
      </w:r>
      <w:r w:rsidRPr="00C9465D">
        <w:rPr>
          <w:lang w:val="en-US"/>
        </w:rPr>
        <w:t>received was appropriate according to standards concerning</w:t>
      </w:r>
      <w:r w:rsidR="00E16334" w:rsidRPr="00C9465D">
        <w:rPr>
          <w:lang w:val="en-US"/>
        </w:rPr>
        <w:t xml:space="preserve"> </w:t>
      </w:r>
      <w:r w:rsidR="00AC1354" w:rsidRPr="00C9465D">
        <w:rPr>
          <w:lang w:val="en-US"/>
        </w:rPr>
        <w:t>the right</w:t>
      </w:r>
      <w:r w:rsidR="00260D95" w:rsidRPr="00C9465D">
        <w:rPr>
          <w:lang w:val="en-US"/>
        </w:rPr>
        <w:t xml:space="preserve"> to health</w:t>
      </w:r>
      <w:r w:rsidR="004D2418" w:rsidRPr="00C9465D">
        <w:rPr>
          <w:lang w:val="en-US"/>
        </w:rPr>
        <w:t xml:space="preserve">; </w:t>
      </w:r>
      <w:r w:rsidRPr="00C9465D">
        <w:rPr>
          <w:lang w:val="en-US"/>
        </w:rPr>
        <w:t>(</w:t>
      </w:r>
      <w:r w:rsidR="004D2418" w:rsidRPr="00C9465D">
        <w:rPr>
          <w:lang w:val="en-US"/>
        </w:rPr>
        <w:t xml:space="preserve">3) </w:t>
      </w:r>
      <w:r w:rsidR="00BF6AD0" w:rsidRPr="00C9465D">
        <w:rPr>
          <w:lang w:val="en-US"/>
        </w:rPr>
        <w:t xml:space="preserve">the </w:t>
      </w:r>
      <w:r w:rsidR="002F3237" w:rsidRPr="00C9465D">
        <w:rPr>
          <w:lang w:val="en-US"/>
        </w:rPr>
        <w:t>Mr. Guachalá</w:t>
      </w:r>
      <w:r w:rsidR="004D2418" w:rsidRPr="00C9465D">
        <w:rPr>
          <w:lang w:val="en-US"/>
        </w:rPr>
        <w:t xml:space="preserve"> Chimbo</w:t>
      </w:r>
      <w:r w:rsidR="009B062B" w:rsidRPr="00C9465D">
        <w:rPr>
          <w:lang w:val="en-US"/>
        </w:rPr>
        <w:t>’s disappearance</w:t>
      </w:r>
      <w:r w:rsidR="002B29E3" w:rsidRPr="00C9465D">
        <w:rPr>
          <w:lang w:val="en-US"/>
        </w:rPr>
        <w:t>,</w:t>
      </w:r>
      <w:r w:rsidR="00193CBB" w:rsidRPr="00C9465D">
        <w:rPr>
          <w:lang w:val="en-US"/>
        </w:rPr>
        <w:t xml:space="preserve"> and </w:t>
      </w:r>
      <w:r w:rsidRPr="00C9465D">
        <w:rPr>
          <w:lang w:val="en-US"/>
        </w:rPr>
        <w:t>(</w:t>
      </w:r>
      <w:r w:rsidR="0050627E" w:rsidRPr="00C9465D">
        <w:rPr>
          <w:lang w:val="en-US"/>
        </w:rPr>
        <w:t>4</w:t>
      </w:r>
      <w:r w:rsidR="000E193E" w:rsidRPr="00C9465D">
        <w:rPr>
          <w:lang w:val="en-US"/>
        </w:rPr>
        <w:t xml:space="preserve">) </w:t>
      </w:r>
      <w:r w:rsidRPr="00C9465D">
        <w:rPr>
          <w:lang w:val="en-US"/>
        </w:rPr>
        <w:t>the scope of</w:t>
      </w:r>
      <w:r w:rsidR="00E16334" w:rsidRPr="00C9465D">
        <w:rPr>
          <w:lang w:val="en-US"/>
        </w:rPr>
        <w:t xml:space="preserve"> discrimina</w:t>
      </w:r>
      <w:r w:rsidRPr="00C9465D">
        <w:rPr>
          <w:lang w:val="en-US"/>
        </w:rPr>
        <w:t>tion in this case.</w:t>
      </w:r>
    </w:p>
    <w:p w14:paraId="3A035A01" w14:textId="1BCA0FCD" w:rsidR="000E193E" w:rsidRPr="00C9465D" w:rsidRDefault="00356118" w:rsidP="00356118">
      <w:pPr>
        <w:pStyle w:val="Heading3"/>
        <w:rPr>
          <w:color w:val="0070C0"/>
          <w:lang w:val="en-US"/>
        </w:rPr>
      </w:pPr>
      <w:bookmarkStart w:id="46" w:name="_Toc74298454"/>
      <w:r w:rsidRPr="00C9465D">
        <w:rPr>
          <w:lang w:val="en-US"/>
        </w:rPr>
        <w:t>B.1.</w:t>
      </w:r>
      <w:r w:rsidR="000E193E" w:rsidRPr="00C9465D">
        <w:rPr>
          <w:lang w:val="en-US"/>
        </w:rPr>
        <w:t xml:space="preserve"> </w:t>
      </w:r>
      <w:r w:rsidR="00197FB3" w:rsidRPr="00C9465D">
        <w:rPr>
          <w:lang w:val="en-US"/>
        </w:rPr>
        <w:t>The right to informed consent</w:t>
      </w:r>
      <w:bookmarkEnd w:id="46"/>
      <w:r w:rsidR="000E193E" w:rsidRPr="00C9465D">
        <w:rPr>
          <w:lang w:val="en-US"/>
        </w:rPr>
        <w:t xml:space="preserve"> </w:t>
      </w:r>
    </w:p>
    <w:p w14:paraId="79AD1F60" w14:textId="37F0AC1F" w:rsidR="005B7EE9" w:rsidRPr="00C9465D" w:rsidRDefault="001431D3" w:rsidP="005B7EE9">
      <w:pPr>
        <w:pStyle w:val="Numberedparagraphs"/>
        <w:rPr>
          <w:lang w:val="en-US"/>
        </w:rPr>
      </w:pPr>
      <w:bookmarkStart w:id="47" w:name="_Ref72326566"/>
      <w:r w:rsidRPr="00C9465D">
        <w:rPr>
          <w:lang w:val="en-US"/>
        </w:rPr>
        <w:t xml:space="preserve">Informed consent is a </w:t>
      </w:r>
      <w:r w:rsidR="00532DEC" w:rsidRPr="00C9465D">
        <w:rPr>
          <w:lang w:val="en-US"/>
        </w:rPr>
        <w:t>basic</w:t>
      </w:r>
      <w:r w:rsidRPr="00C9465D">
        <w:rPr>
          <w:lang w:val="en-US"/>
        </w:rPr>
        <w:t xml:space="preserve"> element </w:t>
      </w:r>
      <w:r w:rsidR="00AC1354" w:rsidRPr="00C9465D">
        <w:rPr>
          <w:lang w:val="en-US"/>
        </w:rPr>
        <w:t>of the right</w:t>
      </w:r>
      <w:r w:rsidR="00260D95" w:rsidRPr="00C9465D">
        <w:rPr>
          <w:lang w:val="en-US"/>
        </w:rPr>
        <w:t xml:space="preserve"> to health</w:t>
      </w:r>
      <w:r w:rsidR="00183C22" w:rsidRPr="00C9465D">
        <w:rPr>
          <w:lang w:val="en-US"/>
        </w:rPr>
        <w:t>;</w:t>
      </w:r>
      <w:r w:rsidR="008E4FC5" w:rsidRPr="00C9465D">
        <w:rPr>
          <w:rStyle w:val="FootnoteReference"/>
          <w:lang w:val="en-US"/>
        </w:rPr>
        <w:footnoteReference w:id="201"/>
      </w:r>
      <w:r w:rsidR="00183C22" w:rsidRPr="00C9465D">
        <w:rPr>
          <w:lang w:val="en-US"/>
        </w:rPr>
        <w:t xml:space="preserve"> and the obligation to comply with this is an obligation of an immediate nature.</w:t>
      </w:r>
      <w:r w:rsidR="008E4FC5" w:rsidRPr="00C9465D">
        <w:rPr>
          <w:rStyle w:val="FootnoteReference"/>
          <w:lang w:val="en-US"/>
        </w:rPr>
        <w:footnoteReference w:id="202"/>
      </w:r>
      <w:r w:rsidR="00183C22" w:rsidRPr="00C9465D">
        <w:rPr>
          <w:lang w:val="en-US"/>
        </w:rPr>
        <w:t xml:space="preserve"> This Court has indicated that the violation of the </w:t>
      </w:r>
      <w:r w:rsidR="00197FB3" w:rsidRPr="00C9465D">
        <w:rPr>
          <w:lang w:val="en-US"/>
        </w:rPr>
        <w:t>right to informed consent</w:t>
      </w:r>
      <w:r w:rsidR="00183C22" w:rsidRPr="00C9465D">
        <w:rPr>
          <w:lang w:val="en-US"/>
        </w:rPr>
        <w:t xml:space="preserve"> entails not only a violation</w:t>
      </w:r>
      <w:r w:rsidR="00AC1354" w:rsidRPr="00C9465D">
        <w:rPr>
          <w:lang w:val="en-US"/>
        </w:rPr>
        <w:t xml:space="preserve"> of the right</w:t>
      </w:r>
      <w:r w:rsidR="00260D95" w:rsidRPr="00C9465D">
        <w:rPr>
          <w:lang w:val="en-US"/>
        </w:rPr>
        <w:t xml:space="preserve"> to health</w:t>
      </w:r>
      <w:r w:rsidR="008E4FC5" w:rsidRPr="00C9465D">
        <w:rPr>
          <w:lang w:val="en-US"/>
        </w:rPr>
        <w:t xml:space="preserve">, </w:t>
      </w:r>
      <w:r w:rsidR="00183C22" w:rsidRPr="00C9465D">
        <w:rPr>
          <w:lang w:val="en-US"/>
        </w:rPr>
        <w:t xml:space="preserve">but also of the right to </w:t>
      </w:r>
      <w:r w:rsidR="00D12C0E" w:rsidRPr="00C9465D">
        <w:rPr>
          <w:lang w:val="en-US"/>
        </w:rPr>
        <w:t>personal liberty</w:t>
      </w:r>
      <w:r w:rsidR="008E4FC5" w:rsidRPr="00C9465D">
        <w:rPr>
          <w:lang w:val="en-US"/>
        </w:rPr>
        <w:t xml:space="preserve">, </w:t>
      </w:r>
      <w:r w:rsidR="00183C22" w:rsidRPr="00C9465D">
        <w:rPr>
          <w:lang w:val="en-US"/>
        </w:rPr>
        <w:t>the right to</w:t>
      </w:r>
      <w:r w:rsidR="002C2B28" w:rsidRPr="00C9465D">
        <w:rPr>
          <w:lang w:val="en-US"/>
        </w:rPr>
        <w:t xml:space="preserve"> </w:t>
      </w:r>
      <w:r w:rsidR="00D12C0E" w:rsidRPr="00C9465D">
        <w:rPr>
          <w:lang w:val="en-US"/>
        </w:rPr>
        <w:t>dignity</w:t>
      </w:r>
      <w:r w:rsidR="00193CBB" w:rsidRPr="00C9465D">
        <w:rPr>
          <w:lang w:val="en-US"/>
        </w:rPr>
        <w:t xml:space="preserve"> and </w:t>
      </w:r>
      <w:r w:rsidR="00D12C0E" w:rsidRPr="00C9465D">
        <w:rPr>
          <w:lang w:val="en-US"/>
        </w:rPr>
        <w:t>privacy</w:t>
      </w:r>
      <w:r w:rsidR="008E4FC5" w:rsidRPr="00C9465D">
        <w:rPr>
          <w:lang w:val="en-US"/>
        </w:rPr>
        <w:t>,</w:t>
      </w:r>
      <w:r w:rsidR="00193CBB" w:rsidRPr="00C9465D">
        <w:rPr>
          <w:lang w:val="en-US"/>
        </w:rPr>
        <w:t xml:space="preserve"> and </w:t>
      </w:r>
      <w:r w:rsidR="00183C22" w:rsidRPr="00C9465D">
        <w:rPr>
          <w:lang w:val="en-US"/>
        </w:rPr>
        <w:t xml:space="preserve">the right of </w:t>
      </w:r>
      <w:r w:rsidR="00D12C0E" w:rsidRPr="00C9465D">
        <w:rPr>
          <w:lang w:val="en-US"/>
        </w:rPr>
        <w:t>access to information</w:t>
      </w:r>
      <w:r w:rsidR="00183C22" w:rsidRPr="00C9465D">
        <w:rPr>
          <w:lang w:val="en-US"/>
        </w:rPr>
        <w:t>.</w:t>
      </w:r>
      <w:r w:rsidR="008E4FC5" w:rsidRPr="00C9465D">
        <w:rPr>
          <w:rStyle w:val="FootnoteReference"/>
          <w:lang w:val="en-US"/>
        </w:rPr>
        <w:footnoteReference w:id="203"/>
      </w:r>
      <w:r w:rsidR="008E4FC5" w:rsidRPr="00C9465D">
        <w:rPr>
          <w:lang w:val="en-US"/>
        </w:rPr>
        <w:t xml:space="preserve"> </w:t>
      </w:r>
      <w:r w:rsidR="00193CBB" w:rsidRPr="00C9465D">
        <w:rPr>
          <w:lang w:val="en-US"/>
        </w:rPr>
        <w:t>The Court</w:t>
      </w:r>
      <w:r w:rsidR="008E4FC5" w:rsidRPr="00C9465D">
        <w:rPr>
          <w:lang w:val="en-US"/>
        </w:rPr>
        <w:t xml:space="preserve"> </w:t>
      </w:r>
      <w:r w:rsidR="00183C22" w:rsidRPr="00C9465D">
        <w:rPr>
          <w:lang w:val="en-US"/>
        </w:rPr>
        <w:t>notes that, in the instant case, neither</w:t>
      </w:r>
      <w:r w:rsidR="008E4FC5" w:rsidRPr="00C9465D">
        <w:rPr>
          <w:lang w:val="en-US"/>
        </w:rPr>
        <w:t xml:space="preserve"> </w:t>
      </w:r>
      <w:r w:rsidR="00193CBB" w:rsidRPr="00C9465D">
        <w:rPr>
          <w:lang w:val="en-US"/>
        </w:rPr>
        <w:t>the Commission</w:t>
      </w:r>
      <w:r w:rsidR="008E4FC5" w:rsidRPr="00C9465D">
        <w:rPr>
          <w:lang w:val="en-US"/>
        </w:rPr>
        <w:t xml:space="preserve"> n</w:t>
      </w:r>
      <w:r w:rsidR="00183C22" w:rsidRPr="00C9465D">
        <w:rPr>
          <w:lang w:val="en-US"/>
        </w:rPr>
        <w:t>or</w:t>
      </w:r>
      <w:r w:rsidR="008E4FC5" w:rsidRPr="00C9465D">
        <w:rPr>
          <w:lang w:val="en-US"/>
        </w:rPr>
        <w:t xml:space="preserve"> </w:t>
      </w:r>
      <w:r w:rsidR="00193CBB" w:rsidRPr="00C9465D">
        <w:rPr>
          <w:lang w:val="en-US"/>
        </w:rPr>
        <w:t>the representatives</w:t>
      </w:r>
      <w:r w:rsidR="008E4FC5" w:rsidRPr="00C9465D">
        <w:rPr>
          <w:lang w:val="en-US"/>
        </w:rPr>
        <w:t xml:space="preserve"> </w:t>
      </w:r>
      <w:r w:rsidR="00183C22" w:rsidRPr="00C9465D">
        <w:rPr>
          <w:lang w:val="en-US"/>
        </w:rPr>
        <w:t>explicitly alleged the violation</w:t>
      </w:r>
      <w:r w:rsidR="008E4FC5" w:rsidRPr="00C9465D">
        <w:rPr>
          <w:lang w:val="en-US"/>
        </w:rPr>
        <w:t xml:space="preserve"> </w:t>
      </w:r>
      <w:r w:rsidR="007A3CA5" w:rsidRPr="00C9465D">
        <w:rPr>
          <w:lang w:val="en-US"/>
        </w:rPr>
        <w:t>of Article</w:t>
      </w:r>
      <w:r w:rsidR="008E4FC5" w:rsidRPr="00C9465D">
        <w:rPr>
          <w:lang w:val="en-US"/>
        </w:rPr>
        <w:t xml:space="preserve"> 11</w:t>
      </w:r>
      <w:r w:rsidR="00193CBB" w:rsidRPr="00C9465D">
        <w:rPr>
          <w:lang w:val="en-US"/>
        </w:rPr>
        <w:t xml:space="preserve"> of the Convention</w:t>
      </w:r>
      <w:r w:rsidR="008E4FC5" w:rsidRPr="00C9465D">
        <w:rPr>
          <w:lang w:val="en-US"/>
        </w:rPr>
        <w:t xml:space="preserve">. </w:t>
      </w:r>
      <w:r w:rsidR="00183C22" w:rsidRPr="00C9465D">
        <w:rPr>
          <w:lang w:val="en-US"/>
        </w:rPr>
        <w:t xml:space="preserve">However, </w:t>
      </w:r>
      <w:r w:rsidR="00B63846" w:rsidRPr="00C9465D">
        <w:rPr>
          <w:lang w:val="en-US"/>
        </w:rPr>
        <w:t>by</w:t>
      </w:r>
      <w:r w:rsidR="00183C22" w:rsidRPr="00C9465D">
        <w:rPr>
          <w:lang w:val="en-US"/>
        </w:rPr>
        <w:t xml:space="preserve"> virtue of the </w:t>
      </w:r>
      <w:r w:rsidR="008E4FC5" w:rsidRPr="00C9465D">
        <w:rPr>
          <w:i/>
          <w:lang w:val="en-US"/>
        </w:rPr>
        <w:t>iura novit curia</w:t>
      </w:r>
      <w:r w:rsidR="00183C22" w:rsidRPr="00C9465D">
        <w:rPr>
          <w:i/>
          <w:lang w:val="en-US"/>
        </w:rPr>
        <w:t xml:space="preserve"> </w:t>
      </w:r>
      <w:r w:rsidR="00183C22" w:rsidRPr="00C9465D">
        <w:rPr>
          <w:iCs/>
          <w:lang w:val="en-US"/>
        </w:rPr>
        <w:t>principle,</w:t>
      </w:r>
      <w:r w:rsidR="008E4FC5" w:rsidRPr="00C9465D">
        <w:rPr>
          <w:rStyle w:val="FootnoteReference"/>
          <w:lang w:val="en-US"/>
        </w:rPr>
        <w:footnoteReference w:id="204"/>
      </w:r>
      <w:r w:rsidR="008E4FC5" w:rsidRPr="00C9465D">
        <w:rPr>
          <w:lang w:val="en-US"/>
        </w:rPr>
        <w:t xml:space="preserve"> </w:t>
      </w:r>
      <w:r w:rsidR="00183C22" w:rsidRPr="00C9465D">
        <w:rPr>
          <w:lang w:val="en-US"/>
        </w:rPr>
        <w:t>the Court</w:t>
      </w:r>
      <w:r w:rsidR="008E4FC5" w:rsidRPr="00C9465D">
        <w:rPr>
          <w:lang w:val="en-US"/>
        </w:rPr>
        <w:t xml:space="preserve"> </w:t>
      </w:r>
      <w:r w:rsidR="00183C22" w:rsidRPr="00C9465D">
        <w:rPr>
          <w:lang w:val="en-US"/>
        </w:rPr>
        <w:t>will rule on the right to privacy as an essential component of informed consent.</w:t>
      </w:r>
      <w:r w:rsidR="008E4FC5" w:rsidRPr="00C9465D">
        <w:rPr>
          <w:rStyle w:val="FootnoteReference"/>
          <w:lang w:val="en-US"/>
        </w:rPr>
        <w:footnoteReference w:id="205"/>
      </w:r>
      <w:bookmarkEnd w:id="47"/>
    </w:p>
    <w:p w14:paraId="08666A14" w14:textId="07592DF8" w:rsidR="008E4FC5" w:rsidRPr="00C9465D" w:rsidRDefault="008E4FC5" w:rsidP="00131752">
      <w:pPr>
        <w:pStyle w:val="Numberedparagraphs"/>
        <w:rPr>
          <w:lang w:val="en-US" w:bidi="en-US"/>
        </w:rPr>
      </w:pPr>
      <w:r w:rsidRPr="00C9465D">
        <w:rPr>
          <w:lang w:val="en-US" w:bidi="en-US"/>
        </w:rPr>
        <w:t>Ad</w:t>
      </w:r>
      <w:r w:rsidR="005B7EE9" w:rsidRPr="00C9465D">
        <w:rPr>
          <w:lang w:val="en-US" w:bidi="en-US"/>
        </w:rPr>
        <w:t xml:space="preserve">ditionally, in this case, </w:t>
      </w:r>
      <w:r w:rsidR="00193CBB" w:rsidRPr="00C9465D">
        <w:rPr>
          <w:lang w:val="en-US" w:bidi="en-US"/>
        </w:rPr>
        <w:t>the representatives and the Commission</w:t>
      </w:r>
      <w:r w:rsidRPr="00C9465D">
        <w:rPr>
          <w:lang w:val="en-US" w:bidi="en-US"/>
        </w:rPr>
        <w:t xml:space="preserve"> </w:t>
      </w:r>
      <w:r w:rsidR="005B7EE9" w:rsidRPr="00C9465D">
        <w:rPr>
          <w:lang w:val="en-US" w:bidi="en-US"/>
        </w:rPr>
        <w:t>have argued that the alleged absence of informed consent</w:t>
      </w:r>
      <w:r w:rsidRPr="00C9465D">
        <w:rPr>
          <w:lang w:val="en-US" w:bidi="en-US"/>
        </w:rPr>
        <w:t xml:space="preserve"> viol</w:t>
      </w:r>
      <w:r w:rsidR="005B7EE9" w:rsidRPr="00C9465D">
        <w:rPr>
          <w:lang w:val="en-US" w:bidi="en-US"/>
        </w:rPr>
        <w:t xml:space="preserve">ated Mr. Guachalá Chimbo’s right to </w:t>
      </w:r>
      <w:r w:rsidR="00D12C0E" w:rsidRPr="00C9465D">
        <w:rPr>
          <w:lang w:val="en-US" w:bidi="en-US"/>
        </w:rPr>
        <w:t xml:space="preserve">recognition of </w:t>
      </w:r>
      <w:r w:rsidR="00D12C0E" w:rsidRPr="00C9465D">
        <w:rPr>
          <w:lang w:val="en-US" w:bidi="en-US"/>
        </w:rPr>
        <w:lastRenderedPageBreak/>
        <w:t>juridical personality</w:t>
      </w:r>
      <w:r w:rsidRPr="00C9465D">
        <w:rPr>
          <w:lang w:val="en-US" w:bidi="en-US"/>
        </w:rPr>
        <w:t xml:space="preserve">. </w:t>
      </w:r>
      <w:r w:rsidR="005B7EE9" w:rsidRPr="00C9465D">
        <w:rPr>
          <w:lang w:val="en-US" w:bidi="en-US"/>
        </w:rPr>
        <w:t xml:space="preserve">The </w:t>
      </w:r>
      <w:r w:rsidR="00131752" w:rsidRPr="00C9465D">
        <w:rPr>
          <w:lang w:val="en-US" w:bidi="en-US"/>
        </w:rPr>
        <w:t>content</w:t>
      </w:r>
      <w:r w:rsidR="005B7EE9" w:rsidRPr="00C9465D">
        <w:rPr>
          <w:lang w:val="en-US" w:bidi="en-US"/>
        </w:rPr>
        <w:t xml:space="preserve"> of the right to </w:t>
      </w:r>
      <w:r w:rsidR="00D12C0E" w:rsidRPr="00C9465D">
        <w:rPr>
          <w:lang w:val="en-US"/>
        </w:rPr>
        <w:t>recognition of juridical personality</w:t>
      </w:r>
      <w:r w:rsidRPr="00C9465D">
        <w:rPr>
          <w:lang w:val="en-US"/>
        </w:rPr>
        <w:t xml:space="preserve"> </w:t>
      </w:r>
      <w:r w:rsidR="005B7EE9" w:rsidRPr="00C9465D">
        <w:rPr>
          <w:lang w:val="en-US"/>
        </w:rPr>
        <w:t xml:space="preserve">is that </w:t>
      </w:r>
      <w:r w:rsidR="00131752" w:rsidRPr="00C9465D">
        <w:rPr>
          <w:lang w:val="en-US"/>
        </w:rPr>
        <w:t>everyone “has the right to be recognized everywhere as a person having rights and obligations, and to enjoy the basic civil rights[, which] implies the capacity to be the holder of rights (capacity of exercise) and obligations; the violation of this recognition presumes an absolute disavowal of the possibility of being a holder of [basic civil] rights and obligations.</w:t>
      </w:r>
      <w:r w:rsidRPr="00C9465D">
        <w:rPr>
          <w:rFonts w:cs="Verdana"/>
          <w:lang w:val="en-US" w:bidi="en-US"/>
        </w:rPr>
        <w:t>”</w:t>
      </w:r>
      <w:r w:rsidRPr="00C9465D">
        <w:rPr>
          <w:rStyle w:val="FootnoteReference"/>
          <w:rFonts w:cs="Verdana"/>
          <w:lang w:val="en-US" w:bidi="en-US"/>
        </w:rPr>
        <w:footnoteReference w:id="206"/>
      </w:r>
      <w:r w:rsidRPr="00C9465D">
        <w:rPr>
          <w:rFonts w:cs="Verdana"/>
          <w:lang w:val="en-US" w:bidi="en-US"/>
        </w:rPr>
        <w:t xml:space="preserve"> </w:t>
      </w:r>
      <w:r w:rsidR="00131752" w:rsidRPr="00C9465D">
        <w:rPr>
          <w:rFonts w:cs="Verdana"/>
          <w:lang w:val="en-US" w:bidi="en-US"/>
        </w:rPr>
        <w:t xml:space="preserve">Thus, </w:t>
      </w:r>
      <w:r w:rsidR="00883A59" w:rsidRPr="00C9465D">
        <w:rPr>
          <w:rFonts w:cs="Verdana"/>
          <w:lang w:val="en-US" w:bidi="en-US"/>
        </w:rPr>
        <w:t xml:space="preserve">legal </w:t>
      </w:r>
      <w:r w:rsidR="00131752" w:rsidRPr="00C9465D">
        <w:rPr>
          <w:rFonts w:cs="Verdana"/>
          <w:lang w:val="en-US" w:bidi="en-US"/>
        </w:rPr>
        <w:t>capacity is an essential component of juridical personality.</w:t>
      </w:r>
    </w:p>
    <w:p w14:paraId="64077143" w14:textId="10EBF838" w:rsidR="008E4FC5" w:rsidRPr="00C9465D" w:rsidRDefault="00131752" w:rsidP="008E4FC5">
      <w:pPr>
        <w:pStyle w:val="Numberedparagraphs"/>
        <w:rPr>
          <w:lang w:val="en-US"/>
        </w:rPr>
      </w:pPr>
      <w:r w:rsidRPr="00C9465D">
        <w:rPr>
          <w:lang w:val="en-US"/>
        </w:rPr>
        <w:t>This right represents a parameter to determine whether or not a person is a holder of the rights in question and whether he or she can exercise them,</w:t>
      </w:r>
      <w:r w:rsidR="008E4FC5" w:rsidRPr="00C9465D">
        <w:rPr>
          <w:vertAlign w:val="superscript"/>
          <w:lang w:val="en-US"/>
        </w:rPr>
        <w:footnoteReference w:id="207"/>
      </w:r>
      <w:r w:rsidRPr="00C9465D">
        <w:rPr>
          <w:lang w:val="en-US"/>
        </w:rPr>
        <w:t xml:space="preserve"> so that failing to grant this recognition</w:t>
      </w:r>
      <w:r w:rsidR="008E4FC5" w:rsidRPr="00C9465D">
        <w:rPr>
          <w:lang w:val="en-US"/>
        </w:rPr>
        <w:t xml:space="preserve"> </w:t>
      </w:r>
      <w:r w:rsidRPr="00C9465D">
        <w:rPr>
          <w:lang w:val="en-US"/>
        </w:rPr>
        <w:t xml:space="preserve">makes the individual vulnerable </w:t>
      </w:r>
      <w:r w:rsidRPr="00C9465D">
        <w:rPr>
          <w:i/>
          <w:iCs/>
          <w:lang w:val="en-US"/>
        </w:rPr>
        <w:t>vis-à-vis</w:t>
      </w:r>
      <w:r w:rsidRPr="00C9465D">
        <w:rPr>
          <w:lang w:val="en-US"/>
        </w:rPr>
        <w:t xml:space="preserve"> the State or other individuals.</w:t>
      </w:r>
      <w:r w:rsidR="008E4FC5" w:rsidRPr="00C9465D">
        <w:rPr>
          <w:vertAlign w:val="superscript"/>
          <w:lang w:val="en-US"/>
        </w:rPr>
        <w:footnoteReference w:id="208"/>
      </w:r>
      <w:r w:rsidRPr="00C9465D">
        <w:rPr>
          <w:lang w:val="en-US"/>
        </w:rPr>
        <w:t xml:space="preserve"> In this way, the content of the right</w:t>
      </w:r>
      <w:r w:rsidR="008E4FC5" w:rsidRPr="00C9465D">
        <w:rPr>
          <w:lang w:val="en-US"/>
        </w:rPr>
        <w:t xml:space="preserve"> </w:t>
      </w:r>
      <w:r w:rsidRPr="00C9465D">
        <w:rPr>
          <w:lang w:val="en-US"/>
        </w:rPr>
        <w:t>to</w:t>
      </w:r>
      <w:r w:rsidR="008E4FC5" w:rsidRPr="00C9465D">
        <w:rPr>
          <w:lang w:val="en-US"/>
        </w:rPr>
        <w:t xml:space="preserve"> </w:t>
      </w:r>
      <w:r w:rsidR="00D12C0E" w:rsidRPr="00C9465D">
        <w:rPr>
          <w:lang w:val="en-US"/>
        </w:rPr>
        <w:t>recognition of juridical personality</w:t>
      </w:r>
      <w:r w:rsidR="008E4FC5" w:rsidRPr="00C9465D">
        <w:rPr>
          <w:lang w:val="en-US"/>
        </w:rPr>
        <w:t xml:space="preserve"> ref</w:t>
      </w:r>
      <w:r w:rsidRPr="00C9465D">
        <w:rPr>
          <w:lang w:val="en-US"/>
        </w:rPr>
        <w:t>ers to the State’s correlative general obligation to provide the legal conditions and means to ensure that this right may be exercised freely and fully by its holders.</w:t>
      </w:r>
      <w:r w:rsidR="008E4FC5" w:rsidRPr="00C9465D">
        <w:rPr>
          <w:rStyle w:val="FootnoteReference"/>
          <w:lang w:val="en-US"/>
        </w:rPr>
        <w:footnoteReference w:id="209"/>
      </w:r>
      <w:r w:rsidR="008E4FC5" w:rsidRPr="00C9465D">
        <w:rPr>
          <w:lang w:val="en-US"/>
        </w:rPr>
        <w:t xml:space="preserve"> </w:t>
      </w:r>
    </w:p>
    <w:p w14:paraId="0C9109AF" w14:textId="413DC67E" w:rsidR="008E4FC5" w:rsidRPr="00C9465D" w:rsidRDefault="00131752" w:rsidP="008E4FC5">
      <w:pPr>
        <w:pStyle w:val="Numberedparagraphs"/>
        <w:rPr>
          <w:lang w:val="en-US"/>
        </w:rPr>
      </w:pPr>
      <w:r w:rsidRPr="00C9465D">
        <w:rPr>
          <w:lang w:val="en-US"/>
        </w:rPr>
        <w:t xml:space="preserve">In application of the principle of the </w:t>
      </w:r>
      <w:r w:rsidR="004972DF" w:rsidRPr="00C9465D">
        <w:rPr>
          <w:lang w:val="en-US"/>
        </w:rPr>
        <w:t>“</w:t>
      </w:r>
      <w:r w:rsidRPr="00C9465D">
        <w:rPr>
          <w:lang w:val="en-US"/>
        </w:rPr>
        <w:t>practical effect</w:t>
      </w:r>
      <w:r w:rsidR="004972DF" w:rsidRPr="00C9465D">
        <w:rPr>
          <w:lang w:val="en-US"/>
        </w:rPr>
        <w:t>” and of the needs for protection in cases of vulnerable individuals and groups, the Court has observed the broadest legal content of this right by considering that the State is especially “obliged to ensure to those persons in a situation of vulnerability, marginalization</w:t>
      </w:r>
      <w:r w:rsidR="00193CBB" w:rsidRPr="00C9465D">
        <w:rPr>
          <w:lang w:val="en-US" w:bidi="x-none"/>
        </w:rPr>
        <w:t xml:space="preserve"> and </w:t>
      </w:r>
      <w:r w:rsidR="008E4FC5" w:rsidRPr="00C9465D">
        <w:rPr>
          <w:lang w:val="en-US" w:bidi="x-none"/>
        </w:rPr>
        <w:t>discrimina</w:t>
      </w:r>
      <w:r w:rsidR="004972DF" w:rsidRPr="00C9465D">
        <w:rPr>
          <w:lang w:val="en-US" w:bidi="x-none"/>
        </w:rPr>
        <w:t>tio</w:t>
      </w:r>
      <w:r w:rsidR="008E4FC5" w:rsidRPr="00C9465D">
        <w:rPr>
          <w:lang w:val="en-US" w:bidi="x-none"/>
        </w:rPr>
        <w:t xml:space="preserve">n, </w:t>
      </w:r>
      <w:r w:rsidR="004972DF" w:rsidRPr="00C9465D">
        <w:rPr>
          <w:lang w:val="en-US" w:bidi="x-none"/>
        </w:rPr>
        <w:t>the administrative and legal conditions that ensure them the exercise of this right, based on the principle of equality before the law.</w:t>
      </w:r>
      <w:r w:rsidR="008E4FC5" w:rsidRPr="00C9465D">
        <w:rPr>
          <w:lang w:val="en-US" w:bidi="x-none"/>
        </w:rPr>
        <w:t>”</w:t>
      </w:r>
      <w:r w:rsidR="008E4FC5" w:rsidRPr="00C9465D">
        <w:rPr>
          <w:rStyle w:val="FootnoteReference"/>
          <w:lang w:val="en-US" w:bidi="x-none"/>
        </w:rPr>
        <w:footnoteReference w:id="210"/>
      </w:r>
    </w:p>
    <w:p w14:paraId="332D3918" w14:textId="77885A90" w:rsidR="008E4FC5" w:rsidRPr="00C9465D" w:rsidRDefault="004972DF" w:rsidP="004972DF">
      <w:pPr>
        <w:pStyle w:val="Numberedparagraphs"/>
        <w:tabs>
          <w:tab w:val="left" w:pos="2340"/>
        </w:tabs>
        <w:spacing w:after="160"/>
        <w:rPr>
          <w:rFonts w:cs="Verdana"/>
          <w:lang w:val="en-US" w:bidi="en-US"/>
        </w:rPr>
      </w:pPr>
      <w:r w:rsidRPr="00C9465D">
        <w:rPr>
          <w:lang w:val="en-US"/>
        </w:rPr>
        <w:t>In the case of</w:t>
      </w:r>
      <w:r w:rsidR="008E4FC5" w:rsidRPr="00C9465D">
        <w:rPr>
          <w:lang w:val="en-US"/>
        </w:rPr>
        <w:t xml:space="preserve"> </w:t>
      </w:r>
      <w:r w:rsidR="00D85850" w:rsidRPr="00C9465D">
        <w:rPr>
          <w:lang w:val="en-US"/>
        </w:rPr>
        <w:t>persons with disabilities</w:t>
      </w:r>
      <w:r w:rsidR="008E4FC5" w:rsidRPr="00C9465D">
        <w:rPr>
          <w:lang w:val="en-US"/>
        </w:rPr>
        <w:t xml:space="preserve">, </w:t>
      </w:r>
      <w:r w:rsidR="00183C22" w:rsidRPr="00C9465D">
        <w:rPr>
          <w:lang w:val="en-US"/>
        </w:rPr>
        <w:t>this Court</w:t>
      </w:r>
      <w:r w:rsidR="008E4FC5" w:rsidRPr="00C9465D">
        <w:rPr>
          <w:lang w:val="en-US"/>
        </w:rPr>
        <w:t xml:space="preserve"> </w:t>
      </w:r>
      <w:r w:rsidRPr="00C9465D">
        <w:rPr>
          <w:lang w:val="en-US"/>
        </w:rPr>
        <w:t>notes that the right to</w:t>
      </w:r>
      <w:r w:rsidR="000B5D32" w:rsidRPr="00C9465D">
        <w:rPr>
          <w:lang w:val="en-US"/>
        </w:rPr>
        <w:t xml:space="preserve"> </w:t>
      </w:r>
      <w:r w:rsidR="00D12C0E" w:rsidRPr="00C9465D">
        <w:rPr>
          <w:lang w:val="en-US"/>
        </w:rPr>
        <w:t>recognition of juridical personality</w:t>
      </w:r>
      <w:r w:rsidR="008E4FC5" w:rsidRPr="00C9465D">
        <w:rPr>
          <w:lang w:val="en-US"/>
        </w:rPr>
        <w:t xml:space="preserve"> a</w:t>
      </w:r>
      <w:r w:rsidRPr="00C9465D">
        <w:rPr>
          <w:lang w:val="en-US"/>
        </w:rPr>
        <w:t xml:space="preserve">cquires a specific content. </w:t>
      </w:r>
      <w:r w:rsidR="00193CBB" w:rsidRPr="00C9465D">
        <w:rPr>
          <w:lang w:val="en-US"/>
        </w:rPr>
        <w:t xml:space="preserve">The </w:t>
      </w:r>
      <w:r w:rsidR="00593C0F" w:rsidRPr="00C9465D">
        <w:rPr>
          <w:lang w:val="en-US"/>
        </w:rPr>
        <w:t>Convention on the Rights of Persons with Disabilities</w:t>
      </w:r>
      <w:r w:rsidR="008E4FC5" w:rsidRPr="00C9465D">
        <w:rPr>
          <w:lang w:val="en-US"/>
        </w:rPr>
        <w:t xml:space="preserve"> </w:t>
      </w:r>
      <w:r w:rsidR="00260D95" w:rsidRPr="00C9465D">
        <w:rPr>
          <w:lang w:val="en-US"/>
        </w:rPr>
        <w:t>establishes</w:t>
      </w:r>
      <w:r w:rsidR="008E4FC5" w:rsidRPr="00C9465D">
        <w:rPr>
          <w:lang w:val="en-US"/>
        </w:rPr>
        <w:t xml:space="preserve"> </w:t>
      </w:r>
      <w:r w:rsidRPr="00C9465D">
        <w:rPr>
          <w:lang w:val="en-US"/>
        </w:rPr>
        <w:t>the following</w:t>
      </w:r>
      <w:r w:rsidR="008E4FC5" w:rsidRPr="00C9465D">
        <w:rPr>
          <w:lang w:val="en-US"/>
        </w:rPr>
        <w:t>:</w:t>
      </w:r>
    </w:p>
    <w:p w14:paraId="1AB90196" w14:textId="77777777" w:rsidR="004972DF" w:rsidRPr="00C9465D" w:rsidRDefault="00193CBB" w:rsidP="000A29B2">
      <w:pPr>
        <w:spacing w:line="240" w:lineRule="auto"/>
        <w:ind w:left="720" w:right="404"/>
        <w:jc w:val="both"/>
        <w:textAlignment w:val="baseline"/>
        <w:outlineLvl w:val="1"/>
        <w:rPr>
          <w:rFonts w:ascii="Verdana" w:hAnsi="Verdana"/>
          <w:sz w:val="18"/>
          <w:szCs w:val="18"/>
          <w:lang w:val="en-US"/>
        </w:rPr>
      </w:pPr>
      <w:r w:rsidRPr="00C9465D">
        <w:rPr>
          <w:rFonts w:ascii="Verdana" w:hAnsi="Verdana"/>
          <w:sz w:val="18"/>
          <w:szCs w:val="18"/>
          <w:lang w:val="en-US"/>
        </w:rPr>
        <w:t>Article</w:t>
      </w:r>
      <w:r w:rsidR="00B904D2" w:rsidRPr="00C9465D">
        <w:rPr>
          <w:rFonts w:ascii="Verdana" w:hAnsi="Verdana"/>
          <w:sz w:val="18"/>
          <w:szCs w:val="18"/>
          <w:lang w:val="en-US"/>
        </w:rPr>
        <w:t xml:space="preserve"> 12</w:t>
      </w:r>
      <w:r w:rsidR="004972DF" w:rsidRPr="00C9465D">
        <w:rPr>
          <w:rFonts w:ascii="Verdana" w:hAnsi="Verdana"/>
          <w:sz w:val="18"/>
          <w:szCs w:val="18"/>
          <w:lang w:val="en-US"/>
        </w:rPr>
        <w:t xml:space="preserve"> - Equal recognition before the law</w:t>
      </w:r>
    </w:p>
    <w:p w14:paraId="467E8F63" w14:textId="77777777" w:rsidR="004972DF" w:rsidRPr="00C9465D" w:rsidRDefault="004972DF" w:rsidP="000A29B2">
      <w:pPr>
        <w:shd w:val="clear" w:color="auto" w:fill="FFFFFF"/>
        <w:spacing w:line="240" w:lineRule="auto"/>
        <w:ind w:left="720" w:right="404"/>
        <w:jc w:val="both"/>
        <w:textAlignment w:val="baseline"/>
        <w:rPr>
          <w:rFonts w:ascii="Verdana" w:hAnsi="Verdana"/>
          <w:color w:val="000000"/>
          <w:sz w:val="18"/>
          <w:szCs w:val="18"/>
          <w:lang w:val="en-US"/>
        </w:rPr>
      </w:pPr>
      <w:bookmarkStart w:id="48" w:name="text"/>
      <w:bookmarkEnd w:id="48"/>
      <w:r w:rsidRPr="00C9465D">
        <w:rPr>
          <w:rFonts w:ascii="Verdana" w:hAnsi="Verdana"/>
          <w:color w:val="000000"/>
          <w:sz w:val="18"/>
          <w:szCs w:val="18"/>
          <w:lang w:val="en-US"/>
        </w:rPr>
        <w:t>1. States Parties reaffirm that persons with disabilities have the right to recognition everywhere as persons before the law.</w:t>
      </w:r>
    </w:p>
    <w:p w14:paraId="004FB624" w14:textId="77777777" w:rsidR="004972DF" w:rsidRPr="00C9465D" w:rsidRDefault="004972DF" w:rsidP="000A29B2">
      <w:pPr>
        <w:shd w:val="clear" w:color="auto" w:fill="FFFFFF"/>
        <w:spacing w:line="240" w:lineRule="auto"/>
        <w:ind w:left="720" w:right="404"/>
        <w:jc w:val="both"/>
        <w:textAlignment w:val="baseline"/>
        <w:rPr>
          <w:rFonts w:ascii="Verdana" w:hAnsi="Verdana"/>
          <w:color w:val="000000"/>
          <w:sz w:val="18"/>
          <w:szCs w:val="18"/>
          <w:lang w:val="en-US"/>
        </w:rPr>
      </w:pPr>
      <w:r w:rsidRPr="00C9465D">
        <w:rPr>
          <w:rFonts w:ascii="Verdana" w:hAnsi="Verdana"/>
          <w:color w:val="000000"/>
          <w:sz w:val="18"/>
          <w:szCs w:val="18"/>
          <w:lang w:val="en-US"/>
        </w:rPr>
        <w:t>2. States Parties shall recognize that persons with disabilities enjoy legal capacity on an equal basis with others in all aspects of life.</w:t>
      </w:r>
    </w:p>
    <w:p w14:paraId="0D0B2925" w14:textId="77777777" w:rsidR="004972DF" w:rsidRPr="00C9465D" w:rsidRDefault="004972DF" w:rsidP="000A29B2">
      <w:pPr>
        <w:shd w:val="clear" w:color="auto" w:fill="FFFFFF"/>
        <w:spacing w:line="240" w:lineRule="auto"/>
        <w:ind w:left="720" w:right="404"/>
        <w:jc w:val="both"/>
        <w:textAlignment w:val="baseline"/>
        <w:rPr>
          <w:rFonts w:ascii="Verdana" w:hAnsi="Verdana"/>
          <w:color w:val="000000"/>
          <w:sz w:val="18"/>
          <w:szCs w:val="18"/>
          <w:lang w:val="en-US"/>
        </w:rPr>
      </w:pPr>
      <w:r w:rsidRPr="00C9465D">
        <w:rPr>
          <w:rFonts w:ascii="Verdana" w:hAnsi="Verdana"/>
          <w:color w:val="000000"/>
          <w:sz w:val="18"/>
          <w:szCs w:val="18"/>
          <w:lang w:val="en-US"/>
        </w:rPr>
        <w:t>3. States Parties shall take appropriate measures to provide access by persons with disabilities to the support they may require in exercising their legal capacity.</w:t>
      </w:r>
    </w:p>
    <w:p w14:paraId="00362E6A" w14:textId="77777777" w:rsidR="004972DF" w:rsidRPr="00C9465D" w:rsidRDefault="004972DF" w:rsidP="000A29B2">
      <w:pPr>
        <w:shd w:val="clear" w:color="auto" w:fill="FFFFFF"/>
        <w:spacing w:line="240" w:lineRule="auto"/>
        <w:ind w:left="720" w:right="404"/>
        <w:jc w:val="both"/>
        <w:textAlignment w:val="baseline"/>
        <w:rPr>
          <w:rFonts w:ascii="Verdana" w:hAnsi="Verdana"/>
          <w:color w:val="000000"/>
          <w:sz w:val="18"/>
          <w:szCs w:val="18"/>
          <w:lang w:val="en-US"/>
        </w:rPr>
      </w:pPr>
      <w:r w:rsidRPr="00C9465D">
        <w:rPr>
          <w:rFonts w:ascii="Verdana" w:hAnsi="Verdana"/>
          <w:color w:val="000000"/>
          <w:sz w:val="18"/>
          <w:szCs w:val="18"/>
          <w:lang w:val="en-US"/>
        </w:rPr>
        <w:t xml:space="preserve">4. States Parties shall ensure that all measures that relate to the exercise of legal capacity provide for appropriate and effective safeguards to prevent abuse in accordance with international human rights law. Such safeguards shall ensure that measures relating to the exercise of legal capacity respect the rights, will and preferences of the person, are free of conflict of interest and undue influence, are proportional and tailored to the person’s circumstances, apply for the shortest time possible and are subject to regular review by a </w:t>
      </w:r>
      <w:r w:rsidRPr="00C9465D">
        <w:rPr>
          <w:rFonts w:ascii="Verdana" w:hAnsi="Verdana"/>
          <w:color w:val="000000"/>
          <w:sz w:val="18"/>
          <w:szCs w:val="18"/>
          <w:lang w:val="en-US"/>
        </w:rPr>
        <w:lastRenderedPageBreak/>
        <w:t>competent, independent and impartial authority or judicial body. The safeguards shall be proportional to the degree to which such measures affect the person’s rights and interests.</w:t>
      </w:r>
    </w:p>
    <w:p w14:paraId="5E7B3270" w14:textId="4E76CE9E" w:rsidR="00B904D2" w:rsidRPr="00C9465D" w:rsidRDefault="00520411" w:rsidP="00B904D2">
      <w:pPr>
        <w:spacing w:line="240" w:lineRule="auto"/>
        <w:ind w:left="708" w:right="899"/>
        <w:jc w:val="both"/>
        <w:rPr>
          <w:rFonts w:ascii="Verdana" w:hAnsi="Verdana"/>
          <w:sz w:val="18"/>
          <w:szCs w:val="18"/>
          <w:lang w:val="en-US"/>
        </w:rPr>
      </w:pPr>
      <w:r w:rsidRPr="00C9465D">
        <w:rPr>
          <w:rFonts w:ascii="Verdana" w:hAnsi="Verdana"/>
          <w:sz w:val="18"/>
          <w:szCs w:val="18"/>
          <w:lang w:val="en-US"/>
        </w:rPr>
        <w:t>[…]</w:t>
      </w:r>
    </w:p>
    <w:p w14:paraId="35CDEBB0" w14:textId="600276A1" w:rsidR="008401D2" w:rsidRPr="00C9465D" w:rsidRDefault="004972DF" w:rsidP="001902D2">
      <w:pPr>
        <w:pStyle w:val="Numberedparagraphs"/>
        <w:rPr>
          <w:rFonts w:cs="Verdana"/>
          <w:lang w:val="en-US" w:bidi="en-US"/>
        </w:rPr>
      </w:pPr>
      <w:r w:rsidRPr="00C9465D">
        <w:rPr>
          <w:lang w:val="en-US"/>
        </w:rPr>
        <w:t>On this point</w:t>
      </w:r>
      <w:r w:rsidR="008401D2" w:rsidRPr="00C9465D">
        <w:rPr>
          <w:lang w:val="en-US"/>
        </w:rPr>
        <w:t xml:space="preserve">, </w:t>
      </w:r>
      <w:r w:rsidRPr="00C9465D">
        <w:rPr>
          <w:lang w:val="en-US"/>
        </w:rPr>
        <w:t>the</w:t>
      </w:r>
      <w:r w:rsidR="008401D2" w:rsidRPr="00C9465D">
        <w:rPr>
          <w:lang w:val="en-US"/>
        </w:rPr>
        <w:t xml:space="preserve"> </w:t>
      </w:r>
      <w:r w:rsidR="00813093" w:rsidRPr="00C9465D">
        <w:rPr>
          <w:lang w:val="en-US"/>
        </w:rPr>
        <w:t>Committee on the Rights of Persons with Disabilities</w:t>
      </w:r>
      <w:r w:rsidR="008401D2" w:rsidRPr="00C9465D">
        <w:rPr>
          <w:lang w:val="en-US"/>
        </w:rPr>
        <w:t xml:space="preserve"> ha</w:t>
      </w:r>
      <w:r w:rsidRPr="00C9465D">
        <w:rPr>
          <w:lang w:val="en-US"/>
        </w:rPr>
        <w:t>s indicated that</w:t>
      </w:r>
      <w:r w:rsidR="008401D2" w:rsidRPr="00C9465D">
        <w:rPr>
          <w:lang w:val="en-US"/>
        </w:rPr>
        <w:t xml:space="preserve"> </w:t>
      </w:r>
      <w:r w:rsidR="008401D2" w:rsidRPr="00C9465D">
        <w:rPr>
          <w:rFonts w:cs="Verdana"/>
          <w:lang w:val="en-US" w:bidi="en-US"/>
        </w:rPr>
        <w:t>“</w:t>
      </w:r>
      <w:r w:rsidR="001902D2" w:rsidRPr="00C9465D">
        <w:rPr>
          <w:lang w:val="en-US"/>
        </w:rPr>
        <w:t xml:space="preserve">[t]he denial of the legal capacity of persons with disabilities and their detention in institutions against their will, either without their consent or with the consent of a substitute decision-maker, is an ongoing problem,” which constitutes a violation of the right to </w:t>
      </w:r>
      <w:r w:rsidR="00883A59" w:rsidRPr="00C9465D">
        <w:rPr>
          <w:lang w:val="en-US"/>
        </w:rPr>
        <w:t>juridical</w:t>
      </w:r>
      <w:r w:rsidR="001902D2" w:rsidRPr="00C9465D">
        <w:rPr>
          <w:lang w:val="en-US"/>
        </w:rPr>
        <w:t xml:space="preserve"> personality</w:t>
      </w:r>
      <w:r w:rsidR="008401D2" w:rsidRPr="00C9465D">
        <w:rPr>
          <w:rFonts w:cs="Verdana"/>
          <w:lang w:val="en-US" w:bidi="en-US"/>
        </w:rPr>
        <w:t xml:space="preserve">, </w:t>
      </w:r>
      <w:r w:rsidR="00D12C0E" w:rsidRPr="00C9465D">
        <w:rPr>
          <w:rFonts w:cs="Verdana"/>
          <w:lang w:val="en-US" w:bidi="en-US"/>
        </w:rPr>
        <w:t>personal liberty</w:t>
      </w:r>
      <w:r w:rsidR="00193CBB" w:rsidRPr="00C9465D">
        <w:rPr>
          <w:rFonts w:cs="Verdana"/>
          <w:lang w:val="en-US" w:bidi="en-US"/>
        </w:rPr>
        <w:t xml:space="preserve"> and </w:t>
      </w:r>
      <w:r w:rsidR="00260D95" w:rsidRPr="00C9465D">
        <w:rPr>
          <w:rFonts w:cs="Verdana"/>
          <w:lang w:val="en-US" w:bidi="en-US"/>
        </w:rPr>
        <w:t>the right to health</w:t>
      </w:r>
      <w:r w:rsidR="001902D2" w:rsidRPr="00C9465D">
        <w:rPr>
          <w:rFonts w:cs="Verdana"/>
          <w:lang w:val="en-US" w:bidi="en-US"/>
        </w:rPr>
        <w:t>.</w:t>
      </w:r>
      <w:r w:rsidR="008401D2" w:rsidRPr="00C9465D">
        <w:rPr>
          <w:rStyle w:val="FootnoteReference"/>
          <w:lang w:val="en-US"/>
        </w:rPr>
        <w:footnoteReference w:id="211"/>
      </w:r>
      <w:r w:rsidR="008401D2" w:rsidRPr="00C9465D">
        <w:rPr>
          <w:lang w:val="en-US"/>
        </w:rPr>
        <w:t xml:space="preserve"> </w:t>
      </w:r>
    </w:p>
    <w:p w14:paraId="374AE0E8" w14:textId="61E965FC" w:rsidR="00B904D2" w:rsidRPr="00C9465D" w:rsidRDefault="001902D2" w:rsidP="001902D2">
      <w:pPr>
        <w:pStyle w:val="Numberedparagraphs"/>
        <w:rPr>
          <w:lang w:val="en-US" w:bidi="en-US"/>
        </w:rPr>
      </w:pPr>
      <w:r w:rsidRPr="00C9465D">
        <w:rPr>
          <w:lang w:val="en-US" w:bidi="en-US"/>
        </w:rPr>
        <w:t>Thus, the</w:t>
      </w:r>
      <w:r w:rsidR="00B904D2" w:rsidRPr="00C9465D">
        <w:rPr>
          <w:lang w:val="en-US" w:bidi="en-US"/>
        </w:rPr>
        <w:t xml:space="preserve"> </w:t>
      </w:r>
      <w:r w:rsidR="00D12C0E" w:rsidRPr="00C9465D">
        <w:rPr>
          <w:lang w:val="en-US" w:bidi="en-US"/>
        </w:rPr>
        <w:t xml:space="preserve">recognition of </w:t>
      </w:r>
      <w:r w:rsidR="00883A59" w:rsidRPr="00C9465D">
        <w:rPr>
          <w:lang w:val="en-US" w:bidi="en-US"/>
        </w:rPr>
        <w:t xml:space="preserve">the </w:t>
      </w:r>
      <w:r w:rsidR="00D12C0E" w:rsidRPr="00C9465D">
        <w:rPr>
          <w:lang w:val="en-US" w:bidi="en-US"/>
        </w:rPr>
        <w:t>juridical personality</w:t>
      </w:r>
      <w:r w:rsidR="00B904D2" w:rsidRPr="00C9465D">
        <w:rPr>
          <w:lang w:val="en-US" w:bidi="en-US"/>
        </w:rPr>
        <w:t xml:space="preserve"> </w:t>
      </w:r>
      <w:r w:rsidRPr="00C9465D">
        <w:rPr>
          <w:lang w:val="en-US" w:bidi="en-US"/>
        </w:rPr>
        <w:t>of</w:t>
      </w:r>
      <w:r w:rsidR="00B904D2" w:rsidRPr="00C9465D">
        <w:rPr>
          <w:lang w:val="en-US" w:bidi="en-US"/>
        </w:rPr>
        <w:t xml:space="preserve"> </w:t>
      </w:r>
      <w:r w:rsidR="00D85850" w:rsidRPr="00C9465D">
        <w:rPr>
          <w:lang w:val="en-US" w:bidi="en-US"/>
        </w:rPr>
        <w:t>persons with disabilities</w:t>
      </w:r>
      <w:r w:rsidR="00B904D2" w:rsidRPr="00C9465D">
        <w:rPr>
          <w:lang w:val="en-US" w:bidi="en-US"/>
        </w:rPr>
        <w:t xml:space="preserve"> </w:t>
      </w:r>
      <w:r w:rsidRPr="00C9465D">
        <w:rPr>
          <w:lang w:val="en-US" w:bidi="en-US"/>
        </w:rPr>
        <w:t>signifies not denying their legal capacity and providing access to the support they may need to take decisions with legal effects.</w:t>
      </w:r>
      <w:r w:rsidR="00B904D2" w:rsidRPr="00C9465D">
        <w:rPr>
          <w:rStyle w:val="FootnoteReference"/>
          <w:lang w:val="en-US"/>
        </w:rPr>
        <w:footnoteReference w:id="212"/>
      </w:r>
      <w:r w:rsidRPr="00C9465D">
        <w:rPr>
          <w:lang w:val="en-US"/>
        </w:rPr>
        <w:t xml:space="preserve"> The “human rights-based model of disability implies a shift from the substitute decision-making paradigm to one that is based on supported decision-making.</w:t>
      </w:r>
      <w:r w:rsidR="00B904D2" w:rsidRPr="00C9465D">
        <w:rPr>
          <w:lang w:val="en-US"/>
        </w:rPr>
        <w:t>”</w:t>
      </w:r>
      <w:r w:rsidR="00B904D2" w:rsidRPr="00C9465D">
        <w:rPr>
          <w:rStyle w:val="FootnoteReference"/>
          <w:lang w:val="en-US"/>
        </w:rPr>
        <w:footnoteReference w:id="213"/>
      </w:r>
      <w:r w:rsidR="00B904D2" w:rsidRPr="00C9465D">
        <w:rPr>
          <w:lang w:val="en-US"/>
        </w:rPr>
        <w:t xml:space="preserve"> </w:t>
      </w:r>
    </w:p>
    <w:p w14:paraId="6A9B438F" w14:textId="3E8A4E5D" w:rsidR="008401D2" w:rsidRPr="00C9465D" w:rsidRDefault="001902D2" w:rsidP="008401D2">
      <w:pPr>
        <w:pStyle w:val="Numberedparagraphs"/>
        <w:rPr>
          <w:lang w:val="en-US"/>
        </w:rPr>
      </w:pPr>
      <w:r w:rsidRPr="00C9465D">
        <w:rPr>
          <w:rFonts w:cs="Verdana"/>
          <w:lang w:val="en-US" w:bidi="en-US"/>
        </w:rPr>
        <w:t xml:space="preserve">Legal capacity acquires particular importance for </w:t>
      </w:r>
      <w:r w:rsidR="00D85850" w:rsidRPr="00C9465D">
        <w:rPr>
          <w:lang w:val="en-US"/>
        </w:rPr>
        <w:t>persons with disabilities</w:t>
      </w:r>
      <w:r w:rsidR="008401D2" w:rsidRPr="00C9465D">
        <w:rPr>
          <w:lang w:val="en-US"/>
        </w:rPr>
        <w:t xml:space="preserve"> </w:t>
      </w:r>
      <w:r w:rsidRPr="00C9465D">
        <w:rPr>
          <w:lang w:val="en-US"/>
        </w:rPr>
        <w:t>when they have to take important decisions with regard to their</w:t>
      </w:r>
      <w:r w:rsidR="008401D2" w:rsidRPr="00C9465D">
        <w:rPr>
          <w:lang w:val="en-US"/>
        </w:rPr>
        <w:t xml:space="preserve"> </w:t>
      </w:r>
      <w:r w:rsidR="00D12C0E" w:rsidRPr="00C9465D">
        <w:rPr>
          <w:lang w:val="en-US"/>
        </w:rPr>
        <w:t>health</w:t>
      </w:r>
      <w:r w:rsidRPr="00C9465D">
        <w:rPr>
          <w:lang w:val="en-US"/>
        </w:rPr>
        <w:t>.</w:t>
      </w:r>
      <w:r w:rsidR="008401D2" w:rsidRPr="00C9465D">
        <w:rPr>
          <w:rStyle w:val="FootnoteReference"/>
          <w:lang w:val="en-US"/>
        </w:rPr>
        <w:footnoteReference w:id="214"/>
      </w:r>
      <w:r w:rsidRPr="00C9465D">
        <w:rPr>
          <w:lang w:val="en-US"/>
        </w:rPr>
        <w:t xml:space="preserve"> Moreover, subjecting a person with disabilities </w:t>
      </w:r>
      <w:r w:rsidR="002F1A54" w:rsidRPr="00C9465D">
        <w:rPr>
          <w:lang w:val="en-US"/>
        </w:rPr>
        <w:t>to a health-related treatment</w:t>
      </w:r>
      <w:r w:rsidR="008401D2" w:rsidRPr="00C9465D">
        <w:rPr>
          <w:lang w:val="en-US"/>
        </w:rPr>
        <w:t xml:space="preserve"> </w:t>
      </w:r>
      <w:r w:rsidR="002F1A54" w:rsidRPr="00C9465D">
        <w:rPr>
          <w:lang w:val="en-US"/>
        </w:rPr>
        <w:t xml:space="preserve">without their </w:t>
      </w:r>
      <w:r w:rsidR="005B7EE9" w:rsidRPr="00C9465D">
        <w:rPr>
          <w:lang w:val="en-US"/>
        </w:rPr>
        <w:t>informed consent</w:t>
      </w:r>
      <w:r w:rsidR="008401D2" w:rsidRPr="00C9465D">
        <w:rPr>
          <w:lang w:val="en-US"/>
        </w:rPr>
        <w:t xml:space="preserve"> </w:t>
      </w:r>
      <w:r w:rsidR="002F1A54" w:rsidRPr="00C9465D">
        <w:rPr>
          <w:lang w:val="en-US"/>
        </w:rPr>
        <w:t>may constitute a denial of their juridical personality.</w:t>
      </w:r>
      <w:r w:rsidR="008401D2" w:rsidRPr="00C9465D">
        <w:rPr>
          <w:rStyle w:val="FootnoteReference"/>
          <w:lang w:val="en-US"/>
        </w:rPr>
        <w:footnoteReference w:id="215"/>
      </w:r>
      <w:r w:rsidR="008401D2" w:rsidRPr="00C9465D">
        <w:rPr>
          <w:lang w:val="en-US"/>
        </w:rPr>
        <w:t xml:space="preserve"> </w:t>
      </w:r>
    </w:p>
    <w:p w14:paraId="4F21F696" w14:textId="77B6B52A" w:rsidR="000E193E" w:rsidRPr="00C9465D" w:rsidRDefault="002F1A54" w:rsidP="002F1A54">
      <w:pPr>
        <w:pStyle w:val="Numberedparagraphs"/>
        <w:rPr>
          <w:lang w:val="en-US" w:bidi="en-US"/>
        </w:rPr>
      </w:pPr>
      <w:r w:rsidRPr="00C9465D">
        <w:rPr>
          <w:lang w:val="en-US" w:bidi="en-US"/>
        </w:rPr>
        <w:t>The patient’s i</w:t>
      </w:r>
      <w:r w:rsidR="00183C22" w:rsidRPr="00C9465D">
        <w:rPr>
          <w:lang w:val="en-US" w:bidi="en-US"/>
        </w:rPr>
        <w:t>nformed consent</w:t>
      </w:r>
      <w:r w:rsidR="000E193E" w:rsidRPr="00C9465D">
        <w:rPr>
          <w:lang w:val="en-US" w:bidi="en-US"/>
        </w:rPr>
        <w:t xml:space="preserve"> </w:t>
      </w:r>
      <w:r w:rsidRPr="00C9465D">
        <w:rPr>
          <w:lang w:val="en-US" w:bidi="en-US"/>
        </w:rPr>
        <w:t xml:space="preserve">is a condition </w:t>
      </w:r>
      <w:r w:rsidR="000E193E" w:rsidRPr="00C9465D">
        <w:rPr>
          <w:i/>
          <w:lang w:val="en-US" w:bidi="en-US"/>
        </w:rPr>
        <w:t>sine qua non</w:t>
      </w:r>
      <w:r w:rsidR="000E193E" w:rsidRPr="00C9465D">
        <w:rPr>
          <w:lang w:val="en-US" w:bidi="en-US"/>
        </w:rPr>
        <w:t xml:space="preserve"> </w:t>
      </w:r>
      <w:r w:rsidRPr="00C9465D">
        <w:rPr>
          <w:lang w:val="en-US" w:bidi="en-US"/>
        </w:rPr>
        <w:t>for medical practice, and is based on respect for the patient’s autonomy and liberty to take his or her own decisions in keeping with the life project. In other words, informed consent ensures the practical effect of the norm that recognizes autonomy as an essential element of the dignity of the individual.</w:t>
      </w:r>
      <w:r w:rsidR="000E193E" w:rsidRPr="00C9465D">
        <w:rPr>
          <w:rStyle w:val="FootnoteReference"/>
          <w:bCs/>
          <w:lang w:val="en-US" w:bidi="en-US"/>
        </w:rPr>
        <w:footnoteReference w:id="216"/>
      </w:r>
    </w:p>
    <w:p w14:paraId="01781D22" w14:textId="32CDAE29" w:rsidR="008401D2" w:rsidRPr="00C9465D" w:rsidRDefault="002F1A54" w:rsidP="002F1A54">
      <w:pPr>
        <w:pStyle w:val="Numberedparagraphs"/>
        <w:rPr>
          <w:rFonts w:eastAsia="Calibri"/>
          <w:b/>
          <w:i/>
          <w:lang w:val="en-US"/>
        </w:rPr>
      </w:pPr>
      <w:r w:rsidRPr="00C9465D">
        <w:rPr>
          <w:lang w:val="en-US"/>
        </w:rPr>
        <w:t xml:space="preserve">States have the international obligation to ensure that </w:t>
      </w:r>
      <w:r w:rsidR="00183C22" w:rsidRPr="00C9465D">
        <w:rPr>
          <w:lang w:val="en-US"/>
        </w:rPr>
        <w:t>informed consent</w:t>
      </w:r>
      <w:r w:rsidR="008401D2" w:rsidRPr="00C9465D">
        <w:rPr>
          <w:lang w:val="en-US"/>
        </w:rPr>
        <w:t xml:space="preserve"> </w:t>
      </w:r>
      <w:r w:rsidRPr="00C9465D">
        <w:rPr>
          <w:lang w:val="en-US"/>
        </w:rPr>
        <w:t xml:space="preserve">is obtained before any medical act is performed because this </w:t>
      </w:r>
      <w:r w:rsidR="00883A59" w:rsidRPr="00C9465D">
        <w:rPr>
          <w:lang w:val="en-US"/>
        </w:rPr>
        <w:t>is founded</w:t>
      </w:r>
      <w:r w:rsidRPr="00C9465D">
        <w:rPr>
          <w:lang w:val="en-US"/>
        </w:rPr>
        <w:t xml:space="preserve">, above all, on </w:t>
      </w:r>
      <w:r w:rsidR="00883A59" w:rsidRPr="00C9465D">
        <w:rPr>
          <w:lang w:val="en-US"/>
        </w:rPr>
        <w:t xml:space="preserve">the </w:t>
      </w:r>
      <w:r w:rsidRPr="00C9465D">
        <w:rPr>
          <w:lang w:val="en-US"/>
        </w:rPr>
        <w:t xml:space="preserve">self-determination </w:t>
      </w:r>
      <w:r w:rsidR="00883A59" w:rsidRPr="00C9465D">
        <w:rPr>
          <w:lang w:val="en-US"/>
        </w:rPr>
        <w:t xml:space="preserve">and autonomy </w:t>
      </w:r>
      <w:r w:rsidRPr="00C9465D">
        <w:rPr>
          <w:lang w:val="en-US"/>
        </w:rPr>
        <w:t>of the individual as part of the respect and guarantee of the dignity of every human being, as well as their right to liberty.</w:t>
      </w:r>
      <w:r w:rsidR="008401D2" w:rsidRPr="00C9465D">
        <w:rPr>
          <w:rStyle w:val="FootnoteReference"/>
          <w:lang w:val="en-US"/>
        </w:rPr>
        <w:footnoteReference w:id="217"/>
      </w:r>
      <w:r w:rsidR="008401D2" w:rsidRPr="00C9465D">
        <w:rPr>
          <w:lang w:val="en-US"/>
        </w:rPr>
        <w:t xml:space="preserve"> </w:t>
      </w:r>
      <w:r w:rsidR="00183C22" w:rsidRPr="00C9465D">
        <w:rPr>
          <w:lang w:val="en-US"/>
        </w:rPr>
        <w:t>Informed consent</w:t>
      </w:r>
      <w:r w:rsidR="008401D2" w:rsidRPr="00C9465D">
        <w:rPr>
          <w:lang w:val="en-US"/>
        </w:rPr>
        <w:t xml:space="preserve"> </w:t>
      </w:r>
      <w:r w:rsidR="008401D2" w:rsidRPr="00C9465D">
        <w:rPr>
          <w:rFonts w:eastAsia="Calibri"/>
          <w:lang w:val="en-US"/>
        </w:rPr>
        <w:t>consist</w:t>
      </w:r>
      <w:r w:rsidRPr="00C9465D">
        <w:rPr>
          <w:rFonts w:eastAsia="Calibri"/>
          <w:lang w:val="en-US"/>
        </w:rPr>
        <w:t>s</w:t>
      </w:r>
      <w:r w:rsidR="008401D2" w:rsidRPr="00C9465D">
        <w:rPr>
          <w:rFonts w:eastAsia="Calibri"/>
          <w:lang w:val="en-US"/>
        </w:rPr>
        <w:t xml:space="preserve"> “</w:t>
      </w:r>
      <w:r w:rsidRPr="00C9465D">
        <w:rPr>
          <w:rFonts w:eastAsia="Calibri"/>
          <w:lang w:val="en-US"/>
        </w:rPr>
        <w:t xml:space="preserve">in a prior decision to accept, or to submit to, a medical act in the broadest sense, obtained freely – </w:t>
      </w:r>
      <w:r w:rsidR="00883A59" w:rsidRPr="00C9465D">
        <w:rPr>
          <w:rFonts w:eastAsia="Calibri"/>
          <w:lang w:val="en-US"/>
        </w:rPr>
        <w:t>that is</w:t>
      </w:r>
      <w:r w:rsidRPr="00C9465D">
        <w:rPr>
          <w:rFonts w:eastAsia="Calibri"/>
          <w:lang w:val="en-US"/>
        </w:rPr>
        <w:t>, without threats or coercion, undue incentives or inducement – and after having obtained adequate, complete, reliable, comprehensible and accessible information, provided that this information has truly been understood, which will permit the individual to give full consent.</w:t>
      </w:r>
      <w:r w:rsidR="008401D2" w:rsidRPr="00C9465D">
        <w:rPr>
          <w:rFonts w:eastAsia="Calibri"/>
          <w:lang w:val="en-US"/>
        </w:rPr>
        <w:t xml:space="preserve">” </w:t>
      </w:r>
      <w:r w:rsidRPr="00C9465D">
        <w:rPr>
          <w:rFonts w:eastAsia="Calibri"/>
          <w:lang w:val="en-US"/>
        </w:rPr>
        <w:t>This rule not only consists in an act of acceptance, but also in the result of a process in which the following elements must be complied with in order that it be considered valid; namely, that the consent is prior, free, full and informed.</w:t>
      </w:r>
      <w:r w:rsidR="008401D2" w:rsidRPr="00C9465D">
        <w:rPr>
          <w:rFonts w:eastAsia="Calibri"/>
          <w:vertAlign w:val="superscript"/>
          <w:lang w:val="en-US"/>
        </w:rPr>
        <w:footnoteReference w:id="218"/>
      </w:r>
      <w:r w:rsidRPr="00C9465D">
        <w:rPr>
          <w:rFonts w:eastAsia="Calibri"/>
          <w:lang w:val="en-US"/>
        </w:rPr>
        <w:t xml:space="preserve"> Therefore, </w:t>
      </w:r>
      <w:r w:rsidRPr="00C9465D">
        <w:rPr>
          <w:lang w:val="en-US"/>
        </w:rPr>
        <w:t>at the very least, health care providers should offer the following information</w:t>
      </w:r>
      <w:r w:rsidRPr="00C9465D">
        <w:rPr>
          <w:rFonts w:eastAsia="Calibri"/>
          <w:lang w:val="en-US"/>
        </w:rPr>
        <w:t xml:space="preserve">: (i) </w:t>
      </w:r>
      <w:r w:rsidRPr="00C9465D">
        <w:rPr>
          <w:lang w:val="en-US"/>
        </w:rPr>
        <w:t xml:space="preserve">an evaluation of the diagnosis; (ii) the purpose, method, probable duration, and expected benefits and risks of the proposed treatment; (iii) the possible adverse effects of the proposed treatment; (iv) treatment </w:t>
      </w:r>
      <w:r w:rsidRPr="00C9465D">
        <w:rPr>
          <w:lang w:val="en-US"/>
        </w:rPr>
        <w:lastRenderedPageBreak/>
        <w:t>alternatives, including those that are less invasive, together with the possible pain or discomfort, risks, benefits and secondary effects of the alternative treatments proposed; (v) the consequences of the treatment, and (vi) what may occur before, during and after the treatment.</w:t>
      </w:r>
      <w:r w:rsidR="008401D2" w:rsidRPr="00C9465D">
        <w:rPr>
          <w:rFonts w:eastAsia="Calibri"/>
          <w:vertAlign w:val="superscript"/>
          <w:lang w:val="en-US"/>
        </w:rPr>
        <w:footnoteReference w:id="219"/>
      </w:r>
    </w:p>
    <w:p w14:paraId="0E93E25C" w14:textId="09055CA6" w:rsidR="00936EAB" w:rsidRPr="00C9465D" w:rsidRDefault="002D34C3" w:rsidP="002D34C3">
      <w:pPr>
        <w:pStyle w:val="Numberedparagraphs"/>
        <w:rPr>
          <w:b/>
          <w:i/>
          <w:lang w:val="en-US"/>
        </w:rPr>
      </w:pPr>
      <w:r w:rsidRPr="00C9465D">
        <w:rPr>
          <w:lang w:val="en-US"/>
        </w:rPr>
        <w:t>As a general rule, consent is personal because it must be provided by the person who will submit to the procedure.</w:t>
      </w:r>
      <w:r w:rsidR="00936EAB" w:rsidRPr="00C9465D">
        <w:rPr>
          <w:vertAlign w:val="superscript"/>
          <w:lang w:val="en-US"/>
        </w:rPr>
        <w:footnoteReference w:id="220"/>
      </w:r>
      <w:r w:rsidR="00936EAB" w:rsidRPr="00C9465D">
        <w:rPr>
          <w:lang w:val="en-US"/>
        </w:rPr>
        <w:t xml:space="preserve"> </w:t>
      </w:r>
      <w:r w:rsidR="00B71E4D" w:rsidRPr="00C9465D">
        <w:rPr>
          <w:lang w:val="en-US"/>
        </w:rPr>
        <w:t>Th</w:t>
      </w:r>
      <w:r w:rsidRPr="00C9465D">
        <w:rPr>
          <w:lang w:val="en-US"/>
        </w:rPr>
        <w:t>e</w:t>
      </w:r>
      <w:r w:rsidR="00B71E4D" w:rsidRPr="00C9465D">
        <w:rPr>
          <w:lang w:val="en-US"/>
        </w:rPr>
        <w:t xml:space="preserve"> Court</w:t>
      </w:r>
      <w:r w:rsidRPr="00C9465D">
        <w:rPr>
          <w:lang w:val="en-US"/>
        </w:rPr>
        <w:t xml:space="preserve"> emphasizes that real or perceived disabilit</w:t>
      </w:r>
      <w:r w:rsidR="00883A59" w:rsidRPr="00C9465D">
        <w:rPr>
          <w:lang w:val="en-US"/>
        </w:rPr>
        <w:t>y</w:t>
      </w:r>
      <w:r w:rsidRPr="00C9465D">
        <w:rPr>
          <w:lang w:val="en-US"/>
        </w:rPr>
        <w:t xml:space="preserve"> should not be understood as the in</w:t>
      </w:r>
      <w:r w:rsidR="00883A59" w:rsidRPr="00C9465D">
        <w:rPr>
          <w:lang w:val="en-US"/>
        </w:rPr>
        <w:t>capacity</w:t>
      </w:r>
      <w:r w:rsidRPr="00C9465D">
        <w:rPr>
          <w:lang w:val="en-US"/>
        </w:rPr>
        <w:t xml:space="preserve"> to take decisions and it should be presumed that persons with disabilities are capable of expressing their will, which should be respected by medical personnel and authorities.</w:t>
      </w:r>
      <w:r w:rsidR="00936EAB" w:rsidRPr="00C9465D">
        <w:rPr>
          <w:rStyle w:val="FootnoteReference"/>
          <w:lang w:val="en-US"/>
        </w:rPr>
        <w:footnoteReference w:id="221"/>
      </w:r>
      <w:r w:rsidRPr="00C9465D">
        <w:rPr>
          <w:lang w:val="en-US"/>
        </w:rPr>
        <w:t xml:space="preserve"> Indeed, a patient’s disabilit</w:t>
      </w:r>
      <w:r w:rsidR="000A29B2" w:rsidRPr="00C9465D">
        <w:rPr>
          <w:lang w:val="en-US"/>
        </w:rPr>
        <w:t>y</w:t>
      </w:r>
      <w:r w:rsidRPr="00C9465D">
        <w:rPr>
          <w:lang w:val="en-US"/>
        </w:rPr>
        <w:t xml:space="preserve"> should not be used as a justification for not requesting their consent and resorting to </w:t>
      </w:r>
      <w:r w:rsidR="000A29B2" w:rsidRPr="00C9465D">
        <w:rPr>
          <w:lang w:val="en-US"/>
        </w:rPr>
        <w:t xml:space="preserve">substitute-based </w:t>
      </w:r>
      <w:r w:rsidRPr="00C9465D">
        <w:rPr>
          <w:lang w:val="en-US"/>
        </w:rPr>
        <w:t>consent</w:t>
      </w:r>
      <w:r w:rsidR="00936EAB" w:rsidRPr="00C9465D">
        <w:rPr>
          <w:lang w:val="en-US"/>
        </w:rPr>
        <w:t>.</w:t>
      </w:r>
    </w:p>
    <w:p w14:paraId="7B976E4B" w14:textId="3469D2E5" w:rsidR="007E16AE" w:rsidRPr="00C9465D" w:rsidRDefault="002D34C3" w:rsidP="001C7A57">
      <w:pPr>
        <w:pStyle w:val="Numberedparagraphs"/>
        <w:rPr>
          <w:b/>
          <w:i/>
          <w:lang w:val="en-US"/>
        </w:rPr>
      </w:pPr>
      <w:r w:rsidRPr="00C9465D">
        <w:rPr>
          <w:lang w:val="en-US"/>
        </w:rPr>
        <w:t>When treating persons with disabilities, medical personnel must examine the</w:t>
      </w:r>
      <w:r w:rsidR="000A29B2" w:rsidRPr="00C9465D">
        <w:rPr>
          <w:lang w:val="en-US"/>
        </w:rPr>
        <w:t xml:space="preserve">ir </w:t>
      </w:r>
      <w:r w:rsidRPr="00C9465D">
        <w:rPr>
          <w:lang w:val="en-US"/>
        </w:rPr>
        <w:t xml:space="preserve">actual condition and provide the necessary support for them to take their own </w:t>
      </w:r>
      <w:r w:rsidR="009F3A60" w:rsidRPr="00C9465D">
        <w:rPr>
          <w:lang w:val="en-US"/>
        </w:rPr>
        <w:t>i</w:t>
      </w:r>
      <w:r w:rsidRPr="00C9465D">
        <w:rPr>
          <w:lang w:val="en-US"/>
        </w:rPr>
        <w:t>nformed decision.</w:t>
      </w:r>
      <w:r w:rsidR="007E16AE" w:rsidRPr="00C9465D">
        <w:rPr>
          <w:rStyle w:val="FootnoteReference"/>
          <w:rFonts w:eastAsia="Calibri"/>
          <w:lang w:val="en-US"/>
        </w:rPr>
        <w:footnoteReference w:id="222"/>
      </w:r>
      <w:r w:rsidR="007E16AE" w:rsidRPr="00C9465D">
        <w:rPr>
          <w:lang w:val="en-US"/>
        </w:rPr>
        <w:t xml:space="preserve"> </w:t>
      </w:r>
      <w:r w:rsidR="009F3A60" w:rsidRPr="00C9465D">
        <w:rPr>
          <w:lang w:val="en-US"/>
        </w:rPr>
        <w:t xml:space="preserve">This obligation is expressly included in the </w:t>
      </w:r>
      <w:r w:rsidR="00593C0F" w:rsidRPr="00C9465D">
        <w:rPr>
          <w:lang w:val="en-US"/>
        </w:rPr>
        <w:t>CRPD</w:t>
      </w:r>
      <w:r w:rsidR="009F3A60" w:rsidRPr="00C9465D">
        <w:rPr>
          <w:lang w:val="en-US"/>
        </w:rPr>
        <w:t>,</w:t>
      </w:r>
      <w:r w:rsidR="007E16AE" w:rsidRPr="00C9465D">
        <w:rPr>
          <w:rStyle w:val="FootnoteReference"/>
          <w:rFonts w:eastAsia="Calibri"/>
          <w:lang w:val="en-US"/>
        </w:rPr>
        <w:footnoteReference w:id="223"/>
      </w:r>
      <w:r w:rsidR="007E16AE" w:rsidRPr="00C9465D">
        <w:rPr>
          <w:lang w:val="en-US"/>
        </w:rPr>
        <w:t xml:space="preserve"> </w:t>
      </w:r>
      <w:r w:rsidR="009F3A60" w:rsidRPr="00C9465D">
        <w:rPr>
          <w:lang w:val="en-US"/>
        </w:rPr>
        <w:t xml:space="preserve">but also emanates from the obligations contained in </w:t>
      </w:r>
      <w:r w:rsidR="00193CBB" w:rsidRPr="00C9465D">
        <w:rPr>
          <w:lang w:val="en-US"/>
        </w:rPr>
        <w:t>the American Convention</w:t>
      </w:r>
      <w:r w:rsidR="007E16AE" w:rsidRPr="00C9465D">
        <w:rPr>
          <w:lang w:val="en-US"/>
        </w:rPr>
        <w:t>, inclu</w:t>
      </w:r>
      <w:r w:rsidR="009F3A60" w:rsidRPr="00C9465D">
        <w:rPr>
          <w:lang w:val="en-US"/>
        </w:rPr>
        <w:t>ding the obligation not to discriminate against anyone owing to their disabilit</w:t>
      </w:r>
      <w:r w:rsidR="000A29B2" w:rsidRPr="00C9465D">
        <w:rPr>
          <w:lang w:val="en-US"/>
        </w:rPr>
        <w:t>y</w:t>
      </w:r>
      <w:r w:rsidR="009F3A60" w:rsidRPr="00C9465D">
        <w:rPr>
          <w:lang w:val="en-US"/>
        </w:rPr>
        <w:t>, established in</w:t>
      </w:r>
      <w:r w:rsidR="007E16AE" w:rsidRPr="00C9465D">
        <w:rPr>
          <w:lang w:val="en-US"/>
        </w:rPr>
        <w:t xml:space="preserve"> </w:t>
      </w:r>
      <w:r w:rsidR="00577DE0" w:rsidRPr="00C9465D">
        <w:rPr>
          <w:lang w:val="en-US"/>
        </w:rPr>
        <w:t>Article 1(1)</w:t>
      </w:r>
      <w:r w:rsidR="00193CBB" w:rsidRPr="00C9465D">
        <w:rPr>
          <w:lang w:val="en-US"/>
        </w:rPr>
        <w:t xml:space="preserve"> of the Convention</w:t>
      </w:r>
      <w:r w:rsidR="007E16AE" w:rsidRPr="00C9465D">
        <w:rPr>
          <w:lang w:val="en-US"/>
        </w:rPr>
        <w:t xml:space="preserve"> (</w:t>
      </w:r>
      <w:r w:rsidR="007E16AE" w:rsidRPr="00C9465D">
        <w:rPr>
          <w:i/>
          <w:lang w:val="en-US"/>
        </w:rPr>
        <w:t xml:space="preserve">supra </w:t>
      </w:r>
      <w:r w:rsidR="00D8466F" w:rsidRPr="00C9465D">
        <w:rPr>
          <w:lang w:val="en-US"/>
        </w:rPr>
        <w:t>para.</w:t>
      </w:r>
      <w:r w:rsidR="007E16AE" w:rsidRPr="00C9465D">
        <w:rPr>
          <w:lang w:val="en-US"/>
        </w:rPr>
        <w:t xml:space="preserve"> </w:t>
      </w:r>
      <w:r w:rsidR="0020567B" w:rsidRPr="00C9465D">
        <w:rPr>
          <w:lang w:val="en-US"/>
        </w:rPr>
        <w:fldChar w:fldCharType="begin"/>
      </w:r>
      <w:r w:rsidR="0020567B" w:rsidRPr="00C9465D">
        <w:rPr>
          <w:lang w:val="en-US"/>
        </w:rPr>
        <w:instrText xml:space="preserve"> REF _Ref72158792 \r \h </w:instrText>
      </w:r>
      <w:r w:rsidR="00496133" w:rsidRPr="00C9465D">
        <w:rPr>
          <w:lang w:val="en-US"/>
        </w:rPr>
        <w:instrText xml:space="preserve"> \* MERGEFORMAT </w:instrText>
      </w:r>
      <w:r w:rsidR="0020567B" w:rsidRPr="00C9465D">
        <w:rPr>
          <w:lang w:val="en-US"/>
        </w:rPr>
      </w:r>
      <w:r w:rsidR="0020567B" w:rsidRPr="00C9465D">
        <w:rPr>
          <w:lang w:val="en-US"/>
        </w:rPr>
        <w:fldChar w:fldCharType="separate"/>
      </w:r>
      <w:r w:rsidR="006069D7" w:rsidRPr="00C9465D">
        <w:rPr>
          <w:lang w:val="en-US"/>
        </w:rPr>
        <w:t>79</w:t>
      </w:r>
      <w:r w:rsidR="0020567B" w:rsidRPr="00C9465D">
        <w:rPr>
          <w:lang w:val="en-US"/>
        </w:rPr>
        <w:fldChar w:fldCharType="end"/>
      </w:r>
      <w:r w:rsidR="007E16AE" w:rsidRPr="00C9465D">
        <w:rPr>
          <w:lang w:val="en-US"/>
        </w:rPr>
        <w:t>)</w:t>
      </w:r>
      <w:r w:rsidR="009F3A60" w:rsidRPr="00C9465D">
        <w:rPr>
          <w:lang w:val="en-US"/>
        </w:rPr>
        <w:t>,</w:t>
      </w:r>
      <w:r w:rsidR="00936EAB" w:rsidRPr="00C9465D">
        <w:rPr>
          <w:rStyle w:val="FootnoteReference"/>
          <w:rFonts w:eastAsia="Calibri"/>
          <w:lang w:val="en-US"/>
        </w:rPr>
        <w:footnoteReference w:id="224"/>
      </w:r>
      <w:r w:rsidR="009F3A60" w:rsidRPr="00C9465D">
        <w:rPr>
          <w:lang w:val="en-US"/>
        </w:rPr>
        <w:t xml:space="preserve"> as well as in the 1998 Ecuadorian </w:t>
      </w:r>
      <w:r w:rsidR="00561A0C" w:rsidRPr="00C9465D">
        <w:rPr>
          <w:lang w:val="en-US"/>
        </w:rPr>
        <w:t>Constitution</w:t>
      </w:r>
      <w:r w:rsidR="007E16AE" w:rsidRPr="00C9465D">
        <w:rPr>
          <w:lang w:val="en-US"/>
        </w:rPr>
        <w:t xml:space="preserve"> </w:t>
      </w:r>
      <w:r w:rsidR="009F3A60" w:rsidRPr="00C9465D">
        <w:rPr>
          <w:lang w:val="en-US"/>
        </w:rPr>
        <w:t>itself.</w:t>
      </w:r>
      <w:r w:rsidR="007E16AE" w:rsidRPr="00C9465D">
        <w:rPr>
          <w:rStyle w:val="FootnoteReference"/>
          <w:rFonts w:eastAsia="Calibri"/>
          <w:lang w:val="en-US"/>
        </w:rPr>
        <w:footnoteReference w:id="225"/>
      </w:r>
      <w:r w:rsidR="009F3A60" w:rsidRPr="00C9465D">
        <w:rPr>
          <w:lang w:val="en-US"/>
        </w:rPr>
        <w:t xml:space="preserve"> In this regard,</w:t>
      </w:r>
      <w:r w:rsidR="007E16AE" w:rsidRPr="00C9465D">
        <w:rPr>
          <w:lang w:val="en-US"/>
        </w:rPr>
        <w:t xml:space="preserve"> </w:t>
      </w:r>
      <w:r w:rsidR="00577DE0" w:rsidRPr="00C9465D">
        <w:rPr>
          <w:lang w:val="en-US"/>
        </w:rPr>
        <w:t xml:space="preserve">the </w:t>
      </w:r>
      <w:r w:rsidR="007173DB" w:rsidRPr="00C9465D">
        <w:rPr>
          <w:lang w:val="en-US"/>
        </w:rPr>
        <w:t>United Nations Special Rapporteur on the rights of</w:t>
      </w:r>
      <w:r w:rsidR="007E16AE" w:rsidRPr="00C9465D">
        <w:rPr>
          <w:lang w:val="en-US"/>
        </w:rPr>
        <w:t xml:space="preserve"> </w:t>
      </w:r>
      <w:r w:rsidR="00D85850" w:rsidRPr="00C9465D">
        <w:rPr>
          <w:lang w:val="en-US"/>
        </w:rPr>
        <w:t>persons with disabilities</w:t>
      </w:r>
      <w:r w:rsidR="007E16AE" w:rsidRPr="00C9465D">
        <w:rPr>
          <w:lang w:val="en-US"/>
        </w:rPr>
        <w:t xml:space="preserve"> h</w:t>
      </w:r>
      <w:r w:rsidR="007173DB" w:rsidRPr="00C9465D">
        <w:rPr>
          <w:lang w:val="en-US"/>
        </w:rPr>
        <w:t>as indicated that</w:t>
      </w:r>
      <w:r w:rsidR="007E16AE" w:rsidRPr="00C9465D">
        <w:rPr>
          <w:lang w:val="en-US"/>
        </w:rPr>
        <w:t>:</w:t>
      </w:r>
    </w:p>
    <w:p w14:paraId="7B6F32C5" w14:textId="7C63812A" w:rsidR="007E16AE" w:rsidRPr="00C9465D" w:rsidRDefault="007173DB" w:rsidP="000A29B2">
      <w:pPr>
        <w:tabs>
          <w:tab w:val="left" w:pos="567"/>
        </w:tabs>
        <w:spacing w:before="120" w:after="120" w:line="240" w:lineRule="auto"/>
        <w:ind w:left="567" w:right="404"/>
        <w:jc w:val="both"/>
        <w:rPr>
          <w:rFonts w:ascii="Verdana" w:eastAsia="Calibri" w:hAnsi="Verdana"/>
          <w:b/>
          <w:color w:val="FF0000"/>
          <w:sz w:val="18"/>
          <w:szCs w:val="18"/>
          <w:lang w:val="en-US" w:eastAsia="es-ES"/>
        </w:rPr>
      </w:pPr>
      <w:r w:rsidRPr="00C9465D">
        <w:rPr>
          <w:rFonts w:ascii="Verdana" w:hAnsi="Verdana"/>
          <w:sz w:val="18"/>
          <w:szCs w:val="18"/>
          <w:lang w:val="en-US"/>
        </w:rPr>
        <w:t>The universal nature of human rights provides an obligation on States to promote the full realization of rights for all people. Persons with disabilities should enjoy all human rights and fundamental freedoms on an equal basis with others. Access to adequate support is indeed a precondition for persons with disabilities to effectively exercise their human rights on an equal basis with others and, therefore, to live with dignity and autonomy in the community.</w:t>
      </w:r>
      <w:r w:rsidR="007E16AE" w:rsidRPr="00C9465D">
        <w:rPr>
          <w:rStyle w:val="FootnoteReference"/>
          <w:rFonts w:ascii="Verdana" w:hAnsi="Verdana"/>
          <w:sz w:val="18"/>
          <w:szCs w:val="18"/>
          <w:lang w:val="en-US"/>
        </w:rPr>
        <w:footnoteReference w:id="226"/>
      </w:r>
    </w:p>
    <w:p w14:paraId="1BA32C6E" w14:textId="6601996C" w:rsidR="007E16AE" w:rsidRPr="00C9465D" w:rsidRDefault="007173DB" w:rsidP="00AA3C22">
      <w:pPr>
        <w:pStyle w:val="Numberedparagraphs"/>
        <w:rPr>
          <w:rFonts w:eastAsia="Calibri"/>
          <w:b/>
          <w:i/>
          <w:lang w:val="en-US"/>
        </w:rPr>
      </w:pPr>
      <w:r w:rsidRPr="00C9465D">
        <w:rPr>
          <w:rFonts w:eastAsia="Calibri"/>
          <w:lang w:val="en-US"/>
        </w:rPr>
        <w:t>The</w:t>
      </w:r>
      <w:r w:rsidR="007E16AE" w:rsidRPr="00C9465D">
        <w:rPr>
          <w:rFonts w:eastAsia="Calibri"/>
          <w:lang w:val="en-US"/>
        </w:rPr>
        <w:t xml:space="preserve"> </w:t>
      </w:r>
      <w:r w:rsidR="00813093" w:rsidRPr="00C9465D">
        <w:rPr>
          <w:rFonts w:eastAsia="Calibri"/>
          <w:lang w:val="en-US"/>
        </w:rPr>
        <w:t>Committee on the Rights of Persons with Disabilities</w:t>
      </w:r>
      <w:r w:rsidR="007E16AE" w:rsidRPr="00C9465D">
        <w:rPr>
          <w:lang w:val="en-US"/>
        </w:rPr>
        <w:t xml:space="preserve"> ha</w:t>
      </w:r>
      <w:r w:rsidRPr="00C9465D">
        <w:rPr>
          <w:lang w:val="en-US"/>
        </w:rPr>
        <w:t xml:space="preserve">s indicated that the support that should be afforded to </w:t>
      </w:r>
      <w:r w:rsidR="00D85850" w:rsidRPr="00C9465D">
        <w:rPr>
          <w:rFonts w:cs="Verdana"/>
          <w:lang w:val="en-US" w:bidi="en-US"/>
        </w:rPr>
        <w:t>persons with disabilities</w:t>
      </w:r>
      <w:r w:rsidR="007E16AE" w:rsidRPr="00C9465D">
        <w:rPr>
          <w:rFonts w:cs="Verdana"/>
          <w:lang w:val="en-US" w:bidi="en-US"/>
        </w:rPr>
        <w:t xml:space="preserve"> </w:t>
      </w:r>
      <w:r w:rsidR="007E16AE" w:rsidRPr="00C9465D">
        <w:rPr>
          <w:lang w:val="en-US"/>
        </w:rPr>
        <w:t>“</w:t>
      </w:r>
      <w:r w:rsidRPr="00C9465D">
        <w:rPr>
          <w:lang w:val="en-US"/>
        </w:rPr>
        <w:t>must respect the rights, will and preferences of persons with disabilities and should never amount to substitute decision-making.</w:t>
      </w:r>
      <w:r w:rsidR="007E16AE" w:rsidRPr="00C9465D">
        <w:rPr>
          <w:lang w:val="en-US"/>
        </w:rPr>
        <w:t>”</w:t>
      </w:r>
      <w:r w:rsidR="00936EAB" w:rsidRPr="00C9465D">
        <w:rPr>
          <w:rStyle w:val="FootnoteReference"/>
          <w:lang w:val="en-US"/>
        </w:rPr>
        <w:footnoteReference w:id="227"/>
      </w:r>
      <w:r w:rsidR="007E16AE" w:rsidRPr="00C9465D">
        <w:rPr>
          <w:lang w:val="en-US"/>
        </w:rPr>
        <w:t xml:space="preserve"> </w:t>
      </w:r>
      <w:r w:rsidRPr="00C9465D">
        <w:rPr>
          <w:lang w:val="en-US"/>
        </w:rPr>
        <w:t>It explained that:</w:t>
      </w:r>
    </w:p>
    <w:p w14:paraId="5DEC4343" w14:textId="1BF15048" w:rsidR="007E16AE" w:rsidRPr="00C9465D" w:rsidRDefault="007E16AE" w:rsidP="000A29B2">
      <w:pPr>
        <w:pStyle w:val="ListParagraph"/>
        <w:tabs>
          <w:tab w:val="left" w:pos="567"/>
        </w:tabs>
        <w:spacing w:before="120" w:after="120" w:line="240" w:lineRule="auto"/>
        <w:ind w:left="567" w:right="404"/>
        <w:contextualSpacing w:val="0"/>
        <w:rPr>
          <w:sz w:val="18"/>
          <w:szCs w:val="18"/>
          <w:lang w:val="en-US"/>
        </w:rPr>
      </w:pPr>
      <w:r w:rsidRPr="00C9465D">
        <w:rPr>
          <w:sz w:val="18"/>
          <w:szCs w:val="18"/>
          <w:lang w:val="en-US"/>
        </w:rPr>
        <w:t>‘</w:t>
      </w:r>
      <w:r w:rsidR="007173DB" w:rsidRPr="00C9465D">
        <w:rPr>
          <w:sz w:val="18"/>
          <w:szCs w:val="18"/>
          <w:lang w:val="en-US"/>
        </w:rPr>
        <w:t xml:space="preserve">Support’ is a broad term that encompasses both informal and formal support arrangements, of varying types and intensity. For example, persons with disabilities may choose one or more trusted support persons to assist them in exercising their legal capacity for certain types of </w:t>
      </w:r>
      <w:r w:rsidR="007173DB" w:rsidRPr="00C9465D">
        <w:rPr>
          <w:sz w:val="18"/>
          <w:szCs w:val="18"/>
          <w:lang w:val="en-US"/>
        </w:rPr>
        <w:lastRenderedPageBreak/>
        <w:t>decisions, or may call on other forms of support, such as peer support, advocacy (including self-advocacy support), or assistance with communication.</w:t>
      </w:r>
      <w:r w:rsidR="00936EAB" w:rsidRPr="00C9465D">
        <w:rPr>
          <w:rStyle w:val="FootnoteReference"/>
          <w:sz w:val="18"/>
          <w:szCs w:val="18"/>
          <w:lang w:val="en-US"/>
        </w:rPr>
        <w:footnoteReference w:id="228"/>
      </w:r>
    </w:p>
    <w:p w14:paraId="4BDD503C" w14:textId="0B097430" w:rsidR="007E16AE" w:rsidRPr="00C9465D" w:rsidRDefault="007173DB" w:rsidP="00581AE7">
      <w:pPr>
        <w:pStyle w:val="Numberedparagraphs"/>
        <w:rPr>
          <w:rFonts w:eastAsia="Calibri"/>
          <w:b/>
          <w:i/>
          <w:lang w:val="en-US"/>
        </w:rPr>
      </w:pPr>
      <w:r w:rsidRPr="00C9465D">
        <w:rPr>
          <w:rFonts w:eastAsia="Calibri"/>
          <w:lang w:val="en-US"/>
        </w:rPr>
        <w:t xml:space="preserve">If another person is responsible for providing the support, </w:t>
      </w:r>
      <w:r w:rsidR="00581AE7" w:rsidRPr="00C9465D">
        <w:rPr>
          <w:rFonts w:eastAsia="Calibri"/>
          <w:lang w:val="en-US"/>
        </w:rPr>
        <w:t>“all health and</w:t>
      </w:r>
      <w:r w:rsidRPr="00C9465D">
        <w:rPr>
          <w:rFonts w:eastAsia="Calibri"/>
          <w:lang w:val="en-US"/>
        </w:rPr>
        <w:t xml:space="preserve"> medical personnel </w:t>
      </w:r>
      <w:r w:rsidR="00581AE7" w:rsidRPr="00C9465D">
        <w:rPr>
          <w:lang w:val="en-US"/>
        </w:rPr>
        <w:t>should ensure appropriate consultation that directly engages the person with disabilities. They should also ensure, to the best of their ability, that assistants or support persons do not substitute or have undue influence over the decisions of persons with disabilities.</w:t>
      </w:r>
      <w:r w:rsidR="007E16AE" w:rsidRPr="00C9465D">
        <w:rPr>
          <w:lang w:val="en-US"/>
        </w:rPr>
        <w:t>”</w:t>
      </w:r>
      <w:r w:rsidR="007E16AE" w:rsidRPr="00C9465D">
        <w:rPr>
          <w:rStyle w:val="FootnoteReference"/>
          <w:lang w:val="en-US"/>
        </w:rPr>
        <w:footnoteReference w:id="229"/>
      </w:r>
    </w:p>
    <w:p w14:paraId="045BE10C" w14:textId="0DFFC4EE" w:rsidR="007E16AE" w:rsidRPr="00C9465D" w:rsidRDefault="00581AE7" w:rsidP="00AA3C22">
      <w:pPr>
        <w:pStyle w:val="Numberedparagraphs"/>
        <w:rPr>
          <w:rFonts w:eastAsia="Calibri"/>
          <w:b/>
          <w:i/>
          <w:lang w:val="en-US"/>
        </w:rPr>
      </w:pPr>
      <w:bookmarkStart w:id="49" w:name="_Ref72158840"/>
      <w:r w:rsidRPr="00C9465D">
        <w:rPr>
          <w:rFonts w:eastAsia="Calibri"/>
          <w:lang w:val="en-US"/>
        </w:rPr>
        <w:t xml:space="preserve">In addition, States should provide </w:t>
      </w:r>
      <w:r w:rsidR="00D85850" w:rsidRPr="00C9465D">
        <w:rPr>
          <w:lang w:val="en-US"/>
        </w:rPr>
        <w:t>persons with disabilities</w:t>
      </w:r>
      <w:r w:rsidR="007E16AE" w:rsidRPr="00C9465D">
        <w:rPr>
          <w:lang w:val="en-US"/>
        </w:rPr>
        <w:t xml:space="preserve"> </w:t>
      </w:r>
      <w:r w:rsidRPr="00C9465D">
        <w:rPr>
          <w:lang w:val="en-US"/>
        </w:rPr>
        <w:t>with the possibility of planning their own support</w:t>
      </w:r>
      <w:r w:rsidR="00EA5345" w:rsidRPr="00C9465D">
        <w:rPr>
          <w:lang w:val="en-US"/>
        </w:rPr>
        <w:t xml:space="preserve"> in advance</w:t>
      </w:r>
      <w:r w:rsidRPr="00C9465D">
        <w:rPr>
          <w:lang w:val="en-US"/>
        </w:rPr>
        <w:t>, specifying who will provide this support and how it will operate</w:t>
      </w:r>
      <w:r w:rsidR="007E16AE" w:rsidRPr="00C9465D">
        <w:rPr>
          <w:lang w:val="en-US"/>
        </w:rPr>
        <w:t>.</w:t>
      </w:r>
      <w:r w:rsidRPr="00C9465D">
        <w:rPr>
          <w:lang w:val="en-US"/>
        </w:rPr>
        <w:t xml:space="preserve"> This planning should be respected when the person with disabilities </w:t>
      </w:r>
      <w:r w:rsidR="00EA5345" w:rsidRPr="00C9465D">
        <w:rPr>
          <w:lang w:val="en-US"/>
        </w:rPr>
        <w:t>“finds himself unable to communicate his wishes to others.</w:t>
      </w:r>
      <w:r w:rsidR="007E16AE" w:rsidRPr="00C9465D">
        <w:rPr>
          <w:lang w:val="en-US"/>
        </w:rPr>
        <w:t>”</w:t>
      </w:r>
      <w:r w:rsidR="007E16AE" w:rsidRPr="00C9465D">
        <w:rPr>
          <w:rStyle w:val="FootnoteReference"/>
          <w:lang w:val="en-US"/>
        </w:rPr>
        <w:footnoteReference w:id="230"/>
      </w:r>
      <w:bookmarkEnd w:id="49"/>
    </w:p>
    <w:p w14:paraId="09D6FA67" w14:textId="78D60843" w:rsidR="007E16AE" w:rsidRPr="00C9465D" w:rsidRDefault="00193CBB" w:rsidP="00AA3C22">
      <w:pPr>
        <w:pStyle w:val="Numberedparagraphs"/>
        <w:rPr>
          <w:lang w:val="en-US"/>
        </w:rPr>
      </w:pPr>
      <w:r w:rsidRPr="00C9465D">
        <w:rPr>
          <w:lang w:val="en-US"/>
        </w:rPr>
        <w:t>The Court</w:t>
      </w:r>
      <w:r w:rsidR="007E16AE" w:rsidRPr="00C9465D">
        <w:rPr>
          <w:lang w:val="en-US"/>
        </w:rPr>
        <w:t xml:space="preserve"> t</w:t>
      </w:r>
      <w:r w:rsidR="00EA5345" w:rsidRPr="00C9465D">
        <w:rPr>
          <w:lang w:val="en-US"/>
        </w:rPr>
        <w:t>akes note of domestic law at the time of the facts concerning the consent required for the practice of procedures such as those performed in this case, namely:</w:t>
      </w:r>
    </w:p>
    <w:p w14:paraId="7C74C811" w14:textId="1B1DB9D1" w:rsidR="00E16334" w:rsidRPr="00C9465D" w:rsidRDefault="00211BE1" w:rsidP="000A411A">
      <w:pPr>
        <w:tabs>
          <w:tab w:val="left" w:pos="567"/>
        </w:tabs>
        <w:spacing w:before="120" w:after="120" w:line="240" w:lineRule="auto"/>
        <w:ind w:left="567"/>
        <w:rPr>
          <w:rFonts w:ascii="Verdana" w:eastAsia="Calibri" w:hAnsi="Verdana"/>
          <w:sz w:val="18"/>
          <w:szCs w:val="18"/>
          <w:lang w:val="en-US"/>
        </w:rPr>
      </w:pPr>
      <w:r w:rsidRPr="00C9465D">
        <w:rPr>
          <w:rFonts w:ascii="Verdana" w:eastAsia="Calibri" w:hAnsi="Verdana"/>
          <w:sz w:val="18"/>
          <w:szCs w:val="18"/>
          <w:lang w:val="en-US"/>
        </w:rPr>
        <w:t>Law</w:t>
      </w:r>
      <w:r w:rsidR="00E16334" w:rsidRPr="00C9465D">
        <w:rPr>
          <w:rFonts w:ascii="Verdana" w:eastAsia="Calibri" w:hAnsi="Verdana"/>
          <w:sz w:val="18"/>
          <w:szCs w:val="18"/>
          <w:lang w:val="en-US"/>
        </w:rPr>
        <w:t xml:space="preserve"> </w:t>
      </w:r>
      <w:r w:rsidR="00577DE0" w:rsidRPr="00C9465D">
        <w:rPr>
          <w:rFonts w:ascii="Verdana" w:eastAsia="Calibri" w:hAnsi="Verdana"/>
          <w:sz w:val="18"/>
          <w:szCs w:val="18"/>
          <w:lang w:val="en-US"/>
        </w:rPr>
        <w:t>No.</w:t>
      </w:r>
      <w:r w:rsidR="00E16334" w:rsidRPr="00C9465D">
        <w:rPr>
          <w:rFonts w:ascii="Verdana" w:eastAsia="Calibri" w:hAnsi="Verdana"/>
          <w:sz w:val="18"/>
          <w:szCs w:val="18"/>
          <w:lang w:val="en-US"/>
        </w:rPr>
        <w:t xml:space="preserve"> 77 </w:t>
      </w:r>
      <w:r w:rsidRPr="00C9465D">
        <w:rPr>
          <w:rFonts w:ascii="Verdana" w:eastAsia="Calibri" w:hAnsi="Verdana"/>
          <w:sz w:val="18"/>
          <w:szCs w:val="18"/>
          <w:lang w:val="en-US"/>
        </w:rPr>
        <w:t>on Patients’ Rights</w:t>
      </w:r>
      <w:r w:rsidR="00E16334" w:rsidRPr="00C9465D">
        <w:rPr>
          <w:rFonts w:ascii="Verdana" w:eastAsia="Calibri" w:hAnsi="Verdana"/>
          <w:sz w:val="18"/>
          <w:szCs w:val="18"/>
          <w:lang w:val="en-US"/>
        </w:rPr>
        <w:t>:</w:t>
      </w:r>
    </w:p>
    <w:p w14:paraId="42DC5C4F" w14:textId="2FFC799C" w:rsidR="00211BE1" w:rsidRPr="00C9465D" w:rsidRDefault="00193CBB" w:rsidP="000A29B2">
      <w:pPr>
        <w:tabs>
          <w:tab w:val="left" w:pos="567"/>
        </w:tabs>
        <w:spacing w:before="120" w:after="120" w:line="240" w:lineRule="auto"/>
        <w:ind w:left="567" w:right="404"/>
        <w:jc w:val="both"/>
        <w:rPr>
          <w:rFonts w:ascii="Verdana" w:hAnsi="Verdana" w:cs="Arial"/>
          <w:sz w:val="18"/>
          <w:szCs w:val="18"/>
          <w:lang w:val="en-US"/>
        </w:rPr>
      </w:pPr>
      <w:r w:rsidRPr="00C9465D">
        <w:rPr>
          <w:rFonts w:ascii="Verdana" w:hAnsi="Verdana" w:cs="Arial"/>
          <w:bCs/>
          <w:sz w:val="18"/>
          <w:szCs w:val="18"/>
          <w:lang w:val="en-US"/>
        </w:rPr>
        <w:t>Article</w:t>
      </w:r>
      <w:r w:rsidR="00E16334" w:rsidRPr="00C9465D">
        <w:rPr>
          <w:rFonts w:ascii="Verdana" w:hAnsi="Verdana" w:cs="Arial"/>
          <w:bCs/>
          <w:sz w:val="18"/>
          <w:szCs w:val="18"/>
          <w:lang w:val="en-US"/>
        </w:rPr>
        <w:t xml:space="preserve"> 5</w:t>
      </w:r>
      <w:r w:rsidR="00E16334" w:rsidRPr="00C9465D">
        <w:rPr>
          <w:rFonts w:ascii="Verdana" w:hAnsi="Verdana" w:cs="Arial"/>
          <w:sz w:val="18"/>
          <w:szCs w:val="18"/>
          <w:lang w:val="en-US"/>
        </w:rPr>
        <w:t>.</w:t>
      </w:r>
      <w:r w:rsidR="00211BE1" w:rsidRPr="00C9465D">
        <w:rPr>
          <w:rFonts w:ascii="Verdana" w:hAnsi="Verdana" w:cs="Arial"/>
          <w:sz w:val="18"/>
          <w:szCs w:val="18"/>
          <w:lang w:val="en-US"/>
        </w:rPr>
        <w:t xml:space="preserve"> RIGHT TO INFORMATION.</w:t>
      </w:r>
      <w:r w:rsidR="00E16334" w:rsidRPr="00C9465D">
        <w:rPr>
          <w:rFonts w:ascii="Verdana" w:hAnsi="Verdana" w:cs="Arial"/>
          <w:sz w:val="18"/>
          <w:szCs w:val="18"/>
          <w:lang w:val="en-US"/>
        </w:rPr>
        <w:t xml:space="preserve"> </w:t>
      </w:r>
      <w:r w:rsidR="00211BE1" w:rsidRPr="00C9465D">
        <w:rPr>
          <w:rFonts w:ascii="Verdana" w:hAnsi="Verdana" w:cs="Arial"/>
          <w:sz w:val="18"/>
          <w:szCs w:val="18"/>
          <w:lang w:val="en-US"/>
        </w:rPr>
        <w:t>Every patient has the right, before and during the different stages of treatment, to receive from the health center</w:t>
      </w:r>
      <w:r w:rsidR="000A29B2" w:rsidRPr="00C9465D">
        <w:rPr>
          <w:rFonts w:ascii="Verdana" w:hAnsi="Verdana" w:cs="Arial"/>
          <w:sz w:val="18"/>
          <w:szCs w:val="18"/>
          <w:lang w:val="en-US"/>
        </w:rPr>
        <w:t>,</w:t>
      </w:r>
      <w:r w:rsidR="00211BE1" w:rsidRPr="00C9465D">
        <w:rPr>
          <w:rFonts w:ascii="Verdana" w:hAnsi="Verdana" w:cs="Arial"/>
          <w:sz w:val="18"/>
          <w:szCs w:val="18"/>
          <w:lang w:val="en-US"/>
        </w:rPr>
        <w:t xml:space="preserve"> through its corresponding </w:t>
      </w:r>
      <w:r w:rsidR="000A29B2" w:rsidRPr="00C9465D">
        <w:rPr>
          <w:rFonts w:ascii="Verdana" w:hAnsi="Verdana" w:cs="Arial"/>
          <w:sz w:val="18"/>
          <w:szCs w:val="18"/>
          <w:lang w:val="en-US"/>
        </w:rPr>
        <w:t>staff</w:t>
      </w:r>
      <w:r w:rsidR="00211BE1" w:rsidRPr="00C9465D">
        <w:rPr>
          <w:rFonts w:ascii="Verdana" w:hAnsi="Verdana" w:cs="Arial"/>
          <w:sz w:val="18"/>
          <w:szCs w:val="18"/>
          <w:lang w:val="en-US"/>
        </w:rPr>
        <w:t>, information concerning the diagnosis of their health</w:t>
      </w:r>
      <w:r w:rsidR="000A29B2" w:rsidRPr="00C9465D">
        <w:rPr>
          <w:rFonts w:ascii="Verdana" w:hAnsi="Verdana" w:cs="Arial"/>
          <w:sz w:val="18"/>
          <w:szCs w:val="18"/>
          <w:lang w:val="en-US"/>
        </w:rPr>
        <w:t xml:space="preserve"> status</w:t>
      </w:r>
      <w:r w:rsidR="00211BE1" w:rsidRPr="00C9465D">
        <w:rPr>
          <w:rFonts w:ascii="Verdana" w:hAnsi="Verdana" w:cs="Arial"/>
          <w:sz w:val="18"/>
          <w:szCs w:val="18"/>
          <w:lang w:val="en-US"/>
        </w:rPr>
        <w:t xml:space="preserve">, the prognosis, the treatment, the medical risks to which they are exposed, the probable length of incapacitation, and the existing care and treatment alternatives, in terms that the patient may reasonably understand and be enabled to take a decision on the procedure to be performed. Emergency situations are excepted from this process. The patient </w:t>
      </w:r>
      <w:r w:rsidR="00935F38" w:rsidRPr="00C9465D">
        <w:rPr>
          <w:rFonts w:ascii="Verdana" w:hAnsi="Verdana" w:cs="Arial"/>
          <w:sz w:val="18"/>
          <w:szCs w:val="18"/>
          <w:lang w:val="en-US"/>
        </w:rPr>
        <w:t>has the right to the health center advising him of the identity of the doctor in charge of his treatment.</w:t>
      </w:r>
    </w:p>
    <w:p w14:paraId="0A3E5EB7" w14:textId="2D24DC96" w:rsidR="00935F38" w:rsidRPr="00C9465D" w:rsidRDefault="00193CBB" w:rsidP="000A29B2">
      <w:pPr>
        <w:tabs>
          <w:tab w:val="left" w:pos="567"/>
        </w:tabs>
        <w:spacing w:before="120" w:after="120" w:line="240" w:lineRule="auto"/>
        <w:ind w:left="567" w:right="404"/>
        <w:jc w:val="both"/>
        <w:rPr>
          <w:rFonts w:ascii="Verdana" w:hAnsi="Verdana" w:cs="Arial"/>
          <w:sz w:val="18"/>
          <w:szCs w:val="18"/>
          <w:lang w:val="en-US"/>
        </w:rPr>
      </w:pPr>
      <w:r w:rsidRPr="00C9465D">
        <w:rPr>
          <w:rFonts w:ascii="Verdana" w:hAnsi="Verdana" w:cs="Arial"/>
          <w:bCs/>
          <w:sz w:val="18"/>
          <w:szCs w:val="18"/>
          <w:lang w:val="en-US"/>
        </w:rPr>
        <w:t>Article</w:t>
      </w:r>
      <w:r w:rsidR="00E16334" w:rsidRPr="00C9465D">
        <w:rPr>
          <w:rFonts w:ascii="Verdana" w:hAnsi="Verdana" w:cs="Arial"/>
          <w:bCs/>
          <w:sz w:val="18"/>
          <w:szCs w:val="18"/>
          <w:lang w:val="en-US"/>
        </w:rPr>
        <w:t xml:space="preserve"> 6</w:t>
      </w:r>
      <w:r w:rsidR="00E16334" w:rsidRPr="00C9465D">
        <w:rPr>
          <w:rFonts w:ascii="Verdana" w:hAnsi="Verdana" w:cs="Arial"/>
          <w:sz w:val="18"/>
          <w:szCs w:val="18"/>
          <w:lang w:val="en-US"/>
        </w:rPr>
        <w:t xml:space="preserve">. </w:t>
      </w:r>
      <w:r w:rsidR="00935F38" w:rsidRPr="00C9465D">
        <w:rPr>
          <w:rFonts w:ascii="Verdana" w:hAnsi="Verdana" w:cs="Arial"/>
          <w:sz w:val="18"/>
          <w:szCs w:val="18"/>
          <w:lang w:val="en-US"/>
        </w:rPr>
        <w:t>RIGHT TO DECIDE</w:t>
      </w:r>
      <w:r w:rsidR="00E16334" w:rsidRPr="00C9465D">
        <w:rPr>
          <w:rFonts w:ascii="Verdana" w:hAnsi="Verdana" w:cs="Arial"/>
          <w:sz w:val="18"/>
          <w:szCs w:val="18"/>
          <w:lang w:val="en-US"/>
        </w:rPr>
        <w:t>.</w:t>
      </w:r>
      <w:r w:rsidR="00935F38" w:rsidRPr="00C9465D">
        <w:rPr>
          <w:rFonts w:ascii="Verdana" w:hAnsi="Verdana" w:cs="Arial"/>
          <w:sz w:val="18"/>
          <w:szCs w:val="18"/>
          <w:lang w:val="en-US"/>
        </w:rPr>
        <w:t xml:space="preserve"> Every patient has the right to choose whether he accepts or declines the medical treatment. In both cases, the health center must inform him of the consequences of his decision.</w:t>
      </w:r>
    </w:p>
    <w:p w14:paraId="1879AA0A" w14:textId="0EE6D44D" w:rsidR="00E16334" w:rsidRPr="00C9465D" w:rsidRDefault="00193CBB" w:rsidP="000A29B2">
      <w:pPr>
        <w:tabs>
          <w:tab w:val="left" w:pos="567"/>
        </w:tabs>
        <w:spacing w:before="120" w:after="120" w:line="240" w:lineRule="auto"/>
        <w:ind w:left="567" w:right="404"/>
        <w:jc w:val="both"/>
        <w:rPr>
          <w:rFonts w:ascii="Verdana" w:hAnsi="Verdana" w:cs="Arial"/>
          <w:sz w:val="18"/>
          <w:szCs w:val="18"/>
          <w:lang w:val="en-US"/>
        </w:rPr>
      </w:pPr>
      <w:r w:rsidRPr="00C9465D">
        <w:rPr>
          <w:rFonts w:ascii="Verdana" w:hAnsi="Verdana" w:cs="Arial"/>
          <w:bCs/>
          <w:sz w:val="18"/>
          <w:szCs w:val="18"/>
          <w:lang w:val="en-US"/>
        </w:rPr>
        <w:t>Article</w:t>
      </w:r>
      <w:r w:rsidR="00E16334" w:rsidRPr="00C9465D">
        <w:rPr>
          <w:rFonts w:ascii="Verdana" w:hAnsi="Verdana" w:cs="Arial"/>
          <w:bCs/>
          <w:sz w:val="18"/>
          <w:szCs w:val="18"/>
          <w:lang w:val="en-US"/>
        </w:rPr>
        <w:t xml:space="preserve"> 7</w:t>
      </w:r>
      <w:r w:rsidR="00E16334" w:rsidRPr="00C9465D">
        <w:rPr>
          <w:rFonts w:ascii="Verdana" w:hAnsi="Verdana" w:cs="Arial"/>
          <w:sz w:val="18"/>
          <w:szCs w:val="18"/>
          <w:lang w:val="en-US"/>
        </w:rPr>
        <w:t>.</w:t>
      </w:r>
      <w:r w:rsidR="00935F38" w:rsidRPr="00C9465D">
        <w:rPr>
          <w:rFonts w:ascii="Verdana" w:hAnsi="Verdana" w:cs="Arial"/>
          <w:sz w:val="18"/>
          <w:szCs w:val="18"/>
          <w:lang w:val="en-US"/>
        </w:rPr>
        <w:t xml:space="preserve"> EMERGENCY SITUATION</w:t>
      </w:r>
      <w:r w:rsidR="00E16334" w:rsidRPr="00C9465D">
        <w:rPr>
          <w:rFonts w:ascii="Verdana" w:hAnsi="Verdana" w:cs="Arial"/>
          <w:sz w:val="18"/>
          <w:szCs w:val="18"/>
          <w:lang w:val="en-US"/>
        </w:rPr>
        <w:t xml:space="preserve">. </w:t>
      </w:r>
      <w:r w:rsidR="00935F38" w:rsidRPr="00C9465D">
        <w:rPr>
          <w:rFonts w:ascii="Verdana" w:hAnsi="Verdana" w:cs="Arial"/>
          <w:sz w:val="18"/>
          <w:szCs w:val="18"/>
          <w:lang w:val="en-US"/>
        </w:rPr>
        <w:t>This is any serious contingency that affects the health of the human being with imminent danger for the physical integrity or life of the individual as a result of unforeseen or inevitable circumstances, such as: a crash, collision, overturning or other form of land, air or water transport</w:t>
      </w:r>
      <w:r w:rsidR="00455E4B" w:rsidRPr="00C9465D">
        <w:rPr>
          <w:rFonts w:ascii="Verdana" w:hAnsi="Verdana" w:cs="Arial"/>
          <w:sz w:val="18"/>
          <w:szCs w:val="18"/>
          <w:lang w:val="en-US"/>
        </w:rPr>
        <w:t>ation</w:t>
      </w:r>
      <w:r w:rsidR="00935F38" w:rsidRPr="00C9465D">
        <w:rPr>
          <w:rFonts w:ascii="Verdana" w:hAnsi="Verdana" w:cs="Arial"/>
          <w:sz w:val="18"/>
          <w:szCs w:val="18"/>
          <w:lang w:val="en-US"/>
        </w:rPr>
        <w:t xml:space="preserve"> accident; general accidents or mishaps, such as those that occur in the workplace, educational establishments, home, room, sporting venues, or that are the effect of crimes against persons such as those that result in injuries caused by blunt and sharp weapons, firearms or any other form of physical aggression.</w:t>
      </w:r>
      <w:r w:rsidR="00936EAB" w:rsidRPr="00C9465D">
        <w:rPr>
          <w:rStyle w:val="FootnoteReference"/>
          <w:rFonts w:ascii="Verdana" w:hAnsi="Verdana" w:cs="Arial"/>
          <w:sz w:val="18"/>
          <w:szCs w:val="18"/>
          <w:lang w:val="en-US"/>
        </w:rPr>
        <w:footnoteReference w:id="231"/>
      </w:r>
    </w:p>
    <w:p w14:paraId="4A2AC6D7" w14:textId="51B8DF7E" w:rsidR="007E75F4" w:rsidRPr="00C9465D" w:rsidRDefault="00935F38" w:rsidP="00935F38">
      <w:pPr>
        <w:tabs>
          <w:tab w:val="left" w:pos="567"/>
        </w:tabs>
        <w:spacing w:before="120" w:after="120" w:line="240" w:lineRule="auto"/>
        <w:ind w:right="899"/>
        <w:jc w:val="both"/>
        <w:rPr>
          <w:rFonts w:ascii="Verdana" w:hAnsi="Verdana" w:cs="Arial"/>
          <w:bCs/>
          <w:sz w:val="20"/>
          <w:szCs w:val="20"/>
          <w:lang w:val="en-US"/>
        </w:rPr>
      </w:pPr>
      <w:r w:rsidRPr="00C9465D">
        <w:rPr>
          <w:rFonts w:ascii="Verdana" w:hAnsi="Verdana" w:cs="Arial"/>
          <w:bCs/>
          <w:sz w:val="20"/>
          <w:szCs w:val="20"/>
          <w:lang w:val="en-US"/>
        </w:rPr>
        <w:t xml:space="preserve">Likewise, the </w:t>
      </w:r>
      <w:r w:rsidR="00581AE7" w:rsidRPr="00C9465D">
        <w:rPr>
          <w:rFonts w:ascii="Verdana" w:hAnsi="Verdana" w:cs="Arial"/>
          <w:bCs/>
          <w:sz w:val="20"/>
          <w:szCs w:val="20"/>
          <w:lang w:val="en-US"/>
        </w:rPr>
        <w:t>Medical Code of Ethics</w:t>
      </w:r>
      <w:r w:rsidR="007E75F4" w:rsidRPr="00C9465D">
        <w:rPr>
          <w:rFonts w:ascii="Verdana" w:hAnsi="Verdana" w:cs="Arial"/>
          <w:bCs/>
          <w:sz w:val="20"/>
          <w:szCs w:val="20"/>
          <w:lang w:val="en-US"/>
        </w:rPr>
        <w:t>, establ</w:t>
      </w:r>
      <w:r w:rsidRPr="00C9465D">
        <w:rPr>
          <w:rFonts w:ascii="Verdana" w:hAnsi="Verdana" w:cs="Arial"/>
          <w:bCs/>
          <w:sz w:val="20"/>
          <w:szCs w:val="20"/>
          <w:lang w:val="en-US"/>
        </w:rPr>
        <w:t>ished</w:t>
      </w:r>
      <w:r w:rsidR="007E75F4" w:rsidRPr="00C9465D">
        <w:rPr>
          <w:rFonts w:ascii="Verdana" w:hAnsi="Verdana" w:cs="Arial"/>
          <w:bCs/>
          <w:sz w:val="20"/>
          <w:szCs w:val="20"/>
          <w:lang w:val="en-US"/>
        </w:rPr>
        <w:t>:</w:t>
      </w:r>
    </w:p>
    <w:p w14:paraId="07DD6EAC" w14:textId="5FA75DEB" w:rsidR="00BA3732" w:rsidRPr="00C9465D" w:rsidRDefault="00193CBB" w:rsidP="00455E4B">
      <w:pPr>
        <w:autoSpaceDE w:val="0"/>
        <w:autoSpaceDN w:val="0"/>
        <w:adjustRightInd w:val="0"/>
        <w:spacing w:before="120" w:after="120" w:line="240" w:lineRule="auto"/>
        <w:ind w:left="567" w:right="404"/>
        <w:jc w:val="both"/>
        <w:rPr>
          <w:rFonts w:ascii="Verdana" w:hAnsi="Verdana" w:cs="Arial"/>
          <w:sz w:val="18"/>
          <w:szCs w:val="18"/>
          <w:lang w:val="en-US"/>
        </w:rPr>
      </w:pPr>
      <w:r w:rsidRPr="00C9465D">
        <w:rPr>
          <w:rFonts w:ascii="Verdana" w:hAnsi="Verdana" w:cs="Arial"/>
          <w:bCs/>
          <w:sz w:val="18"/>
          <w:szCs w:val="18"/>
          <w:lang w:val="en-US"/>
        </w:rPr>
        <w:t>Article</w:t>
      </w:r>
      <w:r w:rsidR="007E75F4" w:rsidRPr="00C9465D">
        <w:rPr>
          <w:rFonts w:ascii="Verdana" w:hAnsi="Verdana" w:cs="Arial"/>
          <w:bCs/>
          <w:sz w:val="18"/>
          <w:szCs w:val="18"/>
          <w:lang w:val="en-US"/>
        </w:rPr>
        <w:t xml:space="preserve"> 15</w:t>
      </w:r>
      <w:r w:rsidR="007E75F4" w:rsidRPr="00C9465D">
        <w:rPr>
          <w:rFonts w:ascii="Verdana" w:hAnsi="Verdana" w:cs="Arial"/>
          <w:sz w:val="18"/>
          <w:szCs w:val="18"/>
          <w:lang w:val="en-US"/>
        </w:rPr>
        <w:t>.</w:t>
      </w:r>
      <w:r w:rsidR="00935F38" w:rsidRPr="00C9465D">
        <w:rPr>
          <w:rFonts w:ascii="Verdana" w:hAnsi="Verdana" w:cs="Arial"/>
          <w:sz w:val="18"/>
          <w:szCs w:val="18"/>
          <w:lang w:val="en-US"/>
        </w:rPr>
        <w:t xml:space="preserve"> </w:t>
      </w:r>
      <w:r w:rsidR="00BA3732" w:rsidRPr="00C9465D">
        <w:rPr>
          <w:rFonts w:ascii="Verdana" w:hAnsi="Verdana" w:cs="Arial"/>
          <w:sz w:val="18"/>
          <w:szCs w:val="18"/>
          <w:lang w:val="en-US"/>
        </w:rPr>
        <w:t xml:space="preserve">The doctor shall not perform any surgical intervention without the patient’s prior authorization and, if </w:t>
      </w:r>
      <w:r w:rsidR="00455E4B" w:rsidRPr="00C9465D">
        <w:rPr>
          <w:rFonts w:ascii="Verdana" w:hAnsi="Verdana" w:cs="Arial"/>
          <w:sz w:val="18"/>
          <w:szCs w:val="18"/>
          <w:lang w:val="en-US"/>
        </w:rPr>
        <w:t>the patient</w:t>
      </w:r>
      <w:r w:rsidR="00BA3732" w:rsidRPr="00C9465D">
        <w:rPr>
          <w:rFonts w:ascii="Verdana" w:hAnsi="Verdana" w:cs="Arial"/>
          <w:sz w:val="18"/>
          <w:szCs w:val="18"/>
          <w:lang w:val="en-US"/>
        </w:rPr>
        <w:t xml:space="preserve"> is unable to provide this, </w:t>
      </w:r>
      <w:r w:rsidR="00455E4B" w:rsidRPr="00C9465D">
        <w:rPr>
          <w:rFonts w:ascii="Verdana" w:hAnsi="Verdana" w:cs="Arial"/>
          <w:sz w:val="18"/>
          <w:szCs w:val="18"/>
          <w:lang w:val="en-US"/>
        </w:rPr>
        <w:t>the doctor</w:t>
      </w:r>
      <w:r w:rsidR="00BA3732" w:rsidRPr="00C9465D">
        <w:rPr>
          <w:rFonts w:ascii="Verdana" w:hAnsi="Verdana" w:cs="Arial"/>
          <w:sz w:val="18"/>
          <w:szCs w:val="18"/>
          <w:lang w:val="en-US"/>
        </w:rPr>
        <w:t xml:space="preserve"> shall resort to the patient’s representative or to a member of the family, unless the patient’s life is in imminent danger. In all cases, the authorization shall include the type of intervention, the risks and the possible complications.</w:t>
      </w:r>
    </w:p>
    <w:p w14:paraId="6A390847" w14:textId="6C557136" w:rsidR="007E75F4" w:rsidRPr="00C9465D" w:rsidRDefault="00193CBB" w:rsidP="00455E4B">
      <w:pPr>
        <w:autoSpaceDE w:val="0"/>
        <w:autoSpaceDN w:val="0"/>
        <w:adjustRightInd w:val="0"/>
        <w:spacing w:before="120" w:after="120" w:line="240" w:lineRule="auto"/>
        <w:ind w:left="567" w:right="404"/>
        <w:jc w:val="both"/>
        <w:rPr>
          <w:rFonts w:ascii="Verdana" w:hAnsi="Verdana" w:cs="Arial"/>
          <w:sz w:val="18"/>
          <w:szCs w:val="18"/>
          <w:lang w:val="en-US"/>
        </w:rPr>
      </w:pPr>
      <w:r w:rsidRPr="00C9465D">
        <w:rPr>
          <w:rFonts w:ascii="Verdana" w:hAnsi="Verdana" w:cs="Arial"/>
          <w:bCs/>
          <w:sz w:val="18"/>
          <w:szCs w:val="18"/>
          <w:lang w:val="en-US"/>
        </w:rPr>
        <w:t>Article</w:t>
      </w:r>
      <w:r w:rsidR="007E75F4" w:rsidRPr="00C9465D">
        <w:rPr>
          <w:rFonts w:ascii="Verdana" w:hAnsi="Verdana" w:cs="Arial"/>
          <w:bCs/>
          <w:sz w:val="18"/>
          <w:szCs w:val="18"/>
          <w:lang w:val="en-US"/>
        </w:rPr>
        <w:t xml:space="preserve"> 16</w:t>
      </w:r>
      <w:r w:rsidR="007E75F4" w:rsidRPr="00C9465D">
        <w:rPr>
          <w:rFonts w:ascii="Verdana" w:hAnsi="Verdana" w:cs="Arial"/>
          <w:sz w:val="18"/>
          <w:szCs w:val="18"/>
          <w:lang w:val="en-US"/>
        </w:rPr>
        <w:t xml:space="preserve">. </w:t>
      </w:r>
      <w:r w:rsidR="00BA3732" w:rsidRPr="00C9465D">
        <w:rPr>
          <w:rFonts w:ascii="Verdana" w:hAnsi="Verdana" w:cs="Arial"/>
          <w:sz w:val="18"/>
          <w:szCs w:val="18"/>
          <w:lang w:val="en-US"/>
        </w:rPr>
        <w:t xml:space="preserve">Also, cases subject to diagnostic or therapeutic procedures that, in the opinion of the treating physician, involve a risk must be authorized by the patient, his representative or </w:t>
      </w:r>
      <w:r w:rsidR="00BA3732" w:rsidRPr="00C9465D">
        <w:rPr>
          <w:rFonts w:ascii="Verdana" w:hAnsi="Verdana" w:cs="Arial"/>
          <w:sz w:val="18"/>
          <w:szCs w:val="18"/>
          <w:lang w:val="en-US"/>
        </w:rPr>
        <w:lastRenderedPageBreak/>
        <w:t>his family. This is also necessary in cases of the use</w:t>
      </w:r>
      <w:r w:rsidR="00455E4B" w:rsidRPr="00C9465D">
        <w:rPr>
          <w:rFonts w:ascii="Verdana" w:hAnsi="Verdana" w:cs="Arial"/>
          <w:sz w:val="18"/>
          <w:szCs w:val="18"/>
          <w:lang w:val="en-US"/>
        </w:rPr>
        <w:t xml:space="preserve">, </w:t>
      </w:r>
      <w:r w:rsidR="00BA3732" w:rsidRPr="00C9465D">
        <w:rPr>
          <w:rFonts w:ascii="Verdana" w:hAnsi="Verdana" w:cs="Arial"/>
          <w:sz w:val="18"/>
          <w:szCs w:val="18"/>
          <w:lang w:val="en-US"/>
        </w:rPr>
        <w:t>in the absence of other fully proven resources</w:t>
      </w:r>
      <w:r w:rsidR="00455E4B" w:rsidRPr="00C9465D">
        <w:rPr>
          <w:rFonts w:ascii="Verdana" w:hAnsi="Verdana" w:cs="Arial"/>
          <w:sz w:val="18"/>
          <w:szCs w:val="18"/>
          <w:lang w:val="en-US"/>
        </w:rPr>
        <w:t>, of new techniques or drugs</w:t>
      </w:r>
      <w:r w:rsidR="00BA3732" w:rsidRPr="00C9465D">
        <w:rPr>
          <w:rFonts w:ascii="Verdana" w:hAnsi="Verdana" w:cs="Arial"/>
          <w:sz w:val="18"/>
          <w:szCs w:val="18"/>
          <w:lang w:val="en-US"/>
        </w:rPr>
        <w:t xml:space="preserve"> as therapeutic measures in order to safeguard the life and integrity of the patient.</w:t>
      </w:r>
      <w:r w:rsidR="00936EAB" w:rsidRPr="00C9465D">
        <w:rPr>
          <w:rStyle w:val="FootnoteReference"/>
          <w:rFonts w:ascii="Verdana" w:hAnsi="Verdana" w:cs="Arial"/>
          <w:sz w:val="18"/>
          <w:szCs w:val="18"/>
          <w:lang w:val="en-US"/>
        </w:rPr>
        <w:footnoteReference w:id="232"/>
      </w:r>
    </w:p>
    <w:p w14:paraId="5F213E6D" w14:textId="30E4DA07" w:rsidR="00920327" w:rsidRPr="00C9465D" w:rsidRDefault="00BA3732" w:rsidP="00AA3C22">
      <w:pPr>
        <w:pStyle w:val="Numberedparagraphs"/>
        <w:rPr>
          <w:b/>
          <w:i/>
          <w:lang w:val="en-US"/>
        </w:rPr>
      </w:pPr>
      <w:r w:rsidRPr="00C9465D">
        <w:rPr>
          <w:lang w:val="en-US"/>
        </w:rPr>
        <w:t>Furthermore, according to information provided by expert witness</w:t>
      </w:r>
      <w:r w:rsidR="00920327" w:rsidRPr="00C9465D">
        <w:rPr>
          <w:lang w:val="en-US"/>
        </w:rPr>
        <w:t xml:space="preserve"> Claudia Chávez Ledesma, prop</w:t>
      </w:r>
      <w:r w:rsidRPr="00C9465D">
        <w:rPr>
          <w:lang w:val="en-US"/>
        </w:rPr>
        <w:t>osed by</w:t>
      </w:r>
      <w:r w:rsidR="00920327" w:rsidRPr="00C9465D">
        <w:rPr>
          <w:lang w:val="en-US"/>
        </w:rPr>
        <w:t xml:space="preserve"> </w:t>
      </w:r>
      <w:r w:rsidR="00193CBB" w:rsidRPr="00C9465D">
        <w:rPr>
          <w:lang w:val="en-US"/>
        </w:rPr>
        <w:t>the State</w:t>
      </w:r>
      <w:r w:rsidR="00920327" w:rsidRPr="00C9465D">
        <w:rPr>
          <w:lang w:val="en-US"/>
        </w:rPr>
        <w:t xml:space="preserve">, </w:t>
      </w:r>
      <w:r w:rsidRPr="00C9465D">
        <w:rPr>
          <w:lang w:val="en-US"/>
        </w:rPr>
        <w:t xml:space="preserve">when </w:t>
      </w:r>
      <w:r w:rsidR="002F3237" w:rsidRPr="00C9465D">
        <w:rPr>
          <w:lang w:val="en-US"/>
        </w:rPr>
        <w:t>Mr. Guachalá</w:t>
      </w:r>
      <w:r w:rsidR="00920327" w:rsidRPr="00C9465D">
        <w:rPr>
          <w:lang w:val="en-US"/>
        </w:rPr>
        <w:t xml:space="preserve"> </w:t>
      </w:r>
      <w:r w:rsidRPr="00C9465D">
        <w:rPr>
          <w:lang w:val="en-US"/>
        </w:rPr>
        <w:t xml:space="preserve">was hospitalized, </w:t>
      </w:r>
      <w:r w:rsidR="000D1F57" w:rsidRPr="00C9465D">
        <w:rPr>
          <w:lang w:val="en-US"/>
        </w:rPr>
        <w:t>the Rules and Regulations</w:t>
      </w:r>
      <w:r w:rsidRPr="00C9465D">
        <w:rPr>
          <w:lang w:val="en-US"/>
        </w:rPr>
        <w:t xml:space="preserve"> of the </w:t>
      </w:r>
      <w:r w:rsidR="002C5740" w:rsidRPr="00C9465D">
        <w:rPr>
          <w:lang w:val="en-US"/>
        </w:rPr>
        <w:t>Julio Endara Psychiatric Hospital</w:t>
      </w:r>
      <w:r w:rsidRPr="00C9465D">
        <w:rPr>
          <w:lang w:val="en-US"/>
        </w:rPr>
        <w:t xml:space="preserve"> were in force that established:</w:t>
      </w:r>
    </w:p>
    <w:p w14:paraId="1964B584" w14:textId="6FF70A91" w:rsidR="00920327" w:rsidRPr="00C9465D" w:rsidRDefault="00193CBB" w:rsidP="00455E4B">
      <w:pPr>
        <w:tabs>
          <w:tab w:val="left" w:pos="567"/>
        </w:tabs>
        <w:spacing w:before="120" w:after="120" w:line="240" w:lineRule="auto"/>
        <w:ind w:left="567" w:right="404"/>
        <w:jc w:val="both"/>
        <w:rPr>
          <w:rFonts w:ascii="Verdana" w:hAnsi="Verdana"/>
          <w:sz w:val="18"/>
          <w:szCs w:val="18"/>
          <w:lang w:val="en-US"/>
        </w:rPr>
      </w:pPr>
      <w:r w:rsidRPr="00C9465D">
        <w:rPr>
          <w:rFonts w:ascii="Verdana" w:hAnsi="Verdana"/>
          <w:sz w:val="18"/>
          <w:szCs w:val="18"/>
          <w:lang w:val="en-US"/>
        </w:rPr>
        <w:t>Article</w:t>
      </w:r>
      <w:r w:rsidR="00920327" w:rsidRPr="00C9465D">
        <w:rPr>
          <w:rFonts w:ascii="Verdana" w:hAnsi="Verdana"/>
          <w:sz w:val="18"/>
          <w:szCs w:val="18"/>
          <w:lang w:val="en-US"/>
        </w:rPr>
        <w:t xml:space="preserve"> 10</w:t>
      </w:r>
      <w:r w:rsidR="00BA3732" w:rsidRPr="00C9465D">
        <w:rPr>
          <w:rFonts w:ascii="Verdana" w:hAnsi="Verdana"/>
          <w:sz w:val="18"/>
          <w:szCs w:val="18"/>
          <w:lang w:val="en-US"/>
        </w:rPr>
        <w:t>. The family member or representative who accompanies the patient when he is admitted to the hospital shall be informed of the patient’s diagnosis, the treatment and the possible secondary effects of this. In addition, their collaboration shall be requested during the treatment and rehabilitation process. When these requirements have been met</w:t>
      </w:r>
      <w:r w:rsidR="00920327" w:rsidRPr="00C9465D">
        <w:rPr>
          <w:rFonts w:ascii="Verdana" w:hAnsi="Verdana"/>
          <w:sz w:val="18"/>
          <w:szCs w:val="18"/>
          <w:lang w:val="en-US"/>
        </w:rPr>
        <w:t xml:space="preserve">, </w:t>
      </w:r>
      <w:r w:rsidR="00455E4B" w:rsidRPr="00C9465D">
        <w:rPr>
          <w:rFonts w:ascii="Verdana" w:hAnsi="Verdana"/>
          <w:sz w:val="18"/>
          <w:szCs w:val="18"/>
          <w:lang w:val="en-US"/>
        </w:rPr>
        <w:t>this person</w:t>
      </w:r>
      <w:r w:rsidR="00BA3732" w:rsidRPr="00C9465D">
        <w:rPr>
          <w:rFonts w:ascii="Verdana" w:hAnsi="Verdana"/>
          <w:sz w:val="18"/>
          <w:szCs w:val="18"/>
          <w:lang w:val="en-US"/>
        </w:rPr>
        <w:t xml:space="preserve"> shall sign the authorization form included in the medical record. </w:t>
      </w:r>
    </w:p>
    <w:p w14:paraId="03479D9E" w14:textId="18836BF6" w:rsidR="007E16AE" w:rsidRPr="00C9465D" w:rsidRDefault="00193CBB" w:rsidP="00455E4B">
      <w:pPr>
        <w:tabs>
          <w:tab w:val="left" w:pos="567"/>
        </w:tabs>
        <w:spacing w:before="120" w:after="120" w:line="240" w:lineRule="auto"/>
        <w:ind w:left="567" w:right="404"/>
        <w:jc w:val="both"/>
        <w:rPr>
          <w:rFonts w:ascii="Verdana" w:hAnsi="Verdana"/>
          <w:sz w:val="18"/>
          <w:szCs w:val="18"/>
          <w:lang w:val="en-US"/>
        </w:rPr>
      </w:pPr>
      <w:r w:rsidRPr="00C9465D">
        <w:rPr>
          <w:rFonts w:ascii="Verdana" w:hAnsi="Verdana"/>
          <w:sz w:val="18"/>
          <w:szCs w:val="18"/>
          <w:lang w:val="en-US"/>
        </w:rPr>
        <w:t>Article</w:t>
      </w:r>
      <w:r w:rsidR="00920327" w:rsidRPr="00C9465D">
        <w:rPr>
          <w:rFonts w:ascii="Verdana" w:hAnsi="Verdana"/>
          <w:sz w:val="18"/>
          <w:szCs w:val="18"/>
          <w:lang w:val="en-US"/>
        </w:rPr>
        <w:t xml:space="preserve"> 11</w:t>
      </w:r>
      <w:r w:rsidR="00BA3732" w:rsidRPr="00C9465D">
        <w:rPr>
          <w:rFonts w:ascii="Verdana" w:hAnsi="Verdana"/>
          <w:sz w:val="18"/>
          <w:szCs w:val="18"/>
          <w:lang w:val="en-US"/>
        </w:rPr>
        <w:t xml:space="preserve">. The patient has the right to be informed by the treating physician of the treatment and the prognosis, in </w:t>
      </w:r>
      <w:r w:rsidR="00266DAE" w:rsidRPr="00C9465D">
        <w:rPr>
          <w:rFonts w:ascii="Verdana" w:hAnsi="Verdana"/>
          <w:sz w:val="18"/>
          <w:szCs w:val="18"/>
          <w:lang w:val="en-US"/>
        </w:rPr>
        <w:t>terms that reasonably ensure his complete comprehension, when the treating physician considers this prudent and always before he is discharged.</w:t>
      </w:r>
      <w:r w:rsidR="00920327" w:rsidRPr="00C9465D">
        <w:rPr>
          <w:rStyle w:val="FootnoteReference"/>
          <w:rFonts w:ascii="Verdana" w:hAnsi="Verdana"/>
          <w:sz w:val="18"/>
          <w:szCs w:val="18"/>
          <w:lang w:val="en-US"/>
        </w:rPr>
        <w:footnoteReference w:id="233"/>
      </w:r>
      <w:r w:rsidR="00920327" w:rsidRPr="00C9465D">
        <w:rPr>
          <w:rFonts w:ascii="Verdana" w:hAnsi="Verdana"/>
          <w:sz w:val="18"/>
          <w:szCs w:val="18"/>
          <w:lang w:val="en-US"/>
        </w:rPr>
        <w:t xml:space="preserve"> </w:t>
      </w:r>
    </w:p>
    <w:p w14:paraId="73495C72" w14:textId="7A614EF9" w:rsidR="00266DAE" w:rsidRPr="00C9465D" w:rsidRDefault="00183C22" w:rsidP="00936EAB">
      <w:pPr>
        <w:pStyle w:val="Numberedparagraphs"/>
        <w:rPr>
          <w:lang w:val="en-US"/>
        </w:rPr>
      </w:pPr>
      <w:r w:rsidRPr="00C9465D">
        <w:rPr>
          <w:lang w:val="en-US"/>
        </w:rPr>
        <w:t>This Court</w:t>
      </w:r>
      <w:r w:rsidR="00936EAB" w:rsidRPr="00C9465D">
        <w:rPr>
          <w:lang w:val="en-US"/>
        </w:rPr>
        <w:t xml:space="preserve"> </w:t>
      </w:r>
      <w:r w:rsidR="00266DAE" w:rsidRPr="00C9465D">
        <w:rPr>
          <w:lang w:val="en-US"/>
        </w:rPr>
        <w:t xml:space="preserve">notes that the Patients’ Rights </w:t>
      </w:r>
      <w:r w:rsidR="00455E4B" w:rsidRPr="00C9465D">
        <w:rPr>
          <w:lang w:val="en-US"/>
        </w:rPr>
        <w:t>Act</w:t>
      </w:r>
      <w:r w:rsidR="00266DAE" w:rsidRPr="00C9465D">
        <w:rPr>
          <w:lang w:val="en-US"/>
        </w:rPr>
        <w:t xml:space="preserve"> established the right of all patients to receive information and to decide whether they accepted or declined the medical treatment. However, the</w:t>
      </w:r>
      <w:r w:rsidR="000D1F57" w:rsidRPr="00C9465D">
        <w:rPr>
          <w:lang w:val="en-US"/>
        </w:rPr>
        <w:t xml:space="preserve"> rules and regulations </w:t>
      </w:r>
      <w:r w:rsidR="00266DAE" w:rsidRPr="00C9465D">
        <w:rPr>
          <w:lang w:val="en-US"/>
        </w:rPr>
        <w:t xml:space="preserve">of the </w:t>
      </w:r>
      <w:r w:rsidR="001F65A3" w:rsidRPr="00C9465D">
        <w:rPr>
          <w:lang w:val="en-US"/>
        </w:rPr>
        <w:t>Julio Endara Hospital</w:t>
      </w:r>
      <w:r w:rsidR="00936EAB" w:rsidRPr="00C9465D">
        <w:rPr>
          <w:lang w:val="en-US"/>
        </w:rPr>
        <w:t xml:space="preserve">, </w:t>
      </w:r>
      <w:r w:rsidR="00266DAE" w:rsidRPr="00C9465D">
        <w:rPr>
          <w:lang w:val="en-US"/>
        </w:rPr>
        <w:t>in force when</w:t>
      </w:r>
      <w:r w:rsidR="002F3237" w:rsidRPr="00C9465D">
        <w:rPr>
          <w:lang w:val="en-US"/>
        </w:rPr>
        <w:t xml:space="preserve"> Mr. Guachalá</w:t>
      </w:r>
      <w:r w:rsidR="00936EAB" w:rsidRPr="00C9465D">
        <w:rPr>
          <w:lang w:val="en-US"/>
        </w:rPr>
        <w:t xml:space="preserve"> Chimbo</w:t>
      </w:r>
      <w:r w:rsidR="00266DAE" w:rsidRPr="00C9465D">
        <w:rPr>
          <w:lang w:val="en-US"/>
        </w:rPr>
        <w:t xml:space="preserve"> was hospitalized</w:t>
      </w:r>
      <w:r w:rsidR="00455E4B" w:rsidRPr="00C9465D">
        <w:rPr>
          <w:lang w:val="en-US"/>
        </w:rPr>
        <w:t xml:space="preserve">, </w:t>
      </w:r>
      <w:r w:rsidR="00266DAE" w:rsidRPr="00C9465D">
        <w:rPr>
          <w:lang w:val="en-US"/>
        </w:rPr>
        <w:t xml:space="preserve">did not recognize this right, but used a substitute decision-making model requiring the consent of the patient’s family member or representative, </w:t>
      </w:r>
      <w:r w:rsidR="00455E4B" w:rsidRPr="00C9465D">
        <w:rPr>
          <w:lang w:val="en-US"/>
        </w:rPr>
        <w:t>rather than</w:t>
      </w:r>
      <w:r w:rsidR="00266DAE" w:rsidRPr="00C9465D">
        <w:rPr>
          <w:lang w:val="en-US"/>
        </w:rPr>
        <w:t xml:space="preserve"> </w:t>
      </w:r>
      <w:r w:rsidR="00455E4B" w:rsidRPr="00C9465D">
        <w:rPr>
          <w:lang w:val="en-US"/>
        </w:rPr>
        <w:t xml:space="preserve">that </w:t>
      </w:r>
      <w:r w:rsidR="00266DAE" w:rsidRPr="00C9465D">
        <w:rPr>
          <w:lang w:val="en-US"/>
        </w:rPr>
        <w:t xml:space="preserve">of the patient himself. Indeed, the </w:t>
      </w:r>
      <w:r w:rsidR="000D1F57" w:rsidRPr="00C9465D">
        <w:rPr>
          <w:lang w:val="en-US"/>
        </w:rPr>
        <w:t xml:space="preserve">rules and regulations </w:t>
      </w:r>
      <w:r w:rsidR="00266DAE" w:rsidRPr="00C9465D">
        <w:rPr>
          <w:lang w:val="en-US"/>
        </w:rPr>
        <w:t>did not include the obligation to obtain the patient’s informed consent; rather they established that he had the right to be informed “in terms that reasonably ensure his complete comprehension, when the treating physician considers this prudent.” Thus, the hospital’s regulations included a substitute decision-making model, giving priority to informing the family members and not the patient himself.</w:t>
      </w:r>
    </w:p>
    <w:p w14:paraId="1BA44FB5" w14:textId="7535A49B" w:rsidR="00936EAB" w:rsidRPr="00C9465D" w:rsidRDefault="00266DAE" w:rsidP="00D33055">
      <w:pPr>
        <w:pStyle w:val="Numberedparagraphs"/>
        <w:rPr>
          <w:lang w:val="en-US"/>
        </w:rPr>
      </w:pPr>
      <w:r w:rsidRPr="00C9465D">
        <w:rPr>
          <w:lang w:val="en-US"/>
        </w:rPr>
        <w:t xml:space="preserve">This paternalistic rationale for the treatment of the patient was also reflected </w:t>
      </w:r>
      <w:r w:rsidR="00D33055" w:rsidRPr="00C9465D">
        <w:rPr>
          <w:lang w:val="en-US"/>
        </w:rPr>
        <w:t>o</w:t>
      </w:r>
      <w:r w:rsidRPr="00C9465D">
        <w:rPr>
          <w:lang w:val="en-US"/>
        </w:rPr>
        <w:t xml:space="preserve">n the </w:t>
      </w:r>
      <w:r w:rsidR="00D33055" w:rsidRPr="00C9465D">
        <w:rPr>
          <w:lang w:val="en-US"/>
        </w:rPr>
        <w:t xml:space="preserve">hospitalization authorization form used by the Julio Endara Hospital, which is written assuming that it will be a third party who authorizes the hospitalization of the patient </w:t>
      </w:r>
      <w:r w:rsidR="00193CBB" w:rsidRPr="00C9465D">
        <w:rPr>
          <w:lang w:val="en-US"/>
        </w:rPr>
        <w:t xml:space="preserve">and </w:t>
      </w:r>
      <w:r w:rsidR="00D33055" w:rsidRPr="00C9465D">
        <w:rPr>
          <w:lang w:val="en-US"/>
        </w:rPr>
        <w:t>stipulates</w:t>
      </w:r>
      <w:r w:rsidR="00936EAB" w:rsidRPr="00C9465D">
        <w:rPr>
          <w:lang w:val="en-US"/>
        </w:rPr>
        <w:t xml:space="preserve"> “</w:t>
      </w:r>
      <w:r w:rsidR="00D33055" w:rsidRPr="00C9465D">
        <w:rPr>
          <w:lang w:val="en-US"/>
        </w:rPr>
        <w:t>we authorize the hospital doctors to use the treatments they consider appropriate,</w:t>
      </w:r>
      <w:r w:rsidR="00936EAB" w:rsidRPr="00C9465D">
        <w:rPr>
          <w:lang w:val="en-US"/>
        </w:rPr>
        <w:t>”</w:t>
      </w:r>
      <w:r w:rsidR="00936EAB" w:rsidRPr="00C9465D">
        <w:rPr>
          <w:rStyle w:val="FootnoteReference"/>
          <w:lang w:val="en-US"/>
        </w:rPr>
        <w:footnoteReference w:id="234"/>
      </w:r>
      <w:r w:rsidR="00D33055" w:rsidRPr="00C9465D">
        <w:rPr>
          <w:lang w:val="en-US"/>
        </w:rPr>
        <w:t xml:space="preserve"> without even specifying </w:t>
      </w:r>
      <w:r w:rsidR="00455E4B" w:rsidRPr="00C9465D">
        <w:rPr>
          <w:lang w:val="en-US"/>
        </w:rPr>
        <w:t>the nature of the</w:t>
      </w:r>
      <w:r w:rsidR="00D33055" w:rsidRPr="00C9465D">
        <w:rPr>
          <w:lang w:val="en-US"/>
        </w:rPr>
        <w:t xml:space="preserve"> treatmen</w:t>
      </w:r>
      <w:r w:rsidR="00455E4B" w:rsidRPr="00C9465D">
        <w:rPr>
          <w:lang w:val="en-US"/>
        </w:rPr>
        <w:t xml:space="preserve">ts </w:t>
      </w:r>
      <w:r w:rsidR="00D33055" w:rsidRPr="00C9465D">
        <w:rPr>
          <w:lang w:val="en-US"/>
        </w:rPr>
        <w:t>to which the person will be submitted</w:t>
      </w:r>
      <w:r w:rsidR="00455E4B" w:rsidRPr="00C9465D">
        <w:rPr>
          <w:lang w:val="en-US"/>
        </w:rPr>
        <w:t>.</w:t>
      </w:r>
    </w:p>
    <w:p w14:paraId="1D62E1E8" w14:textId="5A061A55" w:rsidR="00763E57" w:rsidRPr="00C9465D" w:rsidRDefault="00763E57" w:rsidP="00763E57">
      <w:pPr>
        <w:pStyle w:val="Numberedparagraphs"/>
        <w:rPr>
          <w:sz w:val="16"/>
          <w:szCs w:val="16"/>
          <w:lang w:val="en-US"/>
        </w:rPr>
      </w:pPr>
      <w:r w:rsidRPr="00C9465D">
        <w:rPr>
          <w:lang w:val="en-US"/>
        </w:rPr>
        <w:t>Ad</w:t>
      </w:r>
      <w:r w:rsidR="00D33055" w:rsidRPr="00C9465D">
        <w:rPr>
          <w:lang w:val="en-US"/>
        </w:rPr>
        <w:t>ditionally, in its answering brief, the State itself indicated that:</w:t>
      </w:r>
    </w:p>
    <w:p w14:paraId="0DA79D2B" w14:textId="356B5A03" w:rsidR="00A64968" w:rsidRPr="00C9465D" w:rsidRDefault="00193CBB" w:rsidP="00D33055">
      <w:pPr>
        <w:autoSpaceDE w:val="0"/>
        <w:autoSpaceDN w:val="0"/>
        <w:adjustRightInd w:val="0"/>
        <w:spacing w:before="120" w:after="120" w:line="240" w:lineRule="auto"/>
        <w:ind w:left="567" w:right="404"/>
        <w:jc w:val="both"/>
        <w:rPr>
          <w:rFonts w:ascii="Verdana" w:hAnsi="Verdana" w:cs="Arial"/>
          <w:sz w:val="18"/>
          <w:szCs w:val="18"/>
          <w:lang w:val="en-US"/>
        </w:rPr>
      </w:pPr>
      <w:r w:rsidRPr="00C9465D">
        <w:rPr>
          <w:rFonts w:ascii="Verdana" w:hAnsi="Verdana" w:cs="Arial"/>
          <w:sz w:val="18"/>
          <w:szCs w:val="18"/>
          <w:lang w:val="en-US"/>
        </w:rPr>
        <w:t>The State</w:t>
      </w:r>
      <w:r w:rsidR="00763E57" w:rsidRPr="00C9465D">
        <w:rPr>
          <w:rFonts w:ascii="Verdana" w:hAnsi="Verdana" w:cs="Arial"/>
          <w:sz w:val="18"/>
          <w:szCs w:val="18"/>
          <w:lang w:val="en-US"/>
        </w:rPr>
        <w:t xml:space="preserve"> ha</w:t>
      </w:r>
      <w:r w:rsidR="00D33055" w:rsidRPr="00C9465D">
        <w:rPr>
          <w:rFonts w:ascii="Verdana" w:hAnsi="Verdana" w:cs="Arial"/>
          <w:sz w:val="18"/>
          <w:szCs w:val="18"/>
          <w:lang w:val="en-US"/>
        </w:rPr>
        <w:t xml:space="preserve">s </w:t>
      </w:r>
      <w:r w:rsidR="00C971B8" w:rsidRPr="00C9465D">
        <w:rPr>
          <w:rFonts w:ascii="Verdana" w:hAnsi="Verdana" w:cs="Arial"/>
          <w:sz w:val="18"/>
          <w:szCs w:val="18"/>
          <w:lang w:val="en-US"/>
        </w:rPr>
        <w:t>officially</w:t>
      </w:r>
      <w:r w:rsidR="00D33055" w:rsidRPr="00C9465D">
        <w:rPr>
          <w:rFonts w:ascii="Verdana" w:hAnsi="Verdana" w:cs="Arial"/>
          <w:sz w:val="18"/>
          <w:szCs w:val="18"/>
          <w:lang w:val="en-US"/>
        </w:rPr>
        <w:t xml:space="preserve"> recognized that informed </w:t>
      </w:r>
      <w:r w:rsidR="00183C22" w:rsidRPr="00C9465D">
        <w:rPr>
          <w:rFonts w:ascii="Verdana" w:hAnsi="Verdana" w:cs="Arial"/>
          <w:sz w:val="18"/>
          <w:szCs w:val="18"/>
          <w:lang w:val="en-US"/>
        </w:rPr>
        <w:t>consent</w:t>
      </w:r>
      <w:r w:rsidR="00763E57" w:rsidRPr="00C9465D">
        <w:rPr>
          <w:rFonts w:ascii="Verdana" w:hAnsi="Verdana" w:cs="Arial"/>
          <w:sz w:val="18"/>
          <w:szCs w:val="18"/>
          <w:lang w:val="en-US"/>
        </w:rPr>
        <w:t xml:space="preserve"> </w:t>
      </w:r>
      <w:r w:rsidR="00D33055" w:rsidRPr="00C9465D">
        <w:rPr>
          <w:rFonts w:ascii="Verdana" w:hAnsi="Verdana" w:cs="Arial"/>
          <w:sz w:val="18"/>
          <w:szCs w:val="18"/>
          <w:lang w:val="en-US"/>
        </w:rPr>
        <w:t>is a process of communication and deliberation that forms part of a health-based relationship between medical professionals and patients and in which a person voluntarily accepts, refuses or cancels a health-based intervention or treatment. It is evident that, in the case of children and adolescents, and persons with disabilities, it is the family who provides this consent.</w:t>
      </w:r>
      <w:r w:rsidR="00763E57" w:rsidRPr="00C9465D">
        <w:rPr>
          <w:rStyle w:val="FootnoteReference"/>
          <w:rFonts w:ascii="Verdana" w:hAnsi="Verdana" w:cs="Arial"/>
          <w:sz w:val="18"/>
          <w:szCs w:val="18"/>
          <w:lang w:val="en-US"/>
        </w:rPr>
        <w:footnoteReference w:id="235"/>
      </w:r>
    </w:p>
    <w:p w14:paraId="63DBABCF" w14:textId="5A947B7B" w:rsidR="00D33055" w:rsidRPr="00C9465D" w:rsidRDefault="00D33055" w:rsidP="00A64968">
      <w:pPr>
        <w:pStyle w:val="Numberedparagraphs"/>
        <w:rPr>
          <w:sz w:val="16"/>
          <w:szCs w:val="16"/>
          <w:lang w:val="en-US"/>
        </w:rPr>
      </w:pPr>
      <w:r w:rsidRPr="00C9465D">
        <w:rPr>
          <w:lang w:val="en-US"/>
        </w:rPr>
        <w:t xml:space="preserve">In the instant case, when </w:t>
      </w:r>
      <w:r w:rsidR="002F3237" w:rsidRPr="00C9465D">
        <w:rPr>
          <w:lang w:val="en-US"/>
        </w:rPr>
        <w:t>Mr. Guachalá</w:t>
      </w:r>
      <w:r w:rsidR="00920327" w:rsidRPr="00C9465D">
        <w:rPr>
          <w:lang w:val="en-US"/>
        </w:rPr>
        <w:t xml:space="preserve"> Chimbo </w:t>
      </w:r>
      <w:r w:rsidRPr="00C9465D">
        <w:rPr>
          <w:lang w:val="en-US"/>
        </w:rPr>
        <w:t xml:space="preserve">was admitted to the hospital, he had not given his consent; the consent was given by </w:t>
      </w:r>
      <w:r w:rsidR="000C55B3" w:rsidRPr="00C9465D">
        <w:rPr>
          <w:lang w:val="en-US"/>
        </w:rPr>
        <w:t>his mother</w:t>
      </w:r>
      <w:r w:rsidR="00920327" w:rsidRPr="00C9465D">
        <w:rPr>
          <w:lang w:val="en-US"/>
        </w:rPr>
        <w:t xml:space="preserve">. </w:t>
      </w:r>
      <w:r w:rsidRPr="00C9465D">
        <w:rPr>
          <w:lang w:val="en-US"/>
        </w:rPr>
        <w:t xml:space="preserve">There is no record in the case file of whether </w:t>
      </w:r>
      <w:r w:rsidR="002F3237" w:rsidRPr="00C9465D">
        <w:rPr>
          <w:lang w:val="en-US"/>
        </w:rPr>
        <w:t>Mr. Guachalá</w:t>
      </w:r>
      <w:r w:rsidR="00936EAB" w:rsidRPr="00C9465D">
        <w:rPr>
          <w:lang w:val="en-US"/>
        </w:rPr>
        <w:t xml:space="preserve"> Chimbo </w:t>
      </w:r>
      <w:r w:rsidRPr="00C9465D">
        <w:rPr>
          <w:lang w:val="en-US"/>
        </w:rPr>
        <w:t>was provided with any type of information on</w:t>
      </w:r>
      <w:r w:rsidR="00B4099D" w:rsidRPr="00C9465D">
        <w:rPr>
          <w:lang w:val="en-US"/>
        </w:rPr>
        <w:t xml:space="preserve">, </w:t>
      </w:r>
      <w:r w:rsidR="00B4099D" w:rsidRPr="00C9465D">
        <w:rPr>
          <w:i/>
          <w:iCs/>
          <w:lang w:val="en-US"/>
        </w:rPr>
        <w:t>inter alia,</w:t>
      </w:r>
      <w:r w:rsidRPr="00C9465D">
        <w:rPr>
          <w:lang w:val="en-US"/>
        </w:rPr>
        <w:t xml:space="preserve"> his diagnosis, the treatment he would receive</w:t>
      </w:r>
      <w:r w:rsidR="00B4099D" w:rsidRPr="00C9465D">
        <w:rPr>
          <w:lang w:val="en-US"/>
        </w:rPr>
        <w:t xml:space="preserve">, possible secondary effects, alternative treatments, </w:t>
      </w:r>
      <w:r w:rsidR="008964D7" w:rsidRPr="00C9465D">
        <w:rPr>
          <w:lang w:val="en-US"/>
        </w:rPr>
        <w:t xml:space="preserve">and </w:t>
      </w:r>
      <w:r w:rsidR="00B4099D" w:rsidRPr="00C9465D">
        <w:rPr>
          <w:lang w:val="en-US"/>
        </w:rPr>
        <w:t xml:space="preserve">the probable length of his hospitalization and treatment, or that an attempt was made to obtain his consent for the hospitalization and the treatments that he would receive. Furthermore, there is no record that the hospital tried to use any support mechanism to respect Mr. Guachalá Chimbo’s wishes. And, after obtaining his mother’s consent, the </w:t>
      </w:r>
      <w:r w:rsidR="00B4099D" w:rsidRPr="00C9465D">
        <w:rPr>
          <w:lang w:val="en-US"/>
        </w:rPr>
        <w:lastRenderedPageBreak/>
        <w:t>presumed victim was immediately sedated and there is no record that, subsequently, any measure was taken to obtain his consent.</w:t>
      </w:r>
    </w:p>
    <w:p w14:paraId="3D627BA9" w14:textId="72287986" w:rsidR="003B7608" w:rsidRPr="00C9465D" w:rsidRDefault="00193CBB" w:rsidP="00AA3C22">
      <w:pPr>
        <w:pStyle w:val="Numberedparagraphs"/>
        <w:rPr>
          <w:sz w:val="16"/>
          <w:szCs w:val="16"/>
          <w:lang w:val="en-US"/>
        </w:rPr>
      </w:pPr>
      <w:r w:rsidRPr="00C9465D">
        <w:rPr>
          <w:lang w:val="en-US"/>
        </w:rPr>
        <w:t>The State</w:t>
      </w:r>
      <w:r w:rsidR="003B7608" w:rsidRPr="00C9465D">
        <w:rPr>
          <w:lang w:val="en-US"/>
        </w:rPr>
        <w:t xml:space="preserve"> excus</w:t>
      </w:r>
      <w:r w:rsidR="00B4099D" w:rsidRPr="00C9465D">
        <w:rPr>
          <w:lang w:val="en-US"/>
        </w:rPr>
        <w:t>ed this failure by arguing that, at the time of his hospitalization,</w:t>
      </w:r>
      <w:r w:rsidR="003B7608" w:rsidRPr="00C9465D">
        <w:rPr>
          <w:lang w:val="en-US"/>
        </w:rPr>
        <w:t xml:space="preserve"> </w:t>
      </w:r>
      <w:r w:rsidR="002F3237" w:rsidRPr="00C9465D">
        <w:rPr>
          <w:lang w:val="en-US"/>
        </w:rPr>
        <w:t>Mr. Guachalá</w:t>
      </w:r>
      <w:r w:rsidR="003B7608" w:rsidRPr="00C9465D">
        <w:rPr>
          <w:lang w:val="en-US"/>
        </w:rPr>
        <w:t xml:space="preserve"> </w:t>
      </w:r>
      <w:r w:rsidR="00B4099D" w:rsidRPr="00C9465D">
        <w:rPr>
          <w:lang w:val="en-US"/>
        </w:rPr>
        <w:t>was in an “acute and critical condition.”</w:t>
      </w:r>
    </w:p>
    <w:p w14:paraId="4E0EEE5F" w14:textId="4C9AC9C6" w:rsidR="002C20CB" w:rsidRPr="00C9465D" w:rsidRDefault="00183C22" w:rsidP="00B4099D">
      <w:pPr>
        <w:pStyle w:val="Numberedparagraphs"/>
        <w:rPr>
          <w:lang w:val="en-US"/>
        </w:rPr>
      </w:pPr>
      <w:r w:rsidRPr="00C9465D">
        <w:rPr>
          <w:lang w:val="en-US"/>
        </w:rPr>
        <w:t>This Court</w:t>
      </w:r>
      <w:r w:rsidR="00AA23E4" w:rsidRPr="00C9465D">
        <w:rPr>
          <w:lang w:val="en-US"/>
        </w:rPr>
        <w:t xml:space="preserve"> ha</w:t>
      </w:r>
      <w:r w:rsidR="00B4099D" w:rsidRPr="00C9465D">
        <w:rPr>
          <w:lang w:val="en-US"/>
        </w:rPr>
        <w:t>s established that exceptions do exist where health care personnel may act without requiring con</w:t>
      </w:r>
      <w:r w:rsidR="008964D7" w:rsidRPr="00C9465D">
        <w:rPr>
          <w:lang w:val="en-US"/>
        </w:rPr>
        <w:t>s</w:t>
      </w:r>
      <w:r w:rsidR="00B4099D" w:rsidRPr="00C9465D">
        <w:rPr>
          <w:lang w:val="en-US"/>
        </w:rPr>
        <w:t xml:space="preserve">ent in cases in which this cannot be given by the person concerned and an immediate urgent or emergency medical or surgical intervention is necessary, given a serious risk </w:t>
      </w:r>
      <w:r w:rsidR="008964D7" w:rsidRPr="00C9465D">
        <w:rPr>
          <w:lang w:val="en-US"/>
        </w:rPr>
        <w:t>to</w:t>
      </w:r>
      <w:r w:rsidR="00B4099D" w:rsidRPr="00C9465D">
        <w:rPr>
          <w:lang w:val="en-US"/>
        </w:rPr>
        <w:t xml:space="preserve"> the patient’s health or life.</w:t>
      </w:r>
      <w:r w:rsidR="001E58D9" w:rsidRPr="00C9465D">
        <w:rPr>
          <w:rStyle w:val="FootnoteReference"/>
          <w:lang w:val="en-US"/>
        </w:rPr>
        <w:footnoteReference w:id="236"/>
      </w:r>
      <w:r w:rsidR="001E58D9" w:rsidRPr="00C9465D">
        <w:rPr>
          <w:lang w:val="en-US"/>
        </w:rPr>
        <w:t xml:space="preserve"> </w:t>
      </w:r>
      <w:r w:rsidRPr="00C9465D">
        <w:rPr>
          <w:lang w:val="en-US"/>
        </w:rPr>
        <w:t>The Court</w:t>
      </w:r>
      <w:r w:rsidR="00AA23E4" w:rsidRPr="00C9465D">
        <w:rPr>
          <w:lang w:val="en-US"/>
        </w:rPr>
        <w:t xml:space="preserve"> ha</w:t>
      </w:r>
      <w:r w:rsidR="00B4099D" w:rsidRPr="00C9465D">
        <w:rPr>
          <w:lang w:val="en-US"/>
        </w:rPr>
        <w:t>s considered that urgency or emergency refers to the imminence of a risk and, consequently, of a situation in which the intervention is necessary and cannot be postponed, excluding those cases in which it is possible to wait to obtain consent.</w:t>
      </w:r>
      <w:r w:rsidR="00AA23E4" w:rsidRPr="00C9465D">
        <w:rPr>
          <w:rStyle w:val="FootnoteReference"/>
          <w:lang w:val="en-US"/>
        </w:rPr>
        <w:footnoteReference w:id="237"/>
      </w:r>
      <w:r w:rsidR="00AA23E4" w:rsidRPr="00C9465D">
        <w:rPr>
          <w:lang w:val="en-US"/>
        </w:rPr>
        <w:t xml:space="preserve"> </w:t>
      </w:r>
    </w:p>
    <w:p w14:paraId="11A55F4D" w14:textId="55179A69" w:rsidR="001E58D9" w:rsidRPr="00C9465D" w:rsidRDefault="00D1004F" w:rsidP="00D1004F">
      <w:pPr>
        <w:pStyle w:val="Numberedparagraphs"/>
        <w:tabs>
          <w:tab w:val="left" w:pos="567"/>
          <w:tab w:val="num" w:pos="720"/>
        </w:tabs>
        <w:rPr>
          <w:b/>
          <w:i/>
          <w:strike/>
          <w:lang w:val="en-US"/>
        </w:rPr>
      </w:pPr>
      <w:r w:rsidRPr="00C9465D">
        <w:rPr>
          <w:lang w:val="en-US"/>
        </w:rPr>
        <w:t xml:space="preserve">In the instant case, </w:t>
      </w:r>
      <w:r w:rsidR="002F3237" w:rsidRPr="00C9465D">
        <w:rPr>
          <w:lang w:val="en-US"/>
        </w:rPr>
        <w:t>Mr. Guachalá</w:t>
      </w:r>
      <w:r w:rsidR="001E58D9" w:rsidRPr="00C9465D">
        <w:rPr>
          <w:lang w:val="en-US"/>
        </w:rPr>
        <w:t xml:space="preserve"> Chimbo </w:t>
      </w:r>
      <w:r w:rsidRPr="00C9465D">
        <w:rPr>
          <w:lang w:val="en-US"/>
        </w:rPr>
        <w:t xml:space="preserve">was unable to </w:t>
      </w:r>
      <w:r w:rsidR="008964D7" w:rsidRPr="00C9465D">
        <w:rPr>
          <w:lang w:val="en-US"/>
        </w:rPr>
        <w:t>a</w:t>
      </w:r>
      <w:r w:rsidRPr="00C9465D">
        <w:rPr>
          <w:lang w:val="en-US"/>
        </w:rPr>
        <w:t xml:space="preserve">ccess the medication he needed to control his illness. Before his hospitalization, he was having epileptic seizures every half hour. According to Mrs. Chimbo’s statement, her son was awake during his transfer to the hospital; she explained to him that he was being taken to the hospital </w:t>
      </w:r>
      <w:r w:rsidR="00193CBB" w:rsidRPr="00C9465D">
        <w:rPr>
          <w:lang w:val="en-US"/>
        </w:rPr>
        <w:t xml:space="preserve">and </w:t>
      </w:r>
      <w:r w:rsidR="002F3237" w:rsidRPr="00C9465D">
        <w:rPr>
          <w:lang w:val="en-US"/>
        </w:rPr>
        <w:t>Mr. Guachalá</w:t>
      </w:r>
      <w:r w:rsidR="001E58D9" w:rsidRPr="00C9465D">
        <w:rPr>
          <w:lang w:val="en-US"/>
        </w:rPr>
        <w:t xml:space="preserve"> Chimbo </w:t>
      </w:r>
      <w:r w:rsidRPr="00C9465D">
        <w:rPr>
          <w:lang w:val="en-US"/>
        </w:rPr>
        <w:t>told her that he was in agreement.</w:t>
      </w:r>
      <w:r w:rsidR="001E58D9" w:rsidRPr="00C9465D">
        <w:rPr>
          <w:rStyle w:val="FootnoteReference"/>
          <w:lang w:val="en-US"/>
        </w:rPr>
        <w:footnoteReference w:id="238"/>
      </w:r>
      <w:r w:rsidRPr="00C9465D">
        <w:rPr>
          <w:lang w:val="en-US"/>
        </w:rPr>
        <w:t xml:space="preserve"> According to the hospital records, </w:t>
      </w:r>
      <w:r w:rsidR="008964D7" w:rsidRPr="00C9465D">
        <w:rPr>
          <w:lang w:val="en-US"/>
        </w:rPr>
        <w:t xml:space="preserve">at the time of </w:t>
      </w:r>
      <w:r w:rsidRPr="00C9465D">
        <w:rPr>
          <w:lang w:val="en-US"/>
        </w:rPr>
        <w:t>the physical examination performed on admittance, he was “mute, and uncooperative during the interview and physical examination.</w:t>
      </w:r>
      <w:r w:rsidR="001E58D9" w:rsidRPr="00C9465D">
        <w:rPr>
          <w:lang w:val="en-US"/>
        </w:rPr>
        <w:t>”</w:t>
      </w:r>
      <w:r w:rsidR="001E58D9" w:rsidRPr="00C9465D">
        <w:rPr>
          <w:rStyle w:val="FootnoteReference"/>
          <w:lang w:val="en-US"/>
        </w:rPr>
        <w:footnoteReference w:id="239"/>
      </w:r>
      <w:r w:rsidRPr="00C9465D">
        <w:rPr>
          <w:lang w:val="en-US"/>
        </w:rPr>
        <w:t xml:space="preserve"> In this regard, one of the expert witnesses indicated that, when he was taken to the Julio Endara Hospital, </w:t>
      </w:r>
      <w:r w:rsidR="002F3237" w:rsidRPr="00C9465D">
        <w:rPr>
          <w:lang w:val="en-US"/>
        </w:rPr>
        <w:t>Mr. Guachalá</w:t>
      </w:r>
      <w:r w:rsidR="001E58D9" w:rsidRPr="00C9465D">
        <w:rPr>
          <w:lang w:val="en-US"/>
        </w:rPr>
        <w:t xml:space="preserve"> Chimbo</w:t>
      </w:r>
      <w:r w:rsidRPr="00C9465D">
        <w:rPr>
          <w:lang w:val="en-US"/>
        </w:rPr>
        <w:t>’s condition was a psychiatric emergency.”</w:t>
      </w:r>
      <w:r w:rsidR="001E58D9" w:rsidRPr="00C9465D">
        <w:rPr>
          <w:rStyle w:val="FootnoteReference"/>
          <w:lang w:val="en-US"/>
        </w:rPr>
        <w:footnoteReference w:id="240"/>
      </w:r>
    </w:p>
    <w:p w14:paraId="2F0A2624" w14:textId="0D297FF8" w:rsidR="001E58D9" w:rsidRPr="00C9465D" w:rsidRDefault="00D1004F" w:rsidP="005043CC">
      <w:pPr>
        <w:pStyle w:val="Numberedparagraphs"/>
        <w:rPr>
          <w:rFonts w:eastAsia="Calibri"/>
          <w:lang w:val="en-US"/>
        </w:rPr>
      </w:pPr>
      <w:r w:rsidRPr="00C9465D">
        <w:rPr>
          <w:rFonts w:eastAsia="Calibri"/>
          <w:lang w:val="en-US"/>
        </w:rPr>
        <w:t>On this point</w:t>
      </w:r>
      <w:r w:rsidR="001E58D9" w:rsidRPr="00C9465D">
        <w:rPr>
          <w:rFonts w:eastAsia="Calibri"/>
          <w:lang w:val="en-US"/>
        </w:rPr>
        <w:t xml:space="preserve">, </w:t>
      </w:r>
      <w:r w:rsidRPr="00C9465D">
        <w:rPr>
          <w:lang w:val="en-US"/>
        </w:rPr>
        <w:t>the</w:t>
      </w:r>
      <w:r w:rsidR="001E58D9" w:rsidRPr="00C9465D">
        <w:rPr>
          <w:lang w:val="en-US"/>
        </w:rPr>
        <w:t xml:space="preserve"> </w:t>
      </w:r>
      <w:r w:rsidR="00813093" w:rsidRPr="00C9465D">
        <w:rPr>
          <w:lang w:val="en-US"/>
        </w:rPr>
        <w:t>Committee on the Rights of Persons with Disabilities</w:t>
      </w:r>
      <w:r w:rsidR="001E58D9" w:rsidRPr="00C9465D">
        <w:rPr>
          <w:lang w:val="en-US"/>
        </w:rPr>
        <w:t xml:space="preserve"> ha</w:t>
      </w:r>
      <w:r w:rsidRPr="00C9465D">
        <w:rPr>
          <w:lang w:val="en-US"/>
        </w:rPr>
        <w:t xml:space="preserve">s indicated that, </w:t>
      </w:r>
      <w:r w:rsidR="00C150DE" w:rsidRPr="00C9465D">
        <w:rPr>
          <w:lang w:val="en-US"/>
        </w:rPr>
        <w:t>even in crisis situations, persons with disabilities should be given support, providing them with accurate and accessible information about available service options and offering them non-medical alternatives.</w:t>
      </w:r>
      <w:r w:rsidR="001E58D9" w:rsidRPr="00C9465D">
        <w:rPr>
          <w:rStyle w:val="FootnoteReference"/>
          <w:lang w:val="en-US"/>
        </w:rPr>
        <w:footnoteReference w:id="241"/>
      </w:r>
      <w:r w:rsidR="001E58D9" w:rsidRPr="00C9465D">
        <w:rPr>
          <w:lang w:val="en-US"/>
        </w:rPr>
        <w:t xml:space="preserve">. </w:t>
      </w:r>
      <w:r w:rsidR="00C150DE" w:rsidRPr="00C9465D">
        <w:rPr>
          <w:lang w:val="en-US"/>
        </w:rPr>
        <w:t xml:space="preserve">Only in cases of the absence of advance planning measures </w:t>
      </w:r>
      <w:r w:rsidR="001E58D9" w:rsidRPr="00C9465D">
        <w:rPr>
          <w:lang w:val="en-US"/>
        </w:rPr>
        <w:t>(</w:t>
      </w:r>
      <w:r w:rsidR="001E58D9" w:rsidRPr="00C9465D">
        <w:rPr>
          <w:i/>
          <w:lang w:val="en-US"/>
        </w:rPr>
        <w:t xml:space="preserve">supra </w:t>
      </w:r>
      <w:r w:rsidR="00D8466F" w:rsidRPr="00C9465D">
        <w:rPr>
          <w:lang w:val="en-US"/>
        </w:rPr>
        <w:t>para.</w:t>
      </w:r>
      <w:r w:rsidR="001E58D9" w:rsidRPr="00C9465D">
        <w:rPr>
          <w:lang w:val="en-US"/>
        </w:rPr>
        <w:t xml:space="preserve"> </w:t>
      </w:r>
      <w:r w:rsidR="0020567B" w:rsidRPr="00C9465D">
        <w:rPr>
          <w:lang w:val="en-US"/>
        </w:rPr>
        <w:fldChar w:fldCharType="begin"/>
      </w:r>
      <w:r w:rsidR="0020567B" w:rsidRPr="00C9465D">
        <w:rPr>
          <w:lang w:val="en-US"/>
        </w:rPr>
        <w:instrText xml:space="preserve"> REF _Ref72158840 \r \h </w:instrText>
      </w:r>
      <w:r w:rsidR="00496133" w:rsidRPr="00C9465D">
        <w:rPr>
          <w:lang w:val="en-US"/>
        </w:rPr>
        <w:instrText xml:space="preserve"> \* MERGEFORMAT </w:instrText>
      </w:r>
      <w:r w:rsidR="0020567B" w:rsidRPr="00C9465D">
        <w:rPr>
          <w:lang w:val="en-US"/>
        </w:rPr>
      </w:r>
      <w:r w:rsidR="0020567B" w:rsidRPr="00C9465D">
        <w:rPr>
          <w:lang w:val="en-US"/>
        </w:rPr>
        <w:fldChar w:fldCharType="separate"/>
      </w:r>
      <w:r w:rsidR="0020567B" w:rsidRPr="00C9465D">
        <w:rPr>
          <w:lang w:val="en-US"/>
        </w:rPr>
        <w:t>124</w:t>
      </w:r>
      <w:r w:rsidR="0020567B" w:rsidRPr="00C9465D">
        <w:rPr>
          <w:lang w:val="en-US"/>
        </w:rPr>
        <w:fldChar w:fldCharType="end"/>
      </w:r>
      <w:r w:rsidR="001E58D9" w:rsidRPr="00C9465D">
        <w:rPr>
          <w:lang w:val="en-US"/>
        </w:rPr>
        <w:t>)</w:t>
      </w:r>
      <w:r w:rsidR="00A258F7" w:rsidRPr="00C9465D">
        <w:rPr>
          <w:lang w:val="en-US"/>
        </w:rPr>
        <w:t>,</w:t>
      </w:r>
      <w:r w:rsidR="00193CBB" w:rsidRPr="00C9465D">
        <w:rPr>
          <w:lang w:val="en-US"/>
        </w:rPr>
        <w:t xml:space="preserve"> and </w:t>
      </w:r>
      <w:r w:rsidR="00C150DE" w:rsidRPr="00C9465D">
        <w:rPr>
          <w:lang w:val="en-US"/>
        </w:rPr>
        <w:t>that,</w:t>
      </w:r>
      <w:r w:rsidR="005043CC" w:rsidRPr="00C9465D">
        <w:rPr>
          <w:lang w:val="en-US"/>
        </w:rPr>
        <w:t xml:space="preserve"> </w:t>
      </w:r>
      <w:r w:rsidR="00C150DE" w:rsidRPr="00C9465D">
        <w:rPr>
          <w:lang w:val="en-US"/>
        </w:rPr>
        <w:t>after “significant efforts” have been made to obtain consent, it has not been possible to determine a person’s will and preference, is it permissible to apply the “best interpretation of will and preference” standard.</w:t>
      </w:r>
      <w:r w:rsidR="001E58D9" w:rsidRPr="00C9465D">
        <w:rPr>
          <w:lang w:val="en-US"/>
        </w:rPr>
        <w:t>”</w:t>
      </w:r>
      <w:r w:rsidR="001E58D9" w:rsidRPr="00C9465D">
        <w:rPr>
          <w:rStyle w:val="FootnoteReference"/>
          <w:lang w:val="en-US"/>
        </w:rPr>
        <w:footnoteReference w:id="242"/>
      </w:r>
      <w:r w:rsidR="001E58D9" w:rsidRPr="00C9465D">
        <w:rPr>
          <w:lang w:val="en-US"/>
        </w:rPr>
        <w:t xml:space="preserve">. </w:t>
      </w:r>
      <w:r w:rsidR="00C150DE" w:rsidRPr="00C9465D">
        <w:rPr>
          <w:lang w:val="en-US"/>
        </w:rPr>
        <w:t xml:space="preserve">This standard “implies ascertaining what the person would have wanted” taking </w:t>
      </w:r>
      <w:r w:rsidR="005043CC" w:rsidRPr="00C9465D">
        <w:rPr>
          <w:lang w:val="en-US"/>
        </w:rPr>
        <w:t>into account “the previously manifested preferences, values, attitudes, narratives and actions, inclusive of verbal or non-verbal communication, of the person concerned</w:t>
      </w:r>
      <w:r w:rsidR="005043CC" w:rsidRPr="00C9465D">
        <w:rPr>
          <w:rFonts w:eastAsia="Calibri"/>
          <w:lang w:val="en-US"/>
        </w:rPr>
        <w:t>.</w:t>
      </w:r>
      <w:r w:rsidR="001E58D9" w:rsidRPr="00C9465D">
        <w:rPr>
          <w:lang w:val="en-US"/>
        </w:rPr>
        <w:t>”</w:t>
      </w:r>
      <w:r w:rsidR="001E58D9" w:rsidRPr="00C9465D">
        <w:rPr>
          <w:vertAlign w:val="superscript"/>
          <w:lang w:val="en-US"/>
        </w:rPr>
        <w:footnoteReference w:id="243"/>
      </w:r>
      <w:r w:rsidR="005043CC" w:rsidRPr="00C9465D">
        <w:rPr>
          <w:lang w:val="en-US"/>
        </w:rPr>
        <w:t xml:space="preserve"> It does not constitute a determination based on his “best interest”</w:t>
      </w:r>
      <w:r w:rsidR="001E58D9" w:rsidRPr="00C9465D">
        <w:rPr>
          <w:lang w:val="en-US"/>
        </w:rPr>
        <w:t xml:space="preserve"> </w:t>
      </w:r>
      <w:r w:rsidR="005043CC" w:rsidRPr="00C9465D">
        <w:rPr>
          <w:lang w:val="en-US"/>
        </w:rPr>
        <w:t>because this is not a safeguard that complies with respect for the right to legal capacity in relation to adults.</w:t>
      </w:r>
      <w:r w:rsidR="001E58D9" w:rsidRPr="00C9465D">
        <w:rPr>
          <w:rStyle w:val="FootnoteReference"/>
          <w:lang w:val="en-US"/>
        </w:rPr>
        <w:footnoteReference w:id="244"/>
      </w:r>
      <w:r w:rsidR="005043CC" w:rsidRPr="00C9465D">
        <w:rPr>
          <w:lang w:val="en-US"/>
        </w:rPr>
        <w:t xml:space="preserve"> Also, according to the expert opinion of </w:t>
      </w:r>
      <w:r w:rsidR="001E58D9" w:rsidRPr="00C9465D">
        <w:rPr>
          <w:lang w:val="en-US"/>
        </w:rPr>
        <w:t xml:space="preserve">Christian </w:t>
      </w:r>
      <w:r w:rsidR="001E58D9" w:rsidRPr="00C9465D">
        <w:rPr>
          <w:lang w:val="en-US"/>
        </w:rPr>
        <w:lastRenderedPageBreak/>
        <w:t xml:space="preserve">Courtis, </w:t>
      </w:r>
      <w:r w:rsidR="005043CC" w:rsidRPr="00C9465D">
        <w:rPr>
          <w:lang w:val="en-US"/>
        </w:rPr>
        <w:t xml:space="preserve">in such cases, “the authorities have the obligation to address their actions at re-establishing the capacity to </w:t>
      </w:r>
      <w:r w:rsidR="00B63846" w:rsidRPr="00C9465D">
        <w:rPr>
          <w:lang w:val="en-US"/>
        </w:rPr>
        <w:t>consent</w:t>
      </w:r>
      <w:r w:rsidR="005043CC" w:rsidRPr="00C9465D">
        <w:rPr>
          <w:lang w:val="en-US"/>
        </w:rPr>
        <w:t>; this may also be considered a measure of support.</w:t>
      </w:r>
      <w:r w:rsidR="001E58D9" w:rsidRPr="00C9465D">
        <w:rPr>
          <w:rFonts w:cs="Times"/>
          <w:lang w:val="en-US"/>
        </w:rPr>
        <w:t>”</w:t>
      </w:r>
      <w:r w:rsidR="001E58D9" w:rsidRPr="00C9465D">
        <w:rPr>
          <w:rStyle w:val="FootnoteReference"/>
          <w:rFonts w:eastAsia="Calibri"/>
          <w:lang w:val="en-US"/>
        </w:rPr>
        <w:footnoteReference w:id="245"/>
      </w:r>
    </w:p>
    <w:p w14:paraId="5201710D" w14:textId="1E7700B4" w:rsidR="00B80663" w:rsidRPr="00C9465D" w:rsidRDefault="005F4DF9" w:rsidP="00B80663">
      <w:pPr>
        <w:pStyle w:val="Numberedparagraphs"/>
        <w:rPr>
          <w:sz w:val="16"/>
          <w:szCs w:val="16"/>
          <w:lang w:val="en-US"/>
        </w:rPr>
      </w:pPr>
      <w:r w:rsidRPr="00C9465D">
        <w:rPr>
          <w:lang w:val="en-US"/>
        </w:rPr>
        <w:t>T</w:t>
      </w:r>
      <w:r w:rsidR="005043CC" w:rsidRPr="00C9465D">
        <w:rPr>
          <w:lang w:val="en-US"/>
        </w:rPr>
        <w:t xml:space="preserve">aking into account the </w:t>
      </w:r>
      <w:r w:rsidR="000D1F57" w:rsidRPr="00C9465D">
        <w:rPr>
          <w:lang w:val="en-US"/>
        </w:rPr>
        <w:t xml:space="preserve">rules and regulations </w:t>
      </w:r>
      <w:r w:rsidR="005043CC" w:rsidRPr="00C9465D">
        <w:rPr>
          <w:lang w:val="en-US"/>
        </w:rPr>
        <w:t xml:space="preserve">applied by the </w:t>
      </w:r>
      <w:r w:rsidR="001F65A3" w:rsidRPr="00C9465D">
        <w:rPr>
          <w:lang w:val="en-US"/>
        </w:rPr>
        <w:t>Julio Endara Hospital</w:t>
      </w:r>
      <w:r w:rsidRPr="00C9465D">
        <w:rPr>
          <w:lang w:val="en-US"/>
        </w:rPr>
        <w:t xml:space="preserve"> a</w:t>
      </w:r>
      <w:r w:rsidR="005043CC" w:rsidRPr="00C9465D">
        <w:rPr>
          <w:lang w:val="en-US"/>
        </w:rPr>
        <w:t>t the time of the facts, the wording of the authorization form, and other evidence concerning the moment the presumed victim was hospitalized, the Court finds it clear that, in this case, the State failed to take any measures to support</w:t>
      </w:r>
      <w:r w:rsidR="002F3237" w:rsidRPr="00C9465D">
        <w:rPr>
          <w:lang w:val="en-US"/>
        </w:rPr>
        <w:t xml:space="preserve"> Mr. Guachalá</w:t>
      </w:r>
      <w:r w:rsidR="00B80663" w:rsidRPr="00C9465D">
        <w:rPr>
          <w:lang w:val="en-US"/>
        </w:rPr>
        <w:t xml:space="preserve"> Chimbo </w:t>
      </w:r>
      <w:r w:rsidR="005043CC" w:rsidRPr="00C9465D">
        <w:rPr>
          <w:lang w:val="en-US"/>
        </w:rPr>
        <w:t xml:space="preserve">so that he could provide his </w:t>
      </w:r>
      <w:r w:rsidR="005B7EE9" w:rsidRPr="00C9465D">
        <w:rPr>
          <w:lang w:val="en-US"/>
        </w:rPr>
        <w:t>informed consent</w:t>
      </w:r>
      <w:r w:rsidR="00B80663" w:rsidRPr="00C9465D">
        <w:rPr>
          <w:lang w:val="en-US"/>
        </w:rPr>
        <w:t xml:space="preserve"> </w:t>
      </w:r>
      <w:r w:rsidR="005043CC" w:rsidRPr="00C9465D">
        <w:rPr>
          <w:lang w:val="en-US"/>
        </w:rPr>
        <w:t xml:space="preserve">for his hospitalization and the treatment to which he was subjected in the </w:t>
      </w:r>
      <w:r w:rsidR="001F65A3" w:rsidRPr="00C9465D">
        <w:rPr>
          <w:lang w:val="en-US"/>
        </w:rPr>
        <w:t>Julio Endara Hospital</w:t>
      </w:r>
      <w:r w:rsidR="00B80663" w:rsidRPr="00C9465D">
        <w:rPr>
          <w:lang w:val="en-US"/>
        </w:rPr>
        <w:t xml:space="preserve">, </w:t>
      </w:r>
      <w:r w:rsidR="005043CC" w:rsidRPr="00C9465D">
        <w:rPr>
          <w:lang w:val="en-US"/>
        </w:rPr>
        <w:t>either</w:t>
      </w:r>
      <w:r w:rsidR="008964D7" w:rsidRPr="00C9465D">
        <w:rPr>
          <w:lang w:val="en-US"/>
        </w:rPr>
        <w:t xml:space="preserve"> at</w:t>
      </w:r>
      <w:r w:rsidR="005043CC" w:rsidRPr="00C9465D">
        <w:rPr>
          <w:lang w:val="en-US"/>
        </w:rPr>
        <w:t xml:space="preserve"> the time he was admitted or subsequently. This absence of consent constituted a </w:t>
      </w:r>
      <w:r w:rsidR="006056FD" w:rsidRPr="00C9465D">
        <w:rPr>
          <w:lang w:val="en-US"/>
        </w:rPr>
        <w:t>denial of his autonomy as a person, and of his capacity to take decisions concerning his rights.</w:t>
      </w:r>
    </w:p>
    <w:p w14:paraId="367EACC4" w14:textId="5D204C26" w:rsidR="00B80663" w:rsidRPr="00C9465D" w:rsidRDefault="00CE403D" w:rsidP="00CE403D">
      <w:pPr>
        <w:pStyle w:val="Numberedparagraphs"/>
        <w:rPr>
          <w:lang w:val="en-US"/>
        </w:rPr>
      </w:pPr>
      <w:r w:rsidRPr="00C9465D">
        <w:rPr>
          <w:lang w:val="en-US"/>
        </w:rPr>
        <w:t>Furthermore</w:t>
      </w:r>
      <w:r w:rsidR="00B80663" w:rsidRPr="00C9465D">
        <w:rPr>
          <w:lang w:val="en-US"/>
        </w:rPr>
        <w:t xml:space="preserve">, </w:t>
      </w:r>
      <w:r w:rsidR="00193CBB" w:rsidRPr="00C9465D">
        <w:rPr>
          <w:lang w:val="en-US"/>
        </w:rPr>
        <w:t>the Court</w:t>
      </w:r>
      <w:r w:rsidR="00B80663" w:rsidRPr="00C9465D">
        <w:rPr>
          <w:lang w:val="en-US"/>
        </w:rPr>
        <w:t xml:space="preserve"> </w:t>
      </w:r>
      <w:r w:rsidRPr="00C9465D">
        <w:rPr>
          <w:lang w:val="en-US"/>
        </w:rPr>
        <w:t xml:space="preserve">cannot fail to note that </w:t>
      </w:r>
      <w:r w:rsidR="00B80663" w:rsidRPr="00C9465D">
        <w:rPr>
          <w:lang w:val="en-US"/>
        </w:rPr>
        <w:t>no</w:t>
      </w:r>
      <w:r w:rsidRPr="00C9465D">
        <w:rPr>
          <w:lang w:val="en-US"/>
        </w:rPr>
        <w:t xml:space="preserve"> one provided Mrs. Chimbo with an explanation about her son’s diagnosis, what the treatment would be, its purpose, method and possible risks; nor were other treatment alternatives proposed. To the contrary, the authorization form merely indicated that she authorized “the hospital’s doctors to provide the treatments they considered appropriate.</w:t>
      </w:r>
      <w:r w:rsidR="00B80663" w:rsidRPr="00C9465D">
        <w:rPr>
          <w:lang w:val="en-US"/>
        </w:rPr>
        <w:t>”</w:t>
      </w:r>
      <w:r w:rsidR="00B80663" w:rsidRPr="00C9465D">
        <w:rPr>
          <w:rStyle w:val="FootnoteReference"/>
          <w:lang w:val="en-US"/>
        </w:rPr>
        <w:footnoteReference w:id="246"/>
      </w:r>
      <w:r w:rsidRPr="00C9465D">
        <w:rPr>
          <w:lang w:val="en-US"/>
        </w:rPr>
        <w:t xml:space="preserve"> Consequently, Mr. Guachalá Chimbo’s mother did not give informed consent for the treatment he received.</w:t>
      </w:r>
    </w:p>
    <w:p w14:paraId="34B6A1A3" w14:textId="17C58881" w:rsidR="00B80663" w:rsidRPr="00C9465D" w:rsidRDefault="00B80663" w:rsidP="00CE403D">
      <w:pPr>
        <w:pStyle w:val="Numberedparagraphs"/>
        <w:rPr>
          <w:lang w:val="en-US"/>
        </w:rPr>
      </w:pPr>
      <w:r w:rsidRPr="00C9465D">
        <w:rPr>
          <w:spacing w:val="-4"/>
          <w:lang w:val="en-US"/>
        </w:rPr>
        <w:t>Ad</w:t>
      </w:r>
      <w:r w:rsidR="00CE403D" w:rsidRPr="00C9465D">
        <w:rPr>
          <w:spacing w:val="-4"/>
          <w:lang w:val="en-US"/>
        </w:rPr>
        <w:t xml:space="preserve">ditionally, the Court recalls that </w:t>
      </w:r>
      <w:r w:rsidR="00193CBB" w:rsidRPr="00C9465D">
        <w:rPr>
          <w:lang w:val="en-US"/>
        </w:rPr>
        <w:t>Article</w:t>
      </w:r>
      <w:r w:rsidRPr="00C9465D">
        <w:rPr>
          <w:lang w:val="en-US"/>
        </w:rPr>
        <w:t xml:space="preserve"> 2</w:t>
      </w:r>
      <w:r w:rsidR="00193CBB" w:rsidRPr="00C9465D">
        <w:rPr>
          <w:lang w:val="en-US"/>
        </w:rPr>
        <w:t xml:space="preserve"> of the Convention</w:t>
      </w:r>
      <w:r w:rsidRPr="00C9465D">
        <w:rPr>
          <w:lang w:val="en-US"/>
        </w:rPr>
        <w:t xml:space="preserve"> oblig</w:t>
      </w:r>
      <w:r w:rsidR="00CE403D" w:rsidRPr="00C9465D">
        <w:rPr>
          <w:lang w:val="en-US"/>
        </w:rPr>
        <w:t xml:space="preserve">es the States Parties </w:t>
      </w:r>
      <w:r w:rsidR="00CE403D" w:rsidRPr="00C9465D">
        <w:rPr>
          <w:spacing w:val="-3"/>
          <w:lang w:val="en-US"/>
        </w:rPr>
        <w:t xml:space="preserve">to adopt, in accordance with their constitutional processes and the provisions of this Convention, such legislative or other measures as may be necessary to give effect to the rights and freedoms protected by </w:t>
      </w:r>
      <w:r w:rsidR="00193CBB" w:rsidRPr="00C9465D">
        <w:rPr>
          <w:lang w:val="en-US"/>
        </w:rPr>
        <w:t>the Convention</w:t>
      </w:r>
      <w:r w:rsidR="00CE403D" w:rsidRPr="00C9465D">
        <w:rPr>
          <w:lang w:val="en-US"/>
        </w:rPr>
        <w:t>.</w:t>
      </w:r>
      <w:r w:rsidRPr="00C9465D">
        <w:rPr>
          <w:rStyle w:val="FootnoteReference"/>
          <w:lang w:val="en-US"/>
        </w:rPr>
        <w:footnoteReference w:id="247"/>
      </w:r>
      <w:r w:rsidR="00CE403D" w:rsidRPr="00C9465D">
        <w:rPr>
          <w:lang w:val="en-US"/>
        </w:rPr>
        <w:t xml:space="preserve"> This duty requires the adoption of two types of measures. On the one hand, the elimination of norms and practices of any nature that entail a violation of the guarantees established in </w:t>
      </w:r>
      <w:r w:rsidR="00193CBB" w:rsidRPr="00C9465D">
        <w:rPr>
          <w:lang w:val="en-US"/>
        </w:rPr>
        <w:t>the Convention</w:t>
      </w:r>
      <w:r w:rsidR="00CE403D" w:rsidRPr="00C9465D">
        <w:rPr>
          <w:lang w:val="en-US"/>
        </w:rPr>
        <w:t>,</w:t>
      </w:r>
      <w:r w:rsidRPr="00C9465D">
        <w:rPr>
          <w:rStyle w:val="FootnoteReference"/>
          <w:lang w:val="en-US"/>
        </w:rPr>
        <w:footnoteReference w:id="248"/>
      </w:r>
      <w:r w:rsidR="00CE403D" w:rsidRPr="00C9465D">
        <w:rPr>
          <w:lang w:val="en-US"/>
        </w:rPr>
        <w:t xml:space="preserve"> because they either disregard those rights and freedoms or obstruct their exercise.</w:t>
      </w:r>
      <w:r w:rsidRPr="00C9465D">
        <w:rPr>
          <w:rStyle w:val="FootnoteReference"/>
          <w:lang w:val="en-US"/>
        </w:rPr>
        <w:footnoteReference w:id="249"/>
      </w:r>
      <w:r w:rsidR="00CE403D" w:rsidRPr="00C9465D">
        <w:rPr>
          <w:lang w:val="en-US"/>
        </w:rPr>
        <w:t xml:space="preserve"> On the other hand, the enactment of laws and the implementation of practices leading to the effective observance of such guarantees.</w:t>
      </w:r>
      <w:r w:rsidRPr="00C9465D">
        <w:rPr>
          <w:rStyle w:val="FootnoteReference"/>
          <w:lang w:val="en-US"/>
        </w:rPr>
        <w:footnoteReference w:id="250"/>
      </w:r>
    </w:p>
    <w:p w14:paraId="71F55A62" w14:textId="55D6E534" w:rsidR="00AF7DFD" w:rsidRPr="00C9465D" w:rsidRDefault="00CE403D" w:rsidP="00AF7DFD">
      <w:pPr>
        <w:pStyle w:val="Numberedparagraphs"/>
        <w:rPr>
          <w:lang w:val="en-US"/>
        </w:rPr>
      </w:pPr>
      <w:r w:rsidRPr="00C9465D">
        <w:rPr>
          <w:lang w:val="en-US"/>
        </w:rPr>
        <w:t xml:space="preserve">In the instant case, the applicable laws did not include the obligation to provide the necessary support to </w:t>
      </w:r>
      <w:r w:rsidR="00D85850" w:rsidRPr="00C9465D">
        <w:rPr>
          <w:lang w:val="en-US"/>
        </w:rPr>
        <w:t>persons with disabilities</w:t>
      </w:r>
      <w:r w:rsidR="00AF7DFD" w:rsidRPr="00C9465D">
        <w:rPr>
          <w:lang w:val="en-US"/>
        </w:rPr>
        <w:t xml:space="preserve"> </w:t>
      </w:r>
      <w:r w:rsidR="007D75BF" w:rsidRPr="00C9465D">
        <w:rPr>
          <w:lang w:val="en-US"/>
        </w:rPr>
        <w:t xml:space="preserve">when taking decision concerning their </w:t>
      </w:r>
      <w:r w:rsidR="00D12C0E" w:rsidRPr="00C9465D">
        <w:rPr>
          <w:lang w:val="en-US"/>
        </w:rPr>
        <w:t>health</w:t>
      </w:r>
      <w:r w:rsidR="00AF7DFD" w:rsidRPr="00C9465D">
        <w:rPr>
          <w:lang w:val="en-US"/>
        </w:rPr>
        <w:t xml:space="preserve">. </w:t>
      </w:r>
      <w:r w:rsidR="00193CBB" w:rsidRPr="00C9465D">
        <w:rPr>
          <w:lang w:val="en-US"/>
        </w:rPr>
        <w:t>The Court</w:t>
      </w:r>
      <w:r w:rsidR="00AF7DFD" w:rsidRPr="00C9465D">
        <w:rPr>
          <w:lang w:val="en-US"/>
        </w:rPr>
        <w:t xml:space="preserve"> </w:t>
      </w:r>
      <w:r w:rsidR="007D75BF" w:rsidRPr="00C9465D">
        <w:rPr>
          <w:lang w:val="en-US"/>
        </w:rPr>
        <w:t>notes that</w:t>
      </w:r>
      <w:r w:rsidR="00F65A80" w:rsidRPr="00C9465D">
        <w:rPr>
          <w:lang w:val="en-US"/>
        </w:rPr>
        <w:t>,</w:t>
      </w:r>
      <w:r w:rsidR="00AF7DFD" w:rsidRPr="00C9465D">
        <w:rPr>
          <w:lang w:val="en-US"/>
        </w:rPr>
        <w:t xml:space="preserve"> </w:t>
      </w:r>
      <w:r w:rsidR="007D75BF" w:rsidRPr="00C9465D">
        <w:rPr>
          <w:lang w:val="en-US"/>
        </w:rPr>
        <w:t>under</w:t>
      </w:r>
      <w:r w:rsidR="007A3CA5" w:rsidRPr="00C9465D">
        <w:rPr>
          <w:lang w:val="en-US"/>
        </w:rPr>
        <w:t xml:space="preserve"> Article</w:t>
      </w:r>
      <w:r w:rsidR="00AF7DFD" w:rsidRPr="00C9465D">
        <w:rPr>
          <w:lang w:val="en-US"/>
        </w:rPr>
        <w:t xml:space="preserve"> 2</w:t>
      </w:r>
      <w:r w:rsidR="00193CBB" w:rsidRPr="00C9465D">
        <w:rPr>
          <w:lang w:val="en-US"/>
        </w:rPr>
        <w:t xml:space="preserve"> of the Convention</w:t>
      </w:r>
      <w:r w:rsidR="00AF7DFD" w:rsidRPr="00C9465D">
        <w:rPr>
          <w:lang w:val="en-US"/>
        </w:rPr>
        <w:t xml:space="preserve">, </w:t>
      </w:r>
      <w:r w:rsidR="00193CBB" w:rsidRPr="00C9465D">
        <w:rPr>
          <w:lang w:val="en-US"/>
        </w:rPr>
        <w:t>the State</w:t>
      </w:r>
      <w:r w:rsidR="00AF7DFD" w:rsidRPr="00C9465D">
        <w:rPr>
          <w:lang w:val="en-US"/>
        </w:rPr>
        <w:t xml:space="preserve"> </w:t>
      </w:r>
      <w:r w:rsidR="007D75BF" w:rsidRPr="00C9465D">
        <w:rPr>
          <w:lang w:val="en-US"/>
        </w:rPr>
        <w:t xml:space="preserve">was obliged to enact the laws and implement the practices required to comply with this guarantee. Therefore, this represented an omission by the State which resulted in </w:t>
      </w:r>
      <w:r w:rsidR="00183C22" w:rsidRPr="00C9465D">
        <w:rPr>
          <w:lang w:val="en-US"/>
        </w:rPr>
        <w:t>a violation</w:t>
      </w:r>
      <w:r w:rsidR="00AF7DFD" w:rsidRPr="00C9465D">
        <w:rPr>
          <w:lang w:val="en-US"/>
        </w:rPr>
        <w:t xml:space="preserve"> </w:t>
      </w:r>
      <w:r w:rsidR="007A3CA5" w:rsidRPr="00C9465D">
        <w:rPr>
          <w:lang w:val="en-US"/>
        </w:rPr>
        <w:t>of Article</w:t>
      </w:r>
      <w:r w:rsidR="00AF7DFD" w:rsidRPr="00C9465D">
        <w:rPr>
          <w:lang w:val="en-US"/>
        </w:rPr>
        <w:t xml:space="preserve"> 2</w:t>
      </w:r>
      <w:r w:rsidR="00193CBB" w:rsidRPr="00C9465D">
        <w:rPr>
          <w:lang w:val="en-US"/>
        </w:rPr>
        <w:t xml:space="preserve"> of the Convention</w:t>
      </w:r>
      <w:r w:rsidR="00AF7DFD" w:rsidRPr="00C9465D">
        <w:rPr>
          <w:lang w:val="en-US"/>
        </w:rPr>
        <w:t>.</w:t>
      </w:r>
    </w:p>
    <w:p w14:paraId="6C9950A5" w14:textId="2D8DFB7D" w:rsidR="00AF7DFD" w:rsidRPr="00C9465D" w:rsidRDefault="002F3237" w:rsidP="00AF7DFD">
      <w:pPr>
        <w:pStyle w:val="Numberedparagraphs"/>
        <w:rPr>
          <w:sz w:val="16"/>
          <w:szCs w:val="16"/>
          <w:lang w:val="en-US"/>
        </w:rPr>
      </w:pPr>
      <w:bookmarkStart w:id="50" w:name="_Ref72326572"/>
      <w:r w:rsidRPr="00C9465D">
        <w:rPr>
          <w:lang w:val="en-US"/>
        </w:rPr>
        <w:t>Mr. Guachalá</w:t>
      </w:r>
      <w:r w:rsidR="00AF7DFD" w:rsidRPr="00C9465D">
        <w:rPr>
          <w:lang w:val="en-US"/>
        </w:rPr>
        <w:t xml:space="preserve"> Chimbo</w:t>
      </w:r>
      <w:r w:rsidR="00007024" w:rsidRPr="00C9465D">
        <w:rPr>
          <w:lang w:val="en-US"/>
        </w:rPr>
        <w:t xml:space="preserve"> did not give his informed consent to his hospitalization and the medical treatment he received</w:t>
      </w:r>
      <w:r w:rsidR="00AF7DFD" w:rsidRPr="00C9465D">
        <w:rPr>
          <w:lang w:val="en-US"/>
        </w:rPr>
        <w:t xml:space="preserve"> </w:t>
      </w:r>
      <w:r w:rsidR="007D75BF" w:rsidRPr="00C9465D">
        <w:rPr>
          <w:lang w:val="en-US"/>
        </w:rPr>
        <w:t>in the</w:t>
      </w:r>
      <w:r w:rsidR="00AF7DFD" w:rsidRPr="00C9465D">
        <w:rPr>
          <w:lang w:val="en-US"/>
        </w:rPr>
        <w:t xml:space="preserve"> </w:t>
      </w:r>
      <w:r w:rsidR="001F65A3" w:rsidRPr="00C9465D">
        <w:rPr>
          <w:lang w:val="en-US"/>
        </w:rPr>
        <w:t>Julio Endara Hospital</w:t>
      </w:r>
      <w:r w:rsidR="00007024" w:rsidRPr="00C9465D">
        <w:rPr>
          <w:lang w:val="en-US"/>
        </w:rPr>
        <w:t xml:space="preserve"> and, consequently, the State violated Mr</w:t>
      </w:r>
      <w:r w:rsidRPr="00C9465D">
        <w:rPr>
          <w:lang w:val="en-US"/>
        </w:rPr>
        <w:t>. Guachalá</w:t>
      </w:r>
      <w:r w:rsidR="00007024" w:rsidRPr="00C9465D">
        <w:rPr>
          <w:lang w:val="en-US"/>
        </w:rPr>
        <w:t>’s rights to</w:t>
      </w:r>
      <w:r w:rsidR="00AF7DFD" w:rsidRPr="00C9465D">
        <w:rPr>
          <w:lang w:val="en-US"/>
        </w:rPr>
        <w:t xml:space="preserve"> </w:t>
      </w:r>
      <w:r w:rsidR="00D12C0E" w:rsidRPr="00C9465D">
        <w:rPr>
          <w:lang w:val="en-US"/>
        </w:rPr>
        <w:t>health</w:t>
      </w:r>
      <w:r w:rsidR="00AF7DFD" w:rsidRPr="00C9465D">
        <w:rPr>
          <w:lang w:val="en-US"/>
        </w:rPr>
        <w:t xml:space="preserve">, </w:t>
      </w:r>
      <w:r w:rsidR="00D12C0E" w:rsidRPr="00C9465D">
        <w:rPr>
          <w:lang w:val="en-US"/>
        </w:rPr>
        <w:t>recognition of juridical personality</w:t>
      </w:r>
      <w:r w:rsidR="00AF7DFD" w:rsidRPr="00C9465D">
        <w:rPr>
          <w:lang w:val="en-US"/>
        </w:rPr>
        <w:t xml:space="preserve">, </w:t>
      </w:r>
      <w:r w:rsidR="00D12C0E" w:rsidRPr="00C9465D">
        <w:rPr>
          <w:lang w:val="en-US"/>
        </w:rPr>
        <w:t>dignity</w:t>
      </w:r>
      <w:r w:rsidR="00643D73" w:rsidRPr="00C9465D">
        <w:rPr>
          <w:lang w:val="en-US"/>
        </w:rPr>
        <w:t xml:space="preserve">, </w:t>
      </w:r>
      <w:r w:rsidR="00D12C0E" w:rsidRPr="00C9465D">
        <w:rPr>
          <w:lang w:val="en-US"/>
        </w:rPr>
        <w:t>privacy</w:t>
      </w:r>
      <w:r w:rsidR="00AF7DFD" w:rsidRPr="00C9465D">
        <w:rPr>
          <w:lang w:val="en-US"/>
        </w:rPr>
        <w:t xml:space="preserve">, </w:t>
      </w:r>
      <w:r w:rsidR="00D12C0E" w:rsidRPr="00C9465D">
        <w:rPr>
          <w:lang w:val="en-US"/>
        </w:rPr>
        <w:t>personal liberty</w:t>
      </w:r>
      <w:r w:rsidR="00193CBB" w:rsidRPr="00C9465D">
        <w:rPr>
          <w:lang w:val="en-US"/>
        </w:rPr>
        <w:t xml:space="preserve"> and </w:t>
      </w:r>
      <w:r w:rsidR="00D12C0E" w:rsidRPr="00C9465D">
        <w:rPr>
          <w:lang w:val="en-US"/>
        </w:rPr>
        <w:t>access to information</w:t>
      </w:r>
      <w:r w:rsidR="00AF7DFD" w:rsidRPr="00C9465D">
        <w:rPr>
          <w:lang w:val="en-US"/>
        </w:rPr>
        <w:t>,</w:t>
      </w:r>
      <w:r w:rsidR="00007024" w:rsidRPr="00C9465D">
        <w:rPr>
          <w:lang w:val="en-US"/>
        </w:rPr>
        <w:t xml:space="preserve"> in relation to the right to non-discrimination and the obligation to adopt domestic legal provisions.</w:t>
      </w:r>
      <w:bookmarkEnd w:id="50"/>
    </w:p>
    <w:p w14:paraId="0210BCE5" w14:textId="5C711C2B" w:rsidR="000E193E" w:rsidRPr="00C9465D" w:rsidRDefault="006C79CF" w:rsidP="00701D48">
      <w:pPr>
        <w:pStyle w:val="Heading3"/>
        <w:rPr>
          <w:lang w:val="en-US"/>
        </w:rPr>
      </w:pPr>
      <w:bookmarkStart w:id="51" w:name="_Toc74298455"/>
      <w:r w:rsidRPr="00C9465D">
        <w:rPr>
          <w:lang w:val="en-US"/>
        </w:rPr>
        <w:t>B.</w:t>
      </w:r>
      <w:r w:rsidR="00701D48" w:rsidRPr="00C9465D">
        <w:rPr>
          <w:lang w:val="en-US"/>
        </w:rPr>
        <w:t>2</w:t>
      </w:r>
      <w:r w:rsidRPr="00C9465D">
        <w:rPr>
          <w:lang w:val="en-US"/>
        </w:rPr>
        <w:t xml:space="preserve"> </w:t>
      </w:r>
      <w:r w:rsidR="00701D48" w:rsidRPr="00C9465D">
        <w:rPr>
          <w:lang w:val="en-US"/>
        </w:rPr>
        <w:tab/>
      </w:r>
      <w:r w:rsidR="00007024" w:rsidRPr="00C9465D">
        <w:rPr>
          <w:lang w:val="en-US"/>
        </w:rPr>
        <w:t>Medical treatment received by</w:t>
      </w:r>
      <w:r w:rsidR="00561A22" w:rsidRPr="00C9465D">
        <w:rPr>
          <w:lang w:val="en-US"/>
        </w:rPr>
        <w:t xml:space="preserve"> </w:t>
      </w:r>
      <w:r w:rsidR="002F3237" w:rsidRPr="00C9465D">
        <w:rPr>
          <w:lang w:val="en-US"/>
        </w:rPr>
        <w:t>Mr. Guachalá</w:t>
      </w:r>
      <w:r w:rsidR="00561A22" w:rsidRPr="00C9465D">
        <w:rPr>
          <w:lang w:val="en-US"/>
        </w:rPr>
        <w:t xml:space="preserve"> Chimbo</w:t>
      </w:r>
      <w:bookmarkEnd w:id="51"/>
      <w:r w:rsidR="002B29E3" w:rsidRPr="00C9465D">
        <w:rPr>
          <w:lang w:val="en-US"/>
        </w:rPr>
        <w:t xml:space="preserve"> </w:t>
      </w:r>
    </w:p>
    <w:p w14:paraId="772AF19D" w14:textId="0BAB2DC1" w:rsidR="00182A8B" w:rsidRPr="00C9465D" w:rsidRDefault="00183C22" w:rsidP="00007024">
      <w:pPr>
        <w:pStyle w:val="Numberedparagraphs"/>
        <w:rPr>
          <w:lang w:val="en-US"/>
        </w:rPr>
      </w:pPr>
      <w:r w:rsidRPr="00C9465D">
        <w:rPr>
          <w:lang w:val="en-US"/>
        </w:rPr>
        <w:lastRenderedPageBreak/>
        <w:t>The Court</w:t>
      </w:r>
      <w:r w:rsidR="0073681B" w:rsidRPr="00C9465D">
        <w:rPr>
          <w:lang w:val="en-US"/>
        </w:rPr>
        <w:t xml:space="preserve"> </w:t>
      </w:r>
      <w:r w:rsidR="00007024" w:rsidRPr="00C9465D">
        <w:rPr>
          <w:lang w:val="en-US"/>
        </w:rPr>
        <w:t>recalls that</w:t>
      </w:r>
      <w:r w:rsidR="0073681B" w:rsidRPr="00C9465D">
        <w:rPr>
          <w:lang w:val="en-US"/>
        </w:rPr>
        <w:t xml:space="preserve"> </w:t>
      </w:r>
      <w:r w:rsidR="00AC1354" w:rsidRPr="00C9465D">
        <w:rPr>
          <w:lang w:val="en-US"/>
        </w:rPr>
        <w:t>the right</w:t>
      </w:r>
      <w:r w:rsidR="00260D95" w:rsidRPr="00C9465D">
        <w:rPr>
          <w:lang w:val="en-US"/>
        </w:rPr>
        <w:t xml:space="preserve"> to health</w:t>
      </w:r>
      <w:r w:rsidR="0073681B" w:rsidRPr="00C9465D">
        <w:rPr>
          <w:lang w:val="en-US"/>
        </w:rPr>
        <w:t xml:space="preserve"> </w:t>
      </w:r>
      <w:r w:rsidR="00007024" w:rsidRPr="00C9465D">
        <w:rPr>
          <w:lang w:val="en-US"/>
        </w:rPr>
        <w:t>refers to the right of everyone to enjoy the highest attainable level of physical, mental and social well-being. This right includes timely and appropriate health care in keeping with the principles of availability, accessibility, acceptability and quality. In this case, based on the a</w:t>
      </w:r>
      <w:r w:rsidR="009E5D69" w:rsidRPr="00C9465D">
        <w:rPr>
          <w:lang w:val="en-US"/>
        </w:rPr>
        <w:t>rguments of the parties</w:t>
      </w:r>
      <w:r w:rsidR="00193CBB" w:rsidRPr="00C9465D">
        <w:rPr>
          <w:lang w:val="en-US"/>
        </w:rPr>
        <w:t xml:space="preserve"> and the Commission</w:t>
      </w:r>
      <w:r w:rsidR="00182A8B" w:rsidRPr="00C9465D">
        <w:rPr>
          <w:lang w:val="en-US"/>
        </w:rPr>
        <w:t xml:space="preserve">, </w:t>
      </w:r>
      <w:r w:rsidR="00007024" w:rsidRPr="00C9465D">
        <w:rPr>
          <w:lang w:val="en-US"/>
        </w:rPr>
        <w:t>the Court will examine the alleged lack of accessibility of the health care, as well as its alleged lack of acceptability and quality.</w:t>
      </w:r>
    </w:p>
    <w:p w14:paraId="5065FE74" w14:textId="212F1016" w:rsidR="00644976" w:rsidRPr="00C9465D" w:rsidRDefault="00644976" w:rsidP="00644976">
      <w:pPr>
        <w:pStyle w:val="Heading4"/>
        <w:tabs>
          <w:tab w:val="clear" w:pos="2268"/>
          <w:tab w:val="left" w:pos="1701"/>
        </w:tabs>
        <w:ind w:left="1701" w:firstLine="0"/>
        <w:jc w:val="both"/>
        <w:rPr>
          <w:lang w:val="en-US"/>
        </w:rPr>
      </w:pPr>
      <w:r w:rsidRPr="00C9465D">
        <w:rPr>
          <w:lang w:val="en-US"/>
        </w:rPr>
        <w:t xml:space="preserve">B.2.a </w:t>
      </w:r>
      <w:r w:rsidR="00007024" w:rsidRPr="00C9465D">
        <w:rPr>
          <w:lang w:val="en-US"/>
        </w:rPr>
        <w:t>The accessibility of the health care</w:t>
      </w:r>
      <w:r w:rsidRPr="00C9465D">
        <w:rPr>
          <w:lang w:val="en-US"/>
        </w:rPr>
        <w:t xml:space="preserve"> </w:t>
      </w:r>
      <w:r w:rsidR="00007024" w:rsidRPr="00C9465D">
        <w:rPr>
          <w:lang w:val="en-US"/>
        </w:rPr>
        <w:t>received by</w:t>
      </w:r>
      <w:r w:rsidRPr="00C9465D">
        <w:rPr>
          <w:lang w:val="en-US"/>
        </w:rPr>
        <w:t xml:space="preserve"> Luis Eduardo Guachalá Chimbo</w:t>
      </w:r>
    </w:p>
    <w:p w14:paraId="47B95156" w14:textId="1D3257CB" w:rsidR="00AF7DFD" w:rsidRPr="00C9465D" w:rsidRDefault="00007024" w:rsidP="00AF7DFD">
      <w:pPr>
        <w:pStyle w:val="Numberedparagraphs"/>
        <w:rPr>
          <w:lang w:val="en-US"/>
        </w:rPr>
      </w:pPr>
      <w:r w:rsidRPr="00C9465D">
        <w:rPr>
          <w:lang w:val="en-US"/>
        </w:rPr>
        <w:t>The accessibility of health care</w:t>
      </w:r>
      <w:r w:rsidR="00AF7DFD" w:rsidRPr="00C9465D">
        <w:rPr>
          <w:lang w:val="en-US"/>
        </w:rPr>
        <w:t xml:space="preserve"> </w:t>
      </w:r>
      <w:r w:rsidRPr="00C9465D">
        <w:rPr>
          <w:lang w:val="en-US"/>
        </w:rPr>
        <w:t>means that “</w:t>
      </w:r>
      <w:r w:rsidRPr="00C9465D">
        <w:rPr>
          <w:rStyle w:val="markedcontent"/>
          <w:lang w:val="en-US"/>
        </w:rPr>
        <w:t>[h]ealth facilities, goods and services have to be accessible to everyone without discrimination, within the jurisdiction of the State party</w:t>
      </w:r>
      <w:r w:rsidRPr="00C9465D">
        <w:rPr>
          <w:lang w:val="en-US"/>
        </w:rPr>
        <w:t>,</w:t>
      </w:r>
      <w:r w:rsidR="00AF7DFD" w:rsidRPr="00C9465D">
        <w:rPr>
          <w:lang w:val="en-US"/>
        </w:rPr>
        <w:t xml:space="preserve">” </w:t>
      </w:r>
      <w:r w:rsidRPr="00C9465D">
        <w:rPr>
          <w:lang w:val="en-US"/>
        </w:rPr>
        <w:t>and this includes that they must be a</w:t>
      </w:r>
      <w:r w:rsidR="00B60082" w:rsidRPr="00C9465D">
        <w:rPr>
          <w:lang w:val="en-US"/>
        </w:rPr>
        <w:t>ffordable</w:t>
      </w:r>
      <w:r w:rsidRPr="00C9465D">
        <w:rPr>
          <w:lang w:val="en-US"/>
        </w:rPr>
        <w:t>. In this regard, the</w:t>
      </w:r>
      <w:r w:rsidR="00AF7DFD" w:rsidRPr="00C9465D">
        <w:rPr>
          <w:lang w:val="en-US"/>
        </w:rPr>
        <w:t xml:space="preserve"> </w:t>
      </w:r>
      <w:r w:rsidR="00B07FDE" w:rsidRPr="00C9465D">
        <w:rPr>
          <w:lang w:val="en-US"/>
        </w:rPr>
        <w:t>Committee on Economic, Social and Cultural Rights</w:t>
      </w:r>
      <w:r w:rsidRPr="00C9465D">
        <w:rPr>
          <w:lang w:val="en-US"/>
        </w:rPr>
        <w:t xml:space="preserve"> has indicated that</w:t>
      </w:r>
      <w:r w:rsidR="00AF7DFD" w:rsidRPr="00C9465D">
        <w:rPr>
          <w:lang w:val="en-US"/>
        </w:rPr>
        <w:t>:</w:t>
      </w:r>
    </w:p>
    <w:p w14:paraId="28244433" w14:textId="0C88FFA2" w:rsidR="00134804" w:rsidRPr="00C9465D" w:rsidRDefault="00B60082" w:rsidP="00B60082">
      <w:pPr>
        <w:spacing w:before="120" w:after="120" w:line="240" w:lineRule="auto"/>
        <w:ind w:left="540" w:right="404"/>
        <w:jc w:val="both"/>
        <w:rPr>
          <w:rFonts w:ascii="Verdana" w:hAnsi="Verdana"/>
          <w:sz w:val="18"/>
          <w:szCs w:val="18"/>
          <w:lang w:val="en-US"/>
        </w:rPr>
      </w:pPr>
      <w:r w:rsidRPr="00C9465D">
        <w:rPr>
          <w:rStyle w:val="markedcontent"/>
          <w:rFonts w:ascii="Verdana" w:hAnsi="Verdana"/>
          <w:sz w:val="18"/>
          <w:szCs w:val="18"/>
          <w:lang w:val="en-US"/>
        </w:rPr>
        <w:t>Economic accessibility (affordability): health facilities, goods and services must be affordable for all. Payment for health-care services, as well as services related to the underlying determinants of health, has to be based on the principle of equity, ensuring that these services, whether privately or publicly provided, are affordable for all, including socially disadvantaged groups. Equity demands that poorer households should not be disproportionately burdened with health expenses as compared to richer households.</w:t>
      </w:r>
      <w:r w:rsidR="00134804" w:rsidRPr="00C9465D">
        <w:rPr>
          <w:rStyle w:val="FootnoteReference"/>
          <w:sz w:val="18"/>
          <w:szCs w:val="18"/>
          <w:lang w:val="en-US"/>
        </w:rPr>
        <w:footnoteReference w:id="251"/>
      </w:r>
    </w:p>
    <w:p w14:paraId="0E00D76A" w14:textId="52135DC4" w:rsidR="0073681B" w:rsidRPr="00C9465D" w:rsidRDefault="00B60082" w:rsidP="00EF19A4">
      <w:pPr>
        <w:pStyle w:val="Numberedparagraphs"/>
        <w:rPr>
          <w:lang w:val="en-US"/>
        </w:rPr>
      </w:pPr>
      <w:r w:rsidRPr="00C9465D">
        <w:rPr>
          <w:lang w:val="en-US"/>
        </w:rPr>
        <w:t>Therefore, compliance with the State obligation to respect and to ensure this right must pay special attention to vulnerable and marginalized groups, and health care must be provided progressively, based on available resources and the applicable domestic laws.</w:t>
      </w:r>
      <w:r w:rsidR="00AF7DFD" w:rsidRPr="00C9465D">
        <w:rPr>
          <w:rStyle w:val="FootnoteReference"/>
          <w:lang w:val="en-US"/>
        </w:rPr>
        <w:footnoteReference w:id="252"/>
      </w:r>
    </w:p>
    <w:p w14:paraId="26E5D56C" w14:textId="743E9312" w:rsidR="002D6BBB" w:rsidRPr="00C9465D" w:rsidRDefault="00193CBB" w:rsidP="00B60082">
      <w:pPr>
        <w:pStyle w:val="Numberedparagraphs"/>
        <w:rPr>
          <w:lang w:val="en-US"/>
        </w:rPr>
      </w:pPr>
      <w:r w:rsidRPr="00C9465D">
        <w:rPr>
          <w:lang w:val="en-US"/>
        </w:rPr>
        <w:t>The Court</w:t>
      </w:r>
      <w:r w:rsidR="003F0DC6" w:rsidRPr="00C9465D">
        <w:rPr>
          <w:lang w:val="en-US"/>
        </w:rPr>
        <w:t xml:space="preserve"> </w:t>
      </w:r>
      <w:r w:rsidR="00B60082" w:rsidRPr="00C9465D">
        <w:rPr>
          <w:lang w:val="en-US"/>
        </w:rPr>
        <w:t>emphasizes that States must provide the necessary health services to prevent possible disabilities, and also to prevent and reduce further disabilities.</w:t>
      </w:r>
      <w:r w:rsidR="003F0DC6" w:rsidRPr="00C9465D">
        <w:rPr>
          <w:rStyle w:val="FootnoteReference"/>
          <w:lang w:val="en-US"/>
        </w:rPr>
        <w:footnoteReference w:id="253"/>
      </w:r>
      <w:r w:rsidR="00B60082" w:rsidRPr="00C9465D">
        <w:rPr>
          <w:lang w:val="en-US"/>
        </w:rPr>
        <w:t xml:space="preserve"> This obligation is also found in a</w:t>
      </w:r>
      <w:r w:rsidRPr="00C9465D">
        <w:rPr>
          <w:lang w:val="en-US"/>
        </w:rPr>
        <w:t>rticle</w:t>
      </w:r>
      <w:r w:rsidR="00F22AFF" w:rsidRPr="00C9465D">
        <w:rPr>
          <w:lang w:val="en-US"/>
        </w:rPr>
        <w:t xml:space="preserve"> 53 </w:t>
      </w:r>
      <w:r w:rsidR="00B60082" w:rsidRPr="00C9465D">
        <w:rPr>
          <w:lang w:val="en-US"/>
        </w:rPr>
        <w:t>of the Ecuadorian</w:t>
      </w:r>
      <w:r w:rsidR="00F22AFF" w:rsidRPr="00C9465D">
        <w:rPr>
          <w:lang w:val="en-US"/>
        </w:rPr>
        <w:t xml:space="preserve"> </w:t>
      </w:r>
      <w:r w:rsidR="00561A0C" w:rsidRPr="00C9465D">
        <w:rPr>
          <w:lang w:val="en-US"/>
        </w:rPr>
        <w:t>Constitution</w:t>
      </w:r>
      <w:r w:rsidR="00F22AFF" w:rsidRPr="00C9465D">
        <w:rPr>
          <w:lang w:val="en-US"/>
        </w:rPr>
        <w:t xml:space="preserve"> </w:t>
      </w:r>
      <w:r w:rsidR="00B60082" w:rsidRPr="00C9465D">
        <w:rPr>
          <w:lang w:val="en-US"/>
        </w:rPr>
        <w:t>in force at the time of the facts.</w:t>
      </w:r>
      <w:r w:rsidR="00F22AFF" w:rsidRPr="00C9465D">
        <w:rPr>
          <w:rStyle w:val="FootnoteReference"/>
          <w:sz w:val="18"/>
          <w:szCs w:val="18"/>
          <w:lang w:val="en-US"/>
        </w:rPr>
        <w:footnoteReference w:id="254"/>
      </w:r>
      <w:r w:rsidR="00B60082" w:rsidRPr="00C9465D">
        <w:rPr>
          <w:lang w:val="en-US"/>
        </w:rPr>
        <w:t xml:space="preserve"> </w:t>
      </w:r>
      <w:r w:rsidR="009173F8" w:rsidRPr="00C9465D">
        <w:rPr>
          <w:lang w:val="en-US"/>
        </w:rPr>
        <w:t>Furthermore</w:t>
      </w:r>
      <w:r w:rsidR="00B60082" w:rsidRPr="00C9465D">
        <w:rPr>
          <w:lang w:val="en-US"/>
        </w:rPr>
        <w:t xml:space="preserve">, the </w:t>
      </w:r>
      <w:r w:rsidR="00B07FDE" w:rsidRPr="00C9465D">
        <w:rPr>
          <w:lang w:val="en-US"/>
        </w:rPr>
        <w:t>Committee on Economic, Social and Cultural Rights</w:t>
      </w:r>
      <w:r w:rsidR="002D6BBB" w:rsidRPr="00C9465D">
        <w:rPr>
          <w:lang w:val="en-US"/>
        </w:rPr>
        <w:t xml:space="preserve"> ha</w:t>
      </w:r>
      <w:r w:rsidR="00B60082" w:rsidRPr="00C9465D">
        <w:rPr>
          <w:lang w:val="en-US"/>
        </w:rPr>
        <w:t xml:space="preserve">s established that, regarding </w:t>
      </w:r>
      <w:r w:rsidR="00D85850" w:rsidRPr="00C9465D">
        <w:rPr>
          <w:lang w:val="en-US"/>
        </w:rPr>
        <w:t>persons with disabilities</w:t>
      </w:r>
      <w:r w:rsidR="002D6BBB" w:rsidRPr="00C9465D">
        <w:rPr>
          <w:lang w:val="en-US"/>
        </w:rPr>
        <w:t>:</w:t>
      </w:r>
    </w:p>
    <w:p w14:paraId="564B71D8" w14:textId="66D21849" w:rsidR="002D6BBB" w:rsidRPr="00C9465D" w:rsidRDefault="00257916" w:rsidP="00257916">
      <w:pPr>
        <w:spacing w:before="120" w:after="120" w:line="240" w:lineRule="auto"/>
        <w:ind w:left="540" w:right="404"/>
        <w:jc w:val="both"/>
        <w:rPr>
          <w:rFonts w:ascii="Verdana" w:hAnsi="Verdana"/>
          <w:sz w:val="18"/>
          <w:szCs w:val="18"/>
          <w:lang w:val="en-US"/>
        </w:rPr>
      </w:pPr>
      <w:r w:rsidRPr="00C9465D">
        <w:rPr>
          <w:rFonts w:ascii="Verdana" w:hAnsi="Verdana"/>
          <w:sz w:val="18"/>
          <w:szCs w:val="18"/>
          <w:lang w:val="en-US"/>
        </w:rPr>
        <w:t>I</w:t>
      </w:r>
      <w:r w:rsidRPr="00C9465D">
        <w:rPr>
          <w:rStyle w:val="markedcontent"/>
          <w:rFonts w:ascii="Verdana" w:hAnsi="Verdana"/>
          <w:sz w:val="18"/>
          <w:szCs w:val="18"/>
          <w:lang w:val="en-US"/>
        </w:rPr>
        <w:t>nsofar as special treatment is necessary, States parties are required to take appropriate measures, to the maximum extent of their available resources, to enable such persons to seek to overcome any disadvantages, in terms of the enjoyment of the rights specified in the Covenant, flowing from their disability.</w:t>
      </w:r>
      <w:r w:rsidR="002D6BBB" w:rsidRPr="00C9465D">
        <w:rPr>
          <w:rStyle w:val="FootnoteReference"/>
          <w:sz w:val="18"/>
          <w:szCs w:val="18"/>
          <w:lang w:val="en-US"/>
        </w:rPr>
        <w:footnoteReference w:id="255"/>
      </w:r>
    </w:p>
    <w:p w14:paraId="5AA319A2" w14:textId="045DA82F" w:rsidR="002D6BBB" w:rsidRPr="00C9465D" w:rsidRDefault="00934FAA" w:rsidP="002D6BBB">
      <w:pPr>
        <w:pStyle w:val="Numberedparagraphs"/>
        <w:rPr>
          <w:lang w:val="en-US"/>
        </w:rPr>
      </w:pPr>
      <w:r w:rsidRPr="00C9465D">
        <w:rPr>
          <w:lang w:val="en-US"/>
        </w:rPr>
        <w:t>Ad</w:t>
      </w:r>
      <w:r w:rsidR="00257916" w:rsidRPr="00C9465D">
        <w:rPr>
          <w:lang w:val="en-US"/>
        </w:rPr>
        <w:t xml:space="preserve">ditionally, </w:t>
      </w:r>
      <w:r w:rsidR="00193CBB" w:rsidRPr="00C9465D">
        <w:rPr>
          <w:lang w:val="en-US"/>
        </w:rPr>
        <w:t xml:space="preserve">the </w:t>
      </w:r>
      <w:r w:rsidR="00593C0F" w:rsidRPr="00C9465D">
        <w:rPr>
          <w:lang w:val="en-US"/>
        </w:rPr>
        <w:t>Convention on the Rights of Persons with Disabilities</w:t>
      </w:r>
      <w:r w:rsidR="002D6BBB" w:rsidRPr="00C9465D">
        <w:rPr>
          <w:lang w:val="en-US"/>
        </w:rPr>
        <w:t xml:space="preserve"> </w:t>
      </w:r>
      <w:r w:rsidR="00260D95" w:rsidRPr="00C9465D">
        <w:rPr>
          <w:lang w:val="en-US"/>
        </w:rPr>
        <w:t>establishes</w:t>
      </w:r>
      <w:r w:rsidR="007E1216" w:rsidRPr="00C9465D">
        <w:rPr>
          <w:lang w:val="en-US"/>
        </w:rPr>
        <w:t>,</w:t>
      </w:r>
      <w:r w:rsidR="002D6BBB" w:rsidRPr="00C9465D">
        <w:rPr>
          <w:lang w:val="en-US"/>
        </w:rPr>
        <w:t xml:space="preserve"> </w:t>
      </w:r>
      <w:r w:rsidR="00257916" w:rsidRPr="00C9465D">
        <w:rPr>
          <w:lang w:val="en-US"/>
        </w:rPr>
        <w:t xml:space="preserve">among the obligations included in </w:t>
      </w:r>
      <w:r w:rsidR="00AC1354" w:rsidRPr="00C9465D">
        <w:rPr>
          <w:lang w:val="en-US"/>
        </w:rPr>
        <w:t>the right</w:t>
      </w:r>
      <w:r w:rsidR="00260D95" w:rsidRPr="00C9465D">
        <w:rPr>
          <w:lang w:val="en-US"/>
        </w:rPr>
        <w:t xml:space="preserve"> to health</w:t>
      </w:r>
      <w:r w:rsidR="002D6BBB" w:rsidRPr="00C9465D">
        <w:rPr>
          <w:lang w:val="en-US"/>
        </w:rPr>
        <w:t xml:space="preserve">, </w:t>
      </w:r>
      <w:r w:rsidR="00257916" w:rsidRPr="00C9465D">
        <w:rPr>
          <w:lang w:val="en-US"/>
        </w:rPr>
        <w:t xml:space="preserve">that States shall </w:t>
      </w:r>
      <w:r w:rsidR="002D6BBB" w:rsidRPr="00C9465D">
        <w:rPr>
          <w:lang w:val="en-US"/>
        </w:rPr>
        <w:t>“</w:t>
      </w:r>
      <w:r w:rsidR="0082406E" w:rsidRPr="00C9465D">
        <w:rPr>
          <w:lang w:val="en-US"/>
        </w:rPr>
        <w:t>[p]</w:t>
      </w:r>
      <w:r w:rsidR="00257916" w:rsidRPr="00C9465D">
        <w:rPr>
          <w:shd w:val="clear" w:color="auto" w:fill="FFFFFF"/>
          <w:lang w:val="en-US"/>
        </w:rPr>
        <w:t xml:space="preserve">rovide those health services needed by persons with disabilities specifically because of their disabilities, including early </w:t>
      </w:r>
      <w:r w:rsidR="00257916" w:rsidRPr="00C9465D">
        <w:rPr>
          <w:shd w:val="clear" w:color="auto" w:fill="FFFFFF"/>
          <w:lang w:val="en-US"/>
        </w:rPr>
        <w:lastRenderedPageBreak/>
        <w:t>identification and intervention as appropriate, and services designed to minimize and prevent further disabilities, including among children and older persons.</w:t>
      </w:r>
      <w:r w:rsidR="002D6BBB" w:rsidRPr="00C9465D">
        <w:rPr>
          <w:lang w:val="en-US"/>
        </w:rPr>
        <w:t>”</w:t>
      </w:r>
      <w:r w:rsidR="002D6BBB" w:rsidRPr="00C9465D">
        <w:rPr>
          <w:rStyle w:val="FootnoteReference"/>
          <w:lang w:val="en-US"/>
        </w:rPr>
        <w:footnoteReference w:id="256"/>
      </w:r>
    </w:p>
    <w:p w14:paraId="044A61D2" w14:textId="42CE55C4" w:rsidR="003F5B07" w:rsidRPr="00C9465D" w:rsidRDefault="00257916" w:rsidP="00134804">
      <w:pPr>
        <w:pStyle w:val="Numberedparagraphs"/>
        <w:rPr>
          <w:lang w:val="en-US"/>
        </w:rPr>
      </w:pPr>
      <w:r w:rsidRPr="00C9465D">
        <w:rPr>
          <w:lang w:val="en-US"/>
        </w:rPr>
        <w:t xml:space="preserve">The foregoing relates to the right of </w:t>
      </w:r>
      <w:r w:rsidR="00D85850" w:rsidRPr="00C9465D">
        <w:rPr>
          <w:lang w:val="en-US"/>
        </w:rPr>
        <w:t>persons with disabilities</w:t>
      </w:r>
      <w:r w:rsidR="004508B2" w:rsidRPr="00C9465D">
        <w:rPr>
          <w:lang w:val="en-US"/>
        </w:rPr>
        <w:t xml:space="preserve"> </w:t>
      </w:r>
      <w:r w:rsidRPr="00C9465D">
        <w:rPr>
          <w:lang w:val="en-US"/>
        </w:rPr>
        <w:t>to live independently and to be included in the community.</w:t>
      </w:r>
      <w:r w:rsidR="004508B2" w:rsidRPr="00C9465D">
        <w:rPr>
          <w:rStyle w:val="FootnoteReference"/>
          <w:lang w:val="en-US"/>
        </w:rPr>
        <w:footnoteReference w:id="257"/>
      </w:r>
      <w:r w:rsidRPr="00C9465D">
        <w:rPr>
          <w:lang w:val="en-US"/>
        </w:rPr>
        <w:t xml:space="preserve"> In this regard, States must take measures “</w:t>
      </w:r>
      <w:r w:rsidRPr="00C9465D">
        <w:rPr>
          <w:shd w:val="clear" w:color="auto" w:fill="FFFFFF"/>
          <w:lang w:val="en-US"/>
        </w:rPr>
        <w:t>to enable persons with disabilities to attain and maintain maximum independence, full physical, mental, social and vocational ability, and full inclusion and participation in all aspects of life</w:t>
      </w:r>
      <w:r w:rsidRPr="00C9465D">
        <w:rPr>
          <w:lang w:val="en-US"/>
        </w:rPr>
        <w:t>.</w:t>
      </w:r>
      <w:r w:rsidR="007740E3" w:rsidRPr="00C9465D">
        <w:rPr>
          <w:lang w:val="en-US"/>
        </w:rPr>
        <w:t>”</w:t>
      </w:r>
      <w:r w:rsidR="007740E3" w:rsidRPr="00C9465D">
        <w:rPr>
          <w:rStyle w:val="FootnoteReference"/>
          <w:lang w:val="en-US"/>
        </w:rPr>
        <w:footnoteReference w:id="258"/>
      </w:r>
    </w:p>
    <w:p w14:paraId="3EC0CB02" w14:textId="1C6C3823" w:rsidR="00941AFF" w:rsidRPr="00C9465D" w:rsidRDefault="00257916" w:rsidP="00941AFF">
      <w:pPr>
        <w:pStyle w:val="Numberedparagraphs"/>
        <w:rPr>
          <w:lang w:val="en-US"/>
        </w:rPr>
      </w:pPr>
      <w:r w:rsidRPr="00C9465D">
        <w:rPr>
          <w:lang w:val="en-US"/>
        </w:rPr>
        <w:t>According to the</w:t>
      </w:r>
      <w:r w:rsidR="006A363D" w:rsidRPr="00C9465D">
        <w:rPr>
          <w:lang w:val="en-US"/>
        </w:rPr>
        <w:t xml:space="preserve"> </w:t>
      </w:r>
      <w:r w:rsidR="00691F99" w:rsidRPr="00C9465D">
        <w:rPr>
          <w:lang w:val="en-US"/>
        </w:rPr>
        <w:t>World Health Organization</w:t>
      </w:r>
      <w:r w:rsidR="006A363D" w:rsidRPr="00C9465D">
        <w:rPr>
          <w:lang w:val="en-US"/>
        </w:rPr>
        <w:t xml:space="preserve">, </w:t>
      </w:r>
      <w:r w:rsidRPr="00C9465D">
        <w:rPr>
          <w:lang w:val="en-US"/>
        </w:rPr>
        <w:t xml:space="preserve">it is estimated that up to </w:t>
      </w:r>
      <w:r w:rsidR="006A363D" w:rsidRPr="00C9465D">
        <w:rPr>
          <w:lang w:val="en-US"/>
        </w:rPr>
        <w:t xml:space="preserve">70% </w:t>
      </w:r>
      <w:r w:rsidRPr="00C9465D">
        <w:rPr>
          <w:lang w:val="en-US"/>
        </w:rPr>
        <w:t>of people living with epilepsy could live seizure-free if properly diagnosed and treated.</w:t>
      </w:r>
      <w:r w:rsidR="006A363D" w:rsidRPr="00C9465D">
        <w:rPr>
          <w:rStyle w:val="FootnoteReference"/>
          <w:lang w:val="en-US"/>
        </w:rPr>
        <w:footnoteReference w:id="259"/>
      </w:r>
      <w:r w:rsidR="004F3AEE" w:rsidRPr="00C9465D">
        <w:rPr>
          <w:lang w:val="en-US"/>
        </w:rPr>
        <w:t xml:space="preserve"> </w:t>
      </w:r>
      <w:r w:rsidRPr="00C9465D">
        <w:rPr>
          <w:lang w:val="en-US"/>
        </w:rPr>
        <w:t>In addition, expert witness</w:t>
      </w:r>
      <w:r w:rsidR="004F3AEE" w:rsidRPr="00C9465D">
        <w:rPr>
          <w:lang w:val="en-US"/>
        </w:rPr>
        <w:t xml:space="preserve"> Claudia Chávez Ledesma</w:t>
      </w:r>
      <w:r w:rsidRPr="00C9465D">
        <w:rPr>
          <w:lang w:val="en-US"/>
        </w:rPr>
        <w:t xml:space="preserve"> indicated that </w:t>
      </w:r>
      <w:r w:rsidR="00941AFF" w:rsidRPr="00C9465D">
        <w:rPr>
          <w:lang w:val="en-US"/>
        </w:rPr>
        <w:t>poor therapeutic adherence or numerous changes in medication result in a greater possibility of neurobehavioral disorders associated with epilepsy.</w:t>
      </w:r>
      <w:r w:rsidR="00652F39" w:rsidRPr="00C9465D">
        <w:rPr>
          <w:rStyle w:val="FootnoteReference"/>
          <w:lang w:val="en-US"/>
        </w:rPr>
        <w:footnoteReference w:id="260"/>
      </w:r>
      <w:r w:rsidR="00941AFF" w:rsidRPr="00C9465D">
        <w:rPr>
          <w:lang w:val="en-US"/>
        </w:rPr>
        <w:t xml:space="preserve"> She explained that, “if one seeks to avoid cognitive deterioration in the patient it is necessary to prescribe</w:t>
      </w:r>
      <w:r w:rsidR="009173F8" w:rsidRPr="00C9465D">
        <w:rPr>
          <w:lang w:val="en-US"/>
        </w:rPr>
        <w:t xml:space="preserve"> comprehensive</w:t>
      </w:r>
      <w:r w:rsidR="00941AFF" w:rsidRPr="00C9465D">
        <w:rPr>
          <w:lang w:val="en-US"/>
        </w:rPr>
        <w:t xml:space="preserve"> initial and ongoing treatment with anticonvulsant medication.</w:t>
      </w:r>
      <w:r w:rsidR="00C165EC" w:rsidRPr="00C9465D">
        <w:rPr>
          <w:lang w:val="en-US"/>
        </w:rPr>
        <w:t>”</w:t>
      </w:r>
      <w:r w:rsidR="00C165EC" w:rsidRPr="00C9465D">
        <w:rPr>
          <w:rStyle w:val="FootnoteReference"/>
          <w:lang w:val="en-US"/>
        </w:rPr>
        <w:footnoteReference w:id="261"/>
      </w:r>
      <w:r w:rsidR="00941AFF" w:rsidRPr="00C9465D">
        <w:rPr>
          <w:lang w:val="en-US"/>
        </w:rPr>
        <w:t xml:space="preserve"> Therefore, the medication of persons with epilepsy is essential to prevent </w:t>
      </w:r>
      <w:r w:rsidR="009173F8" w:rsidRPr="00C9465D">
        <w:rPr>
          <w:lang w:val="en-US"/>
        </w:rPr>
        <w:t>or</w:t>
      </w:r>
      <w:r w:rsidR="00941AFF" w:rsidRPr="00C9465D">
        <w:rPr>
          <w:lang w:val="en-US"/>
        </w:rPr>
        <w:t xml:space="preserve"> reduce seizures, as well as the neurobehavioral disorders associated with epilepsy. Moreover, the adequate treatment of epilepsy reduces the possibility that the person suffering from this ailment will develop disabilities.</w:t>
      </w:r>
    </w:p>
    <w:p w14:paraId="18F78C6F" w14:textId="1E3AB660" w:rsidR="00EF19A4" w:rsidRPr="00C9465D" w:rsidRDefault="00941AFF" w:rsidP="00C2772C">
      <w:pPr>
        <w:pStyle w:val="Numberedparagraphs"/>
        <w:rPr>
          <w:lang w:val="en-US"/>
        </w:rPr>
      </w:pPr>
      <w:r w:rsidRPr="00C9465D">
        <w:rPr>
          <w:lang w:val="en-US"/>
        </w:rPr>
        <w:t>In the instant case,</w:t>
      </w:r>
      <w:r w:rsidR="00EF19A4" w:rsidRPr="00C9465D">
        <w:rPr>
          <w:lang w:val="en-US"/>
        </w:rPr>
        <w:t xml:space="preserve"> </w:t>
      </w:r>
      <w:r w:rsidR="002F3237" w:rsidRPr="00C9465D">
        <w:rPr>
          <w:lang w:val="en-US"/>
        </w:rPr>
        <w:t>Mr. Guachalá</w:t>
      </w:r>
      <w:r w:rsidR="00EF19A4" w:rsidRPr="00C9465D">
        <w:rPr>
          <w:lang w:val="en-US"/>
        </w:rPr>
        <w:t xml:space="preserve"> Chimbo </w:t>
      </w:r>
      <w:r w:rsidRPr="00C9465D">
        <w:rPr>
          <w:lang w:val="en-US"/>
        </w:rPr>
        <w:t>had to suspend his treatment frequently because he did not have sufficient resources to pay for it.</w:t>
      </w:r>
      <w:r w:rsidR="00EF19A4" w:rsidRPr="00C9465D">
        <w:rPr>
          <w:rStyle w:val="FootnoteReference"/>
          <w:lang w:val="en-US"/>
        </w:rPr>
        <w:footnoteReference w:id="262"/>
      </w:r>
      <w:r w:rsidRPr="00C9465D">
        <w:rPr>
          <w:lang w:val="en-US"/>
        </w:rPr>
        <w:t xml:space="preserve"> Following the first hospitalization in 2003, he was prescribed a series of medicines and told that he should return in June 2003 for a medical check-up. However, due to lack of money, Mr. Guachalá could not attend the appointment and had to suspend the treatment, which made a second hospitalization necessary. </w:t>
      </w:r>
      <w:r w:rsidR="00C2772C" w:rsidRPr="00C9465D">
        <w:rPr>
          <w:lang w:val="en-US"/>
        </w:rPr>
        <w:t xml:space="preserve">When he </w:t>
      </w:r>
      <w:r w:rsidR="009173F8" w:rsidRPr="00C9465D">
        <w:rPr>
          <w:lang w:val="en-US"/>
        </w:rPr>
        <w:t>was</w:t>
      </w:r>
      <w:r w:rsidR="00C2772C" w:rsidRPr="00C9465D">
        <w:rPr>
          <w:lang w:val="en-US"/>
        </w:rPr>
        <w:t xml:space="preserve"> hospitalized for the second time in the </w:t>
      </w:r>
      <w:r w:rsidR="001F65A3" w:rsidRPr="00C9465D">
        <w:rPr>
          <w:lang w:val="en-US"/>
        </w:rPr>
        <w:t>Julio Endara Hospital</w:t>
      </w:r>
      <w:r w:rsidR="00EF19A4" w:rsidRPr="00C9465D">
        <w:rPr>
          <w:lang w:val="en-US"/>
        </w:rPr>
        <w:t xml:space="preserve">, </w:t>
      </w:r>
      <w:r w:rsidR="00A56F98" w:rsidRPr="00C9465D">
        <w:rPr>
          <w:lang w:val="en-US"/>
        </w:rPr>
        <w:t>Mrs. Chimbo</w:t>
      </w:r>
      <w:r w:rsidR="00EF19A4" w:rsidRPr="00C9465D">
        <w:rPr>
          <w:lang w:val="en-US"/>
        </w:rPr>
        <w:t xml:space="preserve"> </w:t>
      </w:r>
      <w:r w:rsidR="00C2772C" w:rsidRPr="00C9465D">
        <w:rPr>
          <w:lang w:val="en-US"/>
        </w:rPr>
        <w:t>had to sign a form undertaking “to collaborate with any medicines that were necessary,</w:t>
      </w:r>
      <w:r w:rsidR="00EF19A4" w:rsidRPr="00C9465D">
        <w:rPr>
          <w:lang w:val="en-US"/>
        </w:rPr>
        <w:t>”</w:t>
      </w:r>
      <w:r w:rsidR="00EF19A4" w:rsidRPr="00C9465D">
        <w:rPr>
          <w:rStyle w:val="FootnoteReference"/>
          <w:lang w:val="en-US"/>
        </w:rPr>
        <w:footnoteReference w:id="263"/>
      </w:r>
      <w:r w:rsidR="00C2772C" w:rsidRPr="00C9465D">
        <w:rPr>
          <w:lang w:val="en-US"/>
        </w:rPr>
        <w:t xml:space="preserve"> which was established in the hospital’s regulations.</w:t>
      </w:r>
      <w:r w:rsidR="00EF19A4" w:rsidRPr="00C9465D">
        <w:rPr>
          <w:rStyle w:val="FootnoteReference"/>
          <w:lang w:val="en-US"/>
        </w:rPr>
        <w:footnoteReference w:id="264"/>
      </w:r>
      <w:r w:rsidR="00C2772C" w:rsidRPr="00C9465D">
        <w:rPr>
          <w:lang w:val="en-US"/>
        </w:rPr>
        <w:t xml:space="preserve"> In this regard, </w:t>
      </w:r>
      <w:r w:rsidR="00A56F98" w:rsidRPr="00C9465D">
        <w:rPr>
          <w:lang w:val="en-US"/>
        </w:rPr>
        <w:t>Mrs. Chimbo</w:t>
      </w:r>
      <w:r w:rsidR="00EF19A4" w:rsidRPr="00C9465D">
        <w:rPr>
          <w:lang w:val="en-US"/>
        </w:rPr>
        <w:t xml:space="preserve"> </w:t>
      </w:r>
      <w:r w:rsidR="00C2772C" w:rsidRPr="00C9465D">
        <w:rPr>
          <w:lang w:val="en-US"/>
        </w:rPr>
        <w:t>stated that the doctors gave her the prescription and she bought the medicines in the pharmacy and took them to the hospital.</w:t>
      </w:r>
      <w:r w:rsidR="00EF19A4" w:rsidRPr="00C9465D">
        <w:rPr>
          <w:rStyle w:val="FootnoteReference"/>
          <w:lang w:val="en-US"/>
        </w:rPr>
        <w:footnoteReference w:id="265"/>
      </w:r>
      <w:r w:rsidR="00EF19A4" w:rsidRPr="00C9465D">
        <w:rPr>
          <w:lang w:val="en-US"/>
        </w:rPr>
        <w:t xml:space="preserve"> </w:t>
      </w:r>
    </w:p>
    <w:p w14:paraId="74B5D595" w14:textId="79D7F693" w:rsidR="00D02E94" w:rsidRPr="00C9465D" w:rsidRDefault="00B71E4D" w:rsidP="00EF19A4">
      <w:pPr>
        <w:pStyle w:val="Numberedparagraphs"/>
        <w:rPr>
          <w:lang w:val="en-US"/>
        </w:rPr>
      </w:pPr>
      <w:r w:rsidRPr="00C9465D">
        <w:rPr>
          <w:lang w:val="en-US"/>
        </w:rPr>
        <w:t>This Court</w:t>
      </w:r>
      <w:r w:rsidR="00A1551D" w:rsidRPr="00C9465D">
        <w:rPr>
          <w:lang w:val="en-US"/>
        </w:rPr>
        <w:t xml:space="preserve"> rec</w:t>
      </w:r>
      <w:r w:rsidR="00C2772C" w:rsidRPr="00C9465D">
        <w:rPr>
          <w:lang w:val="en-US"/>
        </w:rPr>
        <w:t xml:space="preserve">alls that compliance with the State obligation to respect and to ensure </w:t>
      </w:r>
      <w:r w:rsidR="00AC1354" w:rsidRPr="00C9465D">
        <w:rPr>
          <w:lang w:val="en-US"/>
        </w:rPr>
        <w:t>the right</w:t>
      </w:r>
      <w:r w:rsidR="00260D95" w:rsidRPr="00C9465D">
        <w:rPr>
          <w:lang w:val="en-US"/>
        </w:rPr>
        <w:t xml:space="preserve"> to health</w:t>
      </w:r>
      <w:r w:rsidR="002D6BBB" w:rsidRPr="00C9465D">
        <w:rPr>
          <w:lang w:val="en-US"/>
        </w:rPr>
        <w:t xml:space="preserve"> </w:t>
      </w:r>
      <w:r w:rsidR="00C2772C" w:rsidRPr="00C9465D">
        <w:rPr>
          <w:lang w:val="en-US"/>
        </w:rPr>
        <w:t>must pay special attention to persons living in poverty. Therefore, State</w:t>
      </w:r>
      <w:r w:rsidR="009173F8" w:rsidRPr="00C9465D">
        <w:rPr>
          <w:lang w:val="en-US"/>
        </w:rPr>
        <w:t>s</w:t>
      </w:r>
      <w:r w:rsidR="00C2772C" w:rsidRPr="00C9465D">
        <w:rPr>
          <w:lang w:val="en-US"/>
        </w:rPr>
        <w:t xml:space="preserve"> must take measures to ensure that the treatment required to prevent disabilities do</w:t>
      </w:r>
      <w:r w:rsidR="009173F8" w:rsidRPr="00C9465D">
        <w:rPr>
          <w:lang w:val="en-US"/>
        </w:rPr>
        <w:t>es</w:t>
      </w:r>
      <w:r w:rsidR="00C2772C" w:rsidRPr="00C9465D">
        <w:rPr>
          <w:lang w:val="en-US"/>
        </w:rPr>
        <w:t xml:space="preserve"> not represent a disproportionate burden for the poorest households.</w:t>
      </w:r>
    </w:p>
    <w:p w14:paraId="2816868D" w14:textId="38D903BC" w:rsidR="00604B20" w:rsidRPr="00C9465D" w:rsidRDefault="00C2772C" w:rsidP="00C2772C">
      <w:pPr>
        <w:pStyle w:val="Numberedparagraphs"/>
        <w:rPr>
          <w:lang w:val="en-US"/>
        </w:rPr>
      </w:pPr>
      <w:bookmarkStart w:id="52" w:name="_Ref72159181"/>
      <w:r w:rsidRPr="00C9465D">
        <w:rPr>
          <w:lang w:val="en-US"/>
        </w:rPr>
        <w:t>In the instant case</w:t>
      </w:r>
      <w:r w:rsidR="003F5B07" w:rsidRPr="00C9465D">
        <w:rPr>
          <w:lang w:val="en-US"/>
        </w:rPr>
        <w:t xml:space="preserve">, </w:t>
      </w:r>
      <w:r w:rsidR="00193CBB" w:rsidRPr="00C9465D">
        <w:rPr>
          <w:lang w:val="en-US"/>
        </w:rPr>
        <w:t>the Court</w:t>
      </w:r>
      <w:r w:rsidR="003F5B07" w:rsidRPr="00C9465D">
        <w:rPr>
          <w:lang w:val="en-US"/>
        </w:rPr>
        <w:t xml:space="preserve"> </w:t>
      </w:r>
      <w:r w:rsidRPr="00C9465D">
        <w:rPr>
          <w:lang w:val="en-US"/>
        </w:rPr>
        <w:t>notes that</w:t>
      </w:r>
      <w:r w:rsidR="00F22AFF" w:rsidRPr="00C9465D">
        <w:rPr>
          <w:lang w:val="en-US"/>
        </w:rPr>
        <w:t xml:space="preserve">: </w:t>
      </w:r>
      <w:r w:rsidRPr="00C9465D">
        <w:rPr>
          <w:lang w:val="en-US"/>
        </w:rPr>
        <w:t>(</w:t>
      </w:r>
      <w:r w:rsidR="00F22AFF" w:rsidRPr="00C9465D">
        <w:rPr>
          <w:lang w:val="en-US"/>
        </w:rPr>
        <w:t xml:space="preserve">1) </w:t>
      </w:r>
      <w:r w:rsidRPr="00C9465D">
        <w:rPr>
          <w:lang w:val="en-US"/>
        </w:rPr>
        <w:t>the laws of Ecuador establish the State’s obligation to give preferential treatment to</w:t>
      </w:r>
      <w:r w:rsidR="00F22AFF" w:rsidRPr="00C9465D">
        <w:rPr>
          <w:lang w:val="en-US"/>
        </w:rPr>
        <w:t xml:space="preserve"> </w:t>
      </w:r>
      <w:r w:rsidR="00D85850" w:rsidRPr="00C9465D">
        <w:rPr>
          <w:lang w:val="en-US"/>
        </w:rPr>
        <w:t>persons with disabilities</w:t>
      </w:r>
      <w:r w:rsidR="00F22AFF" w:rsidRPr="00C9465D">
        <w:rPr>
          <w:lang w:val="en-US"/>
        </w:rPr>
        <w:t>,</w:t>
      </w:r>
      <w:r w:rsidR="00193CBB" w:rsidRPr="00C9465D">
        <w:rPr>
          <w:lang w:val="en-US"/>
        </w:rPr>
        <w:t xml:space="preserve"> and</w:t>
      </w:r>
      <w:r w:rsidRPr="00C9465D">
        <w:rPr>
          <w:lang w:val="en-US"/>
        </w:rPr>
        <w:t xml:space="preserve"> the obligation to </w:t>
      </w:r>
      <w:r w:rsidRPr="00C9465D">
        <w:rPr>
          <w:lang w:val="en-US"/>
        </w:rPr>
        <w:lastRenderedPageBreak/>
        <w:t xml:space="preserve">ensure the prevention of disabilities; (2) </w:t>
      </w:r>
      <w:r w:rsidR="002F3237" w:rsidRPr="00C9465D">
        <w:rPr>
          <w:lang w:val="en-US"/>
        </w:rPr>
        <w:t>Mr. Guachalá</w:t>
      </w:r>
      <w:r w:rsidR="00F22AFF" w:rsidRPr="00C9465D">
        <w:rPr>
          <w:lang w:val="en-US"/>
        </w:rPr>
        <w:t xml:space="preserve"> Chimbo </w:t>
      </w:r>
      <w:r w:rsidRPr="00C9465D">
        <w:rPr>
          <w:lang w:val="en-US"/>
        </w:rPr>
        <w:t>was in a situation of extreme vulnerability owing to the illness he suffered and his family’s situation of extreme poverty</w:t>
      </w:r>
      <w:r w:rsidR="00D84E4A" w:rsidRPr="00C9465D">
        <w:rPr>
          <w:lang w:val="en-US"/>
        </w:rPr>
        <w:t>;</w:t>
      </w:r>
      <w:r w:rsidR="00AB7963" w:rsidRPr="00C9465D">
        <w:rPr>
          <w:lang w:val="en-US"/>
        </w:rPr>
        <w:t xml:space="preserve"> </w:t>
      </w:r>
      <w:r w:rsidRPr="00C9465D">
        <w:rPr>
          <w:lang w:val="en-US"/>
        </w:rPr>
        <w:t>(</w:t>
      </w:r>
      <w:r w:rsidR="00AB7963" w:rsidRPr="00C9465D">
        <w:rPr>
          <w:lang w:val="en-US"/>
        </w:rPr>
        <w:t>3)</w:t>
      </w:r>
      <w:r w:rsidR="00D84E4A" w:rsidRPr="00C9465D">
        <w:rPr>
          <w:lang w:val="en-US"/>
        </w:rPr>
        <w:t xml:space="preserve"> </w:t>
      </w:r>
      <w:r w:rsidRPr="00C9465D">
        <w:rPr>
          <w:lang w:val="en-US"/>
        </w:rPr>
        <w:t>lack of access to epilepsy treatment increases the possibility of those suffering from this illness developing disabilities and reduces their autonomy and possibility of choosing and controlling their way of life, and (4) epilepsy treatments are not expens</w:t>
      </w:r>
      <w:r w:rsidR="0062204B" w:rsidRPr="00C9465D">
        <w:rPr>
          <w:lang w:val="en-US"/>
        </w:rPr>
        <w:t>ive</w:t>
      </w:r>
      <w:r w:rsidRPr="00C9465D">
        <w:rPr>
          <w:lang w:val="en-US"/>
        </w:rPr>
        <w:t xml:space="preserve"> because, according to the </w:t>
      </w:r>
      <w:r w:rsidR="00691F99" w:rsidRPr="00C9465D">
        <w:rPr>
          <w:color w:val="auto"/>
          <w:lang w:val="en-US"/>
        </w:rPr>
        <w:t>World Health Organization</w:t>
      </w:r>
      <w:r w:rsidR="00906CAD" w:rsidRPr="00C9465D">
        <w:rPr>
          <w:color w:val="auto"/>
          <w:lang w:val="en-US"/>
        </w:rPr>
        <w:t xml:space="preserve">, </w:t>
      </w:r>
      <w:r w:rsidRPr="00C9465D">
        <w:rPr>
          <w:color w:val="auto"/>
          <w:lang w:val="en-US"/>
        </w:rPr>
        <w:t>“[l]</w:t>
      </w:r>
      <w:r w:rsidRPr="00C9465D">
        <w:rPr>
          <w:lang w:val="en-US"/>
        </w:rPr>
        <w:t>ow-cost treatment is available, with daily medication that costs as little as US$5 per year.</w:t>
      </w:r>
      <w:r w:rsidRPr="00C9465D">
        <w:rPr>
          <w:color w:val="auto"/>
          <w:lang w:val="en-US"/>
        </w:rPr>
        <w:t>”</w:t>
      </w:r>
      <w:r w:rsidR="00906CAD" w:rsidRPr="00C9465D">
        <w:rPr>
          <w:rStyle w:val="FootnoteReference"/>
          <w:color w:val="auto"/>
          <w:lang w:val="en-US"/>
        </w:rPr>
        <w:footnoteReference w:id="266"/>
      </w:r>
      <w:r w:rsidRPr="00C9465D">
        <w:rPr>
          <w:lang w:val="en-US"/>
        </w:rPr>
        <w:t xml:space="preserve"> Therefore</w:t>
      </w:r>
      <w:r w:rsidR="00D84E4A" w:rsidRPr="00C9465D">
        <w:rPr>
          <w:lang w:val="en-US"/>
        </w:rPr>
        <w:t xml:space="preserve">, </w:t>
      </w:r>
      <w:r w:rsidR="00193CBB" w:rsidRPr="00C9465D">
        <w:rPr>
          <w:lang w:val="en-US"/>
        </w:rPr>
        <w:t>the Court</w:t>
      </w:r>
      <w:r w:rsidR="00D84E4A" w:rsidRPr="00C9465D">
        <w:rPr>
          <w:lang w:val="en-US"/>
        </w:rPr>
        <w:t xml:space="preserve"> consider</w:t>
      </w:r>
      <w:r w:rsidRPr="00C9465D">
        <w:rPr>
          <w:lang w:val="en-US"/>
        </w:rPr>
        <w:t xml:space="preserve">s that, owing to the circumstances of this case, the enhanced guarantee </w:t>
      </w:r>
      <w:r w:rsidR="00AC1354" w:rsidRPr="00C9465D">
        <w:rPr>
          <w:lang w:val="en-US"/>
        </w:rPr>
        <w:t>of the right</w:t>
      </w:r>
      <w:r w:rsidR="00260D95" w:rsidRPr="00C9465D">
        <w:rPr>
          <w:lang w:val="en-US"/>
        </w:rPr>
        <w:t xml:space="preserve"> to health</w:t>
      </w:r>
      <w:r w:rsidR="00D84E4A" w:rsidRPr="00C9465D">
        <w:rPr>
          <w:lang w:val="en-US"/>
        </w:rPr>
        <w:t xml:space="preserve"> </w:t>
      </w:r>
      <w:r w:rsidR="002F3237" w:rsidRPr="00C9465D">
        <w:rPr>
          <w:lang w:val="en-US"/>
        </w:rPr>
        <w:t>of Mr. Guachalá</w:t>
      </w:r>
      <w:r w:rsidR="00D84E4A" w:rsidRPr="00C9465D">
        <w:rPr>
          <w:lang w:val="en-US"/>
        </w:rPr>
        <w:t xml:space="preserve"> Chimbo</w:t>
      </w:r>
      <w:r w:rsidR="00725655" w:rsidRPr="00C9465D">
        <w:rPr>
          <w:lang w:val="en-US"/>
        </w:rPr>
        <w:t xml:space="preserve"> called for the free provision of the medicines prescribed for his </w:t>
      </w:r>
      <w:r w:rsidR="0062204B" w:rsidRPr="00C9465D">
        <w:rPr>
          <w:lang w:val="en-US"/>
        </w:rPr>
        <w:t xml:space="preserve">medical </w:t>
      </w:r>
      <w:r w:rsidR="00725655" w:rsidRPr="00C9465D">
        <w:rPr>
          <w:lang w:val="en-US"/>
        </w:rPr>
        <w:t>treatment and appropriate medical supervision</w:t>
      </w:r>
      <w:r w:rsidR="00D84E4A" w:rsidRPr="00C9465D">
        <w:rPr>
          <w:lang w:val="en-US"/>
        </w:rPr>
        <w:t xml:space="preserve">. </w:t>
      </w:r>
      <w:r w:rsidR="00725655" w:rsidRPr="00C9465D">
        <w:rPr>
          <w:lang w:val="en-US"/>
        </w:rPr>
        <w:t xml:space="preserve">The absence of supervision and opportune access to such medicines led to the </w:t>
      </w:r>
      <w:r w:rsidR="0062204B" w:rsidRPr="00C9465D">
        <w:rPr>
          <w:lang w:val="en-US"/>
        </w:rPr>
        <w:t>deterioration</w:t>
      </w:r>
      <w:r w:rsidR="00725655" w:rsidRPr="00C9465D">
        <w:rPr>
          <w:lang w:val="en-US"/>
        </w:rPr>
        <w:t xml:space="preserve"> of </w:t>
      </w:r>
      <w:r w:rsidR="002F3237" w:rsidRPr="00C9465D">
        <w:rPr>
          <w:lang w:val="en-US"/>
        </w:rPr>
        <w:t>Mr. Guachalá</w:t>
      </w:r>
      <w:r w:rsidR="00D84E4A" w:rsidRPr="00C9465D">
        <w:rPr>
          <w:lang w:val="en-US"/>
        </w:rPr>
        <w:t xml:space="preserve"> Chimbo</w:t>
      </w:r>
      <w:r w:rsidR="00725655" w:rsidRPr="00C9465D">
        <w:rPr>
          <w:lang w:val="en-US"/>
        </w:rPr>
        <w:t xml:space="preserve">’s health </w:t>
      </w:r>
      <w:r w:rsidR="00193CBB" w:rsidRPr="00C9465D">
        <w:rPr>
          <w:lang w:val="en-US"/>
        </w:rPr>
        <w:t>and</w:t>
      </w:r>
      <w:r w:rsidR="00725655" w:rsidRPr="00C9465D">
        <w:rPr>
          <w:lang w:val="en-US"/>
        </w:rPr>
        <w:t xml:space="preserve"> required his admittance to the </w:t>
      </w:r>
      <w:r w:rsidR="001F65A3" w:rsidRPr="00C9465D">
        <w:rPr>
          <w:lang w:val="en-US"/>
        </w:rPr>
        <w:t>Julio Endara Hospital</w:t>
      </w:r>
      <w:r w:rsidR="00725655" w:rsidRPr="00C9465D">
        <w:rPr>
          <w:lang w:val="en-US"/>
        </w:rPr>
        <w:t>. Consequently, it gave rise to the circumstances in which the facts of this case occurred.</w:t>
      </w:r>
      <w:bookmarkEnd w:id="52"/>
    </w:p>
    <w:p w14:paraId="08944703" w14:textId="388C6E43" w:rsidR="000138CD" w:rsidRPr="00C9465D" w:rsidRDefault="00725655" w:rsidP="00604B20">
      <w:pPr>
        <w:pStyle w:val="Numberedparagraphs"/>
        <w:rPr>
          <w:lang w:val="en-US"/>
        </w:rPr>
      </w:pPr>
      <w:r w:rsidRPr="00C9465D">
        <w:rPr>
          <w:lang w:val="en-US"/>
        </w:rPr>
        <w:t xml:space="preserve">Based on the above, </w:t>
      </w:r>
      <w:r w:rsidR="00193CBB" w:rsidRPr="00C9465D">
        <w:rPr>
          <w:lang w:val="en-US"/>
        </w:rPr>
        <w:t>the Court</w:t>
      </w:r>
      <w:r w:rsidR="00604B20" w:rsidRPr="00C9465D">
        <w:rPr>
          <w:lang w:val="en-US"/>
        </w:rPr>
        <w:t xml:space="preserve"> consider</w:t>
      </w:r>
      <w:r w:rsidRPr="00C9465D">
        <w:rPr>
          <w:lang w:val="en-US"/>
        </w:rPr>
        <w:t xml:space="preserve">s that the lack of access to the medicines that </w:t>
      </w:r>
      <w:r w:rsidR="00604B20" w:rsidRPr="00C9465D">
        <w:rPr>
          <w:lang w:val="en-US"/>
        </w:rPr>
        <w:t xml:space="preserve"> </w:t>
      </w:r>
      <w:r w:rsidR="002F3237" w:rsidRPr="00C9465D">
        <w:rPr>
          <w:lang w:val="en-US"/>
        </w:rPr>
        <w:t>Mr. Guachalá</w:t>
      </w:r>
      <w:r w:rsidR="003F5B07" w:rsidRPr="00C9465D">
        <w:rPr>
          <w:lang w:val="en-US"/>
        </w:rPr>
        <w:t xml:space="preserve"> Chimbo </w:t>
      </w:r>
      <w:r w:rsidRPr="00C9465D">
        <w:rPr>
          <w:lang w:val="en-US"/>
        </w:rPr>
        <w:t>required constituted non-compliance with the obligation to ensure accessible health services and, consequently</w:t>
      </w:r>
      <w:r w:rsidR="003F5B07" w:rsidRPr="00C9465D">
        <w:rPr>
          <w:lang w:val="en-US"/>
        </w:rPr>
        <w:t xml:space="preserve">, </w:t>
      </w:r>
      <w:r w:rsidR="00183C22" w:rsidRPr="00C9465D">
        <w:rPr>
          <w:lang w:val="en-US"/>
        </w:rPr>
        <w:t>a violation</w:t>
      </w:r>
      <w:r w:rsidR="00AC1354" w:rsidRPr="00C9465D">
        <w:rPr>
          <w:lang w:val="en-US"/>
        </w:rPr>
        <w:t xml:space="preserve"> of the right</w:t>
      </w:r>
      <w:r w:rsidR="00260D95" w:rsidRPr="00C9465D">
        <w:rPr>
          <w:lang w:val="en-US"/>
        </w:rPr>
        <w:t xml:space="preserve"> to health</w:t>
      </w:r>
      <w:r w:rsidR="003F5B07" w:rsidRPr="00C9465D">
        <w:rPr>
          <w:lang w:val="en-US"/>
        </w:rPr>
        <w:t xml:space="preserve">. </w:t>
      </w:r>
    </w:p>
    <w:p w14:paraId="14AB3C38" w14:textId="358F35BE" w:rsidR="00644976" w:rsidRPr="00C9465D" w:rsidRDefault="00644976" w:rsidP="00644976">
      <w:pPr>
        <w:pStyle w:val="Heading4"/>
        <w:tabs>
          <w:tab w:val="clear" w:pos="2268"/>
          <w:tab w:val="left" w:pos="1701"/>
        </w:tabs>
        <w:ind w:left="1701" w:firstLine="0"/>
        <w:jc w:val="both"/>
        <w:rPr>
          <w:lang w:val="en-US"/>
        </w:rPr>
      </w:pPr>
      <w:r w:rsidRPr="00C9465D">
        <w:rPr>
          <w:lang w:val="en-US"/>
        </w:rPr>
        <w:t xml:space="preserve">B.2.b </w:t>
      </w:r>
      <w:r w:rsidR="00725655" w:rsidRPr="00C9465D">
        <w:rPr>
          <w:lang w:val="en-US"/>
        </w:rPr>
        <w:t>The acceptability and quality of the health care received by</w:t>
      </w:r>
      <w:r w:rsidRPr="00C9465D">
        <w:rPr>
          <w:lang w:val="en-US"/>
        </w:rPr>
        <w:t xml:space="preserve"> Luis Eduardo Guachalá Chimbo</w:t>
      </w:r>
      <w:r w:rsidR="00193CBB" w:rsidRPr="00C9465D">
        <w:rPr>
          <w:lang w:val="en-US"/>
        </w:rPr>
        <w:t xml:space="preserve"> and </w:t>
      </w:r>
      <w:r w:rsidR="00725655" w:rsidRPr="00C9465D">
        <w:rPr>
          <w:lang w:val="en-US"/>
        </w:rPr>
        <w:t>his subsequent disappearance</w:t>
      </w:r>
    </w:p>
    <w:p w14:paraId="7DA31AF5" w14:textId="45F37AE6" w:rsidR="007D2F22" w:rsidRPr="00C9465D" w:rsidRDefault="00AC1354" w:rsidP="00516C89">
      <w:pPr>
        <w:pStyle w:val="Numberedparagraphs"/>
        <w:rPr>
          <w:lang w:val="en-US"/>
        </w:rPr>
      </w:pPr>
      <w:bookmarkStart w:id="53" w:name="_Ref72158968"/>
      <w:r w:rsidRPr="00C9465D">
        <w:rPr>
          <w:lang w:val="en-US"/>
        </w:rPr>
        <w:t>The right</w:t>
      </w:r>
      <w:r w:rsidR="00260D95" w:rsidRPr="00C9465D">
        <w:rPr>
          <w:lang w:val="en-US"/>
        </w:rPr>
        <w:t xml:space="preserve"> to health</w:t>
      </w:r>
      <w:r w:rsidR="002A282C" w:rsidRPr="00C9465D">
        <w:rPr>
          <w:lang w:val="en-US"/>
        </w:rPr>
        <w:t xml:space="preserve"> requi</w:t>
      </w:r>
      <w:r w:rsidR="00E750DC" w:rsidRPr="00C9465D">
        <w:rPr>
          <w:lang w:val="en-US"/>
        </w:rPr>
        <w:t>res that the services provided be acceptable; that is, designed to “improve the health status of those concerned,” and “must also be scientifically and medically appropriate and of good quality.</w:t>
      </w:r>
      <w:r w:rsidR="002A282C" w:rsidRPr="00C9465D">
        <w:rPr>
          <w:lang w:val="en-US"/>
        </w:rPr>
        <w:t>”</w:t>
      </w:r>
      <w:r w:rsidR="00313F41" w:rsidRPr="00C9465D">
        <w:rPr>
          <w:rStyle w:val="FootnoteReference"/>
          <w:lang w:val="en-US"/>
        </w:rPr>
        <w:footnoteReference w:id="267"/>
      </w:r>
      <w:r w:rsidR="00E750DC" w:rsidRPr="00C9465D">
        <w:rPr>
          <w:lang w:val="en-US"/>
        </w:rPr>
        <w:t xml:space="preserve"> The Court has indicated that the State, in its capacity as guarantor of the rights recognized in the Convention, is responsible for observance of the right to personal integrity of every person in its custody.</w:t>
      </w:r>
      <w:r w:rsidR="00644976" w:rsidRPr="00C9465D">
        <w:rPr>
          <w:rStyle w:val="FootnoteReference"/>
          <w:lang w:val="en-US"/>
        </w:rPr>
        <w:footnoteReference w:id="268"/>
      </w:r>
      <w:r w:rsidR="00E750DC" w:rsidRPr="00C9465D">
        <w:rPr>
          <w:lang w:val="en-US"/>
        </w:rPr>
        <w:t xml:space="preserve"> This applies especially to those who are receiving medical care because the ultimate purpose of the provision of health services is the improvement of the physical or mental health of the patient, and this significantly increases the State’s obligations and requires it to adopt the necessary and available measures to prevent a deterioration in the patient’s condition and to optimize his or her health.</w:t>
      </w:r>
      <w:r w:rsidR="00644976" w:rsidRPr="00C9465D">
        <w:rPr>
          <w:rStyle w:val="FootnoteReference"/>
          <w:lang w:val="en-US"/>
        </w:rPr>
        <w:footnoteReference w:id="269"/>
      </w:r>
      <w:r w:rsidR="00E750DC" w:rsidRPr="00C9465D">
        <w:rPr>
          <w:lang w:val="en-US"/>
        </w:rPr>
        <w:t xml:space="preserve"> In addition, the Court underscores that </w:t>
      </w:r>
      <w:r w:rsidR="00516C89" w:rsidRPr="00C9465D">
        <w:rPr>
          <w:lang w:val="en-US"/>
        </w:rPr>
        <w:t xml:space="preserve">the </w:t>
      </w:r>
      <w:r w:rsidR="00E750DC" w:rsidRPr="00C9465D">
        <w:rPr>
          <w:lang w:val="en-US"/>
        </w:rPr>
        <w:t xml:space="preserve">care </w:t>
      </w:r>
      <w:r w:rsidR="00516C89" w:rsidRPr="00C9465D">
        <w:rPr>
          <w:lang w:val="en-US"/>
        </w:rPr>
        <w:t xml:space="preserve">to which </w:t>
      </w:r>
      <w:r w:rsidR="00E750DC" w:rsidRPr="00C9465D">
        <w:rPr>
          <w:lang w:val="en-US"/>
        </w:rPr>
        <w:t xml:space="preserve">everyone who is receiving medical treatment </w:t>
      </w:r>
      <w:r w:rsidR="00516C89" w:rsidRPr="00C9465D">
        <w:rPr>
          <w:lang w:val="en-US"/>
        </w:rPr>
        <w:t xml:space="preserve">is entitled must be </w:t>
      </w:r>
      <w:r w:rsidR="0062204B" w:rsidRPr="00C9465D">
        <w:rPr>
          <w:lang w:val="en-US"/>
        </w:rPr>
        <w:t>amplified</w:t>
      </w:r>
      <w:r w:rsidR="00516C89" w:rsidRPr="00C9465D">
        <w:rPr>
          <w:lang w:val="en-US"/>
        </w:rPr>
        <w:t xml:space="preserve"> in the case of patients with disabilities in psychiatric institutions,</w:t>
      </w:r>
      <w:r w:rsidR="00644976" w:rsidRPr="00C9465D">
        <w:rPr>
          <w:rStyle w:val="FootnoteReference"/>
          <w:lang w:val="en-US"/>
        </w:rPr>
        <w:footnoteReference w:id="270"/>
      </w:r>
      <w:r w:rsidR="00516C89" w:rsidRPr="00C9465D">
        <w:rPr>
          <w:lang w:val="en-US"/>
        </w:rPr>
        <w:t xml:space="preserve"> without this signifying supplanting</w:t>
      </w:r>
      <w:r w:rsidR="00644976" w:rsidRPr="00C9465D">
        <w:rPr>
          <w:lang w:val="en-US"/>
        </w:rPr>
        <w:t xml:space="preserve"> </w:t>
      </w:r>
      <w:r w:rsidR="00516C89" w:rsidRPr="00C9465D">
        <w:rPr>
          <w:lang w:val="en-US"/>
        </w:rPr>
        <w:t xml:space="preserve">the legal capacity of the person institutionalized. The duty of care is related to the elements of </w:t>
      </w:r>
      <w:r w:rsidR="0062204B" w:rsidRPr="00C9465D">
        <w:rPr>
          <w:lang w:val="en-US"/>
        </w:rPr>
        <w:t xml:space="preserve">the </w:t>
      </w:r>
      <w:r w:rsidR="00516C89" w:rsidRPr="00C9465D">
        <w:rPr>
          <w:lang w:val="en-US"/>
        </w:rPr>
        <w:t xml:space="preserve">acceptability and quality </w:t>
      </w:r>
      <w:r w:rsidRPr="00C9465D">
        <w:rPr>
          <w:lang w:val="en-US"/>
        </w:rPr>
        <w:t>of the right</w:t>
      </w:r>
      <w:r w:rsidR="00260D95" w:rsidRPr="00C9465D">
        <w:rPr>
          <w:lang w:val="en-US"/>
        </w:rPr>
        <w:t xml:space="preserve"> to health</w:t>
      </w:r>
      <w:r w:rsidR="007D2F22" w:rsidRPr="00C9465D">
        <w:rPr>
          <w:lang w:val="en-US"/>
        </w:rPr>
        <w:t>.</w:t>
      </w:r>
      <w:bookmarkEnd w:id="53"/>
    </w:p>
    <w:p w14:paraId="53FCD238" w14:textId="58BC2349" w:rsidR="00313F41" w:rsidRPr="00C9465D" w:rsidRDefault="00183C22" w:rsidP="00516C89">
      <w:pPr>
        <w:pStyle w:val="Numberedparagraphs"/>
        <w:rPr>
          <w:lang w:val="en-US"/>
        </w:rPr>
      </w:pPr>
      <w:r w:rsidRPr="00C9465D">
        <w:rPr>
          <w:lang w:val="en-US"/>
        </w:rPr>
        <w:t>Th</w:t>
      </w:r>
      <w:r w:rsidR="00516C89" w:rsidRPr="00C9465D">
        <w:rPr>
          <w:lang w:val="en-US"/>
        </w:rPr>
        <w:t>e</w:t>
      </w:r>
      <w:r w:rsidRPr="00C9465D">
        <w:rPr>
          <w:lang w:val="en-US"/>
        </w:rPr>
        <w:t xml:space="preserve"> Court</w:t>
      </w:r>
      <w:r w:rsidR="00313F41" w:rsidRPr="00C9465D">
        <w:rPr>
          <w:lang w:val="en-US"/>
        </w:rPr>
        <w:t xml:space="preserve"> </w:t>
      </w:r>
      <w:r w:rsidR="00516C89" w:rsidRPr="00C9465D">
        <w:rPr>
          <w:lang w:val="en-US"/>
        </w:rPr>
        <w:t>notes that Mr. Guachalá’s medical record reveals various shortcomings that demonstrate that the care provided was neither acceptable nor of quality. First, there is no record that the type of epilepsy suffered by Mr. Guachalá Chimbo was identified.</w:t>
      </w:r>
      <w:r w:rsidR="00313F41" w:rsidRPr="00C9465D">
        <w:rPr>
          <w:rStyle w:val="FootnoteReference"/>
          <w:lang w:val="en-US"/>
        </w:rPr>
        <w:footnoteReference w:id="271"/>
      </w:r>
      <w:r w:rsidR="00516C89" w:rsidRPr="00C9465D">
        <w:rPr>
          <w:lang w:val="en-US"/>
        </w:rPr>
        <w:t xml:space="preserve"> This </w:t>
      </w:r>
      <w:r w:rsidR="00516C89" w:rsidRPr="00C9465D">
        <w:rPr>
          <w:lang w:val="en-US"/>
        </w:rPr>
        <w:lastRenderedPageBreak/>
        <w:t>determination is essential to ensure that the appropriate treatment is provided and, consequently, care that is acceptable and of quality.</w:t>
      </w:r>
      <w:r w:rsidR="00313F41" w:rsidRPr="00C9465D">
        <w:rPr>
          <w:rStyle w:val="FootnoteReference"/>
          <w:lang w:val="en-US"/>
        </w:rPr>
        <w:footnoteReference w:id="272"/>
      </w:r>
      <w:r w:rsidR="00313F41" w:rsidRPr="00C9465D">
        <w:rPr>
          <w:lang w:val="en-US"/>
        </w:rPr>
        <w:t xml:space="preserve"> </w:t>
      </w:r>
    </w:p>
    <w:p w14:paraId="25199B84" w14:textId="6E50CAC9" w:rsidR="00313F41" w:rsidRPr="00C9465D" w:rsidRDefault="00190EBC" w:rsidP="00313F41">
      <w:pPr>
        <w:pStyle w:val="Numberedparagraphs"/>
        <w:rPr>
          <w:lang w:val="en-US"/>
        </w:rPr>
      </w:pPr>
      <w:r w:rsidRPr="00C9465D">
        <w:rPr>
          <w:lang w:val="en-US"/>
        </w:rPr>
        <w:t>Second</w:t>
      </w:r>
      <w:r w:rsidR="00313F41" w:rsidRPr="00C9465D">
        <w:rPr>
          <w:lang w:val="en-US"/>
        </w:rPr>
        <w:t>,</w:t>
      </w:r>
      <w:r w:rsidRPr="00C9465D">
        <w:rPr>
          <w:lang w:val="en-US"/>
        </w:rPr>
        <w:t xml:space="preserve"> the medical record does not show that, on January 11, 2004, any prescription was </w:t>
      </w:r>
      <w:r w:rsidR="0064665B" w:rsidRPr="00C9465D">
        <w:rPr>
          <w:lang w:val="en-US"/>
        </w:rPr>
        <w:t xml:space="preserve">written for medication or that the patient’s condition and evolution were assessed on January </w:t>
      </w:r>
      <w:r w:rsidR="00313F41" w:rsidRPr="00C9465D">
        <w:rPr>
          <w:lang w:val="en-US"/>
        </w:rPr>
        <w:t>14, 17</w:t>
      </w:r>
      <w:r w:rsidR="00193CBB" w:rsidRPr="00C9465D">
        <w:rPr>
          <w:lang w:val="en-US"/>
        </w:rPr>
        <w:t xml:space="preserve"> and </w:t>
      </w:r>
      <w:r w:rsidR="00313F41" w:rsidRPr="00C9465D">
        <w:rPr>
          <w:lang w:val="en-US"/>
        </w:rPr>
        <w:t>18</w:t>
      </w:r>
      <w:r w:rsidR="0064665B" w:rsidRPr="00C9465D">
        <w:rPr>
          <w:lang w:val="en-US"/>
        </w:rPr>
        <w:t>.</w:t>
      </w:r>
      <w:r w:rsidR="00313F41" w:rsidRPr="00C9465D">
        <w:rPr>
          <w:rStyle w:val="FootnoteReference"/>
          <w:lang w:val="en-US"/>
        </w:rPr>
        <w:footnoteReference w:id="273"/>
      </w:r>
      <w:r w:rsidR="0064665B" w:rsidRPr="00C9465D">
        <w:rPr>
          <w:lang w:val="en-US"/>
        </w:rPr>
        <w:t xml:space="preserve"> Also, there is no record that any tests</w:t>
      </w:r>
      <w:r w:rsidR="00313F41" w:rsidRPr="00C9465D">
        <w:rPr>
          <w:lang w:val="en-US"/>
        </w:rPr>
        <w:t xml:space="preserve"> </w:t>
      </w:r>
      <w:r w:rsidR="0064665B" w:rsidRPr="00C9465D">
        <w:rPr>
          <w:lang w:val="en-US"/>
        </w:rPr>
        <w:t>other than the measurement of his vital signs were performed.</w:t>
      </w:r>
      <w:r w:rsidR="00313F41" w:rsidRPr="00C9465D">
        <w:rPr>
          <w:rStyle w:val="FootnoteReference"/>
          <w:lang w:val="en-US"/>
        </w:rPr>
        <w:footnoteReference w:id="274"/>
      </w:r>
    </w:p>
    <w:p w14:paraId="08C9F75C" w14:textId="4350C740" w:rsidR="00E82C7F" w:rsidRPr="00C9465D" w:rsidRDefault="0064665B" w:rsidP="00E82C7F">
      <w:pPr>
        <w:pStyle w:val="Numberedparagraphs"/>
        <w:rPr>
          <w:lang w:val="en-US"/>
        </w:rPr>
      </w:pPr>
      <w:r w:rsidRPr="00C9465D">
        <w:rPr>
          <w:lang w:val="en-US"/>
        </w:rPr>
        <w:t xml:space="preserve">Third, in light of </w:t>
      </w:r>
      <w:r w:rsidR="006A3DE1" w:rsidRPr="00C9465D">
        <w:rPr>
          <w:lang w:val="en-US"/>
        </w:rPr>
        <w:t xml:space="preserve">the </w:t>
      </w:r>
      <w:r w:rsidRPr="00C9465D">
        <w:rPr>
          <w:lang w:val="en-US"/>
        </w:rPr>
        <w:t xml:space="preserve">possible effects of the medication that </w:t>
      </w:r>
      <w:r w:rsidRPr="00C9465D">
        <w:rPr>
          <w:lang w:val="en-US" w:eastAsia="es-MX"/>
        </w:rPr>
        <w:t xml:space="preserve">Mr. Guachalá Chimbo was taking, on January 12, 13 and 16, the doctor in charge of his case </w:t>
      </w:r>
      <w:r w:rsidR="006A3DE1" w:rsidRPr="00C9465D">
        <w:rPr>
          <w:lang w:val="en-US" w:eastAsia="es-MX"/>
        </w:rPr>
        <w:t xml:space="preserve">noted on the medical chart “please </w:t>
      </w:r>
      <w:r w:rsidR="0062204B" w:rsidRPr="00C9465D">
        <w:rPr>
          <w:lang w:val="en-US" w:eastAsia="es-MX"/>
        </w:rPr>
        <w:t>monitor closely</w:t>
      </w:r>
      <w:r w:rsidR="006A3DE1" w:rsidRPr="00C9465D">
        <w:rPr>
          <w:lang w:val="en-US" w:eastAsia="es-MX"/>
        </w:rPr>
        <w:t>.</w:t>
      </w:r>
      <w:r w:rsidR="008E3E7F" w:rsidRPr="00C9465D">
        <w:rPr>
          <w:lang w:val="en-US" w:eastAsia="es-MX"/>
        </w:rPr>
        <w:t>”</w:t>
      </w:r>
      <w:r w:rsidR="008E3E7F" w:rsidRPr="00C9465D">
        <w:rPr>
          <w:rStyle w:val="FootnoteReference"/>
          <w:lang w:val="en-US" w:eastAsia="es-MX"/>
        </w:rPr>
        <w:footnoteReference w:id="275"/>
      </w:r>
      <w:r w:rsidR="006A3DE1" w:rsidRPr="00C9465D">
        <w:rPr>
          <w:lang w:val="en-US" w:eastAsia="es-MX"/>
        </w:rPr>
        <w:t xml:space="preserve"> However, on January 12, when </w:t>
      </w:r>
      <w:r w:rsidR="006841AB" w:rsidRPr="00C9465D">
        <w:rPr>
          <w:lang w:val="en-US" w:eastAsia="es-MX"/>
        </w:rPr>
        <w:t xml:space="preserve">Zoila </w:t>
      </w:r>
      <w:r w:rsidR="008E3E7F" w:rsidRPr="00C9465D">
        <w:rPr>
          <w:lang w:val="en-US" w:eastAsia="es-MX"/>
        </w:rPr>
        <w:t xml:space="preserve">Chimbo </w:t>
      </w:r>
      <w:r w:rsidR="006A3DE1" w:rsidRPr="00C9465D">
        <w:rPr>
          <w:lang w:val="en-US" w:eastAsia="es-MX"/>
        </w:rPr>
        <w:t>went to th</w:t>
      </w:r>
      <w:r w:rsidR="00E82C7F" w:rsidRPr="00C9465D">
        <w:rPr>
          <w:lang w:val="en-US" w:eastAsia="es-MX"/>
        </w:rPr>
        <w:t>e</w:t>
      </w:r>
      <w:r w:rsidR="006A3DE1" w:rsidRPr="00C9465D">
        <w:rPr>
          <w:lang w:val="en-US" w:eastAsia="es-MX"/>
        </w:rPr>
        <w:t xml:space="preserve"> hospital </w:t>
      </w:r>
      <w:r w:rsidR="00E82C7F" w:rsidRPr="00C9465D">
        <w:rPr>
          <w:lang w:val="en-US" w:eastAsia="es-MX"/>
        </w:rPr>
        <w:t xml:space="preserve">to visit her son, she was unable to see him because he was not in his room and none of the staff that she questioned knew where he was or </w:t>
      </w:r>
      <w:r w:rsidR="0062204B" w:rsidRPr="00C9465D">
        <w:rPr>
          <w:lang w:val="en-US" w:eastAsia="es-MX"/>
        </w:rPr>
        <w:t xml:space="preserve">else they </w:t>
      </w:r>
      <w:r w:rsidR="00E82C7F" w:rsidRPr="00C9465D">
        <w:rPr>
          <w:lang w:val="en-US" w:eastAsia="es-MX"/>
        </w:rPr>
        <w:t>gave her contradictory information.</w:t>
      </w:r>
      <w:r w:rsidR="008E3E7F" w:rsidRPr="00C9465D">
        <w:rPr>
          <w:rStyle w:val="FootnoteReference"/>
          <w:lang w:val="en-US"/>
        </w:rPr>
        <w:footnoteReference w:id="276"/>
      </w:r>
      <w:r w:rsidR="008E3E7F" w:rsidRPr="00C9465D">
        <w:rPr>
          <w:lang w:val="en-US" w:eastAsia="es-MX"/>
        </w:rPr>
        <w:t xml:space="preserve"> </w:t>
      </w:r>
      <w:r w:rsidR="00E82C7F" w:rsidRPr="00C9465D">
        <w:rPr>
          <w:lang w:val="en-US" w:eastAsia="es-MX"/>
        </w:rPr>
        <w:t xml:space="preserve">Initially, </w:t>
      </w:r>
      <w:r w:rsidR="00100EAD" w:rsidRPr="00C9465D">
        <w:rPr>
          <w:lang w:val="en-US" w:eastAsia="es-MX"/>
        </w:rPr>
        <w:t>Dr. E.Q.</w:t>
      </w:r>
      <w:r w:rsidR="006841AB" w:rsidRPr="00C9465D">
        <w:rPr>
          <w:lang w:val="en-US" w:eastAsia="es-MX"/>
        </w:rPr>
        <w:t xml:space="preserve"> </w:t>
      </w:r>
      <w:r w:rsidR="006841AB" w:rsidRPr="00C9465D">
        <w:rPr>
          <w:lang w:val="en-US"/>
        </w:rPr>
        <w:t>“</w:t>
      </w:r>
      <w:r w:rsidR="00E82C7F" w:rsidRPr="00C9465D">
        <w:rPr>
          <w:lang w:val="en-US"/>
        </w:rPr>
        <w:t>told me that my son was sedated,</w:t>
      </w:r>
      <w:r w:rsidR="006841AB" w:rsidRPr="00C9465D">
        <w:rPr>
          <w:lang w:val="en-US"/>
        </w:rPr>
        <w:t>”</w:t>
      </w:r>
      <w:r w:rsidR="006841AB" w:rsidRPr="00C9465D">
        <w:rPr>
          <w:rStyle w:val="FootnoteReference"/>
          <w:lang w:val="en-US"/>
        </w:rPr>
        <w:footnoteReference w:id="277"/>
      </w:r>
      <w:r w:rsidR="00E82C7F" w:rsidRPr="00C9465D">
        <w:rPr>
          <w:lang w:val="en-US"/>
        </w:rPr>
        <w:t xml:space="preserve"> which is what the same doctor indicated in the medical record that day.</w:t>
      </w:r>
      <w:r w:rsidR="006841AB" w:rsidRPr="00C9465D">
        <w:rPr>
          <w:rStyle w:val="FootnoteReference"/>
          <w:lang w:val="en-US"/>
        </w:rPr>
        <w:footnoteReference w:id="278"/>
      </w:r>
      <w:r w:rsidR="00E82C7F" w:rsidRPr="00C9465D">
        <w:rPr>
          <w:lang w:val="en-US"/>
        </w:rPr>
        <w:t xml:space="preserve"> However, subsequently, </w:t>
      </w:r>
      <w:r w:rsidR="0062204B" w:rsidRPr="00C9465D">
        <w:rPr>
          <w:lang w:val="en-US"/>
        </w:rPr>
        <w:t>Mrs. Chimbo</w:t>
      </w:r>
      <w:r w:rsidR="00E82C7F" w:rsidRPr="00C9465D">
        <w:rPr>
          <w:lang w:val="en-US"/>
        </w:rPr>
        <w:t xml:space="preserve"> was told that “he could be at the barbers or in occupational therapy with the other patients.</w:t>
      </w:r>
      <w:r w:rsidR="006841AB" w:rsidRPr="00C9465D">
        <w:rPr>
          <w:lang w:val="en-US"/>
        </w:rPr>
        <w:t>”</w:t>
      </w:r>
      <w:r w:rsidR="006841AB" w:rsidRPr="00C9465D">
        <w:rPr>
          <w:rStyle w:val="FootnoteReference"/>
          <w:lang w:val="en-US"/>
        </w:rPr>
        <w:footnoteReference w:id="279"/>
      </w:r>
      <w:r w:rsidR="006841AB" w:rsidRPr="00C9465D">
        <w:rPr>
          <w:lang w:val="en-US"/>
        </w:rPr>
        <w:t xml:space="preserve"> </w:t>
      </w:r>
      <w:r w:rsidR="00183C22" w:rsidRPr="00C9465D">
        <w:rPr>
          <w:lang w:val="en-US"/>
        </w:rPr>
        <w:t>Th</w:t>
      </w:r>
      <w:r w:rsidR="0062204B" w:rsidRPr="00C9465D">
        <w:rPr>
          <w:lang w:val="en-US"/>
        </w:rPr>
        <w:t>e</w:t>
      </w:r>
      <w:r w:rsidR="00183C22" w:rsidRPr="00C9465D">
        <w:rPr>
          <w:lang w:val="en-US"/>
        </w:rPr>
        <w:t xml:space="preserve"> Court</w:t>
      </w:r>
      <w:r w:rsidR="006841AB" w:rsidRPr="00C9465D">
        <w:rPr>
          <w:lang w:val="en-US"/>
        </w:rPr>
        <w:t xml:space="preserve"> </w:t>
      </w:r>
      <w:r w:rsidR="00E82C7F" w:rsidRPr="00C9465D">
        <w:rPr>
          <w:lang w:val="en-US"/>
        </w:rPr>
        <w:t xml:space="preserve">finds it necessary to emphasize that the care </w:t>
      </w:r>
      <w:r w:rsidR="0062204B" w:rsidRPr="00C9465D">
        <w:rPr>
          <w:lang w:val="en-US"/>
        </w:rPr>
        <w:t>needed</w:t>
      </w:r>
      <w:r w:rsidR="00E82C7F" w:rsidRPr="00C9465D">
        <w:rPr>
          <w:lang w:val="en-US"/>
        </w:rPr>
        <w:t xml:space="preserve"> to ensure that medication does not have adverse effects required that, when it </w:t>
      </w:r>
      <w:r w:rsidR="0062204B" w:rsidRPr="00C9465D">
        <w:rPr>
          <w:lang w:val="en-US"/>
        </w:rPr>
        <w:t>was</w:t>
      </w:r>
      <w:r w:rsidR="00E82C7F" w:rsidRPr="00C9465D">
        <w:rPr>
          <w:lang w:val="en-US"/>
        </w:rPr>
        <w:t xml:space="preserve"> noted that the patient was not in his room, efforts should have been made to find him and confirm the state of his health.</w:t>
      </w:r>
    </w:p>
    <w:p w14:paraId="25E484E0" w14:textId="009A67BA" w:rsidR="00E82C7F" w:rsidRPr="00C9465D" w:rsidRDefault="00E82C7F" w:rsidP="00E82C7F">
      <w:pPr>
        <w:pStyle w:val="Numberedparagraphs"/>
        <w:rPr>
          <w:lang w:val="en-US"/>
        </w:rPr>
      </w:pPr>
      <w:r w:rsidRPr="00C9465D">
        <w:rPr>
          <w:lang w:val="en-US"/>
        </w:rPr>
        <w:t xml:space="preserve">Fourth, on January 14, </w:t>
      </w:r>
      <w:r w:rsidR="002F3237" w:rsidRPr="00C9465D">
        <w:rPr>
          <w:lang w:val="en-US"/>
        </w:rPr>
        <w:t>Mr. Guachalá</w:t>
      </w:r>
      <w:r w:rsidR="00803697" w:rsidRPr="00C9465D">
        <w:rPr>
          <w:lang w:val="en-US"/>
        </w:rPr>
        <w:t xml:space="preserve"> Chimbo</w:t>
      </w:r>
      <w:r w:rsidRPr="00C9465D">
        <w:rPr>
          <w:lang w:val="en-US"/>
        </w:rPr>
        <w:t xml:space="preserve"> had an accident in the bathroom; an injury to his head had to be sutured and this was done the following day.</w:t>
      </w:r>
      <w:r w:rsidR="00803697" w:rsidRPr="00C9465D">
        <w:rPr>
          <w:vertAlign w:val="superscript"/>
          <w:lang w:val="en-US"/>
        </w:rPr>
        <w:footnoteReference w:id="280"/>
      </w:r>
      <w:r w:rsidRPr="00C9465D">
        <w:rPr>
          <w:lang w:val="en-US"/>
        </w:rPr>
        <w:t xml:space="preserve"> The medical record and the medical report make no mention of the indications given by the doctor on January 14. Therefore, the Court assumes that the request to keep a close watch on him made the previous day continued in effect. Even though it is not possible to determine the reason for this accident, there is a possibility that Mr. Guachalá was not receiving sufficient assistance from the nursing staff, considering his sedation.</w:t>
      </w:r>
    </w:p>
    <w:p w14:paraId="16873E60" w14:textId="05DBA967" w:rsidR="000773B3" w:rsidRPr="00C9465D" w:rsidRDefault="00E82C7F" w:rsidP="000773B3">
      <w:pPr>
        <w:pStyle w:val="Numberedparagraphs"/>
        <w:rPr>
          <w:lang w:val="en-US" w:eastAsia="es-MX"/>
        </w:rPr>
      </w:pPr>
      <w:r w:rsidRPr="00C9465D">
        <w:rPr>
          <w:lang w:val="en-US" w:eastAsia="es-MX"/>
        </w:rPr>
        <w:t>Based on the above, the Court concludes th</w:t>
      </w:r>
      <w:r w:rsidR="008028E6" w:rsidRPr="00C9465D">
        <w:rPr>
          <w:lang w:val="en-US" w:eastAsia="es-MX"/>
        </w:rPr>
        <w:t>a</w:t>
      </w:r>
      <w:r w:rsidRPr="00C9465D">
        <w:rPr>
          <w:lang w:val="en-US" w:eastAsia="es-MX"/>
        </w:rPr>
        <w:t xml:space="preserve">t the </w:t>
      </w:r>
      <w:r w:rsidR="008028E6" w:rsidRPr="00C9465D">
        <w:rPr>
          <w:lang w:val="en-US" w:eastAsia="es-MX"/>
        </w:rPr>
        <w:t xml:space="preserve">State failed to comply with its obligation to provide the presumed victim with acceptable and quality medical care and, consequently, violated </w:t>
      </w:r>
      <w:r w:rsidR="00AC1354" w:rsidRPr="00C9465D">
        <w:rPr>
          <w:lang w:val="en-US"/>
        </w:rPr>
        <w:t>the right</w:t>
      </w:r>
      <w:r w:rsidR="00260D95" w:rsidRPr="00C9465D">
        <w:rPr>
          <w:lang w:val="en-US"/>
        </w:rPr>
        <w:t xml:space="preserve"> to health</w:t>
      </w:r>
      <w:r w:rsidR="000773B3" w:rsidRPr="00C9465D">
        <w:rPr>
          <w:lang w:val="en-US"/>
        </w:rPr>
        <w:t>.</w:t>
      </w:r>
    </w:p>
    <w:p w14:paraId="73F5D50D" w14:textId="535CF67E" w:rsidR="000773B3" w:rsidRPr="00C9465D" w:rsidRDefault="000773B3" w:rsidP="004D2418">
      <w:pPr>
        <w:pStyle w:val="Heading3"/>
        <w:rPr>
          <w:lang w:val="en-US"/>
        </w:rPr>
      </w:pPr>
      <w:bookmarkStart w:id="54" w:name="_Toc74298456"/>
      <w:r w:rsidRPr="00C9465D">
        <w:rPr>
          <w:lang w:val="en-US"/>
        </w:rPr>
        <w:t xml:space="preserve">B.3 </w:t>
      </w:r>
      <w:r w:rsidR="004D2418" w:rsidRPr="00C9465D">
        <w:rPr>
          <w:lang w:val="en-US"/>
        </w:rPr>
        <w:tab/>
      </w:r>
      <w:r w:rsidR="00BF6AD0" w:rsidRPr="00C9465D">
        <w:rPr>
          <w:lang w:val="en-US"/>
        </w:rPr>
        <w:t>The disappearance of</w:t>
      </w:r>
      <w:r w:rsidR="002F3237" w:rsidRPr="00C9465D">
        <w:rPr>
          <w:lang w:val="en-US"/>
        </w:rPr>
        <w:t xml:space="preserve"> Mr. Guachalá</w:t>
      </w:r>
      <w:bookmarkEnd w:id="54"/>
    </w:p>
    <w:p w14:paraId="17AE8D6C" w14:textId="70E94AF2" w:rsidR="003C4579" w:rsidRPr="00C9465D" w:rsidRDefault="008C2989" w:rsidP="003C4579">
      <w:pPr>
        <w:pStyle w:val="Numberedparagraphs"/>
        <w:rPr>
          <w:rFonts w:cs="Times New Roman"/>
          <w:lang w:val="en-US"/>
        </w:rPr>
      </w:pPr>
      <w:r w:rsidRPr="00C9465D">
        <w:rPr>
          <w:lang w:val="en-US" w:eastAsia="es-MX"/>
        </w:rPr>
        <w:lastRenderedPageBreak/>
        <w:t>According to</w:t>
      </w:r>
      <w:r w:rsidR="003C4579" w:rsidRPr="00C9465D">
        <w:rPr>
          <w:lang w:val="en-US" w:eastAsia="es-MX"/>
        </w:rPr>
        <w:t xml:space="preserve"> </w:t>
      </w:r>
      <w:r w:rsidRPr="00C9465D">
        <w:rPr>
          <w:lang w:val="en-US" w:eastAsia="es-MX"/>
        </w:rPr>
        <w:t>the medical record</w:t>
      </w:r>
      <w:r w:rsidR="003C4579" w:rsidRPr="00C9465D">
        <w:rPr>
          <w:lang w:val="en-US" w:eastAsia="es-MX"/>
        </w:rPr>
        <w:t xml:space="preserve">, </w:t>
      </w:r>
      <w:r w:rsidRPr="00C9465D">
        <w:rPr>
          <w:lang w:val="en-US" w:eastAsia="es-MX"/>
        </w:rPr>
        <w:t>on</w:t>
      </w:r>
      <w:r w:rsidR="003C4579" w:rsidRPr="00C9465D">
        <w:rPr>
          <w:lang w:val="en-US" w:eastAsia="es-MX"/>
        </w:rPr>
        <w:t xml:space="preserve"> </w:t>
      </w:r>
      <w:r w:rsidR="00BF6AD0" w:rsidRPr="00C9465D">
        <w:rPr>
          <w:lang w:val="en-US" w:eastAsia="es-MX"/>
        </w:rPr>
        <w:t>January 17,</w:t>
      </w:r>
      <w:r w:rsidR="00C171FA" w:rsidRPr="00C9465D">
        <w:rPr>
          <w:lang w:val="en-US" w:eastAsia="es-MX"/>
        </w:rPr>
        <w:t xml:space="preserve"> 2004</w:t>
      </w:r>
      <w:r w:rsidRPr="00C9465D">
        <w:rPr>
          <w:lang w:val="en-US" w:eastAsia="es-MX"/>
        </w:rPr>
        <w:t>,</w:t>
      </w:r>
      <w:r w:rsidR="00C171FA" w:rsidRPr="00C9465D">
        <w:rPr>
          <w:lang w:val="en-US" w:eastAsia="es-MX"/>
        </w:rPr>
        <w:t xml:space="preserve"> </w:t>
      </w:r>
      <w:r w:rsidRPr="00C9465D">
        <w:rPr>
          <w:lang w:val="en-US" w:eastAsia="es-MX"/>
        </w:rPr>
        <w:t xml:space="preserve">it appears that </w:t>
      </w:r>
      <w:r w:rsidR="002F3237" w:rsidRPr="00C9465D">
        <w:rPr>
          <w:lang w:val="en-US" w:eastAsia="es-MX"/>
        </w:rPr>
        <w:t>Mr. Guachalá</w:t>
      </w:r>
      <w:r w:rsidR="003C4579" w:rsidRPr="00C9465D">
        <w:rPr>
          <w:lang w:val="en-US" w:eastAsia="es-MX"/>
        </w:rPr>
        <w:t xml:space="preserve"> Chimbo </w:t>
      </w:r>
      <w:r w:rsidRPr="00C9465D">
        <w:rPr>
          <w:lang w:val="en-US" w:eastAsia="es-MX"/>
        </w:rPr>
        <w:t xml:space="preserve">left the </w:t>
      </w:r>
      <w:r w:rsidR="003C4579" w:rsidRPr="00C9465D">
        <w:rPr>
          <w:lang w:val="en-US" w:eastAsia="es-MX"/>
        </w:rPr>
        <w:t xml:space="preserve">hospital </w:t>
      </w:r>
      <w:r w:rsidRPr="00C9465D">
        <w:rPr>
          <w:lang w:val="en-US" w:eastAsia="es-MX"/>
        </w:rPr>
        <w:t>and, since then, his whereabouts are unknown.</w:t>
      </w:r>
      <w:r w:rsidR="003C4579" w:rsidRPr="00C9465D">
        <w:rPr>
          <w:rStyle w:val="FootnoteReference"/>
          <w:lang w:val="en-US" w:eastAsia="es-MX"/>
        </w:rPr>
        <w:footnoteReference w:id="281"/>
      </w:r>
      <w:r w:rsidR="003C4579" w:rsidRPr="00C9465D">
        <w:rPr>
          <w:lang w:val="en-US" w:eastAsia="es-MX"/>
        </w:rPr>
        <w:t xml:space="preserve"> </w:t>
      </w:r>
    </w:p>
    <w:p w14:paraId="1E7417F7" w14:textId="1DB10A12" w:rsidR="003C4579" w:rsidRPr="00C9465D" w:rsidRDefault="008C2989" w:rsidP="003C4579">
      <w:pPr>
        <w:pStyle w:val="Numberedparagraphs"/>
        <w:tabs>
          <w:tab w:val="left" w:pos="567"/>
        </w:tabs>
        <w:rPr>
          <w:rFonts w:cs="Times New Roman"/>
          <w:lang w:val="en-US"/>
        </w:rPr>
      </w:pPr>
      <w:r w:rsidRPr="00C9465D">
        <w:rPr>
          <w:lang w:val="en-US"/>
        </w:rPr>
        <w:t xml:space="preserve">In the instant case, there is no direct evidence that </w:t>
      </w:r>
      <w:r w:rsidR="002F3237" w:rsidRPr="00C9465D">
        <w:rPr>
          <w:lang w:val="en-US"/>
        </w:rPr>
        <w:t>Mr. Guachalá</w:t>
      </w:r>
      <w:r w:rsidR="003C4579" w:rsidRPr="00C9465D">
        <w:rPr>
          <w:lang w:val="en-US"/>
        </w:rPr>
        <w:t xml:space="preserve"> Chimbo </w:t>
      </w:r>
      <w:r w:rsidRPr="00C9465D">
        <w:rPr>
          <w:lang w:val="en-US"/>
        </w:rPr>
        <w:t xml:space="preserve">escaped from the </w:t>
      </w:r>
      <w:r w:rsidR="003C4579" w:rsidRPr="00C9465D">
        <w:rPr>
          <w:lang w:val="en-US"/>
        </w:rPr>
        <w:t xml:space="preserve">hospital. </w:t>
      </w:r>
      <w:r w:rsidR="00193CBB" w:rsidRPr="00C9465D">
        <w:rPr>
          <w:lang w:val="en-US"/>
        </w:rPr>
        <w:t>The State</w:t>
      </w:r>
      <w:r w:rsidR="003C4579" w:rsidRPr="00C9465D">
        <w:rPr>
          <w:lang w:val="en-US"/>
        </w:rPr>
        <w:t xml:space="preserve"> </w:t>
      </w:r>
      <w:r w:rsidRPr="00C9465D">
        <w:rPr>
          <w:lang w:val="en-US"/>
        </w:rPr>
        <w:t xml:space="preserve">supported its position on the statements of the nurse responsible for taking care </w:t>
      </w:r>
      <w:r w:rsidR="002F3237" w:rsidRPr="00C9465D">
        <w:rPr>
          <w:lang w:val="en-US"/>
        </w:rPr>
        <w:t>of Mr. Guachalá</w:t>
      </w:r>
      <w:r w:rsidR="003C4579" w:rsidRPr="00C9465D">
        <w:rPr>
          <w:lang w:val="en-US"/>
        </w:rPr>
        <w:t xml:space="preserve">, </w:t>
      </w:r>
      <w:r w:rsidRPr="00C9465D">
        <w:rPr>
          <w:lang w:val="en-US"/>
        </w:rPr>
        <w:t>who saw him for the last time in the television room and indicated that, while he was absen</w:t>
      </w:r>
      <w:r w:rsidR="00A37FAF" w:rsidRPr="00C9465D">
        <w:rPr>
          <w:lang w:val="en-US"/>
        </w:rPr>
        <w:t>t</w:t>
      </w:r>
      <w:r w:rsidRPr="00C9465D">
        <w:rPr>
          <w:lang w:val="en-US"/>
        </w:rPr>
        <w:t xml:space="preserve">, Mr. Guachalá had escaped from the </w:t>
      </w:r>
      <w:r w:rsidR="003C4579" w:rsidRPr="00C9465D">
        <w:rPr>
          <w:lang w:val="en-US"/>
        </w:rPr>
        <w:t xml:space="preserve">hospital. </w:t>
      </w:r>
      <w:r w:rsidRPr="00C9465D">
        <w:rPr>
          <w:lang w:val="en-US"/>
        </w:rPr>
        <w:t xml:space="preserve">The case file contains no statements by anyone who saw Mr. Guachalá </w:t>
      </w:r>
      <w:r w:rsidR="00A37FAF" w:rsidRPr="00C9465D">
        <w:rPr>
          <w:lang w:val="en-US"/>
        </w:rPr>
        <w:t>abandon</w:t>
      </w:r>
      <w:r w:rsidRPr="00C9465D">
        <w:rPr>
          <w:lang w:val="en-US"/>
        </w:rPr>
        <w:t xml:space="preserve"> the </w:t>
      </w:r>
      <w:r w:rsidR="003C4579" w:rsidRPr="00C9465D">
        <w:rPr>
          <w:lang w:val="en-US"/>
        </w:rPr>
        <w:t xml:space="preserve">hospital. </w:t>
      </w:r>
    </w:p>
    <w:p w14:paraId="6D9E18BE" w14:textId="687A8B0B" w:rsidR="00E25F0A" w:rsidRPr="00C9465D" w:rsidRDefault="00992343" w:rsidP="00992343">
      <w:pPr>
        <w:pStyle w:val="Numberedparagraphs"/>
        <w:rPr>
          <w:rFonts w:cs="Times New Roman"/>
          <w:lang w:val="en-US"/>
        </w:rPr>
      </w:pPr>
      <w:r w:rsidRPr="00C9465D">
        <w:rPr>
          <w:lang w:val="en-US"/>
        </w:rPr>
        <w:t xml:space="preserve">On the other hand, there is evidence that </w:t>
      </w:r>
      <w:r w:rsidR="002F3237" w:rsidRPr="00C9465D">
        <w:rPr>
          <w:lang w:val="en-US"/>
        </w:rPr>
        <w:t>Mr. Guachalá</w:t>
      </w:r>
      <w:r w:rsidR="00E25F0A" w:rsidRPr="00C9465D">
        <w:rPr>
          <w:lang w:val="en-US"/>
        </w:rPr>
        <w:t xml:space="preserve"> </w:t>
      </w:r>
      <w:r w:rsidRPr="00C9465D">
        <w:rPr>
          <w:lang w:val="en-US"/>
        </w:rPr>
        <w:t xml:space="preserve">was in no condition to leave the hospital on his own. In this regard, expert witness </w:t>
      </w:r>
      <w:r w:rsidR="00E25F0A" w:rsidRPr="00C9465D">
        <w:rPr>
          <w:lang w:val="en-US"/>
        </w:rPr>
        <w:t>Palacio van Isschot conclu</w:t>
      </w:r>
      <w:r w:rsidRPr="00C9465D">
        <w:rPr>
          <w:lang w:val="en-US"/>
        </w:rPr>
        <w:t xml:space="preserve">ded that </w:t>
      </w:r>
      <w:r w:rsidR="00E25F0A" w:rsidRPr="00C9465D">
        <w:rPr>
          <w:lang w:val="en-US"/>
        </w:rPr>
        <w:t>“</w:t>
      </w:r>
      <w:r w:rsidR="00E25F0A" w:rsidRPr="00C9465D">
        <w:rPr>
          <w:rFonts w:cs="Times New Roman"/>
          <w:lang w:val="en-US"/>
        </w:rPr>
        <w:t>[</w:t>
      </w:r>
      <w:r w:rsidRPr="00C9465D">
        <w:rPr>
          <w:rFonts w:cs="Times New Roman"/>
          <w:lang w:val="en-US"/>
        </w:rPr>
        <w:t xml:space="preserve">t]he medication prescribed </w:t>
      </w:r>
      <w:r w:rsidR="00E25F0A" w:rsidRPr="00C9465D">
        <w:rPr>
          <w:rFonts w:cs="Times New Roman"/>
          <w:lang w:val="en-US"/>
        </w:rPr>
        <w:t>(Carbamazepina, Diazepam (Valium)</w:t>
      </w:r>
      <w:r w:rsidR="00193CBB" w:rsidRPr="00C9465D">
        <w:rPr>
          <w:rFonts w:cs="Times New Roman"/>
          <w:lang w:val="en-US"/>
        </w:rPr>
        <w:t xml:space="preserve"> and </w:t>
      </w:r>
      <w:r w:rsidR="00E25F0A" w:rsidRPr="00C9465D">
        <w:rPr>
          <w:rFonts w:cs="Times New Roman"/>
          <w:lang w:val="en-US"/>
        </w:rPr>
        <w:t xml:space="preserve">Haloperidol), </w:t>
      </w:r>
      <w:r w:rsidRPr="00C9465D">
        <w:rPr>
          <w:rFonts w:cs="Times New Roman"/>
          <w:lang w:val="en-US"/>
        </w:rPr>
        <w:t xml:space="preserve">in the doses indicated in </w:t>
      </w:r>
      <w:r w:rsidR="008C2989" w:rsidRPr="00C9465D">
        <w:rPr>
          <w:rFonts w:cs="Times New Roman"/>
          <w:lang w:val="en-US"/>
        </w:rPr>
        <w:t>the medical record</w:t>
      </w:r>
      <w:r w:rsidR="00E25F0A" w:rsidRPr="00C9465D">
        <w:rPr>
          <w:rFonts w:cs="Times New Roman"/>
          <w:lang w:val="en-US"/>
        </w:rPr>
        <w:t xml:space="preserve">, </w:t>
      </w:r>
      <w:r w:rsidRPr="00C9465D">
        <w:rPr>
          <w:rFonts w:cs="Times New Roman"/>
          <w:lang w:val="en-US"/>
        </w:rPr>
        <w:t xml:space="preserve">have an extremely sedative effect and have secondary effects that incapacitate communication, cognition and motility.” Consequently, the medication administered to </w:t>
      </w:r>
      <w:r w:rsidRPr="00C9465D">
        <w:rPr>
          <w:lang w:val="en-US"/>
        </w:rPr>
        <w:t xml:space="preserve">Mr. Guachalá “would limit his ability </w:t>
      </w:r>
      <w:r w:rsidR="00520411" w:rsidRPr="00C9465D">
        <w:rPr>
          <w:rFonts w:cs="Times New Roman"/>
          <w:lang w:val="en-US"/>
        </w:rPr>
        <w:t>[…]</w:t>
      </w:r>
      <w:r w:rsidRPr="00C9465D">
        <w:rPr>
          <w:rFonts w:cs="Times New Roman"/>
          <w:lang w:val="en-US"/>
        </w:rPr>
        <w:t xml:space="preserve"> to move around independently, as well as to maintain his balance and take decisions.</w:t>
      </w:r>
      <w:r w:rsidR="00E25F0A" w:rsidRPr="00C9465D">
        <w:rPr>
          <w:rFonts w:cs="Times New Roman"/>
          <w:lang w:val="en-US"/>
        </w:rPr>
        <w:t>”</w:t>
      </w:r>
      <w:r w:rsidR="00E25F0A" w:rsidRPr="00C9465D">
        <w:rPr>
          <w:rStyle w:val="FootnoteReference"/>
          <w:rFonts w:cs="Times New Roman"/>
          <w:lang w:val="en-US"/>
        </w:rPr>
        <w:footnoteReference w:id="282"/>
      </w:r>
      <w:r w:rsidR="00E25F0A" w:rsidRPr="00C9465D">
        <w:rPr>
          <w:rFonts w:cs="Times New Roman"/>
          <w:lang w:val="en-US"/>
        </w:rPr>
        <w:t xml:space="preserve"> </w:t>
      </w:r>
    </w:p>
    <w:p w14:paraId="65281833" w14:textId="16659CD6" w:rsidR="00E25F0A" w:rsidRPr="00C9465D" w:rsidRDefault="00992343" w:rsidP="00E25F0A">
      <w:pPr>
        <w:pStyle w:val="Numberedparagraphs"/>
        <w:rPr>
          <w:lang w:val="en-US"/>
        </w:rPr>
      </w:pPr>
      <w:r w:rsidRPr="00C9465D">
        <w:rPr>
          <w:rFonts w:cs="Times New Roman"/>
          <w:lang w:val="en-US"/>
        </w:rPr>
        <w:t>In addition</w:t>
      </w:r>
      <w:r w:rsidR="00E25F0A" w:rsidRPr="00C9465D">
        <w:rPr>
          <w:rFonts w:cs="Times New Roman"/>
          <w:lang w:val="en-US"/>
        </w:rPr>
        <w:t xml:space="preserve">, </w:t>
      </w:r>
      <w:r w:rsidR="00183C22" w:rsidRPr="00C9465D">
        <w:rPr>
          <w:rFonts w:cs="Times New Roman"/>
          <w:lang w:val="en-US"/>
        </w:rPr>
        <w:t>this Court</w:t>
      </w:r>
      <w:r w:rsidR="00E25F0A" w:rsidRPr="00C9465D">
        <w:rPr>
          <w:rFonts w:cs="Times New Roman"/>
          <w:lang w:val="en-US"/>
        </w:rPr>
        <w:t xml:space="preserve"> </w:t>
      </w:r>
      <w:r w:rsidRPr="00C9465D">
        <w:rPr>
          <w:rFonts w:cs="Times New Roman"/>
          <w:lang w:val="en-US"/>
        </w:rPr>
        <w:t>underlines that</w:t>
      </w:r>
      <w:r w:rsidR="00E25F0A" w:rsidRPr="00C9465D">
        <w:rPr>
          <w:rFonts w:cs="Times New Roman"/>
          <w:lang w:val="en-US"/>
        </w:rPr>
        <w:t xml:space="preserve"> </w:t>
      </w:r>
      <w:r w:rsidR="00AE28B7" w:rsidRPr="00C9465D">
        <w:rPr>
          <w:rFonts w:cs="Times New Roman"/>
          <w:lang w:val="en-US"/>
        </w:rPr>
        <w:t>Zoila</w:t>
      </w:r>
      <w:r w:rsidR="00E25F0A" w:rsidRPr="00C9465D">
        <w:rPr>
          <w:rFonts w:cs="Times New Roman"/>
          <w:lang w:val="en-US"/>
        </w:rPr>
        <w:t xml:space="preserve"> </w:t>
      </w:r>
      <w:r w:rsidR="00D61212" w:rsidRPr="00C9465D">
        <w:rPr>
          <w:rFonts w:cs="Times New Roman"/>
          <w:lang w:val="en-US"/>
        </w:rPr>
        <w:t>Chimbo</w:t>
      </w:r>
      <w:r w:rsidRPr="00C9465D">
        <w:rPr>
          <w:rFonts w:cs="Times New Roman"/>
          <w:lang w:val="en-US"/>
        </w:rPr>
        <w:t xml:space="preserve"> stated that one of the hospital inmates told her that Luis was dead, that “he had a heart attack during mass.</w:t>
      </w:r>
      <w:r w:rsidR="00E25F0A" w:rsidRPr="00C9465D">
        <w:rPr>
          <w:lang w:val="en-US"/>
        </w:rPr>
        <w:t>”</w:t>
      </w:r>
      <w:r w:rsidR="00E25F0A" w:rsidRPr="00C9465D">
        <w:rPr>
          <w:rStyle w:val="FootnoteReference"/>
          <w:lang w:val="en-US"/>
        </w:rPr>
        <w:footnoteReference w:id="283"/>
      </w:r>
      <w:r w:rsidR="00AE28B7" w:rsidRPr="00C9465D">
        <w:rPr>
          <w:lang w:val="en-US"/>
        </w:rPr>
        <w:t xml:space="preserve"> Regarding this possibility, expert witness </w:t>
      </w:r>
      <w:r w:rsidR="00E25F0A" w:rsidRPr="00C9465D">
        <w:rPr>
          <w:lang w:val="en-US"/>
        </w:rPr>
        <w:t xml:space="preserve">Palacio van Isschot </w:t>
      </w:r>
      <w:r w:rsidR="00AE28B7" w:rsidRPr="00C9465D">
        <w:rPr>
          <w:rFonts w:cs="Times New Roman"/>
          <w:lang w:val="en-US"/>
        </w:rPr>
        <w:t>indicated that</w:t>
      </w:r>
      <w:r w:rsidR="00E25F0A" w:rsidRPr="00C9465D">
        <w:rPr>
          <w:rFonts w:cs="Times New Roman"/>
          <w:lang w:val="en-US"/>
        </w:rPr>
        <w:t xml:space="preserve"> “[</w:t>
      </w:r>
      <w:r w:rsidR="00AE28B7" w:rsidRPr="00C9465D">
        <w:rPr>
          <w:rFonts w:cs="Times New Roman"/>
          <w:lang w:val="en-US"/>
        </w:rPr>
        <w:t>i</w:t>
      </w:r>
      <w:r w:rsidR="00E25F0A" w:rsidRPr="00C9465D">
        <w:rPr>
          <w:rFonts w:cs="Times New Roman"/>
          <w:lang w:val="en-US"/>
        </w:rPr>
        <w:t>]</w:t>
      </w:r>
      <w:r w:rsidR="00AE28B7" w:rsidRPr="00C9465D">
        <w:rPr>
          <w:rFonts w:cs="Times New Roman"/>
          <w:lang w:val="en-US"/>
        </w:rPr>
        <w:t xml:space="preserve">t has been found that </w:t>
      </w:r>
      <w:r w:rsidR="00E25F0A" w:rsidRPr="00C9465D">
        <w:rPr>
          <w:rFonts w:cs="Times New Roman"/>
          <w:lang w:val="en-US"/>
        </w:rPr>
        <w:t xml:space="preserve">Diazepam (Valium) </w:t>
      </w:r>
      <w:r w:rsidR="00AE28B7" w:rsidRPr="00C9465D">
        <w:rPr>
          <w:rFonts w:cs="Times New Roman"/>
          <w:lang w:val="en-US"/>
        </w:rPr>
        <w:t xml:space="preserve">causes cardio-respiratory failure in doses of between </w:t>
      </w:r>
      <w:r w:rsidR="00E25F0A" w:rsidRPr="00C9465D">
        <w:rPr>
          <w:rFonts w:cs="Times New Roman"/>
          <w:lang w:val="en-US"/>
        </w:rPr>
        <w:t>10</w:t>
      </w:r>
      <w:r w:rsidR="00193CBB" w:rsidRPr="00C9465D">
        <w:rPr>
          <w:rFonts w:cs="Times New Roman"/>
          <w:lang w:val="en-US"/>
        </w:rPr>
        <w:t xml:space="preserve"> and </w:t>
      </w:r>
      <w:r w:rsidR="00E25F0A" w:rsidRPr="00C9465D">
        <w:rPr>
          <w:rFonts w:cs="Times New Roman"/>
          <w:lang w:val="en-US"/>
        </w:rPr>
        <w:t>30</w:t>
      </w:r>
      <w:r w:rsidR="00AE28B7" w:rsidRPr="00C9465D">
        <w:rPr>
          <w:rFonts w:cs="Times New Roman"/>
          <w:lang w:val="en-US"/>
        </w:rPr>
        <w:t xml:space="preserve"> </w:t>
      </w:r>
      <w:r w:rsidR="00E25F0A" w:rsidRPr="00C9465D">
        <w:rPr>
          <w:rFonts w:cs="Times New Roman"/>
          <w:lang w:val="en-US"/>
        </w:rPr>
        <w:t>mg/d</w:t>
      </w:r>
      <w:r w:rsidR="00AE28B7" w:rsidRPr="00C9465D">
        <w:rPr>
          <w:rFonts w:cs="Times New Roman"/>
          <w:lang w:val="en-US"/>
        </w:rPr>
        <w:t>ay</w:t>
      </w:r>
      <w:r w:rsidR="00E25F0A" w:rsidRPr="00C9465D">
        <w:rPr>
          <w:rFonts w:cs="Times New Roman"/>
          <w:lang w:val="en-US"/>
        </w:rPr>
        <w:t xml:space="preserve"> </w:t>
      </w:r>
      <w:r w:rsidR="00AE28B7" w:rsidRPr="00C9465D">
        <w:rPr>
          <w:rFonts w:cs="Times New Roman"/>
          <w:lang w:val="en-US"/>
        </w:rPr>
        <w:t>in patients with neurological disorders.</w:t>
      </w:r>
      <w:r w:rsidR="007D2F22" w:rsidRPr="00C9465D">
        <w:rPr>
          <w:rFonts w:cs="Times New Roman"/>
          <w:lang w:val="en-US"/>
        </w:rPr>
        <w:t>”</w:t>
      </w:r>
      <w:r w:rsidR="00E25F0A" w:rsidRPr="00C9465D">
        <w:rPr>
          <w:rStyle w:val="FootnoteReference"/>
          <w:lang w:val="en-US"/>
        </w:rPr>
        <w:footnoteReference w:id="284"/>
      </w:r>
    </w:p>
    <w:p w14:paraId="010B7128" w14:textId="7CB6A409" w:rsidR="002111EB" w:rsidRPr="00C9465D" w:rsidRDefault="00B71E4D" w:rsidP="00501733">
      <w:pPr>
        <w:pStyle w:val="Numberedparagraphs"/>
        <w:rPr>
          <w:lang w:val="en-US"/>
        </w:rPr>
      </w:pPr>
      <w:r w:rsidRPr="00C9465D">
        <w:rPr>
          <w:lang w:val="en-US"/>
        </w:rPr>
        <w:t>This Court</w:t>
      </w:r>
      <w:r w:rsidR="002111EB" w:rsidRPr="00C9465D">
        <w:rPr>
          <w:lang w:val="en-US"/>
        </w:rPr>
        <w:t xml:space="preserve"> </w:t>
      </w:r>
      <w:r w:rsidR="00AE28B7" w:rsidRPr="00C9465D">
        <w:rPr>
          <w:lang w:val="en-US"/>
        </w:rPr>
        <w:t>does not have the necessary evidence to determine what happened to the presumed victim</w:t>
      </w:r>
      <w:r w:rsidR="002111EB" w:rsidRPr="00C9465D">
        <w:rPr>
          <w:lang w:val="en-US"/>
        </w:rPr>
        <w:t xml:space="preserve">. </w:t>
      </w:r>
      <w:r w:rsidR="00AE28B7" w:rsidRPr="00C9465D">
        <w:rPr>
          <w:lang w:val="en-US"/>
        </w:rPr>
        <w:t xml:space="preserve">However, the Court underscores that the last instructions given by </w:t>
      </w:r>
      <w:r w:rsidR="00100EAD" w:rsidRPr="00C9465D">
        <w:rPr>
          <w:lang w:val="en-US"/>
        </w:rPr>
        <w:t>Dr. E.Q.</w:t>
      </w:r>
      <w:r w:rsidR="002111EB" w:rsidRPr="00C9465D">
        <w:rPr>
          <w:lang w:val="en-US"/>
        </w:rPr>
        <w:t xml:space="preserve"> </w:t>
      </w:r>
      <w:r w:rsidR="00AE28B7" w:rsidRPr="00C9465D">
        <w:rPr>
          <w:lang w:val="en-US"/>
        </w:rPr>
        <w:t>for</w:t>
      </w:r>
      <w:r w:rsidR="002F3237" w:rsidRPr="00C9465D">
        <w:rPr>
          <w:lang w:val="en-US"/>
        </w:rPr>
        <w:t xml:space="preserve"> Mr. Guachalá</w:t>
      </w:r>
      <w:r w:rsidR="002111EB" w:rsidRPr="00C9465D">
        <w:rPr>
          <w:lang w:val="en-US"/>
        </w:rPr>
        <w:t xml:space="preserve"> inclu</w:t>
      </w:r>
      <w:r w:rsidR="00AE28B7" w:rsidRPr="00C9465D">
        <w:rPr>
          <w:lang w:val="en-US"/>
        </w:rPr>
        <w:t xml:space="preserve">ded an explicit request </w:t>
      </w:r>
      <w:r w:rsidR="00A37FAF" w:rsidRPr="00C9465D">
        <w:rPr>
          <w:lang w:val="en-US"/>
        </w:rPr>
        <w:t>to monitor him closely</w:t>
      </w:r>
      <w:r w:rsidR="00AE28B7" w:rsidRPr="00C9465D">
        <w:rPr>
          <w:lang w:val="en-US"/>
        </w:rPr>
        <w:t>. The Court considers that unawareness of the whereabouts of a patient who was in the State’s custody, under medication and with an explicit request to monitor him, reveals that the authorities were, at the very least, negligent. In this regard, the Court reiterates that the ultimate purpose of health care is to improve the physical and mental health of the patient</w:t>
      </w:r>
      <w:r w:rsidR="002111EB" w:rsidRPr="00C9465D">
        <w:rPr>
          <w:lang w:val="en-US" w:eastAsia="es-MX"/>
        </w:rPr>
        <w:t xml:space="preserve"> (</w:t>
      </w:r>
      <w:r w:rsidR="002111EB" w:rsidRPr="00C9465D">
        <w:rPr>
          <w:i/>
          <w:lang w:val="en-US" w:eastAsia="es-MX"/>
        </w:rPr>
        <w:t xml:space="preserve">supra </w:t>
      </w:r>
      <w:r w:rsidR="00D8466F" w:rsidRPr="00C9465D">
        <w:rPr>
          <w:lang w:val="en-US" w:eastAsia="es-MX"/>
        </w:rPr>
        <w:t>para.</w:t>
      </w:r>
      <w:r w:rsidR="005A4459" w:rsidRPr="00C9465D">
        <w:rPr>
          <w:lang w:val="en-US" w:eastAsia="es-MX"/>
        </w:rPr>
        <w:t xml:space="preserve"> </w:t>
      </w:r>
      <w:r w:rsidR="005A4459" w:rsidRPr="00C9465D">
        <w:rPr>
          <w:lang w:val="en-US" w:eastAsia="es-MX"/>
        </w:rPr>
        <w:fldChar w:fldCharType="begin"/>
      </w:r>
      <w:r w:rsidR="005A4459" w:rsidRPr="00C9465D">
        <w:rPr>
          <w:lang w:val="en-US" w:eastAsia="es-MX"/>
        </w:rPr>
        <w:instrText xml:space="preserve"> REF _Ref72158968 \r \h </w:instrText>
      </w:r>
      <w:r w:rsidR="00496133" w:rsidRPr="00C9465D">
        <w:rPr>
          <w:lang w:val="en-US" w:eastAsia="es-MX"/>
        </w:rPr>
        <w:instrText xml:space="preserve"> \* MERGEFORMAT </w:instrText>
      </w:r>
      <w:r w:rsidR="005A4459" w:rsidRPr="00C9465D">
        <w:rPr>
          <w:lang w:val="en-US" w:eastAsia="es-MX"/>
        </w:rPr>
      </w:r>
      <w:r w:rsidR="005A4459" w:rsidRPr="00C9465D">
        <w:rPr>
          <w:lang w:val="en-US" w:eastAsia="es-MX"/>
        </w:rPr>
        <w:fldChar w:fldCharType="separate"/>
      </w:r>
      <w:r w:rsidR="005A4459" w:rsidRPr="00C9465D">
        <w:rPr>
          <w:lang w:val="en-US" w:eastAsia="es-MX"/>
        </w:rPr>
        <w:t>151</w:t>
      </w:r>
      <w:r w:rsidR="005A4459" w:rsidRPr="00C9465D">
        <w:rPr>
          <w:lang w:val="en-US" w:eastAsia="es-MX"/>
        </w:rPr>
        <w:fldChar w:fldCharType="end"/>
      </w:r>
      <w:r w:rsidR="002111EB" w:rsidRPr="00C9465D">
        <w:rPr>
          <w:lang w:val="en-US" w:eastAsia="es-MX"/>
        </w:rPr>
        <w:t xml:space="preserve">). </w:t>
      </w:r>
      <w:r w:rsidR="00501733" w:rsidRPr="00C9465D">
        <w:rPr>
          <w:lang w:val="en-US" w:eastAsia="es-MX"/>
        </w:rPr>
        <w:t>Even though a patient is able to take an informed decision not to continue his treatment, hospitals should take measures to prevent those who are in its care from abandoning the health center suddenly</w:t>
      </w:r>
      <w:r w:rsidR="00A37FAF" w:rsidRPr="00C9465D">
        <w:rPr>
          <w:lang w:val="en-US" w:eastAsia="es-MX"/>
        </w:rPr>
        <w:t>, and</w:t>
      </w:r>
      <w:r w:rsidR="00501733" w:rsidRPr="00C9465D">
        <w:rPr>
          <w:lang w:val="en-US" w:eastAsia="es-MX"/>
        </w:rPr>
        <w:t xml:space="preserve"> without knowing the risks involved if they fail to continue with the treatment they were receiving. On this point, the Court stresses that, according to the </w:t>
      </w:r>
      <w:r w:rsidR="002111EB" w:rsidRPr="00C9465D">
        <w:rPr>
          <w:lang w:val="en-US" w:eastAsia="es-MX"/>
        </w:rPr>
        <w:t xml:space="preserve">Director </w:t>
      </w:r>
      <w:r w:rsidR="00501733" w:rsidRPr="00C9465D">
        <w:rPr>
          <w:lang w:val="en-US" w:eastAsia="es-MX"/>
        </w:rPr>
        <w:t>of the</w:t>
      </w:r>
      <w:r w:rsidR="002111EB" w:rsidRPr="00C9465D">
        <w:rPr>
          <w:lang w:val="en-US" w:eastAsia="es-MX"/>
        </w:rPr>
        <w:t xml:space="preserve"> </w:t>
      </w:r>
      <w:r w:rsidR="001F65A3" w:rsidRPr="00C9465D">
        <w:rPr>
          <w:lang w:val="en-US" w:eastAsia="es-MX"/>
        </w:rPr>
        <w:t>Julio Endara Hospital</w:t>
      </w:r>
      <w:r w:rsidR="002111EB" w:rsidRPr="00C9465D">
        <w:rPr>
          <w:lang w:val="en-US" w:eastAsia="es-MX"/>
        </w:rPr>
        <w:t xml:space="preserve">, </w:t>
      </w:r>
      <w:r w:rsidR="00501733" w:rsidRPr="00C9465D">
        <w:rPr>
          <w:lang w:val="en-US" w:eastAsia="es-MX"/>
        </w:rPr>
        <w:t>owing to the number of patients and the scarcity of hospital guards, surveillance</w:t>
      </w:r>
      <w:r w:rsidR="00A37FAF" w:rsidRPr="00C9465D">
        <w:rPr>
          <w:lang w:val="en-US" w:eastAsia="es-MX"/>
        </w:rPr>
        <w:t>,</w:t>
      </w:r>
      <w:r w:rsidR="00501733" w:rsidRPr="00C9465D">
        <w:rPr>
          <w:lang w:val="en-US" w:eastAsia="es-MX"/>
        </w:rPr>
        <w:t xml:space="preserve"> “unfortunately, is always in</w:t>
      </w:r>
      <w:r w:rsidR="00A37FAF" w:rsidRPr="00C9465D">
        <w:rPr>
          <w:lang w:val="en-US" w:eastAsia="es-MX"/>
        </w:rPr>
        <w:t>adequate</w:t>
      </w:r>
      <w:r w:rsidR="00501733" w:rsidRPr="00C9465D">
        <w:rPr>
          <w:lang w:val="en-US" w:eastAsia="es-MX"/>
        </w:rPr>
        <w:t>.</w:t>
      </w:r>
      <w:r w:rsidR="002111EB" w:rsidRPr="00C9465D">
        <w:rPr>
          <w:lang w:val="en-US"/>
        </w:rPr>
        <w:t>”</w:t>
      </w:r>
      <w:r w:rsidR="002111EB" w:rsidRPr="00C9465D">
        <w:rPr>
          <w:rStyle w:val="FootnoteReference"/>
          <w:lang w:val="en-US"/>
        </w:rPr>
        <w:footnoteReference w:id="285"/>
      </w:r>
    </w:p>
    <w:p w14:paraId="60DFB97B" w14:textId="38AFAA17" w:rsidR="00A608CB" w:rsidRPr="00C9465D" w:rsidRDefault="00193CBB" w:rsidP="00A608CB">
      <w:pPr>
        <w:pStyle w:val="Numberedparagraphs"/>
        <w:rPr>
          <w:lang w:val="en-US"/>
        </w:rPr>
      </w:pPr>
      <w:r w:rsidRPr="00C9465D">
        <w:rPr>
          <w:lang w:val="en-US"/>
        </w:rPr>
        <w:t>The Court</w:t>
      </w:r>
      <w:r w:rsidR="00A608CB" w:rsidRPr="00C9465D">
        <w:rPr>
          <w:lang w:val="en-US"/>
        </w:rPr>
        <w:t xml:space="preserve"> ha</w:t>
      </w:r>
      <w:r w:rsidR="00501733" w:rsidRPr="00C9465D">
        <w:rPr>
          <w:lang w:val="en-US"/>
        </w:rPr>
        <w:t xml:space="preserve">s indicated that it is not sufficient that States refrain from violating rights; rather, it is essential that they adopt positive measures, determined in function of the particular needs for protection of the subject of law, due to either his personal conditions or </w:t>
      </w:r>
      <w:r w:rsidR="00501733" w:rsidRPr="00C9465D">
        <w:rPr>
          <w:lang w:val="en-US"/>
        </w:rPr>
        <w:lastRenderedPageBreak/>
        <w:t>the specific situation in which he finds himself.</w:t>
      </w:r>
      <w:r w:rsidR="00A608CB" w:rsidRPr="00C9465D">
        <w:rPr>
          <w:rStyle w:val="FootnoteReference"/>
          <w:lang w:val="en-US"/>
        </w:rPr>
        <w:footnoteReference w:id="286"/>
      </w:r>
      <w:r w:rsidR="00501733" w:rsidRPr="00C9465D">
        <w:rPr>
          <w:lang w:val="en-US"/>
        </w:rPr>
        <w:t xml:space="preserve"> Therefore, States have the obligation to ensure the creation of the conditions required to ensure that the rights to personal and integrity and life of persons in its custody are not violated.</w:t>
      </w:r>
      <w:r w:rsidR="00A608CB" w:rsidRPr="00C9465D">
        <w:rPr>
          <w:vertAlign w:val="superscript"/>
          <w:lang w:val="en-US"/>
        </w:rPr>
        <w:footnoteReference w:id="287"/>
      </w:r>
      <w:r w:rsidR="00A608CB" w:rsidRPr="00C9465D">
        <w:rPr>
          <w:lang w:val="en-US"/>
        </w:rPr>
        <w:t xml:space="preserve"> </w:t>
      </w:r>
    </w:p>
    <w:p w14:paraId="05DF1302" w14:textId="02BEA1F2" w:rsidR="00A608CB" w:rsidRPr="00C9465D" w:rsidRDefault="006758E3" w:rsidP="00A608CB">
      <w:pPr>
        <w:pStyle w:val="Numberedparagraphs"/>
        <w:rPr>
          <w:lang w:val="en-US"/>
        </w:rPr>
      </w:pPr>
      <w:r w:rsidRPr="00C9465D">
        <w:rPr>
          <w:lang w:val="en-US"/>
        </w:rPr>
        <w:t xml:space="preserve">In light of the State’s position of guarantor of persons in its custody </w:t>
      </w:r>
      <w:r w:rsidR="00E210A6" w:rsidRPr="00C9465D">
        <w:rPr>
          <w:lang w:val="en-US"/>
        </w:rPr>
        <w:t>(</w:t>
      </w:r>
      <w:r w:rsidR="00E210A6" w:rsidRPr="00C9465D">
        <w:rPr>
          <w:i/>
          <w:lang w:val="en-US"/>
        </w:rPr>
        <w:t xml:space="preserve">supra </w:t>
      </w:r>
      <w:r w:rsidR="00D8466F" w:rsidRPr="00C9465D">
        <w:rPr>
          <w:lang w:val="en-US"/>
        </w:rPr>
        <w:t>para.</w:t>
      </w:r>
      <w:r w:rsidR="00E210A6" w:rsidRPr="00C9465D">
        <w:rPr>
          <w:lang w:val="en-US"/>
        </w:rPr>
        <w:t xml:space="preserve"> </w:t>
      </w:r>
      <w:r w:rsidR="005A4459" w:rsidRPr="00C9465D">
        <w:rPr>
          <w:lang w:val="en-US" w:eastAsia="es-MX"/>
        </w:rPr>
        <w:fldChar w:fldCharType="begin"/>
      </w:r>
      <w:r w:rsidR="005A4459" w:rsidRPr="00C9465D">
        <w:rPr>
          <w:lang w:val="en-US" w:eastAsia="es-MX"/>
        </w:rPr>
        <w:instrText xml:space="preserve"> REF _Ref72158968 \r \h </w:instrText>
      </w:r>
      <w:r w:rsidR="00496133" w:rsidRPr="00C9465D">
        <w:rPr>
          <w:lang w:val="en-US" w:eastAsia="es-MX"/>
        </w:rPr>
        <w:instrText xml:space="preserve"> \* MERGEFORMAT </w:instrText>
      </w:r>
      <w:r w:rsidR="005A4459" w:rsidRPr="00C9465D">
        <w:rPr>
          <w:lang w:val="en-US" w:eastAsia="es-MX"/>
        </w:rPr>
      </w:r>
      <w:r w:rsidR="005A4459" w:rsidRPr="00C9465D">
        <w:rPr>
          <w:lang w:val="en-US" w:eastAsia="es-MX"/>
        </w:rPr>
        <w:fldChar w:fldCharType="separate"/>
      </w:r>
      <w:r w:rsidR="005A4459" w:rsidRPr="00C9465D">
        <w:rPr>
          <w:lang w:val="en-US" w:eastAsia="es-MX"/>
        </w:rPr>
        <w:t>151</w:t>
      </w:r>
      <w:r w:rsidR="005A4459" w:rsidRPr="00C9465D">
        <w:rPr>
          <w:lang w:val="en-US" w:eastAsia="es-MX"/>
        </w:rPr>
        <w:fldChar w:fldCharType="end"/>
      </w:r>
      <w:r w:rsidR="00E210A6" w:rsidRPr="00C9465D">
        <w:rPr>
          <w:lang w:val="en-US"/>
        </w:rPr>
        <w:t>)</w:t>
      </w:r>
      <w:r w:rsidR="00E25F0A" w:rsidRPr="00C9465D">
        <w:rPr>
          <w:lang w:val="en-US"/>
        </w:rPr>
        <w:t xml:space="preserve">, </w:t>
      </w:r>
      <w:r w:rsidRPr="00C9465D">
        <w:rPr>
          <w:lang w:val="en-US"/>
        </w:rPr>
        <w:t>it is presumed that the State is responsible for any injuries suffered by a person who has been in the custody of state agents.</w:t>
      </w:r>
      <w:r w:rsidR="00E25F0A" w:rsidRPr="00C9465D">
        <w:rPr>
          <w:rStyle w:val="FootnoteReference"/>
          <w:lang w:val="en-US"/>
        </w:rPr>
        <w:footnoteReference w:id="288"/>
      </w:r>
      <w:r w:rsidRPr="00C9465D">
        <w:rPr>
          <w:lang w:val="en-US"/>
        </w:rPr>
        <w:t xml:space="preserve"> This same principle is applicable in cases in which a person is in State custody and his subsequent whereabouts is unknown.</w:t>
      </w:r>
      <w:r w:rsidR="00E25F0A" w:rsidRPr="00C9465D">
        <w:rPr>
          <w:rStyle w:val="FootnoteReference"/>
          <w:lang w:val="en-US"/>
        </w:rPr>
        <w:footnoteReference w:id="289"/>
      </w:r>
      <w:r w:rsidR="00E25F0A" w:rsidRPr="00C9465D">
        <w:rPr>
          <w:lang w:val="en-US"/>
        </w:rPr>
        <w:t xml:space="preserve"> </w:t>
      </w:r>
      <w:r w:rsidRPr="00C9465D">
        <w:rPr>
          <w:lang w:val="en-US"/>
        </w:rPr>
        <w:t>The State has the obligation to provide a satisfactory and convincing explanation of what happened and to disprove the arguments concerning its responsibility, with satisfactory evidence.</w:t>
      </w:r>
      <w:r w:rsidR="00E25F0A" w:rsidRPr="00C9465D">
        <w:rPr>
          <w:rStyle w:val="FootnoteReference"/>
          <w:lang w:val="en-US"/>
        </w:rPr>
        <w:footnoteReference w:id="290"/>
      </w:r>
    </w:p>
    <w:p w14:paraId="4E3551F0" w14:textId="0DF635C7" w:rsidR="00E25F0A" w:rsidRPr="00C9465D" w:rsidRDefault="006758E3" w:rsidP="00C55255">
      <w:pPr>
        <w:pStyle w:val="Numberedparagraphs"/>
        <w:rPr>
          <w:lang w:val="en-US"/>
        </w:rPr>
      </w:pPr>
      <w:r w:rsidRPr="00C9465D">
        <w:rPr>
          <w:lang w:val="en-US"/>
        </w:rPr>
        <w:t xml:space="preserve">In the instant case, the State was in a position of guarantor in relation to </w:t>
      </w:r>
      <w:r w:rsidR="00E25F0A" w:rsidRPr="00C9465D">
        <w:rPr>
          <w:lang w:val="en-US"/>
        </w:rPr>
        <w:t>Luis Eduardo Guachalá</w:t>
      </w:r>
      <w:r w:rsidRPr="00C9465D">
        <w:rPr>
          <w:lang w:val="en-US"/>
        </w:rPr>
        <w:t xml:space="preserve"> and, therefore, bore the burden of providing a satisfactory and convincing explanation of what happened and disproving its presumed responsibility. However, the investigation conducted by the State was unable to offer a definitive and official version of what happened to</w:t>
      </w:r>
      <w:r w:rsidR="00C55255" w:rsidRPr="00C9465D">
        <w:rPr>
          <w:lang w:val="en-US"/>
        </w:rPr>
        <w:t xml:space="preserve"> </w:t>
      </w:r>
      <w:r w:rsidR="00AE28B7" w:rsidRPr="00C9465D">
        <w:rPr>
          <w:lang w:val="en-US"/>
        </w:rPr>
        <w:t>the presumed victim</w:t>
      </w:r>
      <w:r w:rsidR="00C55255" w:rsidRPr="00C9465D">
        <w:rPr>
          <w:lang w:val="en-US"/>
        </w:rPr>
        <w:t xml:space="preserve"> and this obligation subsists while uncertainty remains about the final fate of the disappeared person</w:t>
      </w:r>
      <w:r w:rsidR="00707C0F" w:rsidRPr="00C9465D">
        <w:rPr>
          <w:lang w:val="en-US"/>
        </w:rPr>
        <w:t>.</w:t>
      </w:r>
    </w:p>
    <w:p w14:paraId="09BA8E0E" w14:textId="3E303210" w:rsidR="00707C0F" w:rsidRPr="00C9465D" w:rsidRDefault="00C55255" w:rsidP="00707C0F">
      <w:pPr>
        <w:pStyle w:val="Numberedparagraphs"/>
        <w:rPr>
          <w:lang w:val="en-US" w:eastAsia="es-MX"/>
        </w:rPr>
      </w:pPr>
      <w:r w:rsidRPr="00C9465D">
        <w:rPr>
          <w:lang w:val="en-US"/>
        </w:rPr>
        <w:t>Based on the above, the Court concludes that the State failed to comply with the obligation to ensure the right</w:t>
      </w:r>
      <w:r w:rsidR="00A37FAF" w:rsidRPr="00C9465D">
        <w:rPr>
          <w:lang w:val="en-US"/>
        </w:rPr>
        <w:t>s</w:t>
      </w:r>
      <w:r w:rsidRPr="00C9465D">
        <w:rPr>
          <w:lang w:val="en-US"/>
        </w:rPr>
        <w:t xml:space="preserve"> to </w:t>
      </w:r>
      <w:r w:rsidR="00D12C0E" w:rsidRPr="00C9465D">
        <w:rPr>
          <w:lang w:val="en-US" w:eastAsia="es-MX"/>
        </w:rPr>
        <w:t>life</w:t>
      </w:r>
      <w:r w:rsidR="008C2989" w:rsidRPr="00C9465D">
        <w:rPr>
          <w:lang w:val="en-US" w:eastAsia="es-MX"/>
        </w:rPr>
        <w:t xml:space="preserve"> and</w:t>
      </w:r>
      <w:r w:rsidR="00A37FAF" w:rsidRPr="00C9465D">
        <w:rPr>
          <w:lang w:val="en-US" w:eastAsia="es-MX"/>
        </w:rPr>
        <w:t xml:space="preserve"> to personal</w:t>
      </w:r>
      <w:r w:rsidR="008C2989" w:rsidRPr="00C9465D">
        <w:rPr>
          <w:lang w:val="en-US" w:eastAsia="es-MX"/>
        </w:rPr>
        <w:t xml:space="preserve"> </w:t>
      </w:r>
      <w:r w:rsidR="00D12C0E" w:rsidRPr="00C9465D">
        <w:rPr>
          <w:lang w:val="en-US" w:eastAsia="es-MX"/>
        </w:rPr>
        <w:t>integrity</w:t>
      </w:r>
      <w:r w:rsidR="00707C0F" w:rsidRPr="00C9465D">
        <w:rPr>
          <w:lang w:val="en-US" w:eastAsia="es-MX"/>
        </w:rPr>
        <w:t xml:space="preserve">, </w:t>
      </w:r>
      <w:r w:rsidRPr="00C9465D">
        <w:rPr>
          <w:lang w:val="en-US" w:eastAsia="es-MX"/>
        </w:rPr>
        <w:t>in relation to</w:t>
      </w:r>
      <w:r w:rsidR="00707C0F" w:rsidRPr="00C9465D">
        <w:rPr>
          <w:lang w:val="en-US" w:eastAsia="es-MX"/>
        </w:rPr>
        <w:t xml:space="preserve"> </w:t>
      </w:r>
      <w:r w:rsidR="00AC1354" w:rsidRPr="00C9465D">
        <w:rPr>
          <w:lang w:val="en-US" w:eastAsia="es-MX"/>
        </w:rPr>
        <w:t>the right</w:t>
      </w:r>
      <w:r w:rsidR="00260D95" w:rsidRPr="00C9465D">
        <w:rPr>
          <w:lang w:val="en-US" w:eastAsia="es-MX"/>
        </w:rPr>
        <w:t xml:space="preserve"> to health</w:t>
      </w:r>
      <w:r w:rsidR="00771127" w:rsidRPr="00C9465D">
        <w:rPr>
          <w:lang w:val="en-US" w:eastAsia="es-MX"/>
        </w:rPr>
        <w:t xml:space="preserve">, </w:t>
      </w:r>
      <w:r w:rsidR="00577DE0" w:rsidRPr="00C9465D">
        <w:rPr>
          <w:lang w:val="en-US" w:eastAsia="es-MX"/>
        </w:rPr>
        <w:t>of</w:t>
      </w:r>
      <w:r w:rsidR="00771127" w:rsidRPr="00C9465D">
        <w:rPr>
          <w:lang w:val="en-US" w:eastAsia="es-MX"/>
        </w:rPr>
        <w:t xml:space="preserve"> </w:t>
      </w:r>
      <w:r w:rsidR="00771127" w:rsidRPr="00C9465D">
        <w:rPr>
          <w:lang w:val="en-US"/>
        </w:rPr>
        <w:t>Luis Eduardo Guachalá</w:t>
      </w:r>
      <w:r w:rsidR="00707C0F" w:rsidRPr="00C9465D">
        <w:rPr>
          <w:lang w:val="en-US" w:eastAsia="es-MX"/>
        </w:rPr>
        <w:t xml:space="preserve">.  </w:t>
      </w:r>
    </w:p>
    <w:p w14:paraId="0BA0B16A" w14:textId="7BA9F4A5" w:rsidR="002544EC" w:rsidRPr="00C9465D" w:rsidRDefault="00701D48" w:rsidP="00701D48">
      <w:pPr>
        <w:pStyle w:val="Heading3"/>
        <w:rPr>
          <w:lang w:val="en-US"/>
        </w:rPr>
      </w:pPr>
      <w:bookmarkStart w:id="55" w:name="_Toc74298457"/>
      <w:r w:rsidRPr="00C9465D">
        <w:rPr>
          <w:lang w:val="en-US"/>
        </w:rPr>
        <w:t>B.</w:t>
      </w:r>
      <w:r w:rsidR="008F5FEA" w:rsidRPr="00C9465D">
        <w:rPr>
          <w:lang w:val="en-US"/>
        </w:rPr>
        <w:t>3</w:t>
      </w:r>
      <w:r w:rsidR="00E62061" w:rsidRPr="00C9465D">
        <w:rPr>
          <w:lang w:val="en-US"/>
        </w:rPr>
        <w:t xml:space="preserve"> </w:t>
      </w:r>
      <w:r w:rsidRPr="00C9465D">
        <w:rPr>
          <w:lang w:val="en-US"/>
        </w:rPr>
        <w:tab/>
      </w:r>
      <w:r w:rsidR="00C55255" w:rsidRPr="00C9465D">
        <w:rPr>
          <w:lang w:val="en-US"/>
        </w:rPr>
        <w:t>The scope of the discrimination that occurred in this case</w:t>
      </w:r>
      <w:bookmarkEnd w:id="55"/>
    </w:p>
    <w:p w14:paraId="784DCCEB" w14:textId="00040187" w:rsidR="002544EC" w:rsidRPr="00C9465D" w:rsidRDefault="00193CBB" w:rsidP="00AA3C22">
      <w:pPr>
        <w:pStyle w:val="Numberedparagraphs"/>
        <w:rPr>
          <w:sz w:val="16"/>
          <w:szCs w:val="16"/>
          <w:lang w:val="en-US"/>
        </w:rPr>
      </w:pPr>
      <w:r w:rsidRPr="00C9465D">
        <w:rPr>
          <w:lang w:val="en-US"/>
        </w:rPr>
        <w:t>The Court</w:t>
      </w:r>
      <w:r w:rsidR="002544EC" w:rsidRPr="00C9465D">
        <w:rPr>
          <w:lang w:val="en-US"/>
        </w:rPr>
        <w:t xml:space="preserve"> rec</w:t>
      </w:r>
      <w:r w:rsidR="00C55255" w:rsidRPr="00C9465D">
        <w:rPr>
          <w:lang w:val="en-US"/>
        </w:rPr>
        <w:t>alls that, as a crosscutting condition of the accessibility of health services,</w:t>
      </w:r>
      <w:r w:rsidR="002544EC" w:rsidRPr="00C9465D">
        <w:rPr>
          <w:rStyle w:val="FootnoteReference"/>
          <w:rFonts w:eastAsia="Calibri"/>
          <w:lang w:val="en-US"/>
        </w:rPr>
        <w:footnoteReference w:id="291"/>
      </w:r>
      <w:r w:rsidR="002544EC" w:rsidRPr="00C9465D">
        <w:rPr>
          <w:lang w:val="en-US"/>
        </w:rPr>
        <w:t xml:space="preserve"> </w:t>
      </w:r>
      <w:r w:rsidRPr="00C9465D">
        <w:rPr>
          <w:lang w:val="en-US"/>
        </w:rPr>
        <w:t>the State</w:t>
      </w:r>
      <w:r w:rsidR="002544EC" w:rsidRPr="00C9465D">
        <w:rPr>
          <w:lang w:val="en-US"/>
        </w:rPr>
        <w:t xml:space="preserve"> </w:t>
      </w:r>
      <w:r w:rsidR="00C55255" w:rsidRPr="00C9465D">
        <w:rPr>
          <w:lang w:val="en-US"/>
        </w:rPr>
        <w:t>is obliged to ensure that everyone receives equal treatment</w:t>
      </w:r>
      <w:r w:rsidR="002544EC" w:rsidRPr="00C9465D">
        <w:rPr>
          <w:lang w:val="en-US"/>
        </w:rPr>
        <w:t xml:space="preserve">. </w:t>
      </w:r>
      <w:r w:rsidR="00C55255" w:rsidRPr="00C9465D">
        <w:rPr>
          <w:lang w:val="en-US"/>
        </w:rPr>
        <w:t xml:space="preserve">Accordingly, pursuant to </w:t>
      </w:r>
      <w:r w:rsidR="00577DE0" w:rsidRPr="00C9465D">
        <w:rPr>
          <w:lang w:val="en-US"/>
        </w:rPr>
        <w:t>Article 1(1)</w:t>
      </w:r>
      <w:r w:rsidRPr="00C9465D">
        <w:rPr>
          <w:lang w:val="en-US"/>
        </w:rPr>
        <w:t xml:space="preserve"> of the American Convention</w:t>
      </w:r>
      <w:r w:rsidR="004179CA" w:rsidRPr="00C9465D">
        <w:rPr>
          <w:lang w:val="en-US"/>
        </w:rPr>
        <w:t>,</w:t>
      </w:r>
      <w:r w:rsidR="00C55255" w:rsidRPr="00C9465D">
        <w:rPr>
          <w:lang w:val="en-US"/>
        </w:rPr>
        <w:t xml:space="preserve"> discriminatory treatment based on disabilities is not permitted </w:t>
      </w:r>
      <w:r w:rsidR="002544EC" w:rsidRPr="00C9465D">
        <w:rPr>
          <w:lang w:val="en-US"/>
        </w:rPr>
        <w:t>(</w:t>
      </w:r>
      <w:r w:rsidR="002544EC" w:rsidRPr="00C9465D">
        <w:rPr>
          <w:i/>
          <w:lang w:val="en-US"/>
        </w:rPr>
        <w:t xml:space="preserve">supra </w:t>
      </w:r>
      <w:r w:rsidR="00D8466F" w:rsidRPr="00C9465D">
        <w:rPr>
          <w:lang w:val="en-US"/>
        </w:rPr>
        <w:t>para.</w:t>
      </w:r>
      <w:r w:rsidR="002544EC" w:rsidRPr="00C9465D">
        <w:rPr>
          <w:lang w:val="en-US"/>
        </w:rPr>
        <w:t xml:space="preserve"> </w:t>
      </w:r>
      <w:r w:rsidR="005A4459" w:rsidRPr="00C9465D">
        <w:rPr>
          <w:lang w:val="en-US"/>
        </w:rPr>
        <w:fldChar w:fldCharType="begin"/>
      </w:r>
      <w:r w:rsidR="005A4459" w:rsidRPr="00C9465D">
        <w:rPr>
          <w:lang w:val="en-US"/>
        </w:rPr>
        <w:instrText xml:space="preserve"> REF _Ref72158792 \r \h </w:instrText>
      </w:r>
      <w:r w:rsidR="00496133" w:rsidRPr="00C9465D">
        <w:rPr>
          <w:lang w:val="en-US"/>
        </w:rPr>
        <w:instrText xml:space="preserve"> \* MERGEFORMAT </w:instrText>
      </w:r>
      <w:r w:rsidR="005A4459" w:rsidRPr="00C9465D">
        <w:rPr>
          <w:lang w:val="en-US"/>
        </w:rPr>
      </w:r>
      <w:r w:rsidR="005A4459" w:rsidRPr="00C9465D">
        <w:rPr>
          <w:lang w:val="en-US"/>
        </w:rPr>
        <w:fldChar w:fldCharType="separate"/>
      </w:r>
      <w:r w:rsidR="005A4459" w:rsidRPr="00C9465D">
        <w:rPr>
          <w:lang w:val="en-US"/>
        </w:rPr>
        <w:t>79</w:t>
      </w:r>
      <w:r w:rsidR="005A4459" w:rsidRPr="00C9465D">
        <w:rPr>
          <w:lang w:val="en-US"/>
        </w:rPr>
        <w:fldChar w:fldCharType="end"/>
      </w:r>
      <w:r w:rsidR="002544EC" w:rsidRPr="00C9465D">
        <w:rPr>
          <w:lang w:val="en-US"/>
        </w:rPr>
        <w:t xml:space="preserve">). </w:t>
      </w:r>
    </w:p>
    <w:p w14:paraId="06E3BA54" w14:textId="1EB15A3B" w:rsidR="002544EC" w:rsidRPr="00C9465D" w:rsidRDefault="00C55255" w:rsidP="00C55255">
      <w:pPr>
        <w:pStyle w:val="Numberedparagraphs"/>
        <w:rPr>
          <w:sz w:val="16"/>
          <w:szCs w:val="16"/>
          <w:lang w:val="en-US"/>
        </w:rPr>
      </w:pPr>
      <w:r w:rsidRPr="00C9465D">
        <w:rPr>
          <w:lang w:val="en-US"/>
        </w:rPr>
        <w:t>In addition</w:t>
      </w:r>
      <w:r w:rsidR="002544EC" w:rsidRPr="00C9465D">
        <w:rPr>
          <w:lang w:val="en-US"/>
        </w:rPr>
        <w:t>,</w:t>
      </w:r>
      <w:r w:rsidR="002544EC" w:rsidRPr="00C9465D">
        <w:rPr>
          <w:spacing w:val="-7"/>
          <w:lang w:val="en-US"/>
        </w:rPr>
        <w:t xml:space="preserve"> </w:t>
      </w:r>
      <w:r w:rsidR="00193CBB" w:rsidRPr="00C9465D">
        <w:rPr>
          <w:lang w:val="en-US"/>
        </w:rPr>
        <w:t>the Court</w:t>
      </w:r>
      <w:r w:rsidR="002544EC" w:rsidRPr="00C9465D">
        <w:rPr>
          <w:spacing w:val="-9"/>
          <w:lang w:val="en-US"/>
        </w:rPr>
        <w:t xml:space="preserve"> </w:t>
      </w:r>
      <w:r w:rsidR="002544EC" w:rsidRPr="00C9465D">
        <w:rPr>
          <w:lang w:val="en-US"/>
        </w:rPr>
        <w:t>ha</w:t>
      </w:r>
      <w:r w:rsidRPr="00C9465D">
        <w:rPr>
          <w:lang w:val="en-US"/>
        </w:rPr>
        <w:t>s indicated that</w:t>
      </w:r>
      <w:r w:rsidR="002544EC" w:rsidRPr="00C9465D">
        <w:rPr>
          <w:lang w:val="en-US"/>
        </w:rPr>
        <w:t xml:space="preserve"> </w:t>
      </w:r>
      <w:r w:rsidRPr="00C9465D">
        <w:rPr>
          <w:lang w:val="en-US"/>
        </w:rPr>
        <w:t xml:space="preserve">the right to </w:t>
      </w:r>
      <w:r w:rsidR="00D12C0E" w:rsidRPr="00C9465D">
        <w:rPr>
          <w:lang w:val="en-US"/>
        </w:rPr>
        <w:t>equality</w:t>
      </w:r>
      <w:r w:rsidR="002544EC" w:rsidRPr="00C9465D">
        <w:rPr>
          <w:spacing w:val="-5"/>
          <w:lang w:val="en-US"/>
        </w:rPr>
        <w:t xml:space="preserve"> </w:t>
      </w:r>
      <w:r w:rsidRPr="00C9465D">
        <w:rPr>
          <w:lang w:val="en-US"/>
        </w:rPr>
        <w:t>guaranteed by</w:t>
      </w:r>
      <w:r w:rsidR="002544EC" w:rsidRPr="00C9465D">
        <w:rPr>
          <w:spacing w:val="-4"/>
          <w:lang w:val="en-US"/>
        </w:rPr>
        <w:t xml:space="preserve"> </w:t>
      </w:r>
      <w:r w:rsidR="00193CBB" w:rsidRPr="00C9465D">
        <w:rPr>
          <w:lang w:val="en-US"/>
        </w:rPr>
        <w:t>Article</w:t>
      </w:r>
      <w:r w:rsidR="002544EC" w:rsidRPr="00C9465D">
        <w:rPr>
          <w:spacing w:val="-7"/>
          <w:lang w:val="en-US"/>
        </w:rPr>
        <w:t xml:space="preserve"> </w:t>
      </w:r>
      <w:r w:rsidR="002544EC" w:rsidRPr="00C9465D">
        <w:rPr>
          <w:lang w:val="en-US"/>
        </w:rPr>
        <w:t>24</w:t>
      </w:r>
      <w:r w:rsidR="002544EC" w:rsidRPr="00C9465D">
        <w:rPr>
          <w:spacing w:val="-5"/>
          <w:lang w:val="en-US"/>
        </w:rPr>
        <w:t xml:space="preserve"> </w:t>
      </w:r>
      <w:r w:rsidRPr="00C9465D">
        <w:rPr>
          <w:spacing w:val="-5"/>
          <w:lang w:val="en-US"/>
        </w:rPr>
        <w:t xml:space="preserve">of the Convention has two </w:t>
      </w:r>
      <w:r w:rsidR="00177BA9" w:rsidRPr="00C9465D">
        <w:rPr>
          <w:spacing w:val="-5"/>
          <w:lang w:val="en-US"/>
        </w:rPr>
        <w:t>dimension</w:t>
      </w:r>
      <w:r w:rsidRPr="00C9465D">
        <w:rPr>
          <w:spacing w:val="-5"/>
          <w:lang w:val="en-US"/>
        </w:rPr>
        <w:t xml:space="preserve">s. The first, a formal </w:t>
      </w:r>
      <w:r w:rsidR="00177BA9" w:rsidRPr="00C9465D">
        <w:rPr>
          <w:spacing w:val="-5"/>
          <w:lang w:val="en-US"/>
        </w:rPr>
        <w:t>dimension</w:t>
      </w:r>
      <w:r w:rsidRPr="00C9465D">
        <w:rPr>
          <w:spacing w:val="-5"/>
          <w:lang w:val="en-US"/>
        </w:rPr>
        <w:t>, that</w:t>
      </w:r>
      <w:r w:rsidRPr="00C9465D">
        <w:rPr>
          <w:sz w:val="16"/>
          <w:szCs w:val="16"/>
          <w:lang w:val="en-US"/>
        </w:rPr>
        <w:t xml:space="preserve"> </w:t>
      </w:r>
      <w:r w:rsidR="00260D95" w:rsidRPr="00C9465D">
        <w:rPr>
          <w:lang w:val="en-US"/>
        </w:rPr>
        <w:t>establishes</w:t>
      </w:r>
      <w:r w:rsidR="002544EC" w:rsidRPr="00C9465D">
        <w:rPr>
          <w:lang w:val="en-US"/>
        </w:rPr>
        <w:t xml:space="preserve"> </w:t>
      </w:r>
      <w:r w:rsidR="00F42E0C" w:rsidRPr="00C9465D">
        <w:rPr>
          <w:lang w:val="en-US"/>
        </w:rPr>
        <w:t>equality before the law</w:t>
      </w:r>
      <w:r w:rsidRPr="00C9465D">
        <w:rPr>
          <w:lang w:val="en-US"/>
        </w:rPr>
        <w:t xml:space="preserve"> and the second, a material or substantive </w:t>
      </w:r>
      <w:r w:rsidR="00177BA9" w:rsidRPr="00C9465D">
        <w:rPr>
          <w:lang w:val="en-US"/>
        </w:rPr>
        <w:t>dimension</w:t>
      </w:r>
      <w:r w:rsidRPr="00C9465D">
        <w:rPr>
          <w:lang w:val="en-US"/>
        </w:rPr>
        <w:t xml:space="preserve">, that </w:t>
      </w:r>
      <w:r w:rsidR="00177BA9" w:rsidRPr="00C9465D">
        <w:rPr>
          <w:lang w:val="en-US"/>
        </w:rPr>
        <w:t>requires</w:t>
      </w:r>
      <w:r w:rsidRPr="00C9465D">
        <w:rPr>
          <w:lang w:val="en-US"/>
        </w:rPr>
        <w:t xml:space="preserve"> the adoption of positive measures in favor of groups that have historically been discriminated or marginalized owing to the factors mentioned in</w:t>
      </w:r>
      <w:r w:rsidRPr="00C9465D">
        <w:rPr>
          <w:sz w:val="16"/>
          <w:szCs w:val="16"/>
          <w:lang w:val="en-US"/>
        </w:rPr>
        <w:t xml:space="preserve"> </w:t>
      </w:r>
      <w:r w:rsidR="00577DE0" w:rsidRPr="00C9465D">
        <w:rPr>
          <w:lang w:val="en-US"/>
        </w:rPr>
        <w:t>Article 1(1)</w:t>
      </w:r>
      <w:r w:rsidR="00193CBB" w:rsidRPr="00C9465D">
        <w:rPr>
          <w:lang w:val="en-US"/>
        </w:rPr>
        <w:t xml:space="preserve"> of the American Convention</w:t>
      </w:r>
      <w:r w:rsidR="002544EC" w:rsidRPr="00C9465D">
        <w:rPr>
          <w:lang w:val="en-US"/>
        </w:rPr>
        <w:t xml:space="preserve">. </w:t>
      </w:r>
      <w:r w:rsidRPr="00C9465D">
        <w:rPr>
          <w:lang w:val="en-US"/>
        </w:rPr>
        <w:t xml:space="preserve">This means that the right to </w:t>
      </w:r>
      <w:r w:rsidR="00D12C0E" w:rsidRPr="00C9465D">
        <w:rPr>
          <w:lang w:val="en-US"/>
        </w:rPr>
        <w:t>equality</w:t>
      </w:r>
      <w:r w:rsidR="002544EC" w:rsidRPr="00C9465D">
        <w:rPr>
          <w:lang w:val="en-US"/>
        </w:rPr>
        <w:t xml:space="preserve"> </w:t>
      </w:r>
      <w:r w:rsidRPr="00C9465D">
        <w:rPr>
          <w:lang w:val="en-US"/>
        </w:rPr>
        <w:t xml:space="preserve">entails the obligation to adopt measures to ensure that equality is real and effective; in other words, to correct existing inequalities, to promote the inclusion and participation of historically marginalized groups, to guarantee to disadvantaged persons or </w:t>
      </w:r>
      <w:r w:rsidRPr="00C9465D">
        <w:rPr>
          <w:lang w:val="en-US"/>
        </w:rPr>
        <w:lastRenderedPageBreak/>
        <w:t>groups the effective enjoyment of their rights and, in sum</w:t>
      </w:r>
      <w:r w:rsidR="00312ED8" w:rsidRPr="00C9465D">
        <w:rPr>
          <w:lang w:val="en-US"/>
        </w:rPr>
        <w:t>,</w:t>
      </w:r>
      <w:r w:rsidRPr="00C9465D">
        <w:rPr>
          <w:lang w:val="en-US"/>
        </w:rPr>
        <w:t xml:space="preserve"> to offer everyone </w:t>
      </w:r>
      <w:r w:rsidR="00312ED8" w:rsidRPr="00C9465D">
        <w:rPr>
          <w:lang w:val="en-US"/>
        </w:rPr>
        <w:t xml:space="preserve">real </w:t>
      </w:r>
      <w:r w:rsidRPr="00C9465D">
        <w:rPr>
          <w:lang w:val="en-US"/>
        </w:rPr>
        <w:t>possibilities of achieving material equality. To this end, States must actively tackle situations of exclusion and marginalization.</w:t>
      </w:r>
      <w:r w:rsidR="002544EC" w:rsidRPr="00C9465D">
        <w:rPr>
          <w:rStyle w:val="FootnoteReference"/>
          <w:lang w:val="en-US"/>
        </w:rPr>
        <w:footnoteReference w:id="292"/>
      </w:r>
    </w:p>
    <w:p w14:paraId="0A410FB3" w14:textId="37EF4140" w:rsidR="00BD2FF3" w:rsidRPr="00C9465D" w:rsidRDefault="00C55255" w:rsidP="00AA3C22">
      <w:pPr>
        <w:pStyle w:val="Numberedparagraphs"/>
        <w:rPr>
          <w:lang w:val="en-US"/>
        </w:rPr>
      </w:pPr>
      <w:r w:rsidRPr="00C9465D">
        <w:rPr>
          <w:lang w:val="en-US"/>
        </w:rPr>
        <w:t xml:space="preserve">This obligation to ensure material equality concurs with </w:t>
      </w:r>
      <w:r w:rsidR="00193CBB" w:rsidRPr="00C9465D">
        <w:rPr>
          <w:lang w:val="en-US"/>
        </w:rPr>
        <w:t>Article</w:t>
      </w:r>
      <w:r w:rsidR="00BD2FF3" w:rsidRPr="00C9465D">
        <w:rPr>
          <w:lang w:val="en-US"/>
        </w:rPr>
        <w:t xml:space="preserve"> 5 </w:t>
      </w:r>
      <w:r w:rsidR="00177BA9" w:rsidRPr="00C9465D">
        <w:rPr>
          <w:lang w:val="en-US"/>
        </w:rPr>
        <w:t>of the</w:t>
      </w:r>
      <w:r w:rsidR="00BD2FF3" w:rsidRPr="00C9465D">
        <w:rPr>
          <w:lang w:val="en-US"/>
        </w:rPr>
        <w:t xml:space="preserve"> </w:t>
      </w:r>
      <w:r w:rsidR="00593C0F" w:rsidRPr="00C9465D">
        <w:rPr>
          <w:lang w:val="en-US"/>
        </w:rPr>
        <w:t>CRPD</w:t>
      </w:r>
      <w:r w:rsidR="00BD2FF3" w:rsidRPr="00C9465D">
        <w:rPr>
          <w:lang w:val="en-US"/>
        </w:rPr>
        <w:t xml:space="preserve">, </w:t>
      </w:r>
      <w:r w:rsidR="00177BA9" w:rsidRPr="00C9465D">
        <w:rPr>
          <w:lang w:val="en-US"/>
        </w:rPr>
        <w:t xml:space="preserve">which stipulates that: </w:t>
      </w:r>
    </w:p>
    <w:p w14:paraId="39AF96FB" w14:textId="77777777" w:rsidR="00177BA9" w:rsidRPr="00C9465D" w:rsidRDefault="00177BA9" w:rsidP="00177BA9">
      <w:pPr>
        <w:spacing w:before="120" w:after="120" w:line="240" w:lineRule="auto"/>
        <w:ind w:left="567" w:right="404"/>
        <w:jc w:val="both"/>
        <w:rPr>
          <w:rFonts w:ascii="Verdana" w:eastAsia="Times New Roman" w:hAnsi="Verdana" w:cs="Times New Roman"/>
          <w:sz w:val="18"/>
          <w:szCs w:val="18"/>
          <w:lang w:val="en-US"/>
        </w:rPr>
      </w:pPr>
      <w:r w:rsidRPr="00C9465D">
        <w:rPr>
          <w:rFonts w:ascii="Verdana" w:eastAsia="Times New Roman" w:hAnsi="Verdana" w:cs="Times New Roman"/>
          <w:sz w:val="18"/>
          <w:szCs w:val="18"/>
          <w:lang w:val="en-US"/>
        </w:rPr>
        <w:t>1. States Parties recognize that all persons are equal before and under the law and are entitled without any discrimination to the equal protection and equal benefit of the law.</w:t>
      </w:r>
    </w:p>
    <w:p w14:paraId="203FEE22" w14:textId="77777777" w:rsidR="00177BA9" w:rsidRPr="00C9465D" w:rsidRDefault="00177BA9" w:rsidP="00177BA9">
      <w:pPr>
        <w:spacing w:before="120" w:after="120" w:line="240" w:lineRule="auto"/>
        <w:ind w:left="567" w:right="404"/>
        <w:jc w:val="both"/>
        <w:rPr>
          <w:rFonts w:ascii="Verdana" w:eastAsia="Times New Roman" w:hAnsi="Verdana" w:cs="Times New Roman"/>
          <w:sz w:val="18"/>
          <w:szCs w:val="18"/>
          <w:lang w:val="en-US"/>
        </w:rPr>
      </w:pPr>
      <w:r w:rsidRPr="00C9465D">
        <w:rPr>
          <w:rFonts w:ascii="Verdana" w:eastAsia="Times New Roman" w:hAnsi="Verdana" w:cs="Times New Roman"/>
          <w:sz w:val="18"/>
          <w:szCs w:val="18"/>
          <w:lang w:val="en-US"/>
        </w:rPr>
        <w:t>2. States Parties shall prohibit all discrimination on the basis of disability and guarantee to persons with disabilities equal and effective legal protection against discrimination on all grounds.</w:t>
      </w:r>
    </w:p>
    <w:p w14:paraId="4F9F44C0" w14:textId="77777777" w:rsidR="00177BA9" w:rsidRPr="00C9465D" w:rsidRDefault="00177BA9" w:rsidP="00177BA9">
      <w:pPr>
        <w:spacing w:before="120" w:after="120" w:line="240" w:lineRule="auto"/>
        <w:ind w:left="567" w:right="404"/>
        <w:jc w:val="both"/>
        <w:rPr>
          <w:rFonts w:ascii="Verdana" w:eastAsia="Times New Roman" w:hAnsi="Verdana" w:cs="Times New Roman"/>
          <w:sz w:val="18"/>
          <w:szCs w:val="18"/>
          <w:lang w:val="en-US"/>
        </w:rPr>
      </w:pPr>
      <w:r w:rsidRPr="00C9465D">
        <w:rPr>
          <w:rFonts w:ascii="Verdana" w:eastAsia="Times New Roman" w:hAnsi="Verdana" w:cs="Times New Roman"/>
          <w:sz w:val="18"/>
          <w:szCs w:val="18"/>
          <w:lang w:val="en-US"/>
        </w:rPr>
        <w:t>3. In order to promote equality and eliminate discrimination, States Parties shall take all appropriate steps to ensure that reasonable accommodation is provided.</w:t>
      </w:r>
    </w:p>
    <w:p w14:paraId="18809EDF" w14:textId="741A0655" w:rsidR="00177BA9" w:rsidRPr="00C9465D" w:rsidRDefault="00177BA9" w:rsidP="00177BA9">
      <w:pPr>
        <w:spacing w:before="120" w:after="120" w:line="240" w:lineRule="auto"/>
        <w:ind w:left="567" w:right="404"/>
        <w:jc w:val="both"/>
        <w:rPr>
          <w:rFonts w:ascii="Verdana" w:eastAsia="Times New Roman" w:hAnsi="Verdana" w:cs="Times New Roman"/>
          <w:sz w:val="18"/>
          <w:szCs w:val="18"/>
          <w:lang w:val="en-US"/>
        </w:rPr>
      </w:pPr>
      <w:r w:rsidRPr="00C9465D">
        <w:rPr>
          <w:rFonts w:ascii="Verdana" w:eastAsia="Times New Roman" w:hAnsi="Verdana" w:cs="Times New Roman"/>
          <w:sz w:val="18"/>
          <w:szCs w:val="18"/>
          <w:lang w:val="en-US"/>
        </w:rPr>
        <w:t>4. Specific measures which are necessary to accelerate or achieve de facto equality of persons with disabilities shall not be considered discrimination under the terms of the present Convention.</w:t>
      </w:r>
    </w:p>
    <w:p w14:paraId="5AA1B84A" w14:textId="32A9C453" w:rsidR="00ED4019" w:rsidRPr="00C9465D" w:rsidRDefault="00177BA9" w:rsidP="008149CA">
      <w:pPr>
        <w:pStyle w:val="Numberedparagraphs"/>
        <w:rPr>
          <w:lang w:val="en-US"/>
        </w:rPr>
      </w:pPr>
      <w:r w:rsidRPr="00C9465D">
        <w:rPr>
          <w:lang w:val="en-US"/>
        </w:rPr>
        <w:t>The CRPD refers back to this obligation in its a</w:t>
      </w:r>
      <w:r w:rsidR="00193CBB" w:rsidRPr="00C9465D">
        <w:rPr>
          <w:lang w:val="en-US"/>
        </w:rPr>
        <w:t>rticle</w:t>
      </w:r>
      <w:r w:rsidR="00260D95" w:rsidRPr="00C9465D">
        <w:rPr>
          <w:lang w:val="en-US"/>
        </w:rPr>
        <w:t xml:space="preserve"> o</w:t>
      </w:r>
      <w:r w:rsidRPr="00C9465D">
        <w:rPr>
          <w:lang w:val="en-US"/>
        </w:rPr>
        <w:t>n</w:t>
      </w:r>
      <w:r w:rsidR="00260D95" w:rsidRPr="00C9465D">
        <w:rPr>
          <w:lang w:val="en-US"/>
        </w:rPr>
        <w:t xml:space="preserve"> the right to health</w:t>
      </w:r>
      <w:r w:rsidR="00ED4019" w:rsidRPr="00C9465D">
        <w:rPr>
          <w:lang w:val="en-US"/>
        </w:rPr>
        <w:t xml:space="preserve"> </w:t>
      </w:r>
      <w:r w:rsidRPr="00C9465D">
        <w:rPr>
          <w:lang w:val="en-US"/>
        </w:rPr>
        <w:t xml:space="preserve">by establishing that: </w:t>
      </w:r>
      <w:r w:rsidR="008149CA" w:rsidRPr="00C9465D">
        <w:rPr>
          <w:lang w:val="en-US"/>
        </w:rPr>
        <w:t>“States Parties recognize that persons with disabilities have the right to the enjoyment of the highest attainable standard of health without discrimination on the basis of disability.</w:t>
      </w:r>
      <w:r w:rsidR="00ED4019" w:rsidRPr="00C9465D">
        <w:rPr>
          <w:lang w:val="en-US"/>
        </w:rPr>
        <w:t>”</w:t>
      </w:r>
      <w:r w:rsidR="00ED4019" w:rsidRPr="00C9465D">
        <w:rPr>
          <w:rStyle w:val="FootnoteReference"/>
          <w:lang w:val="en-US"/>
        </w:rPr>
        <w:footnoteReference w:id="293"/>
      </w:r>
    </w:p>
    <w:p w14:paraId="5E4349F2" w14:textId="5E653515" w:rsidR="00BD2FF3" w:rsidRPr="00C9465D" w:rsidRDefault="008149CA" w:rsidP="008149CA">
      <w:pPr>
        <w:pStyle w:val="Numberedparagraphs"/>
        <w:rPr>
          <w:lang w:val="en-US"/>
        </w:rPr>
      </w:pPr>
      <w:r w:rsidRPr="00C9465D">
        <w:rPr>
          <w:lang w:val="en-US"/>
        </w:rPr>
        <w:t>The</w:t>
      </w:r>
      <w:r w:rsidR="00F47B2B" w:rsidRPr="00C9465D">
        <w:rPr>
          <w:lang w:val="en-US"/>
        </w:rPr>
        <w:t xml:space="preserve"> </w:t>
      </w:r>
      <w:r w:rsidR="00EA340A" w:rsidRPr="00C9465D">
        <w:rPr>
          <w:lang w:val="en-US"/>
        </w:rPr>
        <w:t>IACDIS</w:t>
      </w:r>
      <w:r w:rsidR="00BD2FF3" w:rsidRPr="00C9465D">
        <w:rPr>
          <w:lang w:val="en-US"/>
        </w:rPr>
        <w:t xml:space="preserve"> </w:t>
      </w:r>
      <w:r w:rsidRPr="00C9465D">
        <w:rPr>
          <w:lang w:val="en-US"/>
        </w:rPr>
        <w:t xml:space="preserve">also </w:t>
      </w:r>
      <w:r w:rsidR="00260D95" w:rsidRPr="00C9465D">
        <w:rPr>
          <w:lang w:val="en-US"/>
        </w:rPr>
        <w:t>establishes</w:t>
      </w:r>
      <w:r w:rsidR="00BD2FF3" w:rsidRPr="00C9465D">
        <w:rPr>
          <w:lang w:val="en-US"/>
        </w:rPr>
        <w:t xml:space="preserve"> </w:t>
      </w:r>
      <w:r w:rsidRPr="00C9465D">
        <w:rPr>
          <w:lang w:val="en-US"/>
        </w:rPr>
        <w:t xml:space="preserve">that the States </w:t>
      </w:r>
      <w:r w:rsidR="00312ED8" w:rsidRPr="00C9465D">
        <w:rPr>
          <w:lang w:val="en-US"/>
        </w:rPr>
        <w:t>P</w:t>
      </w:r>
      <w:r w:rsidRPr="00C9465D">
        <w:rPr>
          <w:lang w:val="en-US"/>
        </w:rPr>
        <w:t>arties undertake “[t]</w:t>
      </w:r>
      <w:r w:rsidRPr="00C9465D">
        <w:rPr>
          <w:rFonts w:cs="Tahoma"/>
          <w:lang w:val="en-US"/>
        </w:rPr>
        <w:t>o adopt the legislative, social, educational, labor-related, or any other measures needed to eliminate discrimination against persons with disabilities and to promote their full integration into society.</w:t>
      </w:r>
      <w:r w:rsidR="001D1CB5" w:rsidRPr="00C9465D">
        <w:rPr>
          <w:lang w:val="en-US"/>
        </w:rPr>
        <w:t>”</w:t>
      </w:r>
      <w:r w:rsidR="001D1CB5" w:rsidRPr="00C9465D">
        <w:rPr>
          <w:rStyle w:val="FootnoteReference"/>
          <w:rFonts w:cs="Tahoma"/>
          <w:lang w:val="en-US"/>
        </w:rPr>
        <w:footnoteReference w:id="294"/>
      </w:r>
      <w:r w:rsidRPr="00C9465D">
        <w:rPr>
          <w:lang w:val="en-US"/>
        </w:rPr>
        <w:t xml:space="preserve"> Similarly, the </w:t>
      </w:r>
      <w:r w:rsidR="00593C0F" w:rsidRPr="00C9465D">
        <w:rPr>
          <w:lang w:val="en-US"/>
        </w:rPr>
        <w:t>CRPD</w:t>
      </w:r>
      <w:r w:rsidR="00007FB2" w:rsidRPr="00C9465D">
        <w:rPr>
          <w:lang w:val="en-US"/>
        </w:rPr>
        <w:t xml:space="preserve"> </w:t>
      </w:r>
      <w:r w:rsidR="00260D95" w:rsidRPr="00C9465D">
        <w:rPr>
          <w:lang w:val="en-US"/>
        </w:rPr>
        <w:t>establishes</w:t>
      </w:r>
      <w:r w:rsidR="00007FB2" w:rsidRPr="00C9465D">
        <w:rPr>
          <w:lang w:val="en-US"/>
        </w:rPr>
        <w:t xml:space="preserve"> </w:t>
      </w:r>
      <w:r w:rsidRPr="00C9465D">
        <w:rPr>
          <w:lang w:val="en-US"/>
        </w:rPr>
        <w:t xml:space="preserve">that disability-based discrimination also occurs when reasonable accommodation is denied. In this regard, the </w:t>
      </w:r>
      <w:r w:rsidR="00813093" w:rsidRPr="00C9465D">
        <w:rPr>
          <w:rFonts w:cs="Verdana"/>
          <w:bCs/>
          <w:lang w:val="en-US"/>
        </w:rPr>
        <w:t>Committee on the Rights of Persons with Disabilities</w:t>
      </w:r>
      <w:r w:rsidR="00007FB2" w:rsidRPr="00C9465D">
        <w:rPr>
          <w:rFonts w:cs="Verdana"/>
          <w:bCs/>
          <w:lang w:val="en-US"/>
        </w:rPr>
        <w:t xml:space="preserve"> </w:t>
      </w:r>
      <w:r w:rsidRPr="00C9465D">
        <w:rPr>
          <w:rFonts w:cs="Verdana"/>
          <w:bCs/>
          <w:lang w:val="en-US"/>
        </w:rPr>
        <w:t>has indicated that</w:t>
      </w:r>
      <w:r w:rsidR="00007FB2" w:rsidRPr="00C9465D">
        <w:rPr>
          <w:rFonts w:cs="Verdana"/>
          <w:bCs/>
          <w:lang w:val="en-US"/>
        </w:rPr>
        <w:t xml:space="preserve"> “</w:t>
      </w:r>
      <w:r w:rsidRPr="00C9465D">
        <w:rPr>
          <w:lang w:val="en-US"/>
        </w:rPr>
        <w:t>[r]easonable accommodation is an intrinsic part of the immediately applicable duty of non-discrimination in the context of disability.”</w:t>
      </w:r>
      <w:r w:rsidR="00007FB2" w:rsidRPr="00C9465D">
        <w:rPr>
          <w:rStyle w:val="FootnoteReference"/>
          <w:rFonts w:cs="Verdana"/>
          <w:bCs/>
          <w:lang w:val="en-US"/>
        </w:rPr>
        <w:footnoteReference w:id="295"/>
      </w:r>
      <w:r w:rsidRPr="00C9465D">
        <w:rPr>
          <w:rFonts w:cs="Verdana"/>
          <w:bCs/>
          <w:lang w:val="en-US"/>
        </w:rPr>
        <w:t xml:space="preserve"> In this regard, it explained that “</w:t>
      </w:r>
      <w:r w:rsidRPr="00C9465D">
        <w:rPr>
          <w:lang w:val="en-US"/>
        </w:rPr>
        <w:t>[a]n accommodation is reasonable, therefore, if it achieves the purpose (or purposes) for which it is being made, and is tailored to meet the requirements of the person with a disability.</w:t>
      </w:r>
      <w:r w:rsidR="00007FB2" w:rsidRPr="00C9465D">
        <w:rPr>
          <w:lang w:val="en-US"/>
        </w:rPr>
        <w:t>”</w:t>
      </w:r>
      <w:r w:rsidR="00007FB2" w:rsidRPr="00C9465D">
        <w:rPr>
          <w:rStyle w:val="FootnoteReference"/>
          <w:rFonts w:cs="Verdana"/>
          <w:bCs/>
          <w:lang w:val="en-US"/>
        </w:rPr>
        <w:footnoteReference w:id="296"/>
      </w:r>
    </w:p>
    <w:p w14:paraId="732CBF91" w14:textId="7D6E2AB3" w:rsidR="00ED4019" w:rsidRPr="00C9465D" w:rsidRDefault="008149CA" w:rsidP="006F4406">
      <w:pPr>
        <w:pStyle w:val="Numberedparagraphs"/>
        <w:rPr>
          <w:b/>
          <w:lang w:val="en-US"/>
        </w:rPr>
      </w:pPr>
      <w:r w:rsidRPr="00C9465D">
        <w:rPr>
          <w:lang w:val="en-US"/>
        </w:rPr>
        <w:t xml:space="preserve">Specifically, in the case of medical decision-making, States have the obligation to provide the necessary support to enable the person concerned to take his </w:t>
      </w:r>
      <w:r w:rsidR="00312ED8" w:rsidRPr="00C9465D">
        <w:rPr>
          <w:lang w:val="en-US"/>
        </w:rPr>
        <w:t xml:space="preserve">or her </w:t>
      </w:r>
      <w:r w:rsidRPr="00C9465D">
        <w:rPr>
          <w:lang w:val="en-US"/>
        </w:rPr>
        <w:t>own informed decision. The Court reiterates that, according to</w:t>
      </w:r>
      <w:r w:rsidRPr="00C9465D">
        <w:rPr>
          <w:b/>
          <w:lang w:val="en-US"/>
        </w:rPr>
        <w:t xml:space="preserve"> </w:t>
      </w:r>
      <w:r w:rsidR="00577DE0" w:rsidRPr="00C9465D">
        <w:rPr>
          <w:lang w:val="en-US"/>
        </w:rPr>
        <w:t xml:space="preserve">the </w:t>
      </w:r>
      <w:r w:rsidR="007173DB" w:rsidRPr="00C9465D">
        <w:rPr>
          <w:lang w:val="en-US"/>
        </w:rPr>
        <w:t>United Nations Special Rapporteur on the rights of</w:t>
      </w:r>
      <w:r w:rsidR="00ED4019" w:rsidRPr="00C9465D">
        <w:rPr>
          <w:lang w:val="en-US"/>
        </w:rPr>
        <w:t xml:space="preserve"> </w:t>
      </w:r>
      <w:r w:rsidR="00D85850" w:rsidRPr="00C9465D">
        <w:rPr>
          <w:lang w:val="en-US"/>
        </w:rPr>
        <w:t>persons with disabilities</w:t>
      </w:r>
      <w:r w:rsidR="00BF14DC" w:rsidRPr="00C9465D">
        <w:rPr>
          <w:lang w:val="en-US"/>
        </w:rPr>
        <w:t>,</w:t>
      </w:r>
      <w:r w:rsidR="00ED4019" w:rsidRPr="00C9465D">
        <w:rPr>
          <w:lang w:val="en-US"/>
        </w:rPr>
        <w:t xml:space="preserve"> “</w:t>
      </w:r>
      <w:r w:rsidR="006F4406" w:rsidRPr="00C9465D">
        <w:rPr>
          <w:lang w:val="en-US"/>
        </w:rPr>
        <w:t>[a]ccess to adequate support is indeed a precondition for persons with disabilities to effective</w:t>
      </w:r>
      <w:r w:rsidR="00312ED8" w:rsidRPr="00C9465D">
        <w:rPr>
          <w:lang w:val="en-US"/>
        </w:rPr>
        <w:t>ly</w:t>
      </w:r>
      <w:r w:rsidR="006F4406" w:rsidRPr="00C9465D">
        <w:rPr>
          <w:lang w:val="en-US"/>
        </w:rPr>
        <w:t xml:space="preserve"> exercise their human rights on an equal basis with others and, therefore, to live with dignity and autonomy in the community.”</w:t>
      </w:r>
      <w:r w:rsidR="00ED4019" w:rsidRPr="00C9465D">
        <w:rPr>
          <w:vertAlign w:val="superscript"/>
          <w:lang w:val="en-US"/>
        </w:rPr>
        <w:footnoteReference w:id="297"/>
      </w:r>
    </w:p>
    <w:p w14:paraId="681E6C13" w14:textId="48BC7087" w:rsidR="00007FB2" w:rsidRPr="00C9465D" w:rsidRDefault="006F4406" w:rsidP="006F4406">
      <w:pPr>
        <w:pStyle w:val="Numberedparagraphs"/>
        <w:rPr>
          <w:rFonts w:cs="Verdana"/>
          <w:lang w:val="en-US" w:bidi="en-US"/>
        </w:rPr>
      </w:pPr>
      <w:r w:rsidRPr="00C9465D">
        <w:rPr>
          <w:lang w:val="en-US"/>
        </w:rPr>
        <w:t xml:space="preserve">In the instant case, the Court underscores that the State did not take measures to help </w:t>
      </w:r>
      <w:r w:rsidR="002F3237" w:rsidRPr="00C9465D">
        <w:rPr>
          <w:lang w:val="en-US"/>
        </w:rPr>
        <w:t>Mr. Guachalá</w:t>
      </w:r>
      <w:r w:rsidR="00007FB2" w:rsidRPr="00C9465D">
        <w:rPr>
          <w:lang w:val="en-US"/>
        </w:rPr>
        <w:t xml:space="preserve"> </w:t>
      </w:r>
      <w:r w:rsidRPr="00C9465D">
        <w:rPr>
          <w:lang w:val="en-US"/>
        </w:rPr>
        <w:t xml:space="preserve">take a decision on his hospitalization and treatment. To the contrary, the State </w:t>
      </w:r>
      <w:r w:rsidRPr="00C9465D">
        <w:rPr>
          <w:lang w:val="en-US"/>
        </w:rPr>
        <w:lastRenderedPageBreak/>
        <w:t xml:space="preserve">substituted Mr. Guachalá’s will </w:t>
      </w:r>
      <w:r w:rsidR="00312ED8" w:rsidRPr="00C9465D">
        <w:rPr>
          <w:lang w:val="en-US"/>
        </w:rPr>
        <w:t xml:space="preserve">by </w:t>
      </w:r>
      <w:r w:rsidRPr="00C9465D">
        <w:rPr>
          <w:lang w:val="en-US"/>
        </w:rPr>
        <w:t xml:space="preserve">directly asked his mother for the consent. In his expert opinion, </w:t>
      </w:r>
      <w:r w:rsidR="00007FB2" w:rsidRPr="00C9465D">
        <w:rPr>
          <w:lang w:val="en-US"/>
        </w:rPr>
        <w:t xml:space="preserve">Christian Courtis </w:t>
      </w:r>
      <w:r w:rsidRPr="00C9465D">
        <w:rPr>
          <w:lang w:val="en-US"/>
        </w:rPr>
        <w:t>indicated that:</w:t>
      </w:r>
    </w:p>
    <w:p w14:paraId="014F486D" w14:textId="3FC40B98" w:rsidR="00007FB2" w:rsidRPr="00C9465D" w:rsidRDefault="006F4406" w:rsidP="006F4406">
      <w:pPr>
        <w:autoSpaceDE w:val="0"/>
        <w:autoSpaceDN w:val="0"/>
        <w:adjustRightInd w:val="0"/>
        <w:spacing w:line="240" w:lineRule="auto"/>
        <w:ind w:left="567" w:right="404"/>
        <w:jc w:val="both"/>
        <w:rPr>
          <w:rFonts w:ascii="Verdana" w:hAnsi="Verdana" w:cs="Times"/>
          <w:sz w:val="18"/>
          <w:szCs w:val="18"/>
          <w:lang w:val="en-US"/>
        </w:rPr>
      </w:pPr>
      <w:r w:rsidRPr="00C9465D">
        <w:rPr>
          <w:rFonts w:ascii="Verdana" w:hAnsi="Verdana" w:cs="Times"/>
          <w:sz w:val="18"/>
          <w:szCs w:val="18"/>
          <w:lang w:val="en-US"/>
        </w:rPr>
        <w:t>The</w:t>
      </w:r>
      <w:r w:rsidR="00007FB2" w:rsidRPr="00C9465D">
        <w:rPr>
          <w:rFonts w:ascii="Verdana" w:hAnsi="Verdana" w:cs="Times"/>
          <w:sz w:val="18"/>
          <w:szCs w:val="18"/>
          <w:lang w:val="en-US"/>
        </w:rPr>
        <w:t xml:space="preserve"> </w:t>
      </w:r>
      <w:r w:rsidR="00007FB2" w:rsidRPr="00C9465D">
        <w:rPr>
          <w:rFonts w:ascii="Verdana" w:hAnsi="Verdana" w:cs="Times"/>
          <w:i/>
          <w:iCs/>
          <w:sz w:val="18"/>
          <w:szCs w:val="18"/>
          <w:lang w:val="en-US"/>
        </w:rPr>
        <w:t>de facto</w:t>
      </w:r>
      <w:r w:rsidR="00007FB2" w:rsidRPr="00C9465D">
        <w:rPr>
          <w:rFonts w:ascii="Verdana" w:hAnsi="Verdana" w:cs="Times"/>
          <w:sz w:val="18"/>
          <w:szCs w:val="18"/>
          <w:lang w:val="en-US"/>
        </w:rPr>
        <w:t xml:space="preserve"> </w:t>
      </w:r>
      <w:r w:rsidRPr="00C9465D">
        <w:rPr>
          <w:rFonts w:ascii="Verdana" w:hAnsi="Verdana" w:cs="Times"/>
          <w:sz w:val="18"/>
          <w:szCs w:val="18"/>
          <w:lang w:val="en-US"/>
        </w:rPr>
        <w:t xml:space="preserve">denial of the presumed victim’s capacity to act during his </w:t>
      </w:r>
      <w:r w:rsidR="00312ED8" w:rsidRPr="00C9465D">
        <w:rPr>
          <w:rFonts w:ascii="Verdana" w:hAnsi="Verdana" w:cs="Times"/>
          <w:sz w:val="18"/>
          <w:szCs w:val="18"/>
          <w:lang w:val="en-US"/>
        </w:rPr>
        <w:t>hospit</w:t>
      </w:r>
      <w:r w:rsidRPr="00C9465D">
        <w:rPr>
          <w:rFonts w:ascii="Verdana" w:hAnsi="Verdana" w:cs="Times"/>
          <w:sz w:val="18"/>
          <w:szCs w:val="18"/>
          <w:lang w:val="en-US"/>
        </w:rPr>
        <w:t>alization in a psychiatric institution, even though he was an adult and with</w:t>
      </w:r>
      <w:r w:rsidR="00312ED8" w:rsidRPr="00C9465D">
        <w:rPr>
          <w:rFonts w:ascii="Verdana" w:hAnsi="Verdana" w:cs="Times"/>
          <w:sz w:val="18"/>
          <w:szCs w:val="18"/>
          <w:lang w:val="en-US"/>
        </w:rPr>
        <w:t xml:space="preserve"> no record in </w:t>
      </w:r>
      <w:r w:rsidRPr="00C9465D">
        <w:rPr>
          <w:rFonts w:ascii="Verdana" w:hAnsi="Verdana" w:cs="Times"/>
          <w:sz w:val="18"/>
          <w:szCs w:val="18"/>
          <w:lang w:val="en-US"/>
        </w:rPr>
        <w:t xml:space="preserve">the case file that he had been formally declared incapable – regardless of the incompatibility of that measure with the </w:t>
      </w:r>
      <w:r w:rsidR="00593C0F" w:rsidRPr="00C9465D">
        <w:rPr>
          <w:rFonts w:ascii="Verdana" w:hAnsi="Verdana" w:cs="Times"/>
          <w:sz w:val="18"/>
          <w:szCs w:val="18"/>
          <w:lang w:val="en-US"/>
        </w:rPr>
        <w:t>Convention on the Rights of Persons with Disabilities</w:t>
      </w:r>
      <w:r w:rsidRPr="00C9465D">
        <w:rPr>
          <w:rFonts w:ascii="Verdana" w:hAnsi="Verdana" w:cs="Times"/>
          <w:sz w:val="18"/>
          <w:szCs w:val="18"/>
          <w:lang w:val="en-US"/>
        </w:rPr>
        <w:t xml:space="preserve"> – con</w:t>
      </w:r>
      <w:r w:rsidR="00007FB2" w:rsidRPr="00C9465D">
        <w:rPr>
          <w:rFonts w:ascii="Verdana" w:hAnsi="Verdana" w:cs="Times"/>
          <w:sz w:val="18"/>
          <w:szCs w:val="18"/>
          <w:lang w:val="en-US"/>
        </w:rPr>
        <w:t>stitu</w:t>
      </w:r>
      <w:r w:rsidRPr="00C9465D">
        <w:rPr>
          <w:rFonts w:ascii="Verdana" w:hAnsi="Verdana" w:cs="Times"/>
          <w:sz w:val="18"/>
          <w:szCs w:val="18"/>
          <w:lang w:val="en-US"/>
        </w:rPr>
        <w:t>tes a case of direct disability-based discrimination</w:t>
      </w:r>
      <w:r w:rsidR="00007FB2" w:rsidRPr="00C9465D">
        <w:rPr>
          <w:rFonts w:ascii="Verdana" w:hAnsi="Verdana" w:cs="Times"/>
          <w:sz w:val="18"/>
          <w:szCs w:val="18"/>
          <w:lang w:val="en-US"/>
        </w:rPr>
        <w:t xml:space="preserve"> </w:t>
      </w:r>
      <w:r w:rsidRPr="00C9465D">
        <w:rPr>
          <w:rFonts w:ascii="Verdana" w:hAnsi="Verdana" w:cs="Times"/>
          <w:sz w:val="18"/>
          <w:szCs w:val="18"/>
          <w:lang w:val="en-US"/>
        </w:rPr>
        <w:t>because it represents a clear situation of unequal treatment based on capacity, that has the effect of obstructing or annulling the exercise, in equal conditions, of the rights to</w:t>
      </w:r>
      <w:r w:rsidR="00007FB2" w:rsidRPr="00C9465D">
        <w:rPr>
          <w:rFonts w:ascii="Verdana" w:hAnsi="Verdana" w:cs="Times"/>
          <w:sz w:val="18"/>
          <w:szCs w:val="18"/>
          <w:lang w:val="en-US"/>
        </w:rPr>
        <w:t xml:space="preserve"> </w:t>
      </w:r>
      <w:r w:rsidR="00D12C0E" w:rsidRPr="00C9465D">
        <w:rPr>
          <w:rFonts w:ascii="Verdana" w:hAnsi="Verdana" w:cs="Times"/>
          <w:sz w:val="18"/>
          <w:szCs w:val="18"/>
          <w:lang w:val="en-US"/>
        </w:rPr>
        <w:t>recognition of juridical personality</w:t>
      </w:r>
      <w:r w:rsidR="00007FB2" w:rsidRPr="00C9465D">
        <w:rPr>
          <w:rFonts w:ascii="Verdana" w:hAnsi="Verdana" w:cs="Times"/>
          <w:sz w:val="18"/>
          <w:szCs w:val="18"/>
          <w:lang w:val="en-US"/>
        </w:rPr>
        <w:t xml:space="preserve">, </w:t>
      </w:r>
      <w:r w:rsidR="00D12C0E" w:rsidRPr="00C9465D">
        <w:rPr>
          <w:rFonts w:ascii="Verdana" w:hAnsi="Verdana" w:cs="Times"/>
          <w:sz w:val="18"/>
          <w:szCs w:val="18"/>
          <w:lang w:val="en-US"/>
        </w:rPr>
        <w:t>personal liberty</w:t>
      </w:r>
      <w:r w:rsidRPr="00C9465D">
        <w:rPr>
          <w:rFonts w:ascii="Verdana" w:hAnsi="Verdana" w:cs="Times"/>
          <w:sz w:val="18"/>
          <w:szCs w:val="18"/>
          <w:lang w:val="en-US"/>
        </w:rPr>
        <w:t>,</w:t>
      </w:r>
      <w:r w:rsidR="00007FB2" w:rsidRPr="00C9465D">
        <w:rPr>
          <w:rFonts w:ascii="Verdana" w:hAnsi="Verdana" w:cs="Times"/>
          <w:sz w:val="18"/>
          <w:szCs w:val="18"/>
          <w:lang w:val="en-US"/>
        </w:rPr>
        <w:t xml:space="preserve"> </w:t>
      </w:r>
      <w:r w:rsidR="00D12C0E" w:rsidRPr="00C9465D">
        <w:rPr>
          <w:rFonts w:ascii="Verdana" w:hAnsi="Verdana" w:cs="Times"/>
          <w:sz w:val="18"/>
          <w:szCs w:val="18"/>
          <w:lang w:val="en-US"/>
        </w:rPr>
        <w:t>personal integrity</w:t>
      </w:r>
      <w:r w:rsidR="00193CBB" w:rsidRPr="00C9465D">
        <w:rPr>
          <w:rFonts w:ascii="Verdana" w:hAnsi="Verdana" w:cs="Times"/>
          <w:sz w:val="18"/>
          <w:szCs w:val="18"/>
          <w:lang w:val="en-US"/>
        </w:rPr>
        <w:t xml:space="preserve"> and </w:t>
      </w:r>
      <w:r w:rsidR="00D12C0E" w:rsidRPr="00C9465D">
        <w:rPr>
          <w:rFonts w:ascii="Verdana" w:hAnsi="Verdana" w:cs="Times"/>
          <w:sz w:val="18"/>
          <w:szCs w:val="18"/>
          <w:lang w:val="en-US"/>
        </w:rPr>
        <w:t>health</w:t>
      </w:r>
      <w:r w:rsidR="00007FB2" w:rsidRPr="00C9465D">
        <w:rPr>
          <w:rFonts w:ascii="Verdana" w:hAnsi="Verdana" w:cs="Times"/>
          <w:sz w:val="18"/>
          <w:szCs w:val="18"/>
          <w:lang w:val="en-US"/>
        </w:rPr>
        <w:t xml:space="preserve">, </w:t>
      </w:r>
      <w:r w:rsidRPr="00C9465D">
        <w:rPr>
          <w:rFonts w:ascii="Verdana" w:hAnsi="Verdana" w:cs="Times"/>
          <w:sz w:val="18"/>
          <w:szCs w:val="18"/>
          <w:lang w:val="en-US"/>
        </w:rPr>
        <w:t>among others.</w:t>
      </w:r>
      <w:r w:rsidR="00007FB2" w:rsidRPr="00C9465D">
        <w:rPr>
          <w:rStyle w:val="FootnoteReference"/>
          <w:rFonts w:ascii="Verdana" w:hAnsi="Verdana" w:cs="Times"/>
          <w:sz w:val="18"/>
          <w:szCs w:val="18"/>
          <w:lang w:val="en-US"/>
        </w:rPr>
        <w:footnoteReference w:id="298"/>
      </w:r>
    </w:p>
    <w:p w14:paraId="5C131615" w14:textId="1EA09F4F" w:rsidR="00007FB2" w:rsidRPr="00C9465D" w:rsidRDefault="001A47A9" w:rsidP="001A47A9">
      <w:pPr>
        <w:pStyle w:val="Numberedparagraphs"/>
        <w:rPr>
          <w:sz w:val="16"/>
          <w:szCs w:val="16"/>
          <w:lang w:val="en-US"/>
        </w:rPr>
      </w:pPr>
      <w:r w:rsidRPr="00C9465D">
        <w:rPr>
          <w:lang w:val="en-US"/>
        </w:rPr>
        <w:t>Accordingly</w:t>
      </w:r>
      <w:r w:rsidR="00007FB2" w:rsidRPr="00C9465D">
        <w:rPr>
          <w:lang w:val="en-US"/>
        </w:rPr>
        <w:t xml:space="preserve">, </w:t>
      </w:r>
      <w:r w:rsidR="00193CBB" w:rsidRPr="00C9465D">
        <w:rPr>
          <w:lang w:val="en-US"/>
        </w:rPr>
        <w:t>the State</w:t>
      </w:r>
      <w:r w:rsidR="00007FB2" w:rsidRPr="00C9465D">
        <w:rPr>
          <w:lang w:val="en-US"/>
        </w:rPr>
        <w:t xml:space="preserve"> u</w:t>
      </w:r>
      <w:r w:rsidRPr="00C9465D">
        <w:rPr>
          <w:lang w:val="en-US"/>
        </w:rPr>
        <w:t xml:space="preserve">sed </w:t>
      </w:r>
      <w:r w:rsidR="00AE28B7" w:rsidRPr="00C9465D">
        <w:rPr>
          <w:lang w:val="en-US"/>
        </w:rPr>
        <w:t>the presumed victim</w:t>
      </w:r>
      <w:r w:rsidRPr="00C9465D">
        <w:rPr>
          <w:lang w:val="en-US"/>
        </w:rPr>
        <w:t>’s disabilit</w:t>
      </w:r>
      <w:r w:rsidR="00312ED8" w:rsidRPr="00C9465D">
        <w:rPr>
          <w:lang w:val="en-US"/>
        </w:rPr>
        <w:t>y</w:t>
      </w:r>
      <w:r w:rsidRPr="00C9465D">
        <w:rPr>
          <w:lang w:val="en-US"/>
        </w:rPr>
        <w:t xml:space="preserve"> to justify that his informed consent was not necessary for his </w:t>
      </w:r>
      <w:r w:rsidR="00312ED8" w:rsidRPr="00C9465D">
        <w:rPr>
          <w:lang w:val="en-US"/>
        </w:rPr>
        <w:t>hospit</w:t>
      </w:r>
      <w:r w:rsidRPr="00C9465D">
        <w:rPr>
          <w:lang w:val="en-US"/>
        </w:rPr>
        <w:t>alization and</w:t>
      </w:r>
      <w:r w:rsidR="000D1F57" w:rsidRPr="00C9465D">
        <w:rPr>
          <w:lang w:val="en-US"/>
        </w:rPr>
        <w:t xml:space="preserve"> the</w:t>
      </w:r>
      <w:r w:rsidRPr="00C9465D">
        <w:rPr>
          <w:lang w:val="en-US"/>
        </w:rPr>
        <w:t xml:space="preserve"> forced administration of medical treatments and this not only increased the barriers that prevented him from exercising his rights effectively, but also constituted disability-based discrimination.</w:t>
      </w:r>
      <w:r w:rsidR="00007FB2" w:rsidRPr="00C9465D">
        <w:rPr>
          <w:rStyle w:val="FootnoteReference"/>
          <w:lang w:val="en-US"/>
        </w:rPr>
        <w:footnoteReference w:id="299"/>
      </w:r>
      <w:r w:rsidR="007D769A" w:rsidRPr="00C9465D">
        <w:rPr>
          <w:lang w:val="en-US"/>
        </w:rPr>
        <w:t xml:space="preserve"> </w:t>
      </w:r>
    </w:p>
    <w:p w14:paraId="475E597A" w14:textId="68DC727E" w:rsidR="007C2CFA" w:rsidRPr="00C9465D" w:rsidRDefault="001A47A9" w:rsidP="001A47A9">
      <w:pPr>
        <w:pStyle w:val="Numberedparagraphs"/>
        <w:rPr>
          <w:rFonts w:cs="Verdana"/>
          <w:lang w:val="en-US" w:bidi="en-US"/>
        </w:rPr>
      </w:pPr>
      <w:r w:rsidRPr="00C9465D">
        <w:rPr>
          <w:lang w:val="en-US"/>
        </w:rPr>
        <w:t xml:space="preserve">Furthermore, the Court notes that the State has failed to take steps to deal with or seek to change the </w:t>
      </w:r>
      <w:r w:rsidRPr="00C9465D">
        <w:rPr>
          <w:color w:val="auto"/>
          <w:lang w:val="en-US"/>
        </w:rPr>
        <w:t>substitute decision-making model used in this case, which precludes the material equality of</w:t>
      </w:r>
      <w:r w:rsidRPr="00C9465D">
        <w:rPr>
          <w:rFonts w:cs="Verdana"/>
          <w:lang w:val="en-US" w:bidi="en-US"/>
        </w:rPr>
        <w:t xml:space="preserve"> </w:t>
      </w:r>
      <w:r w:rsidR="00D85850" w:rsidRPr="00C9465D">
        <w:rPr>
          <w:lang w:val="en-US"/>
        </w:rPr>
        <w:t>persons with disabilities</w:t>
      </w:r>
      <w:r w:rsidR="00BF6EDC" w:rsidRPr="00C9465D">
        <w:rPr>
          <w:lang w:val="en-US"/>
        </w:rPr>
        <w:t>,</w:t>
      </w:r>
      <w:r w:rsidRPr="00C9465D">
        <w:rPr>
          <w:lang w:val="en-US"/>
        </w:rPr>
        <w:t xml:space="preserve"> such as</w:t>
      </w:r>
      <w:r w:rsidR="00BF6EDC" w:rsidRPr="00C9465D">
        <w:rPr>
          <w:lang w:val="en-US"/>
        </w:rPr>
        <w:t xml:space="preserve"> </w:t>
      </w:r>
      <w:r w:rsidR="00AE28B7" w:rsidRPr="00C9465D">
        <w:rPr>
          <w:lang w:val="en-US"/>
        </w:rPr>
        <w:t>the presumed victim</w:t>
      </w:r>
      <w:r w:rsidR="00BF6EDC" w:rsidRPr="00C9465D">
        <w:rPr>
          <w:lang w:val="en-US"/>
        </w:rPr>
        <w:t xml:space="preserve">. </w:t>
      </w:r>
      <w:r w:rsidRPr="00C9465D">
        <w:rPr>
          <w:lang w:val="en-US"/>
        </w:rPr>
        <w:t xml:space="preserve">On this point, the laws on informed consent applicable at the time of the facts do not mention the need to provide measures of support to persons with disabilities. Also, the </w:t>
      </w:r>
      <w:r w:rsidR="000D1F57" w:rsidRPr="00C9465D">
        <w:rPr>
          <w:lang w:val="en-US"/>
        </w:rPr>
        <w:t>rules</w:t>
      </w:r>
      <w:r w:rsidRPr="00C9465D">
        <w:rPr>
          <w:lang w:val="en-US"/>
        </w:rPr>
        <w:t xml:space="preserve"> of the Julio Endara Hospital assumed that it would always be the family members who would </w:t>
      </w:r>
      <w:r w:rsidR="000D1F57" w:rsidRPr="00C9465D">
        <w:rPr>
          <w:lang w:val="en-US"/>
        </w:rPr>
        <w:t>authorize the</w:t>
      </w:r>
      <w:r w:rsidRPr="00C9465D">
        <w:rPr>
          <w:lang w:val="en-US"/>
        </w:rPr>
        <w:t xml:space="preserve"> hospitalization and that the patients only had a right to receive information when the treating physician considered it pertinent. In this regard, the Court notes that, in its 2014 Concluding </w:t>
      </w:r>
      <w:r w:rsidR="000D1F57" w:rsidRPr="00C9465D">
        <w:rPr>
          <w:lang w:val="en-US"/>
        </w:rPr>
        <w:t>O</w:t>
      </w:r>
      <w:r w:rsidRPr="00C9465D">
        <w:rPr>
          <w:lang w:val="en-US"/>
        </w:rPr>
        <w:t xml:space="preserve">bservations on Ecuador, </w:t>
      </w:r>
      <w:r w:rsidRPr="00C9465D">
        <w:rPr>
          <w:rFonts w:cs="Verdana"/>
          <w:lang w:val="en-US" w:bidi="en-US"/>
        </w:rPr>
        <w:t xml:space="preserve">the </w:t>
      </w:r>
      <w:r w:rsidR="00813093" w:rsidRPr="00C9465D">
        <w:rPr>
          <w:lang w:val="en-US"/>
        </w:rPr>
        <w:t>Committee on the Rights of Persons with Disabilities</w:t>
      </w:r>
      <w:r w:rsidRPr="00C9465D">
        <w:rPr>
          <w:lang w:val="en-US"/>
        </w:rPr>
        <w:t xml:space="preserve"> stressed that:</w:t>
      </w:r>
    </w:p>
    <w:p w14:paraId="44DE40AC" w14:textId="02A2F35B" w:rsidR="007C2CFA" w:rsidRPr="00C9465D" w:rsidRDefault="000A46E0" w:rsidP="000A46E0">
      <w:pPr>
        <w:pStyle w:val="Numberedparagraphs"/>
        <w:numPr>
          <w:ilvl w:val="0"/>
          <w:numId w:val="0"/>
        </w:numPr>
        <w:ind w:left="567" w:right="404"/>
        <w:rPr>
          <w:sz w:val="18"/>
          <w:szCs w:val="18"/>
          <w:lang w:val="en-US"/>
        </w:rPr>
      </w:pPr>
      <w:r w:rsidRPr="00C9465D">
        <w:rPr>
          <w:sz w:val="18"/>
          <w:szCs w:val="18"/>
          <w:lang w:val="en-US"/>
        </w:rPr>
        <w:t>The Committee is concerned that the State party’s civil legislation provides for a substitute decision-making model through the use of roles such as guardians and wards, and that there is no immediate plan to reform the Civil Code and the Code of Civil Procedure to include a supported decision-making model, as recommended in general comment No. 1 (2014) on equal recognition before the law.</w:t>
      </w:r>
      <w:r w:rsidR="007C2CFA" w:rsidRPr="00C9465D">
        <w:rPr>
          <w:rStyle w:val="FootnoteReference"/>
          <w:sz w:val="18"/>
          <w:szCs w:val="18"/>
          <w:lang w:val="en-US"/>
        </w:rPr>
        <w:footnoteReference w:id="300"/>
      </w:r>
    </w:p>
    <w:p w14:paraId="49596FFC" w14:textId="3FC6C7ED" w:rsidR="007C2CFA" w:rsidRPr="00C9465D" w:rsidRDefault="000A46E0" w:rsidP="00BF6EDC">
      <w:pPr>
        <w:pStyle w:val="Numberedparagraphs"/>
        <w:rPr>
          <w:lang w:val="en-US"/>
        </w:rPr>
      </w:pPr>
      <w:r w:rsidRPr="00C9465D">
        <w:rPr>
          <w:lang w:val="en-US"/>
        </w:rPr>
        <w:t xml:space="preserve">Similarly, in its 2019 Concluding </w:t>
      </w:r>
      <w:r w:rsidR="000D1F57" w:rsidRPr="00C9465D">
        <w:rPr>
          <w:lang w:val="en-US"/>
        </w:rPr>
        <w:t>O</w:t>
      </w:r>
      <w:r w:rsidRPr="00C9465D">
        <w:rPr>
          <w:lang w:val="en-US"/>
        </w:rPr>
        <w:t xml:space="preserve">bservations on </w:t>
      </w:r>
      <w:r w:rsidR="007C2CFA" w:rsidRPr="00C9465D">
        <w:rPr>
          <w:lang w:val="en-US"/>
        </w:rPr>
        <w:t>Ecuador</w:t>
      </w:r>
      <w:r w:rsidRPr="00C9465D">
        <w:rPr>
          <w:lang w:val="en-US"/>
        </w:rPr>
        <w:t xml:space="preserve">, </w:t>
      </w:r>
      <w:r w:rsidR="000D1F57" w:rsidRPr="00C9465D">
        <w:rPr>
          <w:lang w:val="en-US"/>
        </w:rPr>
        <w:t>the Committee</w:t>
      </w:r>
      <w:r w:rsidRPr="00C9465D">
        <w:rPr>
          <w:lang w:val="en-US"/>
        </w:rPr>
        <w:t xml:space="preserve"> recommended to the State, </w:t>
      </w:r>
      <w:r w:rsidRPr="00C9465D">
        <w:rPr>
          <w:i/>
          <w:iCs/>
          <w:lang w:val="en-US"/>
        </w:rPr>
        <w:t>inter alia</w:t>
      </w:r>
      <w:r w:rsidRPr="00C9465D">
        <w:rPr>
          <w:lang w:val="en-US"/>
        </w:rPr>
        <w:t>:</w:t>
      </w:r>
    </w:p>
    <w:p w14:paraId="3C73D33C" w14:textId="6BB2C7AA" w:rsidR="007C2CFA" w:rsidRPr="00C9465D" w:rsidRDefault="000A46E0" w:rsidP="0033742F">
      <w:pPr>
        <w:pStyle w:val="Numberedparagraphs"/>
        <w:numPr>
          <w:ilvl w:val="0"/>
          <w:numId w:val="0"/>
        </w:numPr>
        <w:ind w:left="567" w:right="404"/>
        <w:rPr>
          <w:sz w:val="18"/>
          <w:szCs w:val="18"/>
          <w:lang w:val="en-US"/>
        </w:rPr>
      </w:pPr>
      <w:r w:rsidRPr="00C9465D">
        <w:rPr>
          <w:sz w:val="18"/>
          <w:szCs w:val="18"/>
          <w:lang w:val="en-US"/>
        </w:rPr>
        <w:t>Replace substitute decision-making systems, including guardianships and wardships, with supported decision-making systems, take all appropriate measures for the provision of individualized support, properly inform persons with disabilities about such alternatives and train the relevant personnel in accordance with article 12 of the Convention.</w:t>
      </w:r>
      <w:r w:rsidR="007C2CFA" w:rsidRPr="00C9465D">
        <w:rPr>
          <w:rStyle w:val="FootnoteReference"/>
          <w:sz w:val="18"/>
          <w:szCs w:val="18"/>
          <w:lang w:val="en-US"/>
        </w:rPr>
        <w:footnoteReference w:id="301"/>
      </w:r>
    </w:p>
    <w:p w14:paraId="192E83DA" w14:textId="1DF8FF90" w:rsidR="001462A5" w:rsidRPr="00C9465D" w:rsidRDefault="000A46E0" w:rsidP="008E38CF">
      <w:pPr>
        <w:pStyle w:val="Numberedparagraphs"/>
        <w:rPr>
          <w:lang w:val="en-US"/>
        </w:rPr>
      </w:pPr>
      <w:r w:rsidRPr="00C9465D">
        <w:rPr>
          <w:lang w:val="en-US"/>
        </w:rPr>
        <w:t xml:space="preserve">Furthermore, the Disabilities Act established that: </w:t>
      </w:r>
      <w:r w:rsidR="00BF6EDC" w:rsidRPr="00C9465D">
        <w:rPr>
          <w:lang w:val="en-US"/>
        </w:rPr>
        <w:t>“</w:t>
      </w:r>
      <w:r w:rsidRPr="00C9465D">
        <w:rPr>
          <w:lang w:val="en-US"/>
        </w:rPr>
        <w:t>[t]</w:t>
      </w:r>
      <w:r w:rsidR="00193CBB" w:rsidRPr="00C9465D">
        <w:rPr>
          <w:lang w:val="en-US"/>
        </w:rPr>
        <w:t>he State</w:t>
      </w:r>
      <w:r w:rsidRPr="00C9465D">
        <w:rPr>
          <w:lang w:val="en-US"/>
        </w:rPr>
        <w:t xml:space="preserve"> through its organs and entities guarantees the full exercise of the rights recognized by the </w:t>
      </w:r>
      <w:r w:rsidR="00561A0C" w:rsidRPr="00C9465D">
        <w:rPr>
          <w:lang w:val="en-US"/>
        </w:rPr>
        <w:t>Constitution</w:t>
      </w:r>
      <w:r w:rsidR="00193CBB" w:rsidRPr="00C9465D">
        <w:rPr>
          <w:lang w:val="en-US"/>
        </w:rPr>
        <w:t xml:space="preserve"> and </w:t>
      </w:r>
      <w:r w:rsidRPr="00C9465D">
        <w:rPr>
          <w:lang w:val="en-US"/>
        </w:rPr>
        <w:t xml:space="preserve">the law to all </w:t>
      </w:r>
      <w:r w:rsidR="00D85850" w:rsidRPr="00C9465D">
        <w:rPr>
          <w:lang w:val="en-US"/>
        </w:rPr>
        <w:t>persons with disabilities</w:t>
      </w:r>
      <w:r w:rsidR="00BF6EDC" w:rsidRPr="00C9465D">
        <w:rPr>
          <w:lang w:val="en-US"/>
        </w:rPr>
        <w:t xml:space="preserve">, </w:t>
      </w:r>
      <w:r w:rsidRPr="00C9465D">
        <w:rPr>
          <w:lang w:val="en-US"/>
        </w:rPr>
        <w:t>by</w:t>
      </w:r>
      <w:r w:rsidR="00BF6EDC" w:rsidRPr="00C9465D">
        <w:rPr>
          <w:lang w:val="en-US"/>
        </w:rPr>
        <w:t xml:space="preserve"> [… </w:t>
      </w:r>
      <w:r w:rsidRPr="00C9465D">
        <w:rPr>
          <w:lang w:val="en-US"/>
        </w:rPr>
        <w:t>the</w:t>
      </w:r>
      <w:r w:rsidR="00BF6EDC" w:rsidRPr="00C9465D">
        <w:rPr>
          <w:lang w:val="en-US"/>
        </w:rPr>
        <w:t>] elimina</w:t>
      </w:r>
      <w:r w:rsidRPr="00C9465D">
        <w:rPr>
          <w:lang w:val="en-US"/>
        </w:rPr>
        <w:t>tion of physical, psychological, social and communicational barriers,” among other actions.</w:t>
      </w:r>
      <w:r w:rsidR="00275BE4" w:rsidRPr="00C9465D">
        <w:rPr>
          <w:rStyle w:val="FootnoteReference"/>
          <w:lang w:val="en-US"/>
        </w:rPr>
        <w:footnoteReference w:id="302"/>
      </w:r>
      <w:r w:rsidRPr="00C9465D">
        <w:rPr>
          <w:lang w:val="en-US"/>
        </w:rPr>
        <w:t xml:space="preserve"> However, it is unclear whether the elimination of such barriers would include the need to provide support when requesting </w:t>
      </w:r>
      <w:r w:rsidR="005B7EE9" w:rsidRPr="00C9465D">
        <w:rPr>
          <w:lang w:val="en-US"/>
        </w:rPr>
        <w:t>informed consent</w:t>
      </w:r>
      <w:r w:rsidR="008E38CF" w:rsidRPr="00C9465D">
        <w:rPr>
          <w:lang w:val="en-US"/>
        </w:rPr>
        <w:t>.</w:t>
      </w:r>
    </w:p>
    <w:p w14:paraId="6D083ADC" w14:textId="0D9CE3F7" w:rsidR="0077790B" w:rsidRPr="00C9465D" w:rsidRDefault="000A46E0" w:rsidP="00936C92">
      <w:pPr>
        <w:pStyle w:val="Numberedparagraphs"/>
        <w:rPr>
          <w:lang w:val="en-US"/>
        </w:rPr>
      </w:pPr>
      <w:r w:rsidRPr="00C9465D">
        <w:rPr>
          <w:lang w:val="en-US"/>
        </w:rPr>
        <w:lastRenderedPageBreak/>
        <w:t>The</w:t>
      </w:r>
      <w:r w:rsidR="00183C22" w:rsidRPr="00C9465D">
        <w:rPr>
          <w:lang w:val="en-US"/>
        </w:rPr>
        <w:t xml:space="preserve"> Court</w:t>
      </w:r>
      <w:r w:rsidR="0077790B" w:rsidRPr="00C9465D">
        <w:rPr>
          <w:lang w:val="en-US"/>
        </w:rPr>
        <w:t xml:space="preserve"> </w:t>
      </w:r>
      <w:r w:rsidRPr="00C9465D">
        <w:rPr>
          <w:lang w:val="en-US"/>
        </w:rPr>
        <w:t xml:space="preserve">also notes that, taking into account the particular circumstances of this case </w:t>
      </w:r>
      <w:r w:rsidR="0077790B" w:rsidRPr="00C9465D">
        <w:rPr>
          <w:lang w:val="en-US"/>
        </w:rPr>
        <w:t>(</w:t>
      </w:r>
      <w:r w:rsidR="0077790B" w:rsidRPr="00C9465D">
        <w:rPr>
          <w:i/>
          <w:lang w:val="en-US"/>
        </w:rPr>
        <w:t xml:space="preserve">supra </w:t>
      </w:r>
      <w:r w:rsidR="00D8466F" w:rsidRPr="00C9465D">
        <w:rPr>
          <w:lang w:val="en-US"/>
        </w:rPr>
        <w:t>para.</w:t>
      </w:r>
      <w:r w:rsidR="0077790B" w:rsidRPr="00C9465D">
        <w:rPr>
          <w:lang w:val="en-US"/>
        </w:rPr>
        <w:t xml:space="preserve"> </w:t>
      </w:r>
      <w:r w:rsidR="005A4459" w:rsidRPr="00C9465D">
        <w:rPr>
          <w:lang w:val="en-US"/>
        </w:rPr>
        <w:fldChar w:fldCharType="begin"/>
      </w:r>
      <w:r w:rsidR="005A4459" w:rsidRPr="00C9465D">
        <w:rPr>
          <w:lang w:val="en-US"/>
        </w:rPr>
        <w:instrText xml:space="preserve"> REF _Ref72159181 \r \h </w:instrText>
      </w:r>
      <w:r w:rsidR="00496133" w:rsidRPr="00C9465D">
        <w:rPr>
          <w:lang w:val="en-US"/>
        </w:rPr>
        <w:instrText xml:space="preserve"> \* MERGEFORMAT </w:instrText>
      </w:r>
      <w:r w:rsidR="005A4459" w:rsidRPr="00C9465D">
        <w:rPr>
          <w:lang w:val="en-US"/>
        </w:rPr>
      </w:r>
      <w:r w:rsidR="005A4459" w:rsidRPr="00C9465D">
        <w:rPr>
          <w:lang w:val="en-US"/>
        </w:rPr>
        <w:fldChar w:fldCharType="separate"/>
      </w:r>
      <w:r w:rsidR="005A4459" w:rsidRPr="00C9465D">
        <w:rPr>
          <w:lang w:val="en-US"/>
        </w:rPr>
        <w:t>149</w:t>
      </w:r>
      <w:r w:rsidR="005A4459" w:rsidRPr="00C9465D">
        <w:rPr>
          <w:lang w:val="en-US"/>
        </w:rPr>
        <w:fldChar w:fldCharType="end"/>
      </w:r>
      <w:r w:rsidR="0077790B" w:rsidRPr="00C9465D">
        <w:rPr>
          <w:lang w:val="en-US"/>
        </w:rPr>
        <w:t xml:space="preserve">), </w:t>
      </w:r>
      <w:r w:rsidRPr="00C9465D">
        <w:rPr>
          <w:lang w:val="en-US"/>
        </w:rPr>
        <w:t xml:space="preserve">the reasonable accommodations required to achieve material equality would require preferential treatment for </w:t>
      </w:r>
      <w:r w:rsidR="002F3237" w:rsidRPr="00C9465D">
        <w:rPr>
          <w:lang w:val="en-US"/>
        </w:rPr>
        <w:t>Mr. Guachalá</w:t>
      </w:r>
      <w:r w:rsidR="00AD54C1" w:rsidRPr="00C9465D">
        <w:rPr>
          <w:lang w:val="en-US"/>
        </w:rPr>
        <w:t xml:space="preserve"> </w:t>
      </w:r>
      <w:r w:rsidRPr="00C9465D">
        <w:rPr>
          <w:lang w:val="en-US"/>
        </w:rPr>
        <w:t>by the provision of the medic</w:t>
      </w:r>
      <w:r w:rsidR="000D1F57" w:rsidRPr="00C9465D">
        <w:rPr>
          <w:lang w:val="en-US"/>
        </w:rPr>
        <w:t xml:space="preserve">ines </w:t>
      </w:r>
      <w:r w:rsidRPr="00C9465D">
        <w:rPr>
          <w:lang w:val="en-US"/>
        </w:rPr>
        <w:t xml:space="preserve">prescribed </w:t>
      </w:r>
      <w:r w:rsidR="00155BD4" w:rsidRPr="00C9465D">
        <w:rPr>
          <w:lang w:val="en-US"/>
        </w:rPr>
        <w:t xml:space="preserve">for his treatment and appropriate medical supervision, free of charge. By failing to provide him with </w:t>
      </w:r>
      <w:r w:rsidR="000D1F57" w:rsidRPr="00C9465D">
        <w:rPr>
          <w:lang w:val="en-US"/>
        </w:rPr>
        <w:t>these medicines</w:t>
      </w:r>
      <w:r w:rsidR="00155BD4" w:rsidRPr="00C9465D">
        <w:rPr>
          <w:lang w:val="en-US"/>
        </w:rPr>
        <w:t xml:space="preserve"> the necessary measures were not taken to prevent the appearance of disabilities </w:t>
      </w:r>
      <w:r w:rsidR="007B78F0" w:rsidRPr="00C9465D">
        <w:rPr>
          <w:lang w:val="en-US"/>
        </w:rPr>
        <w:t>or</w:t>
      </w:r>
      <w:r w:rsidR="00193CBB" w:rsidRPr="00C9465D">
        <w:rPr>
          <w:lang w:val="en-US"/>
        </w:rPr>
        <w:t xml:space="preserve"> </w:t>
      </w:r>
      <w:r w:rsidR="00155BD4" w:rsidRPr="00C9465D">
        <w:rPr>
          <w:lang w:val="en-US"/>
        </w:rPr>
        <w:t>to reduce the possibilities of their increase.</w:t>
      </w:r>
    </w:p>
    <w:p w14:paraId="6421DFAF" w14:textId="76694C4F" w:rsidR="001462A5" w:rsidRPr="00C9465D" w:rsidRDefault="0033742F" w:rsidP="00936C92">
      <w:pPr>
        <w:pStyle w:val="Numberedparagraphs"/>
        <w:rPr>
          <w:lang w:val="en-US"/>
        </w:rPr>
      </w:pPr>
      <w:r w:rsidRPr="00C9465D">
        <w:rPr>
          <w:lang w:val="en-US"/>
        </w:rPr>
        <w:t xml:space="preserve">In summary, </w:t>
      </w:r>
      <w:r w:rsidR="00193CBB" w:rsidRPr="00C9465D">
        <w:rPr>
          <w:lang w:val="en-US"/>
        </w:rPr>
        <w:t>the Court</w:t>
      </w:r>
      <w:r w:rsidR="001462A5" w:rsidRPr="00C9465D">
        <w:rPr>
          <w:lang w:val="en-US"/>
        </w:rPr>
        <w:t xml:space="preserve"> </w:t>
      </w:r>
      <w:r w:rsidRPr="00C9465D">
        <w:rPr>
          <w:lang w:val="en-US"/>
        </w:rPr>
        <w:t>finds that the use of</w:t>
      </w:r>
      <w:r w:rsidR="00E24723" w:rsidRPr="00C9465D">
        <w:rPr>
          <w:lang w:val="en-US"/>
        </w:rPr>
        <w:t xml:space="preserve"> </w:t>
      </w:r>
      <w:r w:rsidR="00AE28B7" w:rsidRPr="00C9465D">
        <w:rPr>
          <w:lang w:val="en-US"/>
        </w:rPr>
        <w:t>the presumed victim</w:t>
      </w:r>
      <w:r w:rsidRPr="00C9465D">
        <w:rPr>
          <w:lang w:val="en-US"/>
        </w:rPr>
        <w:t>’s disabilit</w:t>
      </w:r>
      <w:r w:rsidR="007B78F0" w:rsidRPr="00C9465D">
        <w:rPr>
          <w:lang w:val="en-US"/>
        </w:rPr>
        <w:t>y</w:t>
      </w:r>
      <w:r w:rsidRPr="00C9465D">
        <w:rPr>
          <w:lang w:val="en-US"/>
        </w:rPr>
        <w:t xml:space="preserve"> to justify that his informed consent was not necessary for his hospitalization and medication, and the lack of access to the necessary medicines, constituted </w:t>
      </w:r>
      <w:r w:rsidR="001A47A9" w:rsidRPr="00C9465D">
        <w:rPr>
          <w:lang w:val="en-US"/>
        </w:rPr>
        <w:t>disability-based discrimination</w:t>
      </w:r>
      <w:r w:rsidR="00E24723" w:rsidRPr="00C9465D">
        <w:rPr>
          <w:lang w:val="en-US"/>
        </w:rPr>
        <w:t>.</w:t>
      </w:r>
      <w:r w:rsidRPr="00C9465D">
        <w:rPr>
          <w:lang w:val="en-US"/>
        </w:rPr>
        <w:t xml:space="preserve"> Consequently, the State failed to take measures to ensure the material equality of </w:t>
      </w:r>
      <w:r w:rsidR="00E24723" w:rsidRPr="00C9465D">
        <w:rPr>
          <w:lang w:val="en-US"/>
        </w:rPr>
        <w:t xml:space="preserve"> </w:t>
      </w:r>
      <w:r w:rsidR="00AC1354" w:rsidRPr="00C9465D">
        <w:rPr>
          <w:lang w:val="en-US"/>
        </w:rPr>
        <w:t>the right</w:t>
      </w:r>
      <w:r w:rsidR="00260D95" w:rsidRPr="00C9465D">
        <w:rPr>
          <w:lang w:val="en-US"/>
        </w:rPr>
        <w:t xml:space="preserve"> to health</w:t>
      </w:r>
      <w:r w:rsidR="001462A5" w:rsidRPr="00C9465D">
        <w:rPr>
          <w:lang w:val="en-US"/>
        </w:rPr>
        <w:t xml:space="preserve"> </w:t>
      </w:r>
      <w:r w:rsidRPr="00C9465D">
        <w:rPr>
          <w:lang w:val="en-US"/>
        </w:rPr>
        <w:t>with regard to</w:t>
      </w:r>
      <w:r w:rsidR="001462A5" w:rsidRPr="00C9465D">
        <w:rPr>
          <w:lang w:val="en-US"/>
        </w:rPr>
        <w:t xml:space="preserve"> </w:t>
      </w:r>
      <w:r w:rsidR="00D85850" w:rsidRPr="00C9465D">
        <w:rPr>
          <w:lang w:val="en-US"/>
        </w:rPr>
        <w:t>persons with disabilities</w:t>
      </w:r>
      <w:r w:rsidR="00FE212D" w:rsidRPr="00C9465D">
        <w:rPr>
          <w:lang w:val="en-US"/>
        </w:rPr>
        <w:t xml:space="preserve"> </w:t>
      </w:r>
      <w:r w:rsidRPr="00C9465D">
        <w:rPr>
          <w:lang w:val="en-US"/>
        </w:rPr>
        <w:t>and</w:t>
      </w:r>
      <w:r w:rsidR="00FE212D" w:rsidRPr="00C9465D">
        <w:rPr>
          <w:lang w:val="en-US"/>
        </w:rPr>
        <w:t xml:space="preserve">, </w:t>
      </w:r>
      <w:r w:rsidRPr="00C9465D">
        <w:rPr>
          <w:lang w:val="en-US"/>
        </w:rPr>
        <w:t>i</w:t>
      </w:r>
      <w:r w:rsidR="00FE212D" w:rsidRPr="00C9465D">
        <w:rPr>
          <w:lang w:val="en-US"/>
        </w:rPr>
        <w:t xml:space="preserve">n particular, </w:t>
      </w:r>
      <w:r w:rsidRPr="00C9465D">
        <w:rPr>
          <w:lang w:val="en-US"/>
        </w:rPr>
        <w:t>with regard to</w:t>
      </w:r>
      <w:r w:rsidR="00FE212D" w:rsidRPr="00C9465D">
        <w:rPr>
          <w:lang w:val="en-US"/>
        </w:rPr>
        <w:t xml:space="preserve"> Luis Eduardo Guachalá Chimbo</w:t>
      </w:r>
      <w:r w:rsidR="001462A5" w:rsidRPr="00C9465D">
        <w:rPr>
          <w:lang w:val="en-US"/>
        </w:rPr>
        <w:t xml:space="preserve">. </w:t>
      </w:r>
      <w:r w:rsidRPr="00C9465D">
        <w:rPr>
          <w:lang w:val="en-US"/>
        </w:rPr>
        <w:t xml:space="preserve">This situation signifies that, in the instant case, the State did not ensure </w:t>
      </w:r>
      <w:r w:rsidR="00AC1354" w:rsidRPr="00C9465D">
        <w:rPr>
          <w:lang w:val="en-US"/>
        </w:rPr>
        <w:t>the right</w:t>
      </w:r>
      <w:r w:rsidR="00260D95" w:rsidRPr="00C9465D">
        <w:rPr>
          <w:lang w:val="en-US"/>
        </w:rPr>
        <w:t xml:space="preserve"> to health</w:t>
      </w:r>
      <w:r w:rsidRPr="00C9465D">
        <w:rPr>
          <w:lang w:val="en-US"/>
        </w:rPr>
        <w:t xml:space="preserve"> without discrimination, or </w:t>
      </w:r>
      <w:r w:rsidR="001462A5" w:rsidRPr="00C9465D">
        <w:rPr>
          <w:lang w:val="en-US"/>
        </w:rPr>
        <w:t xml:space="preserve"> </w:t>
      </w:r>
      <w:r w:rsidRPr="00C9465D">
        <w:rPr>
          <w:lang w:val="en-US"/>
        </w:rPr>
        <w:t xml:space="preserve">the right </w:t>
      </w:r>
      <w:r w:rsidR="00D12C0E" w:rsidRPr="00C9465D">
        <w:rPr>
          <w:lang w:val="en-US"/>
        </w:rPr>
        <w:t>to equality</w:t>
      </w:r>
      <w:r w:rsidR="001462A5" w:rsidRPr="00C9465D">
        <w:rPr>
          <w:lang w:val="en-US"/>
        </w:rPr>
        <w:t xml:space="preserve"> </w:t>
      </w:r>
      <w:r w:rsidRPr="00C9465D">
        <w:rPr>
          <w:lang w:val="en-US"/>
        </w:rPr>
        <w:t>established in</w:t>
      </w:r>
      <w:r w:rsidR="001462A5" w:rsidRPr="00C9465D">
        <w:rPr>
          <w:lang w:val="en-US"/>
        </w:rPr>
        <w:t xml:space="preserve"> </w:t>
      </w:r>
      <w:r w:rsidR="00193CBB" w:rsidRPr="00C9465D">
        <w:rPr>
          <w:lang w:val="en-US"/>
        </w:rPr>
        <w:t>Articles</w:t>
      </w:r>
      <w:r w:rsidR="001462A5" w:rsidRPr="00C9465D">
        <w:rPr>
          <w:lang w:val="en-US"/>
        </w:rPr>
        <w:t xml:space="preserve"> 24</w:t>
      </w:r>
      <w:r w:rsidR="00193CBB" w:rsidRPr="00C9465D">
        <w:rPr>
          <w:lang w:val="en-US"/>
        </w:rPr>
        <w:t xml:space="preserve"> and </w:t>
      </w:r>
      <w:r w:rsidR="001462A5" w:rsidRPr="00C9465D">
        <w:rPr>
          <w:lang w:val="en-US"/>
        </w:rPr>
        <w:t xml:space="preserve">26 </w:t>
      </w:r>
      <w:r w:rsidR="00F42E0C" w:rsidRPr="00C9465D">
        <w:rPr>
          <w:lang w:val="en-US"/>
        </w:rPr>
        <w:t>in relation to Article</w:t>
      </w:r>
      <w:r w:rsidR="00577DE0" w:rsidRPr="00C9465D">
        <w:rPr>
          <w:lang w:val="en-US"/>
        </w:rPr>
        <w:t xml:space="preserve"> 1(1)</w:t>
      </w:r>
      <w:r w:rsidR="00193CBB" w:rsidRPr="00C9465D">
        <w:rPr>
          <w:lang w:val="en-US"/>
        </w:rPr>
        <w:t xml:space="preserve"> of the Convention</w:t>
      </w:r>
      <w:r w:rsidR="001462A5" w:rsidRPr="00C9465D">
        <w:rPr>
          <w:lang w:val="en-US"/>
        </w:rPr>
        <w:t>.</w:t>
      </w:r>
    </w:p>
    <w:p w14:paraId="6B8C8682" w14:textId="2776B5BB" w:rsidR="00A1107A" w:rsidRPr="00C9465D" w:rsidRDefault="00A1107A" w:rsidP="00C95348">
      <w:pPr>
        <w:pStyle w:val="Heading3"/>
        <w:rPr>
          <w:snapToGrid w:val="0"/>
          <w:lang w:val="en-US"/>
        </w:rPr>
      </w:pPr>
      <w:bookmarkStart w:id="56" w:name="_Toc74298458"/>
      <w:r w:rsidRPr="00C9465D">
        <w:rPr>
          <w:lang w:val="en-US"/>
        </w:rPr>
        <w:t xml:space="preserve">B.5 </w:t>
      </w:r>
      <w:r w:rsidRPr="00C9465D">
        <w:rPr>
          <w:lang w:val="en-US"/>
        </w:rPr>
        <w:tab/>
      </w:r>
      <w:r w:rsidR="0033742F" w:rsidRPr="00C9465D">
        <w:rPr>
          <w:lang w:val="en-US"/>
        </w:rPr>
        <w:t>General conclusion on this chapter</w:t>
      </w:r>
      <w:bookmarkEnd w:id="56"/>
    </w:p>
    <w:p w14:paraId="42EBBD4B" w14:textId="58067F84" w:rsidR="00F44133" w:rsidRPr="00C9465D" w:rsidRDefault="0033742F" w:rsidP="00D7655F">
      <w:pPr>
        <w:pStyle w:val="Numberedparagraphs"/>
        <w:rPr>
          <w:lang w:val="en-US" w:eastAsia="es-MX"/>
        </w:rPr>
      </w:pPr>
      <w:r w:rsidRPr="00C9465D">
        <w:rPr>
          <w:lang w:val="en-US"/>
        </w:rPr>
        <w:t xml:space="preserve">In the instant case, the Court considers that: (i) Mr. Guachalá Chimbo did not give his informed consent to the hospitalization </w:t>
      </w:r>
      <w:r w:rsidR="00193CBB" w:rsidRPr="00C9465D">
        <w:rPr>
          <w:lang w:val="en-US"/>
        </w:rPr>
        <w:t xml:space="preserve">and </w:t>
      </w:r>
      <w:r w:rsidRPr="00C9465D">
        <w:rPr>
          <w:lang w:val="en-US"/>
        </w:rPr>
        <w:t>m</w:t>
      </w:r>
      <w:r w:rsidR="00007024" w:rsidRPr="00C9465D">
        <w:rPr>
          <w:lang w:val="en-US"/>
        </w:rPr>
        <w:t xml:space="preserve">edical treatment received </w:t>
      </w:r>
      <w:r w:rsidRPr="00C9465D">
        <w:rPr>
          <w:lang w:val="en-US"/>
        </w:rPr>
        <w:t>in the</w:t>
      </w:r>
      <w:r w:rsidR="00CD2283" w:rsidRPr="00C9465D">
        <w:rPr>
          <w:lang w:val="en-US"/>
        </w:rPr>
        <w:t xml:space="preserve"> </w:t>
      </w:r>
      <w:r w:rsidR="002C5740" w:rsidRPr="00C9465D">
        <w:rPr>
          <w:lang w:val="en-US"/>
        </w:rPr>
        <w:t>Julio Endara Psychiatric Hospital</w:t>
      </w:r>
      <w:r w:rsidRPr="00C9465D">
        <w:rPr>
          <w:lang w:val="en-US"/>
        </w:rPr>
        <w:t>; (</w:t>
      </w:r>
      <w:r w:rsidR="00CD2283" w:rsidRPr="00C9465D">
        <w:rPr>
          <w:lang w:val="en-US"/>
        </w:rPr>
        <w:t xml:space="preserve">ii) </w:t>
      </w:r>
      <w:r w:rsidRPr="00C9465D">
        <w:rPr>
          <w:lang w:val="en-US"/>
        </w:rPr>
        <w:t>the treatment received by</w:t>
      </w:r>
      <w:r w:rsidR="00B26DAD" w:rsidRPr="00C9465D">
        <w:rPr>
          <w:lang w:val="en-US"/>
        </w:rPr>
        <w:t xml:space="preserve"> </w:t>
      </w:r>
      <w:r w:rsidR="002F3237" w:rsidRPr="00C9465D">
        <w:rPr>
          <w:lang w:val="en-US"/>
        </w:rPr>
        <w:t>Mr. Guachalá</w:t>
      </w:r>
      <w:r w:rsidR="00B26DAD" w:rsidRPr="00C9465D">
        <w:rPr>
          <w:lang w:val="en-US"/>
        </w:rPr>
        <w:t xml:space="preserve"> </w:t>
      </w:r>
      <w:r w:rsidRPr="00C9465D">
        <w:rPr>
          <w:lang w:val="en-US"/>
        </w:rPr>
        <w:t>was not</w:t>
      </w:r>
      <w:r w:rsidR="00B26DAD" w:rsidRPr="00C9465D">
        <w:rPr>
          <w:lang w:val="en-US"/>
        </w:rPr>
        <w:t xml:space="preserve"> a</w:t>
      </w:r>
      <w:r w:rsidR="0089315D" w:rsidRPr="00C9465D">
        <w:rPr>
          <w:lang w:val="en-US"/>
        </w:rPr>
        <w:t>cces</w:t>
      </w:r>
      <w:r w:rsidRPr="00C9465D">
        <w:rPr>
          <w:lang w:val="en-US"/>
        </w:rPr>
        <w:t>s</w:t>
      </w:r>
      <w:r w:rsidR="0089315D" w:rsidRPr="00C9465D">
        <w:rPr>
          <w:lang w:val="en-US"/>
        </w:rPr>
        <w:t>ible</w:t>
      </w:r>
      <w:r w:rsidR="00B26DAD" w:rsidRPr="00C9465D">
        <w:rPr>
          <w:lang w:val="en-US"/>
        </w:rPr>
        <w:t xml:space="preserve"> </w:t>
      </w:r>
      <w:r w:rsidRPr="00C9465D">
        <w:rPr>
          <w:lang w:val="en-US"/>
        </w:rPr>
        <w:t>because, taking his circumstances into account, the State had the obligation to provide him, free of charge, with the medicines to treat his epilepsy and monitor the situation of his health, so that the failure to comply with th</w:t>
      </w:r>
      <w:r w:rsidR="007B78F0" w:rsidRPr="00C9465D">
        <w:rPr>
          <w:lang w:val="en-US"/>
        </w:rPr>
        <w:t>is</w:t>
      </w:r>
      <w:r w:rsidRPr="00C9465D">
        <w:rPr>
          <w:lang w:val="en-US"/>
        </w:rPr>
        <w:t xml:space="preserve"> obligation resulted in the </w:t>
      </w:r>
      <w:r w:rsidR="007B78F0" w:rsidRPr="00C9465D">
        <w:rPr>
          <w:lang w:val="en-US"/>
        </w:rPr>
        <w:t>deterioration</w:t>
      </w:r>
      <w:r w:rsidRPr="00C9465D">
        <w:rPr>
          <w:lang w:val="en-US"/>
        </w:rPr>
        <w:t xml:space="preserve"> of Mr. Guachalá Chimbo’s health and increased the barriers that prevented him from exercising his rights effectively; (iii) the treatment received by Mr. Guachalá was not acceptable or of quality because </w:t>
      </w:r>
      <w:r w:rsidR="00D7655F" w:rsidRPr="00C9465D">
        <w:rPr>
          <w:lang w:val="en-US"/>
        </w:rPr>
        <w:t>the type of epilepsy he suffered from was not diagnosed</w:t>
      </w:r>
      <w:r w:rsidR="007B78F0" w:rsidRPr="00C9465D">
        <w:rPr>
          <w:lang w:val="en-US"/>
        </w:rPr>
        <w:t>,</w:t>
      </w:r>
      <w:r w:rsidR="00D7655F" w:rsidRPr="00C9465D">
        <w:rPr>
          <w:lang w:val="en-US"/>
        </w:rPr>
        <w:t xml:space="preserve"> during his hospitalization his health was not monitored on a daily basis</w:t>
      </w:r>
      <w:r w:rsidR="007B78F0" w:rsidRPr="00C9465D">
        <w:rPr>
          <w:lang w:val="en-US"/>
        </w:rPr>
        <w:t>,</w:t>
      </w:r>
      <w:r w:rsidR="00D7655F" w:rsidRPr="00C9465D">
        <w:rPr>
          <w:lang w:val="en-US"/>
        </w:rPr>
        <w:t xml:space="preserve"> and the necessary supervis</w:t>
      </w:r>
      <w:r w:rsidR="007B78F0" w:rsidRPr="00C9465D">
        <w:rPr>
          <w:lang w:val="en-US"/>
        </w:rPr>
        <w:t xml:space="preserve">ory </w:t>
      </w:r>
      <w:r w:rsidR="00D7655F" w:rsidRPr="00C9465D">
        <w:rPr>
          <w:lang w:val="en-US"/>
        </w:rPr>
        <w:t xml:space="preserve">measures were not taken to ensure his well-being; (iv) the necessary measures were not taken to ensure Mr. Guachalá’s rights to life and </w:t>
      </w:r>
      <w:r w:rsidR="007B78F0" w:rsidRPr="00C9465D">
        <w:rPr>
          <w:lang w:val="en-US"/>
        </w:rPr>
        <w:t xml:space="preserve">to </w:t>
      </w:r>
      <w:r w:rsidR="00D7655F" w:rsidRPr="00C9465D">
        <w:rPr>
          <w:lang w:val="en-US"/>
        </w:rPr>
        <w:t xml:space="preserve">person integrity because the State has not provided a satisfactory and convincing explanation </w:t>
      </w:r>
      <w:r w:rsidR="007B78F0" w:rsidRPr="00C9465D">
        <w:rPr>
          <w:lang w:val="en-US"/>
        </w:rPr>
        <w:t>regarding</w:t>
      </w:r>
      <w:r w:rsidR="00D7655F" w:rsidRPr="00C9465D">
        <w:rPr>
          <w:lang w:val="en-US"/>
        </w:rPr>
        <w:t xml:space="preserve"> the whereabouts of the victim, who was in the State’s custody in a public psychiatric hospital, and (v) Mr. Guachalá Chimbo’s right to health without discrimination, and his right to equality were not ensured</w:t>
      </w:r>
      <w:r w:rsidR="00734F5A" w:rsidRPr="00C9465D">
        <w:rPr>
          <w:lang w:val="en-US"/>
        </w:rPr>
        <w:t>.</w:t>
      </w:r>
    </w:p>
    <w:p w14:paraId="34ECF721" w14:textId="0BCF4B9D" w:rsidR="00687CA6" w:rsidRPr="00C9465D" w:rsidRDefault="00D7655F" w:rsidP="00687CA6">
      <w:pPr>
        <w:pStyle w:val="Numberedparagraphs"/>
        <w:rPr>
          <w:lang w:val="en-US" w:eastAsia="es-MX"/>
        </w:rPr>
      </w:pPr>
      <w:bookmarkStart w:id="57" w:name="_Ref72330016"/>
      <w:r w:rsidRPr="00C9465D">
        <w:rPr>
          <w:lang w:val="en-US"/>
        </w:rPr>
        <w:t>Therefore</w:t>
      </w:r>
      <w:r w:rsidR="00687CA6" w:rsidRPr="00C9465D">
        <w:rPr>
          <w:lang w:val="en-US"/>
        </w:rPr>
        <w:t xml:space="preserve">, </w:t>
      </w:r>
      <w:r w:rsidR="00B71E4D" w:rsidRPr="00C9465D">
        <w:rPr>
          <w:lang w:val="en-US"/>
        </w:rPr>
        <w:t>th</w:t>
      </w:r>
      <w:r w:rsidRPr="00C9465D">
        <w:rPr>
          <w:lang w:val="en-US"/>
        </w:rPr>
        <w:t>e</w:t>
      </w:r>
      <w:r w:rsidR="00B71E4D" w:rsidRPr="00C9465D">
        <w:rPr>
          <w:lang w:val="en-US"/>
        </w:rPr>
        <w:t xml:space="preserve"> Court</w:t>
      </w:r>
      <w:r w:rsidR="00687CA6" w:rsidRPr="00C9465D">
        <w:rPr>
          <w:lang w:val="en-US"/>
        </w:rPr>
        <w:t xml:space="preserve"> conclu</w:t>
      </w:r>
      <w:r w:rsidRPr="00C9465D">
        <w:rPr>
          <w:lang w:val="en-US"/>
        </w:rPr>
        <w:t>des</w:t>
      </w:r>
      <w:r w:rsidR="00687CA6" w:rsidRPr="00C9465D">
        <w:rPr>
          <w:lang w:val="en-US"/>
        </w:rPr>
        <w:t xml:space="preserve"> </w:t>
      </w:r>
      <w:r w:rsidRPr="00C9465D">
        <w:rPr>
          <w:lang w:val="en-US"/>
        </w:rPr>
        <w:t>that</w:t>
      </w:r>
      <w:r w:rsidR="00687CA6" w:rsidRPr="00C9465D">
        <w:rPr>
          <w:lang w:val="en-US"/>
        </w:rPr>
        <w:t xml:space="preserve"> </w:t>
      </w:r>
      <w:r w:rsidR="00193CBB" w:rsidRPr="00C9465D">
        <w:rPr>
          <w:lang w:val="en-US"/>
        </w:rPr>
        <w:t>the State</w:t>
      </w:r>
      <w:r w:rsidR="00687CA6" w:rsidRPr="00C9465D">
        <w:rPr>
          <w:lang w:val="en-US"/>
        </w:rPr>
        <w:t xml:space="preserve"> </w:t>
      </w:r>
      <w:r w:rsidRPr="00C9465D">
        <w:rPr>
          <w:lang w:val="en-US"/>
        </w:rPr>
        <w:t xml:space="preserve">is internationally responsible for </w:t>
      </w:r>
      <w:r w:rsidR="00183C22" w:rsidRPr="00C9465D">
        <w:rPr>
          <w:lang w:val="en-US"/>
        </w:rPr>
        <w:t>the violation</w:t>
      </w:r>
      <w:r w:rsidR="00687CA6" w:rsidRPr="00C9465D">
        <w:rPr>
          <w:lang w:val="en-US"/>
        </w:rPr>
        <w:t xml:space="preserve"> </w:t>
      </w:r>
      <w:r w:rsidRPr="00C9465D">
        <w:rPr>
          <w:lang w:val="en-US"/>
        </w:rPr>
        <w:t>of the rights to</w:t>
      </w:r>
      <w:r w:rsidR="00CB59EE" w:rsidRPr="00C9465D">
        <w:rPr>
          <w:lang w:val="en-US"/>
        </w:rPr>
        <w:t xml:space="preserve"> </w:t>
      </w:r>
      <w:r w:rsidR="00D12C0E" w:rsidRPr="00C9465D">
        <w:rPr>
          <w:lang w:val="en-US"/>
        </w:rPr>
        <w:t>recognition of juridical personality</w:t>
      </w:r>
      <w:r w:rsidR="00687CA6" w:rsidRPr="00C9465D">
        <w:rPr>
          <w:lang w:val="en-US"/>
        </w:rPr>
        <w:t>,</w:t>
      </w:r>
      <w:r w:rsidR="00D12C0E" w:rsidRPr="00C9465D">
        <w:rPr>
          <w:lang w:val="en-US"/>
        </w:rPr>
        <w:t xml:space="preserve"> life</w:t>
      </w:r>
      <w:r w:rsidR="00687CA6" w:rsidRPr="00C9465D">
        <w:rPr>
          <w:lang w:val="en-US"/>
        </w:rPr>
        <w:t xml:space="preserve">, </w:t>
      </w:r>
      <w:r w:rsidR="007B78F0" w:rsidRPr="00C9465D">
        <w:rPr>
          <w:lang w:val="en-US"/>
        </w:rPr>
        <w:t>personal integrity</w:t>
      </w:r>
      <w:r w:rsidR="00687CA6" w:rsidRPr="00C9465D">
        <w:rPr>
          <w:lang w:val="en-US"/>
        </w:rPr>
        <w:t xml:space="preserve">, </w:t>
      </w:r>
      <w:r w:rsidR="00D12C0E" w:rsidRPr="00C9465D">
        <w:rPr>
          <w:lang w:val="en-US"/>
        </w:rPr>
        <w:t>personal liberty</w:t>
      </w:r>
      <w:r w:rsidR="00687CA6" w:rsidRPr="00C9465D">
        <w:rPr>
          <w:lang w:val="en-US"/>
        </w:rPr>
        <w:t xml:space="preserve">, </w:t>
      </w:r>
      <w:r w:rsidR="00D12C0E" w:rsidRPr="00C9465D">
        <w:rPr>
          <w:lang w:val="en-US"/>
        </w:rPr>
        <w:t>dignity</w:t>
      </w:r>
      <w:r w:rsidR="00193CBB" w:rsidRPr="00C9465D">
        <w:rPr>
          <w:lang w:val="en-US"/>
        </w:rPr>
        <w:t xml:space="preserve"> and </w:t>
      </w:r>
      <w:r w:rsidR="00D12C0E" w:rsidRPr="00C9465D">
        <w:rPr>
          <w:lang w:val="en-US"/>
        </w:rPr>
        <w:t>privacy</w:t>
      </w:r>
      <w:r w:rsidR="00687CA6" w:rsidRPr="00C9465D">
        <w:rPr>
          <w:lang w:val="en-US"/>
        </w:rPr>
        <w:t xml:space="preserve">, </w:t>
      </w:r>
      <w:r w:rsidR="00D12C0E" w:rsidRPr="00C9465D">
        <w:rPr>
          <w:lang w:val="en-US"/>
        </w:rPr>
        <w:t>access to information</w:t>
      </w:r>
      <w:r w:rsidR="00687CA6" w:rsidRPr="00C9465D">
        <w:rPr>
          <w:lang w:val="en-US"/>
        </w:rPr>
        <w:t xml:space="preserve">, </w:t>
      </w:r>
      <w:r w:rsidR="00F42E0C" w:rsidRPr="00C9465D">
        <w:rPr>
          <w:lang w:val="en-US"/>
        </w:rPr>
        <w:t>equality before the law</w:t>
      </w:r>
      <w:r w:rsidRPr="00C9465D">
        <w:rPr>
          <w:lang w:val="en-US"/>
        </w:rPr>
        <w:t xml:space="preserve"> </w:t>
      </w:r>
      <w:r w:rsidR="00193CBB" w:rsidRPr="00C9465D">
        <w:rPr>
          <w:lang w:val="en-US"/>
        </w:rPr>
        <w:t xml:space="preserve">and </w:t>
      </w:r>
      <w:r w:rsidR="00D12C0E" w:rsidRPr="00C9465D">
        <w:rPr>
          <w:lang w:val="en-US"/>
        </w:rPr>
        <w:t>health</w:t>
      </w:r>
      <w:r w:rsidR="00687CA6" w:rsidRPr="00C9465D">
        <w:rPr>
          <w:lang w:val="en-US"/>
        </w:rPr>
        <w:t xml:space="preserve">, </w:t>
      </w:r>
      <w:r w:rsidR="00F42E0C" w:rsidRPr="00C9465D">
        <w:rPr>
          <w:lang w:val="en-US"/>
        </w:rPr>
        <w:t>in accordance with</w:t>
      </w:r>
      <w:r w:rsidR="00687CA6" w:rsidRPr="00C9465D">
        <w:rPr>
          <w:lang w:val="en-US"/>
        </w:rPr>
        <w:t xml:space="preserve"> </w:t>
      </w:r>
      <w:r w:rsidR="00193CBB" w:rsidRPr="00C9465D">
        <w:rPr>
          <w:lang w:val="en-US"/>
        </w:rPr>
        <w:t>Articles</w:t>
      </w:r>
      <w:r w:rsidR="00687CA6" w:rsidRPr="00C9465D">
        <w:rPr>
          <w:lang w:val="en-US"/>
        </w:rPr>
        <w:t xml:space="preserve"> 3, 4, 5, 7, 11, 13, 24</w:t>
      </w:r>
      <w:r w:rsidR="00193CBB" w:rsidRPr="00C9465D">
        <w:rPr>
          <w:lang w:val="en-US"/>
        </w:rPr>
        <w:t xml:space="preserve"> and </w:t>
      </w:r>
      <w:r w:rsidR="00687CA6" w:rsidRPr="00C9465D">
        <w:rPr>
          <w:lang w:val="en-US"/>
        </w:rPr>
        <w:t>26</w:t>
      </w:r>
      <w:r w:rsidR="00193CBB" w:rsidRPr="00C9465D">
        <w:rPr>
          <w:lang w:val="en-US"/>
        </w:rPr>
        <w:t xml:space="preserve"> of the American Convention</w:t>
      </w:r>
      <w:r w:rsidR="00687CA6" w:rsidRPr="00C9465D">
        <w:rPr>
          <w:lang w:val="en-US"/>
        </w:rPr>
        <w:t xml:space="preserve">, </w:t>
      </w:r>
      <w:r w:rsidRPr="00C9465D">
        <w:rPr>
          <w:lang w:val="en-US"/>
        </w:rPr>
        <w:t xml:space="preserve">in relation to the obligation to respect and to ensure the rights without discrimination and the duty to adopt domestic legal provisions </w:t>
      </w:r>
      <w:r w:rsidR="00F42E0C" w:rsidRPr="00C9465D">
        <w:rPr>
          <w:lang w:val="en-US"/>
        </w:rPr>
        <w:t>established in Article</w:t>
      </w:r>
      <w:r w:rsidR="00577DE0" w:rsidRPr="00C9465D">
        <w:rPr>
          <w:lang w:val="en-US"/>
        </w:rPr>
        <w:t>s 1(1)</w:t>
      </w:r>
      <w:r w:rsidR="00193CBB" w:rsidRPr="00C9465D">
        <w:rPr>
          <w:lang w:val="en-US"/>
        </w:rPr>
        <w:t xml:space="preserve"> and </w:t>
      </w:r>
      <w:r w:rsidR="00687CA6" w:rsidRPr="00C9465D">
        <w:rPr>
          <w:lang w:val="en-US"/>
        </w:rPr>
        <w:t xml:space="preserve">2 </w:t>
      </w:r>
      <w:r w:rsidR="00577DE0" w:rsidRPr="00C9465D">
        <w:rPr>
          <w:lang w:val="en-US"/>
        </w:rPr>
        <w:t>of this instrument</w:t>
      </w:r>
      <w:r w:rsidR="00687CA6" w:rsidRPr="00C9465D">
        <w:rPr>
          <w:lang w:val="en-US"/>
        </w:rPr>
        <w:t xml:space="preserve">, </w:t>
      </w:r>
      <w:r w:rsidR="00577DE0" w:rsidRPr="00C9465D">
        <w:rPr>
          <w:lang w:val="en-US"/>
        </w:rPr>
        <w:t xml:space="preserve">to the detriment </w:t>
      </w:r>
      <w:r w:rsidR="00F42E0C" w:rsidRPr="00C9465D">
        <w:rPr>
          <w:lang w:val="en-US"/>
        </w:rPr>
        <w:t xml:space="preserve">of </w:t>
      </w:r>
      <w:r w:rsidR="00ED6072" w:rsidRPr="00C9465D">
        <w:rPr>
          <w:lang w:val="en-US"/>
        </w:rPr>
        <w:t>Luis</w:t>
      </w:r>
      <w:r w:rsidR="00687CA6" w:rsidRPr="00C9465D">
        <w:rPr>
          <w:lang w:val="en-US"/>
        </w:rPr>
        <w:t xml:space="preserve"> Eduardo Guachalá Chimbo.</w:t>
      </w:r>
      <w:bookmarkEnd w:id="57"/>
    </w:p>
    <w:p w14:paraId="425F1937" w14:textId="2A7D6EFE" w:rsidR="00D46BC9" w:rsidRPr="00C9465D" w:rsidRDefault="00A5429E" w:rsidP="00E5784B">
      <w:pPr>
        <w:pStyle w:val="Heading1"/>
        <w:rPr>
          <w:lang w:val="en-US"/>
        </w:rPr>
      </w:pPr>
      <w:bookmarkStart w:id="58" w:name="_Toc74298459"/>
      <w:r w:rsidRPr="00C9465D">
        <w:rPr>
          <w:lang w:val="en-US"/>
        </w:rPr>
        <w:t>V</w:t>
      </w:r>
      <w:r w:rsidR="00AA3C22" w:rsidRPr="00C9465D">
        <w:rPr>
          <w:lang w:val="en-US"/>
        </w:rPr>
        <w:t>I</w:t>
      </w:r>
      <w:r w:rsidR="00B94BE6" w:rsidRPr="00C9465D">
        <w:rPr>
          <w:lang w:val="en-US"/>
        </w:rPr>
        <w:t>I</w:t>
      </w:r>
      <w:r w:rsidRPr="00C9465D">
        <w:rPr>
          <w:lang w:val="en-US"/>
        </w:rPr>
        <w:t>-</w:t>
      </w:r>
      <w:r w:rsidR="00BB4184" w:rsidRPr="00C9465D">
        <w:rPr>
          <w:lang w:val="en-US"/>
        </w:rPr>
        <w:t>3</w:t>
      </w:r>
      <w:r w:rsidR="00632CFA" w:rsidRPr="00C9465D">
        <w:rPr>
          <w:lang w:val="en-US"/>
        </w:rPr>
        <w:br/>
      </w:r>
      <w:r w:rsidR="00D7655F" w:rsidRPr="00C9465D">
        <w:rPr>
          <w:lang w:val="en-US"/>
        </w:rPr>
        <w:t>RIGHTS TO JUDICIAL</w:t>
      </w:r>
      <w:r w:rsidR="00D12C0E" w:rsidRPr="00C9465D">
        <w:rPr>
          <w:lang w:val="en-US"/>
        </w:rPr>
        <w:t xml:space="preserve"> GUARANTEES</w:t>
      </w:r>
      <w:r w:rsidR="00992C98" w:rsidRPr="00C9465D">
        <w:rPr>
          <w:rStyle w:val="FootnoteReference"/>
          <w:lang w:val="en-US"/>
        </w:rPr>
        <w:footnoteReference w:id="303"/>
      </w:r>
      <w:r w:rsidR="00193CBB" w:rsidRPr="00C9465D">
        <w:rPr>
          <w:lang w:val="en-US"/>
        </w:rPr>
        <w:t xml:space="preserve"> </w:t>
      </w:r>
      <w:r w:rsidR="00D7655F" w:rsidRPr="00C9465D">
        <w:rPr>
          <w:lang w:val="en-US"/>
        </w:rPr>
        <w:t>AND TO JUDICIAL</w:t>
      </w:r>
      <w:r w:rsidR="00D12C0E" w:rsidRPr="00C9465D">
        <w:rPr>
          <w:lang w:val="en-US"/>
        </w:rPr>
        <w:t xml:space="preserve"> PROTECTION</w:t>
      </w:r>
      <w:r w:rsidR="00992C98" w:rsidRPr="00C9465D">
        <w:rPr>
          <w:rStyle w:val="FootnoteReference"/>
          <w:lang w:val="en-US"/>
        </w:rPr>
        <w:footnoteReference w:id="304"/>
      </w:r>
      <w:bookmarkEnd w:id="58"/>
    </w:p>
    <w:p w14:paraId="35AC1F1C" w14:textId="310748EB" w:rsidR="00D46BC9" w:rsidRPr="00C9465D" w:rsidRDefault="00D7655F" w:rsidP="00D47F8D">
      <w:pPr>
        <w:pStyle w:val="Heading2"/>
        <w:keepNext w:val="0"/>
        <w:numPr>
          <w:ilvl w:val="0"/>
          <w:numId w:val="9"/>
        </w:numPr>
        <w:tabs>
          <w:tab w:val="left" w:pos="567"/>
        </w:tabs>
        <w:autoSpaceDE/>
        <w:autoSpaceDN/>
        <w:adjustRightInd/>
        <w:spacing w:line="259" w:lineRule="auto"/>
        <w:ind w:left="1134" w:hanging="567"/>
        <w:rPr>
          <w:lang w:val="en-US"/>
        </w:rPr>
      </w:pPr>
      <w:r w:rsidRPr="00C9465D">
        <w:rPr>
          <w:lang w:val="en-US"/>
        </w:rPr>
        <w:t>Arguments of the Commission and of the parties</w:t>
      </w:r>
    </w:p>
    <w:p w14:paraId="4E44EC53" w14:textId="51D8BC08" w:rsidR="00D46BC9" w:rsidRPr="00C9465D" w:rsidRDefault="00193CBB" w:rsidP="00677AF4">
      <w:pPr>
        <w:pStyle w:val="Numberedparagraphs"/>
        <w:rPr>
          <w:strike/>
          <w:lang w:val="en-US"/>
        </w:rPr>
      </w:pPr>
      <w:r w:rsidRPr="00C9465D">
        <w:rPr>
          <w:lang w:val="en-US"/>
        </w:rPr>
        <w:t xml:space="preserve">The </w:t>
      </w:r>
      <w:r w:rsidRPr="00C9465D">
        <w:rPr>
          <w:b/>
          <w:bCs/>
          <w:i/>
          <w:iCs/>
          <w:lang w:val="en-US"/>
        </w:rPr>
        <w:t>Commission</w:t>
      </w:r>
      <w:r w:rsidR="00D46BC9" w:rsidRPr="00C9465D">
        <w:rPr>
          <w:lang w:val="en-US"/>
        </w:rPr>
        <w:t xml:space="preserve"> indic</w:t>
      </w:r>
      <w:r w:rsidR="006029D7" w:rsidRPr="00C9465D">
        <w:rPr>
          <w:lang w:val="en-US"/>
        </w:rPr>
        <w:t>ated that neither the administrative and criminal investigation</w:t>
      </w:r>
      <w:r w:rsidR="007B78F0" w:rsidRPr="00C9465D">
        <w:rPr>
          <w:lang w:val="en-US"/>
        </w:rPr>
        <w:t>s</w:t>
      </w:r>
      <w:r w:rsidR="006029D7" w:rsidRPr="00C9465D">
        <w:rPr>
          <w:lang w:val="en-US"/>
        </w:rPr>
        <w:t xml:space="preserve">, nor the remedies of </w:t>
      </w:r>
      <w:r w:rsidR="00721A86" w:rsidRPr="00C9465D">
        <w:rPr>
          <w:i/>
          <w:lang w:val="en-US"/>
        </w:rPr>
        <w:t>habeas corpus</w:t>
      </w:r>
      <w:r w:rsidR="006029D7" w:rsidRPr="00C9465D">
        <w:rPr>
          <w:lang w:val="en-US"/>
        </w:rPr>
        <w:t xml:space="preserve"> and complaint before the Ombudsman were conducted with the due diligence that was required of the authorities in charge of the internal </w:t>
      </w:r>
      <w:r w:rsidR="006029D7" w:rsidRPr="00C9465D">
        <w:rPr>
          <w:lang w:val="en-US"/>
        </w:rPr>
        <w:lastRenderedPageBreak/>
        <w:t>proceedings. Specifically, the Commission indicated that: (i) from the time she filed her complaint until mid-2005, Mrs. Chimbo had to pay for the police officers’ transport to look for her son</w:t>
      </w:r>
      <w:r w:rsidR="008D756F" w:rsidRPr="00C9465D">
        <w:rPr>
          <w:lang w:val="en-US"/>
        </w:rPr>
        <w:t xml:space="preserve">; </w:t>
      </w:r>
      <w:r w:rsidR="006029D7" w:rsidRPr="00C9465D">
        <w:rPr>
          <w:lang w:val="en-US"/>
        </w:rPr>
        <w:t>(</w:t>
      </w:r>
      <w:r w:rsidR="008D756F" w:rsidRPr="00C9465D">
        <w:rPr>
          <w:lang w:val="en-US"/>
        </w:rPr>
        <w:t xml:space="preserve">ii) </w:t>
      </w:r>
      <w:r w:rsidRPr="00C9465D">
        <w:rPr>
          <w:lang w:val="en-US"/>
        </w:rPr>
        <w:t>the State</w:t>
      </w:r>
      <w:r w:rsidR="00D46BC9" w:rsidRPr="00C9465D">
        <w:rPr>
          <w:lang w:val="en-US"/>
        </w:rPr>
        <w:t xml:space="preserve"> </w:t>
      </w:r>
      <w:r w:rsidR="006029D7" w:rsidRPr="00C9465D">
        <w:rPr>
          <w:lang w:val="en-US"/>
        </w:rPr>
        <w:t xml:space="preserve">did not undertake any line of investigation concerning the possibility that something had happened to </w:t>
      </w:r>
      <w:r w:rsidR="002F3237" w:rsidRPr="00C9465D">
        <w:rPr>
          <w:lang w:val="en-US"/>
        </w:rPr>
        <w:t>Mr. Guachalá</w:t>
      </w:r>
      <w:r w:rsidR="008D756F" w:rsidRPr="00C9465D">
        <w:rPr>
          <w:lang w:val="en-US"/>
        </w:rPr>
        <w:t xml:space="preserve"> </w:t>
      </w:r>
      <w:r w:rsidR="006029D7" w:rsidRPr="00C9465D">
        <w:rPr>
          <w:lang w:val="en-US"/>
        </w:rPr>
        <w:t xml:space="preserve">within the </w:t>
      </w:r>
      <w:r w:rsidR="008D756F" w:rsidRPr="00C9465D">
        <w:rPr>
          <w:lang w:val="en-US"/>
        </w:rPr>
        <w:t>hospital</w:t>
      </w:r>
      <w:r w:rsidR="00D46BC9" w:rsidRPr="00C9465D">
        <w:rPr>
          <w:lang w:val="en-US"/>
        </w:rPr>
        <w:t xml:space="preserve">; </w:t>
      </w:r>
      <w:r w:rsidR="006029D7" w:rsidRPr="00C9465D">
        <w:rPr>
          <w:lang w:val="en-US"/>
        </w:rPr>
        <w:t>(</w:t>
      </w:r>
      <w:r w:rsidR="00D46BC9" w:rsidRPr="00C9465D">
        <w:rPr>
          <w:lang w:val="en-US"/>
        </w:rPr>
        <w:t xml:space="preserve">iii) </w:t>
      </w:r>
      <w:r w:rsidR="006029D7" w:rsidRPr="00C9465D">
        <w:rPr>
          <w:lang w:val="en-US"/>
        </w:rPr>
        <w:t>during the</w:t>
      </w:r>
      <w:r w:rsidR="00D46BC9" w:rsidRPr="00C9465D">
        <w:rPr>
          <w:lang w:val="en-US"/>
        </w:rPr>
        <w:t xml:space="preserve"> investiga</w:t>
      </w:r>
      <w:r w:rsidR="006029D7" w:rsidRPr="00C9465D">
        <w:rPr>
          <w:lang w:val="en-US"/>
        </w:rPr>
        <w:t>tion, the taking of statements was focused on the hospital staff and not on the patients who were institutionalized at the time of the facts</w:t>
      </w:r>
      <w:r w:rsidR="00D46BC9" w:rsidRPr="00C9465D">
        <w:rPr>
          <w:lang w:val="en-US"/>
        </w:rPr>
        <w:t xml:space="preserve">; </w:t>
      </w:r>
      <w:r w:rsidR="006029D7" w:rsidRPr="00C9465D">
        <w:rPr>
          <w:lang w:val="en-US"/>
        </w:rPr>
        <w:t>(</w:t>
      </w:r>
      <w:r w:rsidR="00D46BC9" w:rsidRPr="00C9465D">
        <w:rPr>
          <w:lang w:val="en-US"/>
        </w:rPr>
        <w:t xml:space="preserve">iv) </w:t>
      </w:r>
      <w:r w:rsidR="006029D7" w:rsidRPr="00C9465D">
        <w:rPr>
          <w:lang w:val="en-US"/>
        </w:rPr>
        <w:t>from mid-</w:t>
      </w:r>
      <w:r w:rsidR="00D46BC9" w:rsidRPr="00C9465D">
        <w:rPr>
          <w:lang w:val="en-US"/>
        </w:rPr>
        <w:t xml:space="preserve">2005 </w:t>
      </w:r>
      <w:r w:rsidR="006029D7" w:rsidRPr="00C9465D">
        <w:rPr>
          <w:lang w:val="en-US"/>
        </w:rPr>
        <w:t>to July</w:t>
      </w:r>
      <w:r w:rsidR="00D46BC9" w:rsidRPr="00C9465D">
        <w:rPr>
          <w:lang w:val="en-US"/>
        </w:rPr>
        <w:t xml:space="preserve"> 2006, </w:t>
      </w:r>
      <w:r w:rsidR="006029D7" w:rsidRPr="00C9465D">
        <w:rPr>
          <w:lang w:val="en-US"/>
        </w:rPr>
        <w:t xml:space="preserve">the date on which the case was closed, no investigation procedures were recorded; (v) although the case was closed </w:t>
      </w:r>
      <w:r w:rsidR="00677AF4" w:rsidRPr="00C9465D">
        <w:rPr>
          <w:lang w:val="en-US"/>
        </w:rPr>
        <w:t xml:space="preserve">because it had been impossible to determine the existence of an offense, “the evidence recorded prior to that decision does not suggest the </w:t>
      </w:r>
      <w:r w:rsidR="007B78F0" w:rsidRPr="00C9465D">
        <w:rPr>
          <w:lang w:val="en-US"/>
        </w:rPr>
        <w:t>planning</w:t>
      </w:r>
      <w:r w:rsidR="00677AF4" w:rsidRPr="00C9465D">
        <w:rPr>
          <w:lang w:val="en-US"/>
        </w:rPr>
        <w:t xml:space="preserve"> and exhaustion of a line of investigation </w:t>
      </w:r>
      <w:r w:rsidR="007B78F0" w:rsidRPr="00C9465D">
        <w:rPr>
          <w:lang w:val="en-US"/>
        </w:rPr>
        <w:t>based on</w:t>
      </w:r>
      <w:r w:rsidR="00677AF4" w:rsidRPr="00C9465D">
        <w:rPr>
          <w:lang w:val="en-US"/>
        </w:rPr>
        <w:t xml:space="preserve"> the possible death of Mr. Guachalá </w:t>
      </w:r>
      <w:r w:rsidR="007B78F0" w:rsidRPr="00C9465D">
        <w:rPr>
          <w:lang w:val="en-US"/>
        </w:rPr>
        <w:t>in</w:t>
      </w:r>
      <w:r w:rsidR="00677AF4" w:rsidRPr="00C9465D">
        <w:rPr>
          <w:lang w:val="en-US"/>
        </w:rPr>
        <w:t xml:space="preserve"> the hospital and </w:t>
      </w:r>
      <w:r w:rsidR="007B78F0" w:rsidRPr="00C9465D">
        <w:rPr>
          <w:lang w:val="en-US"/>
        </w:rPr>
        <w:t>the</w:t>
      </w:r>
      <w:r w:rsidR="00677AF4" w:rsidRPr="00C9465D">
        <w:rPr>
          <w:lang w:val="en-US"/>
        </w:rPr>
        <w:t xml:space="preserve"> possible concealment of his death by the staff of that center”; (vi) in 2013, following seven years </w:t>
      </w:r>
      <w:r w:rsidR="007B78F0" w:rsidRPr="00C9465D">
        <w:rPr>
          <w:lang w:val="en-US"/>
        </w:rPr>
        <w:t>without any</w:t>
      </w:r>
      <w:r w:rsidR="00677AF4" w:rsidRPr="00C9465D">
        <w:rPr>
          <w:lang w:val="en-US"/>
        </w:rPr>
        <w:t xml:space="preserve"> procedural activity and during the public hearing of the case before the Commission, the State </w:t>
      </w:r>
      <w:r w:rsidR="007B78F0" w:rsidRPr="00C9465D">
        <w:rPr>
          <w:lang w:val="en-US"/>
        </w:rPr>
        <w:t>conducted</w:t>
      </w:r>
      <w:r w:rsidR="00677AF4" w:rsidRPr="00C9465D">
        <w:rPr>
          <w:lang w:val="en-US"/>
        </w:rPr>
        <w:t xml:space="preserve"> a reconstruction of the </w:t>
      </w:r>
      <w:r w:rsidR="007B78F0" w:rsidRPr="00C9465D">
        <w:rPr>
          <w:lang w:val="en-US"/>
        </w:rPr>
        <w:t>events</w:t>
      </w:r>
      <w:r w:rsidR="00677AF4" w:rsidRPr="00C9465D">
        <w:rPr>
          <w:lang w:val="en-US"/>
        </w:rPr>
        <w:t xml:space="preserve"> and an administrative procedure without results, and (vii) “in recent years, the only line followed is the presumed identification of a person living on the street.” The Commission also argued that the application for </w:t>
      </w:r>
      <w:r w:rsidR="00721A86" w:rsidRPr="00C9465D">
        <w:rPr>
          <w:i/>
          <w:lang w:val="en-US"/>
        </w:rPr>
        <w:t>habeas corpus</w:t>
      </w:r>
      <w:r w:rsidR="00677AF4" w:rsidRPr="00C9465D">
        <w:rPr>
          <w:lang w:val="en-US"/>
        </w:rPr>
        <w:t xml:space="preserve"> was “not an effective remedy to address the situation of deprivation of liberty and disappearance </w:t>
      </w:r>
      <w:r w:rsidR="007B78F0" w:rsidRPr="00C9465D">
        <w:rPr>
          <w:lang w:val="en-US"/>
        </w:rPr>
        <w:t xml:space="preserve">of </w:t>
      </w:r>
      <w:r w:rsidR="00D46BC9" w:rsidRPr="00C9465D">
        <w:rPr>
          <w:lang w:val="en-US"/>
        </w:rPr>
        <w:t>Luis Eduardo Guachalá”</w:t>
      </w:r>
      <w:r w:rsidR="00677AF4" w:rsidRPr="00C9465D">
        <w:rPr>
          <w:lang w:val="en-US"/>
        </w:rPr>
        <w:t xml:space="preserve"> because</w:t>
      </w:r>
      <w:r w:rsidR="0069093A" w:rsidRPr="00C9465D">
        <w:rPr>
          <w:lang w:val="en-US"/>
        </w:rPr>
        <w:t>,</w:t>
      </w:r>
      <w:r w:rsidR="00677AF4" w:rsidRPr="00C9465D">
        <w:rPr>
          <w:lang w:val="en-US"/>
        </w:rPr>
        <w:t xml:space="preserve"> “initially, the mayor’s office</w:t>
      </w:r>
      <w:r w:rsidR="00D46BC9" w:rsidRPr="00C9465D">
        <w:rPr>
          <w:lang w:val="en-US"/>
        </w:rPr>
        <w:t xml:space="preserve"> </w:t>
      </w:r>
      <w:r w:rsidR="001F65A3" w:rsidRPr="00C9465D">
        <w:rPr>
          <w:lang w:val="en-US"/>
        </w:rPr>
        <w:t>of the Metropolitan District</w:t>
      </w:r>
      <w:r w:rsidR="00D46BC9" w:rsidRPr="00C9465D">
        <w:rPr>
          <w:lang w:val="en-US"/>
        </w:rPr>
        <w:t xml:space="preserve"> </w:t>
      </w:r>
      <w:r w:rsidR="001F65A3" w:rsidRPr="00C9465D">
        <w:rPr>
          <w:lang w:val="en-US"/>
        </w:rPr>
        <w:t>of Quito</w:t>
      </w:r>
      <w:r w:rsidR="00D46BC9" w:rsidRPr="00C9465D">
        <w:rPr>
          <w:lang w:val="en-US"/>
        </w:rPr>
        <w:t xml:space="preserve"> </w:t>
      </w:r>
      <w:r w:rsidR="00677AF4" w:rsidRPr="00C9465D">
        <w:rPr>
          <w:lang w:val="en-US"/>
        </w:rPr>
        <w:t xml:space="preserve">merely </w:t>
      </w:r>
      <w:r w:rsidR="00147FA8" w:rsidRPr="00C9465D">
        <w:rPr>
          <w:lang w:val="en-US"/>
        </w:rPr>
        <w:t xml:space="preserve">issued a summons for </w:t>
      </w:r>
      <w:r w:rsidR="002F3237" w:rsidRPr="00C9465D">
        <w:rPr>
          <w:lang w:val="en-US"/>
        </w:rPr>
        <w:t>Mr. Guachalá</w:t>
      </w:r>
      <w:r w:rsidR="00D46BC9" w:rsidRPr="00C9465D">
        <w:rPr>
          <w:lang w:val="en-US"/>
        </w:rPr>
        <w:t xml:space="preserve">, </w:t>
      </w:r>
      <w:r w:rsidR="00147FA8" w:rsidRPr="00C9465D">
        <w:rPr>
          <w:lang w:val="en-US"/>
        </w:rPr>
        <w:t xml:space="preserve">even though it had already been indicated that he had gone missing from the </w:t>
      </w:r>
      <w:r w:rsidR="00D46BC9" w:rsidRPr="00C9465D">
        <w:rPr>
          <w:lang w:val="en-US"/>
        </w:rPr>
        <w:t>hospital”</w:t>
      </w:r>
      <w:r w:rsidRPr="00C9465D">
        <w:rPr>
          <w:lang w:val="en-US"/>
        </w:rPr>
        <w:t xml:space="preserve"> and </w:t>
      </w:r>
      <w:r w:rsidR="00147FA8" w:rsidRPr="00C9465D">
        <w:rPr>
          <w:lang w:val="en-US"/>
        </w:rPr>
        <w:t xml:space="preserve">despite the favorable ruling </w:t>
      </w:r>
      <w:r w:rsidR="00194B20" w:rsidRPr="00C9465D">
        <w:rPr>
          <w:lang w:val="en-US"/>
        </w:rPr>
        <w:t xml:space="preserve">of the </w:t>
      </w:r>
      <w:r w:rsidR="001A4FA7" w:rsidRPr="00C9465D">
        <w:rPr>
          <w:lang w:val="en-US"/>
        </w:rPr>
        <w:t>Constitutional Court</w:t>
      </w:r>
      <w:r w:rsidR="00D46BC9" w:rsidRPr="00C9465D">
        <w:rPr>
          <w:lang w:val="en-US"/>
        </w:rPr>
        <w:t xml:space="preserve"> </w:t>
      </w:r>
      <w:r w:rsidR="00147FA8" w:rsidRPr="00C9465D">
        <w:rPr>
          <w:lang w:val="en-US"/>
        </w:rPr>
        <w:t>in the case</w:t>
      </w:r>
      <w:r w:rsidR="00D46BC9" w:rsidRPr="00C9465D">
        <w:rPr>
          <w:lang w:val="en-US"/>
        </w:rPr>
        <w:t xml:space="preserve"> “</w:t>
      </w:r>
      <w:r w:rsidRPr="00C9465D">
        <w:rPr>
          <w:lang w:val="en-US"/>
        </w:rPr>
        <w:t>the Commission</w:t>
      </w:r>
      <w:r w:rsidR="00D46BC9" w:rsidRPr="00C9465D">
        <w:rPr>
          <w:lang w:val="en-US"/>
        </w:rPr>
        <w:t xml:space="preserve"> </w:t>
      </w:r>
      <w:r w:rsidR="00147FA8" w:rsidRPr="00C9465D">
        <w:rPr>
          <w:lang w:val="en-US"/>
        </w:rPr>
        <w:t xml:space="preserve">has no information on the measures take in the context of the application for </w:t>
      </w:r>
      <w:r w:rsidR="00721A86" w:rsidRPr="00C9465D">
        <w:rPr>
          <w:i/>
          <w:lang w:val="en-US"/>
        </w:rPr>
        <w:t>habeas corpus</w:t>
      </w:r>
      <w:r w:rsidR="00D46BC9" w:rsidRPr="00C9465D">
        <w:rPr>
          <w:lang w:val="en-US"/>
        </w:rPr>
        <w:t xml:space="preserve">”. </w:t>
      </w:r>
    </w:p>
    <w:p w14:paraId="6E34BDBF" w14:textId="3230531D" w:rsidR="00147FA8" w:rsidRPr="00C9465D" w:rsidRDefault="00193CBB" w:rsidP="00AA3C22">
      <w:pPr>
        <w:pStyle w:val="Numberedparagraphs"/>
        <w:rPr>
          <w:b/>
          <w:lang w:val="en-US"/>
        </w:rPr>
      </w:pPr>
      <w:r w:rsidRPr="00C9465D">
        <w:rPr>
          <w:lang w:val="en-US"/>
        </w:rPr>
        <w:t xml:space="preserve">The </w:t>
      </w:r>
      <w:r w:rsidRPr="00C9465D">
        <w:rPr>
          <w:b/>
          <w:bCs/>
          <w:i/>
          <w:iCs/>
          <w:lang w:val="en-US"/>
        </w:rPr>
        <w:t>representatives</w:t>
      </w:r>
      <w:r w:rsidR="00D46BC9" w:rsidRPr="00C9465D">
        <w:rPr>
          <w:lang w:val="en-US"/>
        </w:rPr>
        <w:t xml:space="preserve"> </w:t>
      </w:r>
      <w:r w:rsidR="00147FA8" w:rsidRPr="00C9465D">
        <w:rPr>
          <w:lang w:val="en-US"/>
        </w:rPr>
        <w:t xml:space="preserve">indicated that, following Mr. Guachalá’s </w:t>
      </w:r>
      <w:r w:rsidR="00BF6AD0" w:rsidRPr="00C9465D">
        <w:rPr>
          <w:lang w:val="en-US"/>
        </w:rPr>
        <w:t>disappearance</w:t>
      </w:r>
      <w:r w:rsidR="00147FA8" w:rsidRPr="00C9465D">
        <w:rPr>
          <w:lang w:val="en-US"/>
        </w:rPr>
        <w:t>, there was a lack of effective judicial protection and due diligence in the search to find the whereabouts of Luis</w:t>
      </w:r>
      <w:r w:rsidR="0069093A" w:rsidRPr="00C9465D">
        <w:rPr>
          <w:lang w:val="en-US"/>
        </w:rPr>
        <w:t xml:space="preserve"> </w:t>
      </w:r>
      <w:r w:rsidR="00147FA8" w:rsidRPr="00C9465D">
        <w:rPr>
          <w:lang w:val="en-US"/>
        </w:rPr>
        <w:t xml:space="preserve">revealed by: (i) the lack of due diligence in the initial search for Luis Eduardo; (ii) the absence of effective judicial protection in the </w:t>
      </w:r>
      <w:r w:rsidR="00721A86" w:rsidRPr="00C9465D">
        <w:rPr>
          <w:i/>
          <w:lang w:val="en-US"/>
        </w:rPr>
        <w:t>habeas corpus</w:t>
      </w:r>
      <w:r w:rsidR="00147FA8" w:rsidRPr="00C9465D">
        <w:rPr>
          <w:lang w:val="en-US"/>
        </w:rPr>
        <w:t xml:space="preserve"> proceeding, and (iii) the lack of due diligence owing to the absence of an effective search for Luis Eduardo Guachalá. They also argued that the remedy that existed </w:t>
      </w:r>
      <w:r w:rsidR="0069093A" w:rsidRPr="00C9465D">
        <w:rPr>
          <w:lang w:val="en-US"/>
        </w:rPr>
        <w:t>under the laws of Ecuador</w:t>
      </w:r>
      <w:r w:rsidR="00147FA8" w:rsidRPr="00C9465D">
        <w:rPr>
          <w:lang w:val="en-US"/>
        </w:rPr>
        <w:t xml:space="preserve"> was ineffective, which mean</w:t>
      </w:r>
      <w:r w:rsidR="0069093A" w:rsidRPr="00C9465D">
        <w:rPr>
          <w:lang w:val="en-US"/>
        </w:rPr>
        <w:t>t</w:t>
      </w:r>
      <w:r w:rsidR="00147FA8" w:rsidRPr="00C9465D">
        <w:rPr>
          <w:lang w:val="en-US"/>
        </w:rPr>
        <w:t xml:space="preserve"> that “the remedy turned out to be useless and inapplicable.” They also concluded that “based on what has been revealed in the case </w:t>
      </w:r>
      <w:r w:rsidR="00147FA8" w:rsidRPr="00C9465D">
        <w:rPr>
          <w:i/>
          <w:iCs/>
          <w:lang w:val="en-US"/>
        </w:rPr>
        <w:t>sub judice</w:t>
      </w:r>
      <w:r w:rsidR="00147FA8" w:rsidRPr="00C9465D">
        <w:rPr>
          <w:lang w:val="en-US"/>
        </w:rPr>
        <w:t xml:space="preserve">, neither the criminal nor the administrative investigation were conducted with due diligence, at the appropriate procedural moment, and within a reasonable time.” Lastly, they indicated that the authorities had not conducted an exhaustive and diligent investigation and that </w:t>
      </w:r>
      <w:r w:rsidR="0069093A" w:rsidRPr="00C9465D">
        <w:rPr>
          <w:lang w:val="en-US"/>
        </w:rPr>
        <w:t>this</w:t>
      </w:r>
      <w:r w:rsidR="00147FA8" w:rsidRPr="00C9465D">
        <w:rPr>
          <w:lang w:val="en-US"/>
        </w:rPr>
        <w:t xml:space="preserve"> had far exceeded a reasonable time, which resulted in “a systematic violation of the right to the truth, justice and reparation of victims of human rights violations.”</w:t>
      </w:r>
    </w:p>
    <w:p w14:paraId="187BC0A9" w14:textId="3921A6DB" w:rsidR="00D46BC9" w:rsidRPr="00C9465D" w:rsidRDefault="00193CBB" w:rsidP="00833652">
      <w:pPr>
        <w:pStyle w:val="Numberedparagraphs"/>
        <w:rPr>
          <w:lang w:val="en-US"/>
        </w:rPr>
      </w:pPr>
      <w:r w:rsidRPr="00C9465D">
        <w:rPr>
          <w:lang w:val="en-US"/>
        </w:rPr>
        <w:t xml:space="preserve">The </w:t>
      </w:r>
      <w:r w:rsidRPr="00C9465D">
        <w:rPr>
          <w:b/>
          <w:bCs/>
          <w:i/>
          <w:iCs/>
          <w:lang w:val="en-US"/>
        </w:rPr>
        <w:t>State</w:t>
      </w:r>
      <w:r w:rsidR="00D46BC9" w:rsidRPr="00C9465D">
        <w:rPr>
          <w:b/>
          <w:i/>
          <w:lang w:val="en-US"/>
        </w:rPr>
        <w:t xml:space="preserve"> </w:t>
      </w:r>
      <w:r w:rsidR="00D46BC9" w:rsidRPr="00C9465D">
        <w:rPr>
          <w:lang w:val="en-US"/>
        </w:rPr>
        <w:t>a</w:t>
      </w:r>
      <w:r w:rsidR="00147FA8" w:rsidRPr="00C9465D">
        <w:rPr>
          <w:lang w:val="en-US"/>
        </w:rPr>
        <w:t xml:space="preserve">rgued that “no verifiable violation had existed  </w:t>
      </w:r>
      <w:r w:rsidR="00520411" w:rsidRPr="00C9465D">
        <w:rPr>
          <w:lang w:val="en-US"/>
        </w:rPr>
        <w:t>[…]</w:t>
      </w:r>
      <w:r w:rsidR="00147FA8" w:rsidRPr="00C9465D">
        <w:rPr>
          <w:lang w:val="en-US"/>
        </w:rPr>
        <w:t xml:space="preserve"> of the obligations of due diligence in the investigation and </w:t>
      </w:r>
      <w:r w:rsidR="00C00820" w:rsidRPr="00C9465D">
        <w:rPr>
          <w:lang w:val="en-US"/>
        </w:rPr>
        <w:t xml:space="preserve">of a </w:t>
      </w:r>
      <w:r w:rsidR="00147FA8" w:rsidRPr="00C9465D">
        <w:rPr>
          <w:lang w:val="en-US"/>
        </w:rPr>
        <w:t>reasonable time</w:t>
      </w:r>
      <w:r w:rsidR="00C00820" w:rsidRPr="00C9465D">
        <w:rPr>
          <w:lang w:val="en-US"/>
        </w:rPr>
        <w:t>.” It indicated that “it has been verified that Mrs. Chimbo Jarro was able to file her complaint before the Judicial Police and the Prosecutor General,” and to take part in several procedures ordered by the latter. Regarding the reasonable time and the elements established by the Court to determine this, it considered that “clearly, the disappearance of a person, and especially in the circumstances in which Mr. Guachalá’s departure from the hospital occurred, is an immensely complex matter.” Regarding the procedural activity of the interested person, it recognized that</w:t>
      </w:r>
      <w:r w:rsidR="00833652" w:rsidRPr="00C9465D">
        <w:rPr>
          <w:lang w:val="en-US"/>
        </w:rPr>
        <w:t xml:space="preserve"> “the criminal investigation was</w:t>
      </w:r>
      <w:r w:rsidR="0069093A" w:rsidRPr="00C9465D">
        <w:rPr>
          <w:lang w:val="en-US"/>
        </w:rPr>
        <w:t>,</w:t>
      </w:r>
      <w:r w:rsidR="00833652" w:rsidRPr="00C9465D">
        <w:rPr>
          <w:lang w:val="en-US"/>
        </w:rPr>
        <w:t xml:space="preserve"> an</w:t>
      </w:r>
      <w:r w:rsidR="0069093A" w:rsidRPr="00C9465D">
        <w:rPr>
          <w:lang w:val="en-US"/>
        </w:rPr>
        <w:t>d</w:t>
      </w:r>
      <w:r w:rsidR="00833652" w:rsidRPr="00C9465D">
        <w:rPr>
          <w:lang w:val="en-US"/>
        </w:rPr>
        <w:t xml:space="preserve"> is</w:t>
      </w:r>
      <w:r w:rsidR="0069093A" w:rsidRPr="00C9465D">
        <w:rPr>
          <w:lang w:val="en-US"/>
        </w:rPr>
        <w:t>,</w:t>
      </w:r>
      <w:r w:rsidR="00833652" w:rsidRPr="00C9465D">
        <w:rPr>
          <w:lang w:val="en-US"/>
        </w:rPr>
        <w:t xml:space="preserve"> a legal and constitutional obligation of its authorities,” concluding that “there is no doubt about this.” It also indicated that the said institutions </w:t>
      </w:r>
      <w:r w:rsidR="0069093A" w:rsidRPr="00C9465D">
        <w:rPr>
          <w:lang w:val="en-US"/>
        </w:rPr>
        <w:t>opened</w:t>
      </w:r>
      <w:r w:rsidR="00833652" w:rsidRPr="00C9465D">
        <w:rPr>
          <w:lang w:val="en-US"/>
        </w:rPr>
        <w:t xml:space="preserve"> the investigation immediately after his mother had filed her complaint, acting “</w:t>
      </w:r>
      <w:r w:rsidR="00833652" w:rsidRPr="00C9465D">
        <w:rPr>
          <w:i/>
          <w:iCs/>
          <w:lang w:val="en-US"/>
        </w:rPr>
        <w:t>ex officio</w:t>
      </w:r>
      <w:r w:rsidR="00833652" w:rsidRPr="00C9465D">
        <w:rPr>
          <w:lang w:val="en-US"/>
        </w:rPr>
        <w:t xml:space="preserve"> and without delay.” It also stressed that “the authorities and officials who intervened in the investigation of the Guachalá case acted in keeping with the legal and constitutional principles of impartiality and independence.</w:t>
      </w:r>
      <w:r w:rsidR="00D46BC9" w:rsidRPr="00C9465D">
        <w:rPr>
          <w:lang w:val="en-US"/>
        </w:rPr>
        <w:t xml:space="preserve">” </w:t>
      </w:r>
    </w:p>
    <w:p w14:paraId="75362EE0" w14:textId="7D8A2595" w:rsidR="00D46BC9" w:rsidRPr="00C9465D" w:rsidRDefault="007540C2" w:rsidP="00D47F8D">
      <w:pPr>
        <w:pStyle w:val="Heading2"/>
        <w:keepNext w:val="0"/>
        <w:numPr>
          <w:ilvl w:val="0"/>
          <w:numId w:val="9"/>
        </w:numPr>
        <w:tabs>
          <w:tab w:val="left" w:pos="567"/>
        </w:tabs>
        <w:autoSpaceDE/>
        <w:autoSpaceDN/>
        <w:adjustRightInd/>
        <w:ind w:left="1134" w:hanging="567"/>
        <w:rPr>
          <w:bCs/>
          <w:lang w:val="en-US"/>
        </w:rPr>
      </w:pPr>
      <w:bookmarkStart w:id="59" w:name="_Toc526152710"/>
      <w:bookmarkStart w:id="60" w:name="_Toc74298461"/>
      <w:r w:rsidRPr="00C9465D">
        <w:rPr>
          <w:bCs/>
          <w:lang w:val="en-US"/>
        </w:rPr>
        <w:t>Considerations</w:t>
      </w:r>
      <w:r w:rsidR="00193CBB" w:rsidRPr="00C9465D">
        <w:rPr>
          <w:bCs/>
          <w:lang w:val="en-US"/>
        </w:rPr>
        <w:t xml:space="preserve"> of the Court</w:t>
      </w:r>
      <w:bookmarkEnd w:id="59"/>
      <w:bookmarkEnd w:id="60"/>
    </w:p>
    <w:p w14:paraId="3D75B18D" w14:textId="63D9CC69" w:rsidR="00D46BC9" w:rsidRPr="00C9465D" w:rsidRDefault="000A73DA" w:rsidP="00AA3C22">
      <w:pPr>
        <w:pStyle w:val="Numberedparagraphs"/>
        <w:rPr>
          <w:lang w:val="en-US"/>
        </w:rPr>
      </w:pPr>
      <w:bookmarkStart w:id="61" w:name="_Ref524880447"/>
      <w:bookmarkStart w:id="62" w:name="_Ref72330063"/>
      <w:r w:rsidRPr="00C9465D">
        <w:rPr>
          <w:lang w:val="en-US"/>
        </w:rPr>
        <w:lastRenderedPageBreak/>
        <w:t xml:space="preserve">The obligation to investigate human rights violations is one of the positive measures that States </w:t>
      </w:r>
      <w:r w:rsidR="0069093A" w:rsidRPr="00C9465D">
        <w:rPr>
          <w:lang w:val="en-US"/>
        </w:rPr>
        <w:t>must</w:t>
      </w:r>
      <w:r w:rsidRPr="00C9465D">
        <w:rPr>
          <w:lang w:val="en-US"/>
        </w:rPr>
        <w:t xml:space="preserve"> adopt to ensure the rights recognized in</w:t>
      </w:r>
      <w:r w:rsidR="00D46BC9" w:rsidRPr="00C9465D">
        <w:rPr>
          <w:lang w:val="en-US"/>
        </w:rPr>
        <w:t xml:space="preserve"> </w:t>
      </w:r>
      <w:r w:rsidR="00193CBB" w:rsidRPr="00C9465D">
        <w:rPr>
          <w:lang w:val="en-US"/>
        </w:rPr>
        <w:t>the Convention</w:t>
      </w:r>
      <w:r w:rsidR="00D46BC9" w:rsidRPr="00C9465D">
        <w:rPr>
          <w:lang w:val="en-US"/>
        </w:rPr>
        <w:t xml:space="preserve">. </w:t>
      </w:r>
      <w:r w:rsidRPr="00C9465D">
        <w:rPr>
          <w:lang w:val="en-US"/>
        </w:rPr>
        <w:t>Therefore, since is first judgment, this Court has emphasized the importance of the state obligation to investigat</w:t>
      </w:r>
      <w:r w:rsidR="0069093A" w:rsidRPr="00C9465D">
        <w:rPr>
          <w:lang w:val="en-US"/>
        </w:rPr>
        <w:t>e</w:t>
      </w:r>
      <w:r w:rsidRPr="00C9465D">
        <w:rPr>
          <w:lang w:val="en-US"/>
        </w:rPr>
        <w:t xml:space="preserve"> and, as appropriate, punish human rights violations.</w:t>
      </w:r>
      <w:r w:rsidR="00D46BC9" w:rsidRPr="00C9465D">
        <w:rPr>
          <w:rFonts w:cs="Verdana"/>
          <w:vertAlign w:val="superscript"/>
          <w:lang w:val="en-US"/>
        </w:rPr>
        <w:footnoteReference w:id="305"/>
      </w:r>
      <w:bookmarkEnd w:id="61"/>
      <w:bookmarkEnd w:id="62"/>
    </w:p>
    <w:p w14:paraId="2A429959" w14:textId="26F1AD65" w:rsidR="00FC71AB" w:rsidRPr="00C9465D" w:rsidRDefault="000A73DA" w:rsidP="00AA3C22">
      <w:pPr>
        <w:pStyle w:val="Numberedparagraphs"/>
        <w:rPr>
          <w:lang w:val="en-US"/>
        </w:rPr>
      </w:pPr>
      <w:r w:rsidRPr="00C9465D">
        <w:rPr>
          <w:lang w:val="en-US"/>
        </w:rPr>
        <w:t xml:space="preserve">In the instant case, the last known whereabouts of </w:t>
      </w:r>
      <w:r w:rsidR="002F3237" w:rsidRPr="00C9465D">
        <w:rPr>
          <w:lang w:val="en-US"/>
        </w:rPr>
        <w:t>Mr. Guachalá</w:t>
      </w:r>
      <w:r w:rsidR="00FC71AB" w:rsidRPr="00C9465D">
        <w:rPr>
          <w:lang w:val="en-US"/>
        </w:rPr>
        <w:t xml:space="preserve"> Chimbo </w:t>
      </w:r>
      <w:r w:rsidRPr="00C9465D">
        <w:rPr>
          <w:lang w:val="en-US"/>
        </w:rPr>
        <w:t>was a public hospital. Therefore, since he was in the State’s custody at the time of his disappearance,</w:t>
      </w:r>
      <w:r w:rsidR="0069093A" w:rsidRPr="00C9465D">
        <w:rPr>
          <w:lang w:val="en-US"/>
        </w:rPr>
        <w:t xml:space="preserve"> the State’s</w:t>
      </w:r>
      <w:r w:rsidRPr="00C9465D">
        <w:rPr>
          <w:lang w:val="en-US"/>
        </w:rPr>
        <w:t xml:space="preserve"> position of guarantor requires that </w:t>
      </w:r>
      <w:r w:rsidR="0069093A" w:rsidRPr="00C9465D">
        <w:rPr>
          <w:lang w:val="en-US"/>
        </w:rPr>
        <w:t>it</w:t>
      </w:r>
      <w:r w:rsidRPr="00C9465D">
        <w:rPr>
          <w:lang w:val="en-US"/>
        </w:rPr>
        <w:t xml:space="preserve"> investigate what happened with due diligence</w:t>
      </w:r>
      <w:r w:rsidR="00FC71AB" w:rsidRPr="00C9465D">
        <w:rPr>
          <w:lang w:val="en-US"/>
        </w:rPr>
        <w:t xml:space="preserve"> (</w:t>
      </w:r>
      <w:r w:rsidR="00FC71AB" w:rsidRPr="00C9465D">
        <w:rPr>
          <w:i/>
          <w:lang w:val="en-US"/>
        </w:rPr>
        <w:t xml:space="preserve">supra </w:t>
      </w:r>
      <w:r w:rsidR="00D8466F" w:rsidRPr="00C9465D">
        <w:rPr>
          <w:lang w:val="en-US"/>
        </w:rPr>
        <w:t>para.</w:t>
      </w:r>
      <w:r w:rsidR="00FC71AB" w:rsidRPr="00C9465D">
        <w:rPr>
          <w:lang w:val="en-US"/>
        </w:rPr>
        <w:t xml:space="preserve"> </w:t>
      </w:r>
      <w:r w:rsidR="005A4459" w:rsidRPr="00C9465D">
        <w:rPr>
          <w:lang w:val="en-US"/>
        </w:rPr>
        <w:fldChar w:fldCharType="begin"/>
      </w:r>
      <w:r w:rsidR="005A4459" w:rsidRPr="00C9465D">
        <w:rPr>
          <w:lang w:val="en-US"/>
        </w:rPr>
        <w:instrText xml:space="preserve"> REF _Ref72158968 \r \h </w:instrText>
      </w:r>
      <w:r w:rsidR="00496133" w:rsidRPr="00C9465D">
        <w:rPr>
          <w:lang w:val="en-US"/>
        </w:rPr>
        <w:instrText xml:space="preserve"> \* MERGEFORMAT </w:instrText>
      </w:r>
      <w:r w:rsidR="005A4459" w:rsidRPr="00C9465D">
        <w:rPr>
          <w:lang w:val="en-US"/>
        </w:rPr>
      </w:r>
      <w:r w:rsidR="005A4459" w:rsidRPr="00C9465D">
        <w:rPr>
          <w:lang w:val="en-US"/>
        </w:rPr>
        <w:fldChar w:fldCharType="separate"/>
      </w:r>
      <w:r w:rsidR="005A4459" w:rsidRPr="00C9465D">
        <w:rPr>
          <w:lang w:val="en-US"/>
        </w:rPr>
        <w:t>151</w:t>
      </w:r>
      <w:r w:rsidR="005A4459" w:rsidRPr="00C9465D">
        <w:rPr>
          <w:lang w:val="en-US"/>
        </w:rPr>
        <w:fldChar w:fldCharType="end"/>
      </w:r>
      <w:r w:rsidR="00FC71AB" w:rsidRPr="00C9465D">
        <w:rPr>
          <w:lang w:val="en-US"/>
        </w:rPr>
        <w:t>).</w:t>
      </w:r>
    </w:p>
    <w:p w14:paraId="0ECE053C" w14:textId="6A872F77" w:rsidR="00D46BC9" w:rsidRPr="00C9465D" w:rsidRDefault="000A73DA" w:rsidP="00AA3C22">
      <w:pPr>
        <w:pStyle w:val="Numberedparagraphs"/>
        <w:rPr>
          <w:lang w:val="en-US"/>
        </w:rPr>
      </w:pPr>
      <w:r w:rsidRPr="00C9465D">
        <w:rPr>
          <w:lang w:val="en-US"/>
        </w:rPr>
        <w:t xml:space="preserve">Based on the arguments made by the parties </w:t>
      </w:r>
      <w:r w:rsidR="00193CBB" w:rsidRPr="00C9465D">
        <w:rPr>
          <w:lang w:val="en-US"/>
        </w:rPr>
        <w:t>and the Commission</w:t>
      </w:r>
      <w:r w:rsidR="00CF2BF2" w:rsidRPr="00C9465D">
        <w:rPr>
          <w:lang w:val="en-US"/>
        </w:rPr>
        <w:t>,</w:t>
      </w:r>
      <w:r w:rsidR="00D46BC9" w:rsidRPr="00C9465D">
        <w:rPr>
          <w:lang w:val="en-US"/>
        </w:rPr>
        <w:t xml:space="preserve"> </w:t>
      </w:r>
      <w:r w:rsidR="00183C22" w:rsidRPr="00C9465D">
        <w:rPr>
          <w:lang w:val="en-US"/>
        </w:rPr>
        <w:t>this Court</w:t>
      </w:r>
      <w:r w:rsidR="00D46BC9" w:rsidRPr="00C9465D">
        <w:rPr>
          <w:lang w:val="en-US"/>
        </w:rPr>
        <w:t xml:space="preserve"> </w:t>
      </w:r>
      <w:r w:rsidRPr="00C9465D">
        <w:rPr>
          <w:lang w:val="en-US"/>
        </w:rPr>
        <w:t>will examine</w:t>
      </w:r>
      <w:r w:rsidR="00D46BC9" w:rsidRPr="00C9465D">
        <w:rPr>
          <w:lang w:val="en-US"/>
        </w:rPr>
        <w:t xml:space="preserve">: (1) </w:t>
      </w:r>
      <w:r w:rsidRPr="00C9465D">
        <w:rPr>
          <w:lang w:val="en-US"/>
        </w:rPr>
        <w:t xml:space="preserve">the obligation to open an investigation </w:t>
      </w:r>
      <w:r w:rsidRPr="00C9465D">
        <w:rPr>
          <w:i/>
          <w:iCs/>
          <w:lang w:val="en-US"/>
        </w:rPr>
        <w:t>ex officio</w:t>
      </w:r>
      <w:r w:rsidR="00D46BC9" w:rsidRPr="00C9465D">
        <w:rPr>
          <w:lang w:val="en-US"/>
        </w:rPr>
        <w:t xml:space="preserve">; (2) </w:t>
      </w:r>
      <w:r w:rsidRPr="00C9465D">
        <w:rPr>
          <w:lang w:val="en-US"/>
        </w:rPr>
        <w:t>the omission in the efforts to search for</w:t>
      </w:r>
      <w:r w:rsidR="002F3237" w:rsidRPr="00C9465D">
        <w:rPr>
          <w:lang w:val="en-US"/>
        </w:rPr>
        <w:t xml:space="preserve"> Mr. Guachalá</w:t>
      </w:r>
      <w:r w:rsidR="00F717CA" w:rsidRPr="00C9465D">
        <w:rPr>
          <w:lang w:val="en-US"/>
        </w:rPr>
        <w:t xml:space="preserve"> Chimbo; (3) </w:t>
      </w:r>
      <w:r w:rsidRPr="00C9465D">
        <w:rPr>
          <w:lang w:val="en-US"/>
        </w:rPr>
        <w:t>due diligence</w:t>
      </w:r>
      <w:r w:rsidR="00F717CA" w:rsidRPr="00C9465D">
        <w:rPr>
          <w:lang w:val="en-US"/>
        </w:rPr>
        <w:t xml:space="preserve"> </w:t>
      </w:r>
      <w:r w:rsidRPr="00C9465D">
        <w:rPr>
          <w:lang w:val="en-US"/>
        </w:rPr>
        <w:t>in the investigation</w:t>
      </w:r>
      <w:r w:rsidR="00F717CA" w:rsidRPr="00C9465D">
        <w:rPr>
          <w:lang w:val="en-US"/>
        </w:rPr>
        <w:t xml:space="preserve">; (4) </w:t>
      </w:r>
      <w:r w:rsidRPr="00C9465D">
        <w:rPr>
          <w:lang w:val="en-US"/>
        </w:rPr>
        <w:t xml:space="preserve">the effectiveness of the application for </w:t>
      </w:r>
      <w:r w:rsidR="00721A86" w:rsidRPr="00C9465D">
        <w:rPr>
          <w:i/>
          <w:lang w:val="en-US"/>
        </w:rPr>
        <w:t>habeas corpus</w:t>
      </w:r>
      <w:r w:rsidR="00D46BC9" w:rsidRPr="00C9465D">
        <w:rPr>
          <w:lang w:val="en-US"/>
        </w:rPr>
        <w:t>,</w:t>
      </w:r>
      <w:r w:rsidR="00193CBB" w:rsidRPr="00C9465D">
        <w:rPr>
          <w:lang w:val="en-US"/>
        </w:rPr>
        <w:t xml:space="preserve"> and </w:t>
      </w:r>
      <w:r w:rsidR="00D46BC9" w:rsidRPr="00C9465D">
        <w:rPr>
          <w:lang w:val="en-US"/>
        </w:rPr>
        <w:t>(</w:t>
      </w:r>
      <w:r w:rsidR="00F717CA" w:rsidRPr="00C9465D">
        <w:rPr>
          <w:lang w:val="en-US"/>
        </w:rPr>
        <w:t>5</w:t>
      </w:r>
      <w:r w:rsidR="00D46BC9" w:rsidRPr="00C9465D">
        <w:rPr>
          <w:lang w:val="en-US"/>
        </w:rPr>
        <w:t xml:space="preserve">) </w:t>
      </w:r>
      <w:r w:rsidRPr="00C9465D">
        <w:rPr>
          <w:lang w:val="en-US"/>
        </w:rPr>
        <w:t>the reasonable time</w:t>
      </w:r>
      <w:r w:rsidR="00D46BC9" w:rsidRPr="00C9465D">
        <w:rPr>
          <w:lang w:val="en-US"/>
        </w:rPr>
        <w:t>.</w:t>
      </w:r>
    </w:p>
    <w:p w14:paraId="10AB892B" w14:textId="2DED63FB" w:rsidR="00D46BC9" w:rsidRPr="00C9465D" w:rsidRDefault="00D46BC9" w:rsidP="00C95348">
      <w:pPr>
        <w:pStyle w:val="Heading3"/>
        <w:rPr>
          <w:lang w:val="en-US"/>
        </w:rPr>
      </w:pPr>
      <w:bookmarkStart w:id="63" w:name="_Toc526152711"/>
      <w:bookmarkStart w:id="64" w:name="_Toc74298462"/>
      <w:r w:rsidRPr="00C9465D">
        <w:rPr>
          <w:lang w:val="en-US"/>
        </w:rPr>
        <w:t xml:space="preserve">B.1 </w:t>
      </w:r>
      <w:r w:rsidRPr="00C9465D">
        <w:rPr>
          <w:lang w:val="en-US"/>
        </w:rPr>
        <w:tab/>
      </w:r>
      <w:r w:rsidR="000A73DA" w:rsidRPr="00C9465D">
        <w:rPr>
          <w:lang w:val="en-US"/>
        </w:rPr>
        <w:t xml:space="preserve">Obligation to open an investigation </w:t>
      </w:r>
      <w:r w:rsidR="000A73DA" w:rsidRPr="00C9465D">
        <w:rPr>
          <w:i/>
          <w:iCs/>
          <w:lang w:val="en-US"/>
        </w:rPr>
        <w:t>ex officio</w:t>
      </w:r>
      <w:bookmarkEnd w:id="63"/>
      <w:bookmarkEnd w:id="64"/>
      <w:r w:rsidRPr="00C9465D">
        <w:rPr>
          <w:lang w:val="en-US"/>
        </w:rPr>
        <w:t xml:space="preserve"> </w:t>
      </w:r>
    </w:p>
    <w:p w14:paraId="5F21F044" w14:textId="77777777" w:rsidR="0054753D" w:rsidRPr="00C9465D" w:rsidRDefault="00193CBB" w:rsidP="00986E35">
      <w:pPr>
        <w:pStyle w:val="Numberedparagraphs"/>
        <w:rPr>
          <w:lang w:val="en-US"/>
        </w:rPr>
      </w:pPr>
      <w:bookmarkStart w:id="65" w:name="_Ref72159313"/>
      <w:r w:rsidRPr="00C9465D">
        <w:rPr>
          <w:lang w:val="en-US"/>
        </w:rPr>
        <w:t>The Court</w:t>
      </w:r>
      <w:r w:rsidR="00D46BC9" w:rsidRPr="00C9465D">
        <w:rPr>
          <w:lang w:val="en-US"/>
        </w:rPr>
        <w:t xml:space="preserve"> </w:t>
      </w:r>
      <w:r w:rsidR="000A73DA" w:rsidRPr="00C9465D">
        <w:rPr>
          <w:lang w:val="en-US"/>
        </w:rPr>
        <w:t>recalls that the</w:t>
      </w:r>
      <w:r w:rsidR="00D46BC9" w:rsidRPr="00C9465D">
        <w:rPr>
          <w:lang w:val="en-US"/>
        </w:rPr>
        <w:t xml:space="preserve"> </w:t>
      </w:r>
      <w:r w:rsidR="001F65A3" w:rsidRPr="00C9465D">
        <w:rPr>
          <w:lang w:val="en-US"/>
        </w:rPr>
        <w:t>Julio Endara Hospital</w:t>
      </w:r>
      <w:r w:rsidR="00D46BC9" w:rsidRPr="00C9465D">
        <w:rPr>
          <w:lang w:val="en-US"/>
        </w:rPr>
        <w:t xml:space="preserve"> </w:t>
      </w:r>
      <w:r w:rsidR="000A73DA" w:rsidRPr="00C9465D">
        <w:rPr>
          <w:lang w:val="en-US"/>
        </w:rPr>
        <w:t>is an Ecuadorian public hospital. Therefore, once the staff of that hospital noted the absence of a patient they were obliged to notify the competent authorities in order to open the investigation. According to information given to Mrs. Chimbo by the nurse in charge of caring for Mr. Guachalá, the day of his disappearance the police were advised.</w:t>
      </w:r>
      <w:r w:rsidR="007E0C25" w:rsidRPr="00C9465D">
        <w:rPr>
          <w:rStyle w:val="FootnoteReference"/>
          <w:lang w:val="en-US"/>
        </w:rPr>
        <w:footnoteReference w:id="306"/>
      </w:r>
      <w:r w:rsidR="000A73DA" w:rsidRPr="00C9465D">
        <w:rPr>
          <w:lang w:val="en-US"/>
        </w:rPr>
        <w:t xml:space="preserve"> However, there is no record in the case file that</w:t>
      </w:r>
      <w:r w:rsidR="000B1C13" w:rsidRPr="00C9465D">
        <w:rPr>
          <w:lang w:val="en-US"/>
        </w:rPr>
        <w:t xml:space="preserve"> any investigation was initiated</w:t>
      </w:r>
      <w:r w:rsidR="000A73DA" w:rsidRPr="00C9465D">
        <w:rPr>
          <w:lang w:val="en-US"/>
        </w:rPr>
        <w:t xml:space="preserve"> following this report</w:t>
      </w:r>
      <w:r w:rsidR="000B1C13" w:rsidRPr="00C9465D">
        <w:rPr>
          <w:lang w:val="en-US"/>
        </w:rPr>
        <w:t xml:space="preserve">. The first police procedure was conducted on January 19, </w:t>
      </w:r>
      <w:r w:rsidR="00944AA1" w:rsidRPr="00C9465D">
        <w:rPr>
          <w:lang w:val="en-US"/>
        </w:rPr>
        <w:t>2004</w:t>
      </w:r>
      <w:r w:rsidR="00FB48B2" w:rsidRPr="00C9465D">
        <w:rPr>
          <w:lang w:val="en-US"/>
        </w:rPr>
        <w:t xml:space="preserve">, </w:t>
      </w:r>
      <w:r w:rsidR="000B1C13" w:rsidRPr="00C9465D">
        <w:rPr>
          <w:lang w:val="en-US"/>
        </w:rPr>
        <w:t>two days after the disappearance.</w:t>
      </w:r>
      <w:r w:rsidR="00FB48B2" w:rsidRPr="00C9465D">
        <w:rPr>
          <w:rStyle w:val="FootnoteReference"/>
          <w:lang w:val="en-US"/>
        </w:rPr>
        <w:footnoteReference w:id="307"/>
      </w:r>
      <w:bookmarkEnd w:id="65"/>
      <w:r w:rsidR="000B1C13" w:rsidRPr="00C9465D">
        <w:rPr>
          <w:lang w:val="en-US"/>
        </w:rPr>
        <w:t xml:space="preserve"> </w:t>
      </w:r>
    </w:p>
    <w:p w14:paraId="6D848934" w14:textId="06A0BA91" w:rsidR="00F136F0" w:rsidRPr="00C9465D" w:rsidRDefault="000B1C13" w:rsidP="00986E35">
      <w:pPr>
        <w:pStyle w:val="Numberedparagraphs"/>
        <w:rPr>
          <w:lang w:val="en-US"/>
        </w:rPr>
      </w:pPr>
      <w:r w:rsidRPr="00C9465D">
        <w:rPr>
          <w:lang w:val="en-US"/>
        </w:rPr>
        <w:t xml:space="preserve">Instead of undertaking the investigation </w:t>
      </w:r>
      <w:r w:rsidRPr="00C9465D">
        <w:rPr>
          <w:i/>
          <w:iCs/>
          <w:lang w:val="en-US"/>
        </w:rPr>
        <w:t xml:space="preserve">ex officio, </w:t>
      </w:r>
      <w:r w:rsidRPr="00C9465D">
        <w:rPr>
          <w:lang w:val="en-US"/>
        </w:rPr>
        <w:t xml:space="preserve">both </w:t>
      </w:r>
      <w:r w:rsidR="0069093A" w:rsidRPr="00C9465D">
        <w:rPr>
          <w:lang w:val="en-US"/>
        </w:rPr>
        <w:t xml:space="preserve">the </w:t>
      </w:r>
      <w:r w:rsidRPr="00C9465D">
        <w:rPr>
          <w:lang w:val="en-US"/>
        </w:rPr>
        <w:t>hospital staff and the police informed Mrs. Chimbo Jarro that she should file a complaint</w:t>
      </w:r>
      <w:r w:rsidRPr="00C9465D">
        <w:rPr>
          <w:i/>
          <w:iCs/>
          <w:lang w:val="en-US"/>
        </w:rPr>
        <w:t>.</w:t>
      </w:r>
      <w:r w:rsidR="00F136F0" w:rsidRPr="00C9465D">
        <w:rPr>
          <w:rStyle w:val="FootnoteReference"/>
          <w:lang w:val="en-US"/>
        </w:rPr>
        <w:footnoteReference w:id="308"/>
      </w:r>
      <w:r w:rsidR="00F136F0" w:rsidRPr="00C9465D">
        <w:rPr>
          <w:lang w:val="en-US"/>
        </w:rPr>
        <w:t xml:space="preserve"> </w:t>
      </w:r>
      <w:r w:rsidRPr="00C9465D">
        <w:rPr>
          <w:lang w:val="en-US"/>
        </w:rPr>
        <w:t>T</w:t>
      </w:r>
      <w:r w:rsidR="00183C22" w:rsidRPr="00C9465D">
        <w:rPr>
          <w:lang w:val="en-US"/>
        </w:rPr>
        <w:t>he Court</w:t>
      </w:r>
      <w:r w:rsidR="0043255A" w:rsidRPr="00C9465D">
        <w:rPr>
          <w:lang w:val="en-US"/>
        </w:rPr>
        <w:t xml:space="preserve"> </w:t>
      </w:r>
      <w:r w:rsidR="008D7772" w:rsidRPr="00C9465D">
        <w:rPr>
          <w:lang w:val="en-US"/>
        </w:rPr>
        <w:t>consider</w:t>
      </w:r>
      <w:r w:rsidRPr="00C9465D">
        <w:rPr>
          <w:lang w:val="en-US"/>
        </w:rPr>
        <w:t>s that the obligation to investigate the disappearance of a person who was in the State’s custody should be assumed</w:t>
      </w:r>
      <w:r w:rsidR="008D7772" w:rsidRPr="00C9465D">
        <w:rPr>
          <w:lang w:val="en-US"/>
        </w:rPr>
        <w:t xml:space="preserve"> </w:t>
      </w:r>
      <w:r w:rsidR="0043255A" w:rsidRPr="00C9465D">
        <w:rPr>
          <w:i/>
          <w:lang w:val="en-US"/>
        </w:rPr>
        <w:t>ex of</w:t>
      </w:r>
      <w:r w:rsidR="00944AA1" w:rsidRPr="00C9465D">
        <w:rPr>
          <w:i/>
          <w:lang w:val="en-US"/>
        </w:rPr>
        <w:t>f</w:t>
      </w:r>
      <w:r w:rsidR="0043255A" w:rsidRPr="00C9465D">
        <w:rPr>
          <w:i/>
          <w:lang w:val="en-US"/>
        </w:rPr>
        <w:t>icio</w:t>
      </w:r>
      <w:r w:rsidR="0043255A" w:rsidRPr="00C9465D">
        <w:rPr>
          <w:lang w:val="en-US"/>
        </w:rPr>
        <w:t xml:space="preserve">; </w:t>
      </w:r>
      <w:r w:rsidRPr="00C9465D">
        <w:rPr>
          <w:lang w:val="en-US"/>
        </w:rPr>
        <w:t xml:space="preserve">that is to say, its initiation cannot be contingent upon the procedural initiative of the victims’ next of kin. </w:t>
      </w:r>
    </w:p>
    <w:p w14:paraId="2670F33F" w14:textId="53EB444D" w:rsidR="00D02F01" w:rsidRPr="00C9465D" w:rsidRDefault="000B1C13" w:rsidP="00AA3C22">
      <w:pPr>
        <w:pStyle w:val="Numberedparagraphs"/>
        <w:rPr>
          <w:lang w:val="en-US"/>
        </w:rPr>
      </w:pPr>
      <w:r w:rsidRPr="00C9465D">
        <w:rPr>
          <w:lang w:val="en-US"/>
        </w:rPr>
        <w:t>Consequently</w:t>
      </w:r>
      <w:r w:rsidR="00051700" w:rsidRPr="00C9465D">
        <w:rPr>
          <w:lang w:val="en-US"/>
        </w:rPr>
        <w:t>,</w:t>
      </w:r>
      <w:r w:rsidR="00F136F0" w:rsidRPr="00C9465D">
        <w:rPr>
          <w:lang w:val="en-US"/>
        </w:rPr>
        <w:t xml:space="preserve"> </w:t>
      </w:r>
      <w:r w:rsidR="00193CBB" w:rsidRPr="00C9465D">
        <w:rPr>
          <w:lang w:val="en-US"/>
        </w:rPr>
        <w:t>the Court</w:t>
      </w:r>
      <w:r w:rsidR="00F136F0" w:rsidRPr="00C9465D">
        <w:rPr>
          <w:lang w:val="en-US"/>
        </w:rPr>
        <w:t xml:space="preserve"> consider</w:t>
      </w:r>
      <w:r w:rsidRPr="00C9465D">
        <w:rPr>
          <w:lang w:val="en-US"/>
        </w:rPr>
        <w:t>s that</w:t>
      </w:r>
      <w:r w:rsidR="00F136F0" w:rsidRPr="00C9465D">
        <w:rPr>
          <w:lang w:val="en-US"/>
        </w:rPr>
        <w:t xml:space="preserve"> </w:t>
      </w:r>
      <w:r w:rsidR="00193CBB" w:rsidRPr="00C9465D">
        <w:rPr>
          <w:lang w:val="en-US"/>
        </w:rPr>
        <w:t>the State</w:t>
      </w:r>
      <w:r w:rsidR="00F136F0" w:rsidRPr="00C9465D">
        <w:rPr>
          <w:lang w:val="en-US"/>
        </w:rPr>
        <w:t xml:space="preserve"> </w:t>
      </w:r>
      <w:r w:rsidRPr="00C9465D">
        <w:rPr>
          <w:lang w:val="en-US"/>
        </w:rPr>
        <w:t xml:space="preserve">failed to comply with its obligation to initiate the investigation </w:t>
      </w:r>
      <w:r w:rsidRPr="00C9465D">
        <w:rPr>
          <w:i/>
          <w:iCs/>
          <w:lang w:val="en-US"/>
        </w:rPr>
        <w:t>ex officio</w:t>
      </w:r>
      <w:r w:rsidRPr="00C9465D">
        <w:rPr>
          <w:lang w:val="en-US"/>
        </w:rPr>
        <w:t xml:space="preserve"> and immediately</w:t>
      </w:r>
      <w:r w:rsidR="00F136F0" w:rsidRPr="00C9465D">
        <w:rPr>
          <w:lang w:val="en-US"/>
        </w:rPr>
        <w:t>.</w:t>
      </w:r>
      <w:bookmarkStart w:id="66" w:name="_Toc526152712"/>
    </w:p>
    <w:p w14:paraId="10B965C9" w14:textId="33A562D5" w:rsidR="00D02F01" w:rsidRPr="00C9465D" w:rsidRDefault="00D02F01" w:rsidP="00C95348">
      <w:pPr>
        <w:pStyle w:val="Heading3"/>
        <w:rPr>
          <w:lang w:val="en-US"/>
        </w:rPr>
      </w:pPr>
      <w:bookmarkStart w:id="67" w:name="_Toc74298463"/>
      <w:r w:rsidRPr="00C9465D">
        <w:rPr>
          <w:lang w:val="en-US"/>
        </w:rPr>
        <w:t xml:space="preserve">B.2 </w:t>
      </w:r>
      <w:r w:rsidRPr="00C9465D">
        <w:rPr>
          <w:lang w:val="en-US"/>
        </w:rPr>
        <w:tab/>
      </w:r>
      <w:r w:rsidR="000A73DA" w:rsidRPr="00C9465D">
        <w:rPr>
          <w:lang w:val="en-US"/>
        </w:rPr>
        <w:t>Omission in the efforts to search for</w:t>
      </w:r>
      <w:r w:rsidR="002F3237" w:rsidRPr="00C9465D">
        <w:rPr>
          <w:lang w:val="en-US"/>
        </w:rPr>
        <w:t xml:space="preserve"> Mr. Guachalá</w:t>
      </w:r>
      <w:r w:rsidRPr="00C9465D">
        <w:rPr>
          <w:lang w:val="en-US"/>
        </w:rPr>
        <w:t xml:space="preserve"> Chimbo</w:t>
      </w:r>
      <w:bookmarkEnd w:id="67"/>
    </w:p>
    <w:p w14:paraId="30294835" w14:textId="4A56BDFA" w:rsidR="00E65B33" w:rsidRPr="00C9465D" w:rsidRDefault="00DE19FB" w:rsidP="00AA3C22">
      <w:pPr>
        <w:pStyle w:val="Numberedparagraphs"/>
        <w:rPr>
          <w:lang w:val="en-US"/>
        </w:rPr>
      </w:pPr>
      <w:r w:rsidRPr="00C9465D">
        <w:rPr>
          <w:lang w:val="en-US"/>
        </w:rPr>
        <w:t xml:space="preserve">The investigation into what happened </w:t>
      </w:r>
      <w:r w:rsidR="002F3237" w:rsidRPr="00C9465D">
        <w:rPr>
          <w:lang w:val="en-US"/>
        </w:rPr>
        <w:t>to Mr. Guachalá</w:t>
      </w:r>
      <w:r w:rsidR="000C03C3" w:rsidRPr="00C9465D">
        <w:rPr>
          <w:lang w:val="en-US"/>
        </w:rPr>
        <w:t xml:space="preserve"> Chimbo inclu</w:t>
      </w:r>
      <w:r w:rsidRPr="00C9465D">
        <w:rPr>
          <w:lang w:val="en-US"/>
        </w:rPr>
        <w:t>ded the obligation to determine the</w:t>
      </w:r>
      <w:r w:rsidR="0054753D" w:rsidRPr="00C9465D">
        <w:rPr>
          <w:lang w:val="en-US"/>
        </w:rPr>
        <w:t xml:space="preserve"> victim’s</w:t>
      </w:r>
      <w:r w:rsidRPr="00C9465D">
        <w:rPr>
          <w:lang w:val="en-US"/>
        </w:rPr>
        <w:t xml:space="preserve"> fate or destiny </w:t>
      </w:r>
      <w:r w:rsidR="00193CBB" w:rsidRPr="00C9465D">
        <w:rPr>
          <w:lang w:val="en-US"/>
        </w:rPr>
        <w:t xml:space="preserve">and </w:t>
      </w:r>
      <w:r w:rsidRPr="00C9465D">
        <w:rPr>
          <w:lang w:val="en-US"/>
        </w:rPr>
        <w:t xml:space="preserve">to </w:t>
      </w:r>
      <w:r w:rsidR="0054753D" w:rsidRPr="00C9465D">
        <w:rPr>
          <w:lang w:val="en-US"/>
        </w:rPr>
        <w:t>discover</w:t>
      </w:r>
      <w:r w:rsidRPr="00C9465D">
        <w:rPr>
          <w:lang w:val="en-US"/>
        </w:rPr>
        <w:t xml:space="preserve"> his whereabouts</w:t>
      </w:r>
      <w:r w:rsidR="000C03C3" w:rsidRPr="00C9465D">
        <w:rPr>
          <w:lang w:val="en-US"/>
        </w:rPr>
        <w:t>.</w:t>
      </w:r>
      <w:r w:rsidRPr="00C9465D">
        <w:rPr>
          <w:lang w:val="en-US"/>
        </w:rPr>
        <w:t xml:space="preserve"> In this case, the search also had to</w:t>
      </w:r>
      <w:r w:rsidR="000C03C3" w:rsidRPr="00C9465D">
        <w:rPr>
          <w:lang w:val="en-US"/>
        </w:rPr>
        <w:t xml:space="preserve"> </w:t>
      </w:r>
      <w:r w:rsidRPr="00C9465D">
        <w:rPr>
          <w:lang w:val="en-US"/>
        </w:rPr>
        <w:t xml:space="preserve">take into account </w:t>
      </w:r>
      <w:r w:rsidR="002F3237" w:rsidRPr="00C9465D">
        <w:rPr>
          <w:lang w:val="en-US"/>
        </w:rPr>
        <w:t>Mr. Guachalá</w:t>
      </w:r>
      <w:r w:rsidR="000C03C3" w:rsidRPr="00C9465D">
        <w:rPr>
          <w:lang w:val="en-US"/>
        </w:rPr>
        <w:t xml:space="preserve"> Chimbo</w:t>
      </w:r>
      <w:r w:rsidR="0054753D" w:rsidRPr="00C9465D">
        <w:rPr>
          <w:lang w:val="en-US"/>
        </w:rPr>
        <w:t>’s</w:t>
      </w:r>
      <w:r w:rsidR="000C03C3" w:rsidRPr="00C9465D">
        <w:rPr>
          <w:lang w:val="en-US"/>
        </w:rPr>
        <w:t xml:space="preserve"> </w:t>
      </w:r>
      <w:r w:rsidRPr="00C9465D">
        <w:rPr>
          <w:lang w:val="en-US"/>
        </w:rPr>
        <w:t>special vulnerability at the time of his disappearance</w:t>
      </w:r>
      <w:r w:rsidR="000C03C3" w:rsidRPr="00C9465D">
        <w:rPr>
          <w:lang w:val="en-US"/>
        </w:rPr>
        <w:t xml:space="preserve">. </w:t>
      </w:r>
    </w:p>
    <w:p w14:paraId="4A494612" w14:textId="47C363B5" w:rsidR="007E60A4" w:rsidRPr="00C9465D" w:rsidRDefault="00DE19FB" w:rsidP="00AA3C22">
      <w:pPr>
        <w:pStyle w:val="Numberedparagraphs"/>
        <w:rPr>
          <w:lang w:val="en-US"/>
        </w:rPr>
      </w:pPr>
      <w:r w:rsidRPr="00C9465D">
        <w:rPr>
          <w:lang w:val="en-US"/>
        </w:rPr>
        <w:t>First</w:t>
      </w:r>
      <w:r w:rsidR="00D02F01" w:rsidRPr="00C9465D">
        <w:rPr>
          <w:lang w:val="en-US"/>
        </w:rPr>
        <w:t xml:space="preserve">, </w:t>
      </w:r>
      <w:r w:rsidR="00B71E4D" w:rsidRPr="00C9465D">
        <w:rPr>
          <w:lang w:val="en-US"/>
        </w:rPr>
        <w:t>th</w:t>
      </w:r>
      <w:r w:rsidRPr="00C9465D">
        <w:rPr>
          <w:lang w:val="en-US"/>
        </w:rPr>
        <w:t>e</w:t>
      </w:r>
      <w:r w:rsidR="00B71E4D" w:rsidRPr="00C9465D">
        <w:rPr>
          <w:lang w:val="en-US"/>
        </w:rPr>
        <w:t xml:space="preserve"> Court</w:t>
      </w:r>
      <w:r w:rsidR="00D02F01" w:rsidRPr="00C9465D">
        <w:rPr>
          <w:lang w:val="en-US"/>
        </w:rPr>
        <w:t xml:space="preserve"> </w:t>
      </w:r>
      <w:r w:rsidRPr="00C9465D">
        <w:rPr>
          <w:lang w:val="en-US"/>
        </w:rPr>
        <w:t>underlines that the state authorities</w:t>
      </w:r>
      <w:r w:rsidR="0054753D" w:rsidRPr="00C9465D">
        <w:rPr>
          <w:lang w:val="en-US"/>
        </w:rPr>
        <w:t>’ assumption</w:t>
      </w:r>
      <w:r w:rsidRPr="00C9465D">
        <w:rPr>
          <w:lang w:val="en-US"/>
        </w:rPr>
        <w:t xml:space="preserve"> is that </w:t>
      </w:r>
      <w:r w:rsidR="002F3237" w:rsidRPr="00C9465D">
        <w:rPr>
          <w:lang w:val="en-US"/>
        </w:rPr>
        <w:t>Mr. Guachalá</w:t>
      </w:r>
      <w:r w:rsidR="00D02F01" w:rsidRPr="00C9465D">
        <w:rPr>
          <w:lang w:val="en-US"/>
        </w:rPr>
        <w:t xml:space="preserve"> Chimbo </w:t>
      </w:r>
      <w:r w:rsidRPr="00C9465D">
        <w:rPr>
          <w:lang w:val="en-US"/>
        </w:rPr>
        <w:t xml:space="preserve">escaped from the </w:t>
      </w:r>
      <w:r w:rsidR="00D02F01" w:rsidRPr="00C9465D">
        <w:rPr>
          <w:lang w:val="en-US"/>
        </w:rPr>
        <w:t xml:space="preserve">hospital. </w:t>
      </w:r>
      <w:r w:rsidRPr="00C9465D">
        <w:rPr>
          <w:lang w:val="en-US"/>
        </w:rPr>
        <w:t>However, this line of investigation required</w:t>
      </w:r>
      <w:r w:rsidR="0054753D" w:rsidRPr="00C9465D">
        <w:rPr>
          <w:lang w:val="en-US"/>
        </w:rPr>
        <w:t xml:space="preserve"> that</w:t>
      </w:r>
      <w:r w:rsidRPr="00C9465D">
        <w:rPr>
          <w:lang w:val="en-US"/>
        </w:rPr>
        <w:t>, at the very least, the authorities had been informed</w:t>
      </w:r>
      <w:r w:rsidR="0054753D" w:rsidRPr="00C9465D">
        <w:rPr>
          <w:lang w:val="en-US"/>
        </w:rPr>
        <w:t xml:space="preserve"> of his disappearance</w:t>
      </w:r>
      <w:r w:rsidRPr="00C9465D">
        <w:rPr>
          <w:lang w:val="en-US"/>
        </w:rPr>
        <w:t xml:space="preserve"> </w:t>
      </w:r>
      <w:r w:rsidR="0054753D" w:rsidRPr="00C9465D">
        <w:rPr>
          <w:lang w:val="en-US"/>
        </w:rPr>
        <w:t>straight away</w:t>
      </w:r>
      <w:r w:rsidRPr="00C9465D">
        <w:rPr>
          <w:lang w:val="en-US"/>
        </w:rPr>
        <w:t xml:space="preserve"> and that they had </w:t>
      </w:r>
      <w:r w:rsidR="0054753D" w:rsidRPr="00C9465D">
        <w:rPr>
          <w:lang w:val="en-US"/>
        </w:rPr>
        <w:t xml:space="preserve">immediately </w:t>
      </w:r>
      <w:r w:rsidRPr="00C9465D">
        <w:rPr>
          <w:lang w:val="en-US"/>
        </w:rPr>
        <w:t xml:space="preserve">carried out searches in the areas surrounding </w:t>
      </w:r>
      <w:r w:rsidR="006758E3" w:rsidRPr="00C9465D">
        <w:rPr>
          <w:lang w:val="en-US"/>
        </w:rPr>
        <w:t>the Julio Endara</w:t>
      </w:r>
      <w:r w:rsidR="001F65A3" w:rsidRPr="00C9465D">
        <w:rPr>
          <w:lang w:val="en-US"/>
        </w:rPr>
        <w:t xml:space="preserve"> Hospital</w:t>
      </w:r>
      <w:r w:rsidR="00D02F01" w:rsidRPr="00C9465D">
        <w:rPr>
          <w:lang w:val="en-US"/>
        </w:rPr>
        <w:t xml:space="preserve"> o</w:t>
      </w:r>
      <w:r w:rsidRPr="00C9465D">
        <w:rPr>
          <w:lang w:val="en-US"/>
        </w:rPr>
        <w:t xml:space="preserve">r in possible places where </w:t>
      </w:r>
      <w:r w:rsidR="0054753D" w:rsidRPr="00C9465D">
        <w:rPr>
          <w:lang w:val="en-US"/>
        </w:rPr>
        <w:t>Mr. Guachalá</w:t>
      </w:r>
      <w:r w:rsidRPr="00C9465D">
        <w:rPr>
          <w:lang w:val="en-US"/>
        </w:rPr>
        <w:t xml:space="preserve"> could have gone</w:t>
      </w:r>
      <w:r w:rsidR="0054753D" w:rsidRPr="00C9465D">
        <w:rPr>
          <w:lang w:val="en-US"/>
        </w:rPr>
        <w:t>.</w:t>
      </w:r>
    </w:p>
    <w:p w14:paraId="72A7B4A3" w14:textId="6481D558" w:rsidR="007E60A4" w:rsidRPr="00C9465D" w:rsidRDefault="00DE19FB" w:rsidP="00F73EB7">
      <w:pPr>
        <w:pStyle w:val="Numberedparagraphs"/>
        <w:rPr>
          <w:szCs w:val="22"/>
          <w:lang w:val="en-US"/>
        </w:rPr>
      </w:pPr>
      <w:r w:rsidRPr="00C9465D">
        <w:rPr>
          <w:lang w:val="en-US"/>
        </w:rPr>
        <w:lastRenderedPageBreak/>
        <w:t xml:space="preserve">To the contrary, </w:t>
      </w:r>
      <w:r w:rsidR="000D1F57" w:rsidRPr="00C9465D">
        <w:rPr>
          <w:lang w:val="en-US"/>
        </w:rPr>
        <w:t>the Rules and Regulations</w:t>
      </w:r>
      <w:r w:rsidRPr="00C9465D">
        <w:rPr>
          <w:lang w:val="en-US"/>
        </w:rPr>
        <w:t xml:space="preserve"> </w:t>
      </w:r>
      <w:r w:rsidR="006758E3" w:rsidRPr="00C9465D">
        <w:rPr>
          <w:lang w:val="en-US"/>
        </w:rPr>
        <w:t>of the Julio Endara</w:t>
      </w:r>
      <w:r w:rsidR="001F65A3" w:rsidRPr="00C9465D">
        <w:rPr>
          <w:lang w:val="en-US"/>
        </w:rPr>
        <w:t xml:space="preserve"> Hospital</w:t>
      </w:r>
      <w:r w:rsidR="007E60A4" w:rsidRPr="00C9465D">
        <w:rPr>
          <w:lang w:val="en-US"/>
        </w:rPr>
        <w:t xml:space="preserve"> establ</w:t>
      </w:r>
      <w:r w:rsidRPr="00C9465D">
        <w:rPr>
          <w:lang w:val="en-US"/>
        </w:rPr>
        <w:t xml:space="preserve">ished that, if </w:t>
      </w:r>
      <w:r w:rsidR="00F73EB7" w:rsidRPr="00C9465D">
        <w:rPr>
          <w:lang w:val="en-US"/>
        </w:rPr>
        <w:t>a patient</w:t>
      </w:r>
      <w:r w:rsidRPr="00C9465D">
        <w:rPr>
          <w:lang w:val="en-US"/>
        </w:rPr>
        <w:t xml:space="preserve"> “</w:t>
      </w:r>
      <w:r w:rsidR="00F73EB7" w:rsidRPr="00C9465D">
        <w:rPr>
          <w:lang w:val="en-US"/>
        </w:rPr>
        <w:t>abandoned</w:t>
      </w:r>
      <w:r w:rsidRPr="00C9465D">
        <w:rPr>
          <w:lang w:val="en-US"/>
        </w:rPr>
        <w:t xml:space="preserve"> the institution</w:t>
      </w:r>
      <w:r w:rsidR="00F73EB7" w:rsidRPr="00C9465D">
        <w:rPr>
          <w:lang w:val="en-US"/>
        </w:rPr>
        <w:t>,</w:t>
      </w:r>
      <w:r w:rsidRPr="00C9465D">
        <w:rPr>
          <w:lang w:val="en-US"/>
        </w:rPr>
        <w:t>”</w:t>
      </w:r>
      <w:r w:rsidR="00F73EB7" w:rsidRPr="00C9465D">
        <w:rPr>
          <w:lang w:val="en-US"/>
        </w:rPr>
        <w:t xml:space="preserve"> “the person in charge would advise the hospital security staff in order to locate </w:t>
      </w:r>
      <w:r w:rsidR="0054753D" w:rsidRPr="00C9465D">
        <w:rPr>
          <w:lang w:val="en-US"/>
        </w:rPr>
        <w:t>him</w:t>
      </w:r>
      <w:r w:rsidR="00F73EB7" w:rsidRPr="00C9465D">
        <w:rPr>
          <w:lang w:val="en-US"/>
        </w:rPr>
        <w:t>.</w:t>
      </w:r>
      <w:r w:rsidR="007E60A4" w:rsidRPr="00C9465D">
        <w:rPr>
          <w:lang w:val="en-US"/>
        </w:rPr>
        <w:t>”</w:t>
      </w:r>
      <w:r w:rsidR="007E60A4" w:rsidRPr="00C9465D">
        <w:rPr>
          <w:vertAlign w:val="superscript"/>
          <w:lang w:val="en-US"/>
        </w:rPr>
        <w:footnoteReference w:id="309"/>
      </w:r>
      <w:r w:rsidR="00F73EB7" w:rsidRPr="00C9465D">
        <w:rPr>
          <w:lang w:val="en-US"/>
        </w:rPr>
        <w:t xml:space="preserve"> These </w:t>
      </w:r>
      <w:r w:rsidR="000D1F57" w:rsidRPr="00C9465D">
        <w:rPr>
          <w:lang w:val="en-US"/>
        </w:rPr>
        <w:t xml:space="preserve">rules </w:t>
      </w:r>
      <w:r w:rsidR="00F73EB7" w:rsidRPr="00C9465D">
        <w:rPr>
          <w:lang w:val="en-US"/>
        </w:rPr>
        <w:t>were not sufficient</w:t>
      </w:r>
      <w:r w:rsidR="0054753D" w:rsidRPr="00C9465D">
        <w:rPr>
          <w:lang w:val="en-US"/>
        </w:rPr>
        <w:t>ly</w:t>
      </w:r>
      <w:r w:rsidR="00F73EB7" w:rsidRPr="00C9465D">
        <w:rPr>
          <w:lang w:val="en-US"/>
        </w:rPr>
        <w:t xml:space="preserve"> comprehensive to </w:t>
      </w:r>
      <w:r w:rsidR="0054753D" w:rsidRPr="00C9465D">
        <w:rPr>
          <w:lang w:val="en-US"/>
        </w:rPr>
        <w:t xml:space="preserve">ensure that actions were taken </w:t>
      </w:r>
      <w:r w:rsidR="00F73EB7" w:rsidRPr="00C9465D">
        <w:rPr>
          <w:lang w:val="en-US"/>
        </w:rPr>
        <w:t>with</w:t>
      </w:r>
      <w:r w:rsidR="007E60A4" w:rsidRPr="00C9465D">
        <w:rPr>
          <w:lang w:val="en-US"/>
        </w:rPr>
        <w:t xml:space="preserve"> </w:t>
      </w:r>
      <w:r w:rsidR="000A73DA" w:rsidRPr="00C9465D">
        <w:rPr>
          <w:lang w:val="en-US"/>
        </w:rPr>
        <w:t>due diligence</w:t>
      </w:r>
      <w:r w:rsidR="007E60A4" w:rsidRPr="00C9465D">
        <w:rPr>
          <w:lang w:val="en-US"/>
        </w:rPr>
        <w:t xml:space="preserve"> </w:t>
      </w:r>
      <w:r w:rsidR="00F73EB7" w:rsidRPr="00C9465D">
        <w:rPr>
          <w:lang w:val="en-US"/>
        </w:rPr>
        <w:t xml:space="preserve">when a patient disappeared because, for example, they did not require the staff to report the disappearance to the police </w:t>
      </w:r>
      <w:r w:rsidR="0054753D" w:rsidRPr="00C9465D">
        <w:rPr>
          <w:lang w:val="en-US"/>
        </w:rPr>
        <w:t xml:space="preserve">immediately </w:t>
      </w:r>
      <w:r w:rsidR="00F73EB7" w:rsidRPr="00C9465D">
        <w:rPr>
          <w:lang w:val="en-US"/>
        </w:rPr>
        <w:t>or to contact the patient’s family</w:t>
      </w:r>
      <w:r w:rsidR="007E60A4" w:rsidRPr="00C9465D">
        <w:rPr>
          <w:lang w:val="en-US"/>
        </w:rPr>
        <w:t xml:space="preserve">. </w:t>
      </w:r>
    </w:p>
    <w:p w14:paraId="77850451" w14:textId="4008B163" w:rsidR="007E60A4" w:rsidRPr="00C9465D" w:rsidRDefault="00F73EB7" w:rsidP="00AA3C22">
      <w:pPr>
        <w:pStyle w:val="Numberedparagraphs"/>
        <w:rPr>
          <w:lang w:val="en-US"/>
        </w:rPr>
      </w:pPr>
      <w:r w:rsidRPr="00C9465D">
        <w:rPr>
          <w:lang w:val="en-US"/>
        </w:rPr>
        <w:t xml:space="preserve">In addition, the Court notes that, in this case, even the hospital’s </w:t>
      </w:r>
      <w:r w:rsidR="000D1F57" w:rsidRPr="00C9465D">
        <w:rPr>
          <w:lang w:val="en-US"/>
        </w:rPr>
        <w:t>rules and regulations</w:t>
      </w:r>
      <w:r w:rsidRPr="00C9465D">
        <w:rPr>
          <w:lang w:val="en-US"/>
        </w:rPr>
        <w:t xml:space="preserve"> were not complied with because the nurse in charge of </w:t>
      </w:r>
      <w:r w:rsidR="002F3237" w:rsidRPr="00C9465D">
        <w:rPr>
          <w:lang w:val="en-US"/>
        </w:rPr>
        <w:t>Mr. Guachalá</w:t>
      </w:r>
      <w:r w:rsidR="007E60A4" w:rsidRPr="00C9465D">
        <w:rPr>
          <w:lang w:val="en-US"/>
        </w:rPr>
        <w:t xml:space="preserve"> Chimbo</w:t>
      </w:r>
      <w:r w:rsidR="00FD3452" w:rsidRPr="00C9465D">
        <w:rPr>
          <w:lang w:val="en-US"/>
        </w:rPr>
        <w:t>’s care</w:t>
      </w:r>
      <w:r w:rsidR="007E60A4" w:rsidRPr="00C9465D">
        <w:rPr>
          <w:lang w:val="en-US"/>
        </w:rPr>
        <w:t xml:space="preserve"> </w:t>
      </w:r>
      <w:r w:rsidRPr="00C9465D">
        <w:rPr>
          <w:lang w:val="en-US"/>
        </w:rPr>
        <w:t>stated that he forgot to advise the security guards.</w:t>
      </w:r>
      <w:r w:rsidR="007E60A4" w:rsidRPr="00C9465D">
        <w:rPr>
          <w:rStyle w:val="FootnoteReference"/>
          <w:lang w:val="en-US"/>
        </w:rPr>
        <w:footnoteReference w:id="310"/>
      </w:r>
      <w:r w:rsidRPr="00C9465D">
        <w:rPr>
          <w:lang w:val="en-US"/>
        </w:rPr>
        <w:t xml:space="preserve"> Furthermore, the hospital authorities</w:t>
      </w:r>
      <w:r w:rsidR="007E60A4" w:rsidRPr="00C9465D">
        <w:rPr>
          <w:lang w:val="en-US"/>
        </w:rPr>
        <w:t xml:space="preserve"> </w:t>
      </w:r>
      <w:r w:rsidRPr="00C9465D">
        <w:rPr>
          <w:lang w:val="en-US"/>
        </w:rPr>
        <w:t xml:space="preserve">failed to communicate with the family on the day of the disappearance because </w:t>
      </w:r>
      <w:r w:rsidR="00FD3452" w:rsidRPr="00C9465D">
        <w:rPr>
          <w:lang w:val="en-US"/>
        </w:rPr>
        <w:t>although</w:t>
      </w:r>
      <w:r w:rsidR="003115FA" w:rsidRPr="00C9465D">
        <w:rPr>
          <w:lang w:val="en-US"/>
        </w:rPr>
        <w:t>,</w:t>
      </w:r>
      <w:r w:rsidR="00FD3452" w:rsidRPr="00C9465D">
        <w:rPr>
          <w:lang w:val="en-US"/>
        </w:rPr>
        <w:t xml:space="preserve"> </w:t>
      </w:r>
      <w:r w:rsidRPr="00C9465D">
        <w:rPr>
          <w:lang w:val="en-US"/>
        </w:rPr>
        <w:t xml:space="preserve">according to the records, a telephone call was made, </w:t>
      </w:r>
      <w:r w:rsidR="00AE28B7" w:rsidRPr="00C9465D">
        <w:rPr>
          <w:lang w:val="en-US"/>
        </w:rPr>
        <w:t>Zoila</w:t>
      </w:r>
      <w:r w:rsidR="007E60A4" w:rsidRPr="00C9465D">
        <w:rPr>
          <w:lang w:val="en-US"/>
        </w:rPr>
        <w:t xml:space="preserve"> Chimbo ha</w:t>
      </w:r>
      <w:r w:rsidRPr="00C9465D">
        <w:rPr>
          <w:lang w:val="en-US"/>
        </w:rPr>
        <w:t>s stated that this call was never received.</w:t>
      </w:r>
      <w:r w:rsidR="007E60A4" w:rsidRPr="00C9465D">
        <w:rPr>
          <w:rStyle w:val="FootnoteReference"/>
          <w:lang w:val="en-US"/>
        </w:rPr>
        <w:footnoteReference w:id="311"/>
      </w:r>
    </w:p>
    <w:p w14:paraId="0AA51B51" w14:textId="726CD3B6" w:rsidR="00AB7610" w:rsidRPr="00C9465D" w:rsidRDefault="00F73EB7" w:rsidP="00F53F61">
      <w:pPr>
        <w:pStyle w:val="Numberedparagraphs"/>
        <w:rPr>
          <w:lang w:val="en-US" w:eastAsia="es-MX"/>
        </w:rPr>
      </w:pPr>
      <w:r w:rsidRPr="00C9465D">
        <w:rPr>
          <w:lang w:val="en-US" w:eastAsia="es-MX"/>
        </w:rPr>
        <w:t xml:space="preserve">According to </w:t>
      </w:r>
      <w:r w:rsidRPr="00C9465D">
        <w:rPr>
          <w:lang w:val="en-US"/>
        </w:rPr>
        <w:t xml:space="preserve">the nurse in charge of the care of </w:t>
      </w:r>
      <w:r w:rsidR="002F3237" w:rsidRPr="00C9465D">
        <w:rPr>
          <w:lang w:val="en-US"/>
        </w:rPr>
        <w:t>Mr. Guachalá</w:t>
      </w:r>
      <w:r w:rsidR="00E6036F" w:rsidRPr="00C9465D">
        <w:rPr>
          <w:lang w:val="en-US"/>
        </w:rPr>
        <w:t>,</w:t>
      </w:r>
      <w:r w:rsidR="00AB7610" w:rsidRPr="00C9465D">
        <w:rPr>
          <w:lang w:val="en-US"/>
        </w:rPr>
        <w:t xml:space="preserve"> </w:t>
      </w:r>
      <w:r w:rsidR="00F53F61" w:rsidRPr="00C9465D">
        <w:rPr>
          <w:lang w:val="en-US"/>
        </w:rPr>
        <w:t xml:space="preserve">on the day of his disappearance, they searched for </w:t>
      </w:r>
      <w:r w:rsidR="002F3237" w:rsidRPr="00C9465D">
        <w:rPr>
          <w:lang w:val="en-US"/>
        </w:rPr>
        <w:t>Mr. Guachalá</w:t>
      </w:r>
      <w:r w:rsidR="00AB7610" w:rsidRPr="00C9465D">
        <w:rPr>
          <w:lang w:val="en-US"/>
        </w:rPr>
        <w:t xml:space="preserve"> “</w:t>
      </w:r>
      <w:r w:rsidR="00F53F61" w:rsidRPr="00C9465D">
        <w:rPr>
          <w:lang w:val="en-US"/>
        </w:rPr>
        <w:t xml:space="preserve">in all the hospital wards and bathrooms; then </w:t>
      </w:r>
      <w:r w:rsidR="00CF2E20" w:rsidRPr="00C9465D">
        <w:rPr>
          <w:lang w:val="en-US"/>
        </w:rPr>
        <w:t>[</w:t>
      </w:r>
      <w:r w:rsidR="00F53F61" w:rsidRPr="00C9465D">
        <w:rPr>
          <w:lang w:val="en-US"/>
        </w:rPr>
        <w:t>they</w:t>
      </w:r>
      <w:r w:rsidR="00CF2E20" w:rsidRPr="00C9465D">
        <w:rPr>
          <w:lang w:val="en-US"/>
        </w:rPr>
        <w:t>]</w:t>
      </w:r>
      <w:r w:rsidR="00F53F61" w:rsidRPr="00C9465D">
        <w:rPr>
          <w:lang w:val="en-US"/>
        </w:rPr>
        <w:t xml:space="preserve"> went out into the </w:t>
      </w:r>
      <w:r w:rsidR="00CF2E20" w:rsidRPr="00C9465D">
        <w:rPr>
          <w:lang w:val="en-US"/>
        </w:rPr>
        <w:t>grounds</w:t>
      </w:r>
      <w:r w:rsidR="00F53F61" w:rsidRPr="00C9465D">
        <w:rPr>
          <w:lang w:val="en-US"/>
        </w:rPr>
        <w:t xml:space="preserve"> and the areas around the hospital and the </w:t>
      </w:r>
      <w:r w:rsidR="00CF2E20" w:rsidRPr="00C9465D">
        <w:rPr>
          <w:lang w:val="en-US"/>
        </w:rPr>
        <w:t>A</w:t>
      </w:r>
      <w:r w:rsidR="00F53F61" w:rsidRPr="00C9465D">
        <w:rPr>
          <w:lang w:val="en-US"/>
        </w:rPr>
        <w:t xml:space="preserve">utopsy </w:t>
      </w:r>
      <w:r w:rsidR="00CF2E20" w:rsidRPr="00C9465D">
        <w:rPr>
          <w:lang w:val="en-US"/>
        </w:rPr>
        <w:t>Department</w:t>
      </w:r>
      <w:r w:rsidR="00F53F61" w:rsidRPr="00C9465D">
        <w:rPr>
          <w:lang w:val="en-US"/>
        </w:rPr>
        <w:t xml:space="preserve"> </w:t>
      </w:r>
      <w:r w:rsidR="00520411" w:rsidRPr="00C9465D">
        <w:rPr>
          <w:lang w:val="en-US"/>
        </w:rPr>
        <w:t>[…]</w:t>
      </w:r>
      <w:r w:rsidR="00AB7610" w:rsidRPr="00C9465D">
        <w:rPr>
          <w:lang w:val="en-US"/>
        </w:rPr>
        <w:t xml:space="preserve"> </w:t>
      </w:r>
      <w:r w:rsidR="00F53F61" w:rsidRPr="00C9465D">
        <w:rPr>
          <w:lang w:val="en-US"/>
        </w:rPr>
        <w:t>without finding him.</w:t>
      </w:r>
      <w:r w:rsidR="00AB7610" w:rsidRPr="00C9465D">
        <w:rPr>
          <w:lang w:val="en-US"/>
        </w:rPr>
        <w:t>”</w:t>
      </w:r>
      <w:r w:rsidR="00AB7610" w:rsidRPr="00C9465D">
        <w:rPr>
          <w:rStyle w:val="FootnoteReference"/>
          <w:lang w:val="en-US"/>
        </w:rPr>
        <w:footnoteReference w:id="312"/>
      </w:r>
      <w:r w:rsidR="00F53F61" w:rsidRPr="00C9465D">
        <w:rPr>
          <w:lang w:val="en-US"/>
        </w:rPr>
        <w:t xml:space="preserve"> The first efforts to search for</w:t>
      </w:r>
      <w:r w:rsidR="00FB48B2" w:rsidRPr="00C9465D">
        <w:rPr>
          <w:lang w:val="en-US"/>
        </w:rPr>
        <w:t xml:space="preserve"> </w:t>
      </w:r>
      <w:r w:rsidR="002F3237" w:rsidRPr="00C9465D">
        <w:rPr>
          <w:lang w:val="en-US" w:eastAsia="es-MX"/>
        </w:rPr>
        <w:t>Mr. Guachalá</w:t>
      </w:r>
      <w:r w:rsidR="00FB48B2" w:rsidRPr="00C9465D">
        <w:rPr>
          <w:lang w:val="en-US" w:eastAsia="es-MX"/>
        </w:rPr>
        <w:t xml:space="preserve"> </w:t>
      </w:r>
      <w:r w:rsidR="00F53F61" w:rsidRPr="00C9465D">
        <w:rPr>
          <w:lang w:val="en-US" w:eastAsia="es-MX"/>
        </w:rPr>
        <w:t xml:space="preserve">beyond the immediate surroundings of the </w:t>
      </w:r>
      <w:r w:rsidR="00AB7610" w:rsidRPr="00C9465D">
        <w:rPr>
          <w:lang w:val="en-US" w:eastAsia="es-MX"/>
        </w:rPr>
        <w:t>hospital</w:t>
      </w:r>
      <w:r w:rsidR="00F53F61" w:rsidRPr="00C9465D">
        <w:rPr>
          <w:lang w:val="en-US" w:eastAsia="es-MX"/>
        </w:rPr>
        <w:t xml:space="preserve"> took place on January 19, two days after his disappearance, when the hospital telephoned other hospitals and the morgue.</w:t>
      </w:r>
      <w:r w:rsidR="00AB7610" w:rsidRPr="00C9465D">
        <w:rPr>
          <w:rStyle w:val="FootnoteReference"/>
          <w:lang w:val="en-US"/>
        </w:rPr>
        <w:footnoteReference w:id="313"/>
      </w:r>
      <w:r w:rsidR="00F53F61" w:rsidRPr="00C9465D">
        <w:rPr>
          <w:lang w:val="en-US"/>
        </w:rPr>
        <w:t xml:space="preserve"> That same day, the first police procedure was conducted when a police sergeant went to the hospital “to obtain the routine information.</w:t>
      </w:r>
      <w:r w:rsidR="00AB7610" w:rsidRPr="00C9465D">
        <w:rPr>
          <w:rFonts w:cs="Times New Roman"/>
          <w:lang w:val="en-US"/>
        </w:rPr>
        <w:t>”</w:t>
      </w:r>
      <w:r w:rsidR="00AB7610" w:rsidRPr="00C9465D">
        <w:rPr>
          <w:rStyle w:val="FootnoteReference"/>
          <w:lang w:val="en-US"/>
        </w:rPr>
        <w:footnoteReference w:id="314"/>
      </w:r>
      <w:r w:rsidR="00F53F61" w:rsidRPr="00C9465D">
        <w:rPr>
          <w:lang w:val="en-US"/>
        </w:rPr>
        <w:t xml:space="preserve"> There is no record in the case file that any type of search for the disappeared patient was carried out on that occasion.</w:t>
      </w:r>
    </w:p>
    <w:p w14:paraId="2ABAD79C" w14:textId="16695448" w:rsidR="002D3F8A" w:rsidRPr="00C9465D" w:rsidRDefault="00F53F61" w:rsidP="00F53F61">
      <w:pPr>
        <w:pStyle w:val="Numberedparagraphs"/>
        <w:rPr>
          <w:lang w:val="en-US" w:eastAsia="es-MX"/>
        </w:rPr>
      </w:pPr>
      <w:r w:rsidRPr="00C9465D">
        <w:rPr>
          <w:lang w:val="en-US"/>
        </w:rPr>
        <w:t xml:space="preserve">Although various searches were </w:t>
      </w:r>
      <w:r w:rsidR="003115FA" w:rsidRPr="00C9465D">
        <w:rPr>
          <w:lang w:val="en-US"/>
        </w:rPr>
        <w:t>conducted</w:t>
      </w:r>
      <w:r w:rsidRPr="00C9465D">
        <w:rPr>
          <w:lang w:val="en-US"/>
        </w:rPr>
        <w:t xml:space="preserve"> between January 26 and February 15, 2004, there is no record that a coordinated, serious and systematic effort was made to find Luis Eduardo Guachalá Chimbo. To the contrary, it would appear that the authorities assumed that the search was, above all, the family’s responsibility. In this regard, the Court notes that the hospitalization authorization signed by Mrs. Chimbo established that “the hospital </w:t>
      </w:r>
      <w:r w:rsidR="003115FA" w:rsidRPr="00C9465D">
        <w:rPr>
          <w:lang w:val="en-US"/>
        </w:rPr>
        <w:t>takes precautions against</w:t>
      </w:r>
      <w:r w:rsidRPr="00C9465D">
        <w:rPr>
          <w:lang w:val="en-US"/>
        </w:rPr>
        <w:t xml:space="preserve"> any possibility of escape or accident, but if this should happen it accepts no responsibility for the consequences</w:t>
      </w:r>
      <w:r w:rsidRPr="00C9465D">
        <w:rPr>
          <w:lang w:val="en-US" w:eastAsia="es-MX"/>
        </w:rPr>
        <w:t>.</w:t>
      </w:r>
      <w:r w:rsidR="008C0F66" w:rsidRPr="00C9465D">
        <w:rPr>
          <w:rFonts w:cs="Times New Roman"/>
          <w:lang w:val="en-US"/>
        </w:rPr>
        <w:t>”</w:t>
      </w:r>
      <w:r w:rsidR="008C0F66" w:rsidRPr="00C9465D">
        <w:rPr>
          <w:rStyle w:val="FootnoteReference"/>
          <w:rFonts w:cs="Times New Roman"/>
          <w:lang w:val="en-US"/>
        </w:rPr>
        <w:footnoteReference w:id="315"/>
      </w:r>
      <w:r w:rsidRPr="00C9465D">
        <w:rPr>
          <w:rFonts w:cs="Times New Roman"/>
          <w:lang w:val="en-US"/>
        </w:rPr>
        <w:t xml:space="preserve"> Moreover, Mrs. Chimbo was told to look for him in the homes of her family members.</w:t>
      </w:r>
      <w:r w:rsidR="00DD7060" w:rsidRPr="00C9465D">
        <w:rPr>
          <w:rStyle w:val="FootnoteReference"/>
          <w:lang w:val="en-US"/>
        </w:rPr>
        <w:footnoteReference w:id="316"/>
      </w:r>
    </w:p>
    <w:p w14:paraId="0128A751" w14:textId="36338CFF" w:rsidR="00464113" w:rsidRPr="00C9465D" w:rsidRDefault="00193CBB" w:rsidP="00B412B2">
      <w:pPr>
        <w:pStyle w:val="Numberedparagraphs"/>
        <w:rPr>
          <w:lang w:val="en-US"/>
        </w:rPr>
      </w:pPr>
      <w:r w:rsidRPr="00C9465D">
        <w:rPr>
          <w:lang w:val="en-US"/>
        </w:rPr>
        <w:t>The Court</w:t>
      </w:r>
      <w:r w:rsidR="00D02F01" w:rsidRPr="00C9465D">
        <w:rPr>
          <w:lang w:val="en-US"/>
        </w:rPr>
        <w:t xml:space="preserve"> </w:t>
      </w:r>
      <w:r w:rsidR="00F53F61" w:rsidRPr="00C9465D">
        <w:rPr>
          <w:lang w:val="en-US"/>
        </w:rPr>
        <w:t xml:space="preserve">considers that this omission is particularly serious in the case of the disappearance of a person with </w:t>
      </w:r>
      <w:r w:rsidR="003115FA" w:rsidRPr="00C9465D">
        <w:rPr>
          <w:lang w:val="en-US"/>
        </w:rPr>
        <w:t xml:space="preserve">a </w:t>
      </w:r>
      <w:r w:rsidR="00F53F61" w:rsidRPr="00C9465D">
        <w:rPr>
          <w:lang w:val="en-US"/>
        </w:rPr>
        <w:t>disabilit</w:t>
      </w:r>
      <w:r w:rsidR="003115FA" w:rsidRPr="00C9465D">
        <w:rPr>
          <w:lang w:val="en-US"/>
        </w:rPr>
        <w:t>y</w:t>
      </w:r>
      <w:r w:rsidR="00F53F61" w:rsidRPr="00C9465D">
        <w:rPr>
          <w:lang w:val="en-US"/>
        </w:rPr>
        <w:t xml:space="preserve">. In this regard, expert witness </w:t>
      </w:r>
      <w:r w:rsidR="00D02F01" w:rsidRPr="00C9465D">
        <w:rPr>
          <w:lang w:val="en-US"/>
        </w:rPr>
        <w:t xml:space="preserve">Christian Courtis </w:t>
      </w:r>
      <w:r w:rsidR="00F53F61" w:rsidRPr="00C9465D">
        <w:rPr>
          <w:lang w:val="en-US"/>
        </w:rPr>
        <w:t>indicated that</w:t>
      </w:r>
      <w:r w:rsidR="00D02F01" w:rsidRPr="00C9465D">
        <w:rPr>
          <w:lang w:val="en-US"/>
        </w:rPr>
        <w:t xml:space="preserve"> “[</w:t>
      </w:r>
      <w:r w:rsidR="00F53F61" w:rsidRPr="00C9465D">
        <w:rPr>
          <w:lang w:val="en-US"/>
        </w:rPr>
        <w:t xml:space="preserve">t]he alleged disappearance of a person with </w:t>
      </w:r>
      <w:r w:rsidR="003115FA" w:rsidRPr="00C9465D">
        <w:rPr>
          <w:lang w:val="en-US"/>
        </w:rPr>
        <w:t xml:space="preserve">a </w:t>
      </w:r>
      <w:r w:rsidR="00F53F61" w:rsidRPr="00C9465D">
        <w:rPr>
          <w:lang w:val="en-US"/>
        </w:rPr>
        <w:t>disabilit</w:t>
      </w:r>
      <w:r w:rsidR="003115FA" w:rsidRPr="00C9465D">
        <w:rPr>
          <w:lang w:val="en-US"/>
        </w:rPr>
        <w:t>y</w:t>
      </w:r>
      <w:r w:rsidR="00F53F61" w:rsidRPr="00C9465D">
        <w:rPr>
          <w:lang w:val="en-US"/>
        </w:rPr>
        <w:t xml:space="preserve"> in the custody of the State requires the authorities to exercise maximum diligence in the search, using all available means and, in particular, by a coordinated effort of the different </w:t>
      </w:r>
      <w:r w:rsidR="00B412B2" w:rsidRPr="00C9465D">
        <w:rPr>
          <w:lang w:val="en-US"/>
        </w:rPr>
        <w:t xml:space="preserve">departments and relevant </w:t>
      </w:r>
      <w:r w:rsidR="00B412B2" w:rsidRPr="00C9465D">
        <w:rPr>
          <w:lang w:val="en-US"/>
        </w:rPr>
        <w:lastRenderedPageBreak/>
        <w:t>institutions of the civil authority – for example, the police, social services, civil defense, local authorities, and media.</w:t>
      </w:r>
      <w:r w:rsidR="00D02F01" w:rsidRPr="00C9465D">
        <w:rPr>
          <w:lang w:val="en-US"/>
        </w:rPr>
        <w:t>”</w:t>
      </w:r>
      <w:r w:rsidR="00D02F01" w:rsidRPr="00C9465D">
        <w:rPr>
          <w:rStyle w:val="FootnoteReference"/>
          <w:lang w:val="en-US"/>
        </w:rPr>
        <w:footnoteReference w:id="317"/>
      </w:r>
      <w:r w:rsidR="00D02F01" w:rsidRPr="00C9465D">
        <w:rPr>
          <w:lang w:val="en-US"/>
        </w:rPr>
        <w:t xml:space="preserve"> </w:t>
      </w:r>
    </w:p>
    <w:p w14:paraId="3F4FDBEF" w14:textId="785B0D1F" w:rsidR="00D2022A" w:rsidRPr="00C9465D" w:rsidRDefault="00193CBB" w:rsidP="00AA3C22">
      <w:pPr>
        <w:pStyle w:val="Numberedparagraphs"/>
        <w:rPr>
          <w:lang w:val="en-US"/>
        </w:rPr>
      </w:pPr>
      <w:r w:rsidRPr="00C9465D">
        <w:rPr>
          <w:lang w:val="en-US"/>
        </w:rPr>
        <w:t>The Court</w:t>
      </w:r>
      <w:r w:rsidR="00D2022A" w:rsidRPr="00C9465D">
        <w:rPr>
          <w:lang w:val="en-US"/>
        </w:rPr>
        <w:t xml:space="preserve"> </w:t>
      </w:r>
      <w:r w:rsidR="00B412B2" w:rsidRPr="00C9465D">
        <w:rPr>
          <w:lang w:val="en-US"/>
        </w:rPr>
        <w:t>appreciates that, since 2009, the State has conducted various search procedures. However, these have not been exhaustive; for example, it has n</w:t>
      </w:r>
      <w:r w:rsidR="003115FA" w:rsidRPr="00C9465D">
        <w:rPr>
          <w:lang w:val="en-US"/>
        </w:rPr>
        <w:t>ever</w:t>
      </w:r>
      <w:r w:rsidR="00B412B2" w:rsidRPr="00C9465D">
        <w:rPr>
          <w:lang w:val="en-US"/>
        </w:rPr>
        <w:t xml:space="preserve"> contacted other individuals who could have witnesse</w:t>
      </w:r>
      <w:r w:rsidR="003115FA" w:rsidRPr="00C9465D">
        <w:rPr>
          <w:lang w:val="en-US"/>
        </w:rPr>
        <w:t>d</w:t>
      </w:r>
      <w:r w:rsidR="00B412B2" w:rsidRPr="00C9465D">
        <w:rPr>
          <w:lang w:val="en-US"/>
        </w:rPr>
        <w:t xml:space="preserve"> the </w:t>
      </w:r>
      <w:r w:rsidR="003115FA" w:rsidRPr="00C9465D">
        <w:rPr>
          <w:lang w:val="en-US"/>
        </w:rPr>
        <w:t>events,</w:t>
      </w:r>
      <w:r w:rsidR="00B412B2" w:rsidRPr="00C9465D">
        <w:rPr>
          <w:lang w:val="en-US"/>
        </w:rPr>
        <w:t xml:space="preserve"> such as the patients who were interned in the hospital at the time of Mr. Guachalá Chimbo’s </w:t>
      </w:r>
      <w:r w:rsidR="00BF6AD0" w:rsidRPr="00C9465D">
        <w:rPr>
          <w:lang w:val="en-US"/>
        </w:rPr>
        <w:t>disappearance</w:t>
      </w:r>
      <w:r w:rsidR="00D2022A" w:rsidRPr="00C9465D">
        <w:rPr>
          <w:lang w:val="en-US"/>
        </w:rPr>
        <w:t>.</w:t>
      </w:r>
    </w:p>
    <w:p w14:paraId="48A229F8" w14:textId="285081A0" w:rsidR="00B412B2" w:rsidRPr="00C9465D" w:rsidRDefault="00B412B2" w:rsidP="00AA3C22">
      <w:pPr>
        <w:pStyle w:val="Numberedparagraphs"/>
        <w:rPr>
          <w:lang w:val="en-US"/>
        </w:rPr>
      </w:pPr>
      <w:bookmarkStart w:id="68" w:name="_Ref72159318"/>
      <w:r w:rsidRPr="00C9465D">
        <w:rPr>
          <w:lang w:val="en-US"/>
        </w:rPr>
        <w:t xml:space="preserve">All the </w:t>
      </w:r>
      <w:r w:rsidR="003115FA" w:rsidRPr="00C9465D">
        <w:rPr>
          <w:lang w:val="en-US"/>
        </w:rPr>
        <w:t>above</w:t>
      </w:r>
      <w:r w:rsidRPr="00C9465D">
        <w:rPr>
          <w:lang w:val="en-US"/>
        </w:rPr>
        <w:t xml:space="preserve"> reveals that the State did not undertake a search effort </w:t>
      </w:r>
      <w:r w:rsidR="00B45DE7" w:rsidRPr="00C9465D">
        <w:rPr>
          <w:lang w:val="en-US"/>
        </w:rPr>
        <w:t xml:space="preserve">for the presumed victim </w:t>
      </w:r>
      <w:r w:rsidRPr="00C9465D">
        <w:rPr>
          <w:lang w:val="en-US"/>
        </w:rPr>
        <w:t>using a differentiated, serious, coordinated and systematic approach</w:t>
      </w:r>
      <w:r w:rsidR="00B45DE7" w:rsidRPr="00C9465D">
        <w:rPr>
          <w:lang w:val="en-US"/>
        </w:rPr>
        <w:t>, which constituted a violation of access to justice.</w:t>
      </w:r>
    </w:p>
    <w:p w14:paraId="203054C6" w14:textId="4E79CB18" w:rsidR="00D46BC9" w:rsidRPr="00C9465D" w:rsidRDefault="003E2FE4" w:rsidP="002450B9">
      <w:pPr>
        <w:pStyle w:val="Heading3"/>
        <w:rPr>
          <w:lang w:val="en-US"/>
        </w:rPr>
      </w:pPr>
      <w:bookmarkStart w:id="69" w:name="_Toc74298464"/>
      <w:bookmarkEnd w:id="68"/>
      <w:r w:rsidRPr="00C9465D">
        <w:rPr>
          <w:lang w:val="en-US"/>
        </w:rPr>
        <w:t xml:space="preserve">B.3 </w:t>
      </w:r>
      <w:r w:rsidRPr="00C9465D">
        <w:rPr>
          <w:lang w:val="en-US"/>
        </w:rPr>
        <w:tab/>
      </w:r>
      <w:r w:rsidR="00B45DE7" w:rsidRPr="00C9465D">
        <w:rPr>
          <w:lang w:val="en-US"/>
        </w:rPr>
        <w:t>Due diligence</w:t>
      </w:r>
      <w:r w:rsidR="00D46BC9" w:rsidRPr="00C9465D">
        <w:rPr>
          <w:lang w:val="en-US"/>
        </w:rPr>
        <w:t xml:space="preserve"> </w:t>
      </w:r>
      <w:bookmarkEnd w:id="66"/>
      <w:r w:rsidR="000A73DA" w:rsidRPr="00C9465D">
        <w:rPr>
          <w:lang w:val="en-US"/>
        </w:rPr>
        <w:t>in the investigation</w:t>
      </w:r>
      <w:bookmarkEnd w:id="69"/>
      <w:r w:rsidR="00D46BC9" w:rsidRPr="00C9465D">
        <w:rPr>
          <w:lang w:val="en-US"/>
        </w:rPr>
        <w:t xml:space="preserve"> </w:t>
      </w:r>
    </w:p>
    <w:p w14:paraId="6808EAFB" w14:textId="7CC5513F" w:rsidR="00D46BC9" w:rsidRPr="00C9465D" w:rsidRDefault="00183C22" w:rsidP="00B45DE7">
      <w:pPr>
        <w:pStyle w:val="Numberedparagraphs"/>
        <w:rPr>
          <w:lang w:val="en-US"/>
        </w:rPr>
      </w:pPr>
      <w:bookmarkStart w:id="70" w:name="_Ref524711191"/>
      <w:r w:rsidRPr="00C9465D">
        <w:rPr>
          <w:lang w:val="en-US"/>
        </w:rPr>
        <w:t>The Court</w:t>
      </w:r>
      <w:r w:rsidR="00D46BC9" w:rsidRPr="00C9465D">
        <w:rPr>
          <w:lang w:val="en-US"/>
        </w:rPr>
        <w:t xml:space="preserve"> </w:t>
      </w:r>
      <w:r w:rsidR="00B45DE7" w:rsidRPr="00C9465D">
        <w:rPr>
          <w:lang w:val="en-US"/>
        </w:rPr>
        <w:t xml:space="preserve">emphasizes that, to ensure that an investigation of human rights violations is conducted efficiently and with due diligence, all necessary measures must be </w:t>
      </w:r>
      <w:r w:rsidR="003115FA" w:rsidRPr="00C9465D">
        <w:rPr>
          <w:lang w:val="en-US"/>
        </w:rPr>
        <w:t>taken</w:t>
      </w:r>
      <w:r w:rsidR="00B45DE7" w:rsidRPr="00C9465D">
        <w:rPr>
          <w:lang w:val="en-US"/>
        </w:rPr>
        <w:t xml:space="preserve"> to carry out promptly the essential and appropriate actions and inquiries to clarify the fate of the victims and to identify those responsible for the facts.</w:t>
      </w:r>
      <w:r w:rsidR="00D46BC9" w:rsidRPr="00C9465D">
        <w:rPr>
          <w:rStyle w:val="FootnoteReference"/>
          <w:lang w:val="en-US"/>
        </w:rPr>
        <w:footnoteReference w:id="318"/>
      </w:r>
      <w:r w:rsidR="00B45DE7" w:rsidRPr="00C9465D">
        <w:rPr>
          <w:lang w:val="en-US"/>
        </w:rPr>
        <w:t xml:space="preserve"> To this end,</w:t>
      </w:r>
      <w:r w:rsidR="00D46BC9" w:rsidRPr="00C9465D">
        <w:rPr>
          <w:lang w:val="en-US"/>
        </w:rPr>
        <w:t xml:space="preserve"> </w:t>
      </w:r>
      <w:r w:rsidR="00193CBB" w:rsidRPr="00C9465D">
        <w:rPr>
          <w:lang w:val="en-US"/>
        </w:rPr>
        <w:t>the State</w:t>
      </w:r>
      <w:r w:rsidR="00B45DE7" w:rsidRPr="00C9465D">
        <w:rPr>
          <w:lang w:val="en-US"/>
        </w:rPr>
        <w:t xml:space="preserve"> should provide the corresponding authorities with the logistic and scientific resources required to collect and process evidence and, in particular, the authority to access documentation and information that is </w:t>
      </w:r>
      <w:r w:rsidR="003115FA" w:rsidRPr="00C9465D">
        <w:rPr>
          <w:lang w:val="en-US"/>
        </w:rPr>
        <w:t>relevant</w:t>
      </w:r>
      <w:r w:rsidR="00B45DE7" w:rsidRPr="00C9465D">
        <w:rPr>
          <w:lang w:val="en-US"/>
        </w:rPr>
        <w:t xml:space="preserve"> for the investigation of the reported facts and to obtain indications or evidence of the victims’ </w:t>
      </w:r>
      <w:r w:rsidR="003115FA" w:rsidRPr="00C9465D">
        <w:rPr>
          <w:lang w:val="en-US"/>
        </w:rPr>
        <w:t>whereabouts</w:t>
      </w:r>
      <w:r w:rsidR="00B45DE7" w:rsidRPr="00C9465D">
        <w:rPr>
          <w:lang w:val="en-US"/>
        </w:rPr>
        <w:t>.</w:t>
      </w:r>
      <w:r w:rsidR="00D46BC9" w:rsidRPr="00C9465D">
        <w:rPr>
          <w:rStyle w:val="FootnoteReference"/>
          <w:lang w:val="en-US"/>
        </w:rPr>
        <w:footnoteReference w:id="319"/>
      </w:r>
      <w:bookmarkEnd w:id="70"/>
    </w:p>
    <w:p w14:paraId="4EEB1BD2" w14:textId="7FF95BC2" w:rsidR="00D46BC9" w:rsidRPr="00C9465D" w:rsidRDefault="00193CBB" w:rsidP="00B45DE7">
      <w:pPr>
        <w:pStyle w:val="Numberedparagraphs"/>
        <w:rPr>
          <w:rFonts w:cs="Verdana"/>
          <w:lang w:val="en-US"/>
        </w:rPr>
      </w:pPr>
      <w:r w:rsidRPr="00C9465D">
        <w:rPr>
          <w:lang w:val="en-US"/>
        </w:rPr>
        <w:t>The Court</w:t>
      </w:r>
      <w:r w:rsidR="00D46BC9" w:rsidRPr="00C9465D">
        <w:rPr>
          <w:lang w:val="en-US"/>
        </w:rPr>
        <w:t xml:space="preserve"> ha</w:t>
      </w:r>
      <w:r w:rsidR="00B45DE7" w:rsidRPr="00C9465D">
        <w:rPr>
          <w:lang w:val="en-US"/>
        </w:rPr>
        <w:t>s indicated that the authorities must expedite the investigation as an in</w:t>
      </w:r>
      <w:r w:rsidR="003115FA" w:rsidRPr="00C9465D">
        <w:rPr>
          <w:lang w:val="en-US"/>
        </w:rPr>
        <w:t>trinsic</w:t>
      </w:r>
      <w:r w:rsidR="00B45DE7" w:rsidRPr="00C9465D">
        <w:rPr>
          <w:lang w:val="en-US"/>
        </w:rPr>
        <w:t xml:space="preserve"> legal obligation, and not shift the burden of the initiative to the family members.</w:t>
      </w:r>
      <w:r w:rsidR="00D46BC9" w:rsidRPr="00C9465D">
        <w:rPr>
          <w:rFonts w:cs="GillSans-Light"/>
          <w:vertAlign w:val="superscript"/>
          <w:lang w:val="en-US"/>
        </w:rPr>
        <w:footnoteReference w:id="320"/>
      </w:r>
      <w:r w:rsidR="00D46BC9" w:rsidRPr="00C9465D">
        <w:rPr>
          <w:lang w:val="en-US"/>
        </w:rPr>
        <w:t xml:space="preserve"> </w:t>
      </w:r>
      <w:r w:rsidR="00B45DE7" w:rsidRPr="00C9465D">
        <w:rPr>
          <w:lang w:val="en-US"/>
        </w:rPr>
        <w:t>This is a fundamental and conditioning element for the protection of the rights affected by such situations.</w:t>
      </w:r>
      <w:r w:rsidR="00D46BC9" w:rsidRPr="00C9465D">
        <w:rPr>
          <w:rFonts w:cs="Verdana"/>
          <w:vertAlign w:val="superscript"/>
          <w:lang w:val="en-US"/>
        </w:rPr>
        <w:footnoteReference w:id="321"/>
      </w:r>
      <w:r w:rsidR="00B45DE7" w:rsidRPr="00C9465D">
        <w:rPr>
          <w:rFonts w:cs="Verdana"/>
          <w:lang w:val="en-US"/>
        </w:rPr>
        <w:t xml:space="preserve"> Consequently, the investigation should be conducted using all available legal means and addressed at determining the truth and the pursuit, capture, prosecution and eventual punishment of all the masterminds and perpetrators of the facts, especially when state agents are or could be involved.</w:t>
      </w:r>
      <w:r w:rsidR="00D46BC9" w:rsidRPr="00C9465D">
        <w:rPr>
          <w:rFonts w:cs="Verdana"/>
          <w:vertAlign w:val="superscript"/>
          <w:lang w:val="en-US"/>
        </w:rPr>
        <w:footnoteReference w:id="322"/>
      </w:r>
      <w:r w:rsidR="00B45DE7" w:rsidRPr="00C9465D">
        <w:rPr>
          <w:rFonts w:cs="Verdana"/>
          <w:lang w:val="en-US"/>
        </w:rPr>
        <w:t xml:space="preserve"> Likewise, impunity must be eradicated by the determination of both the general responsibility of the State and the individual responsibilities, of a criminal or other nature, of its agents or</w:t>
      </w:r>
      <w:r w:rsidR="003115FA" w:rsidRPr="00C9465D">
        <w:rPr>
          <w:rFonts w:cs="Verdana"/>
          <w:lang w:val="en-US"/>
        </w:rPr>
        <w:t xml:space="preserve"> of</w:t>
      </w:r>
      <w:r w:rsidR="00B45DE7" w:rsidRPr="00C9465D">
        <w:rPr>
          <w:rFonts w:cs="Verdana"/>
          <w:lang w:val="en-US"/>
        </w:rPr>
        <w:t xml:space="preserve"> private individuals.</w:t>
      </w:r>
      <w:r w:rsidR="00D46BC9" w:rsidRPr="00C9465D">
        <w:rPr>
          <w:rFonts w:cs="Verdana"/>
          <w:vertAlign w:val="superscript"/>
          <w:lang w:val="en-US"/>
        </w:rPr>
        <w:footnoteReference w:id="323"/>
      </w:r>
    </w:p>
    <w:p w14:paraId="7E048C39" w14:textId="6370C1A2" w:rsidR="00861D41" w:rsidRPr="00C9465D" w:rsidRDefault="00B45DE7" w:rsidP="00E336A5">
      <w:pPr>
        <w:pStyle w:val="Numberedparagraphs"/>
        <w:rPr>
          <w:lang w:val="en-US"/>
        </w:rPr>
      </w:pPr>
      <w:r w:rsidRPr="00C9465D">
        <w:rPr>
          <w:lang w:val="en-US"/>
        </w:rPr>
        <w:t xml:space="preserve">In order to ensure the effectiveness of the investigation of human rights violations, </w:t>
      </w:r>
      <w:r w:rsidR="00E336A5" w:rsidRPr="00C9465D">
        <w:rPr>
          <w:lang w:val="en-US"/>
        </w:rPr>
        <w:t>omissions in gathering evidence should be avoided and logical lines of investigation followed.</w:t>
      </w:r>
      <w:r w:rsidR="00861D41" w:rsidRPr="00C9465D">
        <w:rPr>
          <w:rStyle w:val="FootnoteReference"/>
          <w:lang w:val="en-US"/>
        </w:rPr>
        <w:footnoteReference w:id="324"/>
      </w:r>
      <w:r w:rsidR="00861D41" w:rsidRPr="00C9465D">
        <w:rPr>
          <w:lang w:val="en-US"/>
        </w:rPr>
        <w:t xml:space="preserve"> </w:t>
      </w:r>
      <w:r w:rsidR="00193CBB" w:rsidRPr="00C9465D">
        <w:rPr>
          <w:lang w:val="en-US"/>
        </w:rPr>
        <w:t>The Court</w:t>
      </w:r>
      <w:r w:rsidR="00861D41" w:rsidRPr="00C9465D">
        <w:rPr>
          <w:rFonts w:eastAsiaTheme="minorHAnsi"/>
          <w:lang w:val="en-US"/>
        </w:rPr>
        <w:t xml:space="preserve"> ha</w:t>
      </w:r>
      <w:r w:rsidR="00E336A5" w:rsidRPr="00C9465D">
        <w:rPr>
          <w:rFonts w:eastAsiaTheme="minorHAnsi"/>
          <w:lang w:val="en-US"/>
        </w:rPr>
        <w:t xml:space="preserve">s stipulated that in criminal investigations concerning human rights </w:t>
      </w:r>
      <w:r w:rsidR="00E336A5" w:rsidRPr="00C9465D">
        <w:rPr>
          <w:rFonts w:eastAsiaTheme="minorHAnsi"/>
          <w:lang w:val="en-US"/>
        </w:rPr>
        <w:lastRenderedPageBreak/>
        <w:t>violations, it is necessary</w:t>
      </w:r>
      <w:r w:rsidR="00861D41" w:rsidRPr="00C9465D">
        <w:rPr>
          <w:rFonts w:eastAsiaTheme="minorHAnsi"/>
          <w:lang w:val="en-US"/>
        </w:rPr>
        <w:t xml:space="preserve">, </w:t>
      </w:r>
      <w:r w:rsidR="00861D41" w:rsidRPr="00C9465D">
        <w:rPr>
          <w:rFonts w:eastAsiaTheme="minorHAnsi"/>
          <w:i/>
          <w:lang w:val="en-US"/>
        </w:rPr>
        <w:t>inter alia</w:t>
      </w:r>
      <w:r w:rsidR="00861D41" w:rsidRPr="00C9465D">
        <w:rPr>
          <w:rFonts w:eastAsiaTheme="minorHAnsi"/>
          <w:lang w:val="en-US"/>
        </w:rPr>
        <w:t xml:space="preserve">: </w:t>
      </w:r>
      <w:r w:rsidR="00E336A5" w:rsidRPr="00C9465D">
        <w:rPr>
          <w:rFonts w:eastAsiaTheme="minorHAnsi"/>
          <w:lang w:val="en-US"/>
        </w:rPr>
        <w:t>to gather and preserve evidence in order to help in any potential criminal investigation of those responsible; to identify possible witnesses and obtain their statements, and to determine the cause, manner, place and time of the act investigated. It is also</w:t>
      </w:r>
      <w:r w:rsidR="00E336A5" w:rsidRPr="00C9465D">
        <w:rPr>
          <w:lang w:val="en-US"/>
        </w:rPr>
        <w:t xml:space="preserve"> necessary to conduct an exhaustive investigation of the scene of the crime, and ensure that rigorous tests are performed by competent professionals using the most appropriate procedures.</w:t>
      </w:r>
      <w:r w:rsidR="00861D41" w:rsidRPr="00C9465D">
        <w:rPr>
          <w:rStyle w:val="FootnoteReference"/>
          <w:rFonts w:eastAsiaTheme="minorHAnsi"/>
          <w:lang w:val="en-US"/>
        </w:rPr>
        <w:footnoteReference w:id="325"/>
      </w:r>
      <w:r w:rsidR="00861D41" w:rsidRPr="00C9465D">
        <w:rPr>
          <w:lang w:val="en-US"/>
        </w:rPr>
        <w:t xml:space="preserve"> </w:t>
      </w:r>
    </w:p>
    <w:p w14:paraId="43D5E04A" w14:textId="5B80B971" w:rsidR="00D43BA8" w:rsidRPr="00C9465D" w:rsidRDefault="00E336A5" w:rsidP="00D43BA8">
      <w:pPr>
        <w:pStyle w:val="Numberedparagraphs"/>
        <w:rPr>
          <w:lang w:val="en-US" w:eastAsia="es-MX"/>
        </w:rPr>
      </w:pPr>
      <w:r w:rsidRPr="00C9465D">
        <w:rPr>
          <w:lang w:val="en-US" w:eastAsia="es-MX"/>
        </w:rPr>
        <w:t xml:space="preserve">In the instant case, the Court notes that there were </w:t>
      </w:r>
      <w:r w:rsidR="00D43BA8" w:rsidRPr="00C9465D">
        <w:rPr>
          <w:lang w:val="en-US" w:eastAsia="es-MX"/>
        </w:rPr>
        <w:t>flaws</w:t>
      </w:r>
      <w:r w:rsidRPr="00C9465D">
        <w:rPr>
          <w:lang w:val="en-US" w:eastAsia="es-MX"/>
        </w:rPr>
        <w:t xml:space="preserve"> in the initial investigations that could not be rectified. </w:t>
      </w:r>
      <w:r w:rsidR="00D43BA8" w:rsidRPr="00C9465D">
        <w:rPr>
          <w:lang w:val="en-US" w:eastAsia="es-MX"/>
        </w:rPr>
        <w:t xml:space="preserve">For example, it underlines that the examination of the site of the </w:t>
      </w:r>
      <w:r w:rsidR="00246532" w:rsidRPr="00C9465D">
        <w:rPr>
          <w:lang w:val="en-US" w:eastAsia="es-MX"/>
        </w:rPr>
        <w:t>event</w:t>
      </w:r>
      <w:r w:rsidR="00D43BA8" w:rsidRPr="00C9465D">
        <w:rPr>
          <w:lang w:val="en-US" w:eastAsia="es-MX"/>
        </w:rPr>
        <w:t xml:space="preserve">s was carried out on February 16, 2004, approximately one month after </w:t>
      </w:r>
      <w:r w:rsidR="00D43BA8" w:rsidRPr="00C9465D">
        <w:rPr>
          <w:lang w:val="en-US"/>
        </w:rPr>
        <w:t>Luis Eduardo Guachalá Chimbo’s disappearance.</w:t>
      </w:r>
      <w:r w:rsidR="00D46BC9" w:rsidRPr="00C9465D">
        <w:rPr>
          <w:rStyle w:val="FootnoteReference"/>
          <w:lang w:val="en-US"/>
        </w:rPr>
        <w:footnoteReference w:id="326"/>
      </w:r>
      <w:r w:rsidR="00D43BA8" w:rsidRPr="00C9465D">
        <w:rPr>
          <w:lang w:val="en-US"/>
        </w:rPr>
        <w:t xml:space="preserve"> Since the</w:t>
      </w:r>
      <w:r w:rsidR="00D46BC9" w:rsidRPr="00C9465D">
        <w:rPr>
          <w:lang w:val="en-US"/>
        </w:rPr>
        <w:t xml:space="preserve"> </w:t>
      </w:r>
      <w:r w:rsidR="001F65A3" w:rsidRPr="00C9465D">
        <w:rPr>
          <w:lang w:val="en-US"/>
        </w:rPr>
        <w:t>Julio Endara Hospital</w:t>
      </w:r>
      <w:r w:rsidR="00D46BC9" w:rsidRPr="00C9465D">
        <w:rPr>
          <w:lang w:val="en-US"/>
        </w:rPr>
        <w:t xml:space="preserve"> </w:t>
      </w:r>
      <w:r w:rsidR="00D43BA8" w:rsidRPr="00C9465D">
        <w:rPr>
          <w:lang w:val="en-US"/>
        </w:rPr>
        <w:t xml:space="preserve">was the last known location </w:t>
      </w:r>
      <w:r w:rsidR="002F3237" w:rsidRPr="00C9465D">
        <w:rPr>
          <w:lang w:val="en-US"/>
        </w:rPr>
        <w:t>of Mr. Guachalá</w:t>
      </w:r>
      <w:r w:rsidR="00D46BC9" w:rsidRPr="00C9465D">
        <w:rPr>
          <w:lang w:val="en-US"/>
        </w:rPr>
        <w:t xml:space="preserve"> Chimbo </w:t>
      </w:r>
      <w:r w:rsidR="00D43BA8" w:rsidRPr="00C9465D">
        <w:rPr>
          <w:lang w:val="en-US"/>
        </w:rPr>
        <w:t xml:space="preserve">it was essential to inspect this establishment immediately to obtain evidence </w:t>
      </w:r>
      <w:r w:rsidR="00246532" w:rsidRPr="00C9465D">
        <w:rPr>
          <w:lang w:val="en-US"/>
        </w:rPr>
        <w:t>as to</w:t>
      </w:r>
      <w:r w:rsidR="00D43BA8" w:rsidRPr="00C9465D">
        <w:rPr>
          <w:lang w:val="en-US"/>
        </w:rPr>
        <w:t xml:space="preserve"> what could have occurred to </w:t>
      </w:r>
      <w:r w:rsidR="00AE28B7" w:rsidRPr="00C9465D">
        <w:rPr>
          <w:lang w:val="en-US"/>
        </w:rPr>
        <w:t>the presumed victim</w:t>
      </w:r>
      <w:r w:rsidR="00D46BC9" w:rsidRPr="00C9465D">
        <w:rPr>
          <w:lang w:val="en-US"/>
        </w:rPr>
        <w:t>.</w:t>
      </w:r>
      <w:r w:rsidR="009E7742" w:rsidRPr="00C9465D">
        <w:rPr>
          <w:lang w:val="en-US"/>
        </w:rPr>
        <w:t xml:space="preserve"> </w:t>
      </w:r>
      <w:r w:rsidR="00AA3786" w:rsidRPr="00C9465D">
        <w:rPr>
          <w:lang w:val="en-US"/>
        </w:rPr>
        <w:t>A</w:t>
      </w:r>
      <w:r w:rsidR="00D43BA8" w:rsidRPr="00C9465D">
        <w:rPr>
          <w:lang w:val="en-US"/>
        </w:rPr>
        <w:t>lso, th</w:t>
      </w:r>
      <w:r w:rsidR="00246532" w:rsidRPr="00C9465D">
        <w:rPr>
          <w:lang w:val="en-US"/>
        </w:rPr>
        <w:t>e</w:t>
      </w:r>
      <w:r w:rsidR="00D43BA8" w:rsidRPr="00C9465D">
        <w:rPr>
          <w:lang w:val="en-US"/>
        </w:rPr>
        <w:t xml:space="preserve"> procedure only included a general inspection of the hospital premises. There is no record that an exhaustive inspection was conducted, for example, of the room where Mr. Guachalá slept, his belongings, or the television room where he was presumably seen for the last time. The passage of time prevent</w:t>
      </w:r>
      <w:r w:rsidR="00246532" w:rsidRPr="00C9465D">
        <w:rPr>
          <w:lang w:val="en-US"/>
        </w:rPr>
        <w:t>ed</w:t>
      </w:r>
      <w:r w:rsidR="00D43BA8" w:rsidRPr="00C9465D">
        <w:rPr>
          <w:lang w:val="en-US"/>
        </w:rPr>
        <w:t xml:space="preserve"> this shortcoming from being rectified.</w:t>
      </w:r>
    </w:p>
    <w:p w14:paraId="1C946DC3" w14:textId="34990DA1" w:rsidR="00D46BC9" w:rsidRPr="00C9465D" w:rsidRDefault="00246532" w:rsidP="00AA3C22">
      <w:pPr>
        <w:pStyle w:val="Numberedparagraphs"/>
        <w:rPr>
          <w:lang w:val="en-US"/>
        </w:rPr>
      </w:pPr>
      <w:r w:rsidRPr="00C9465D">
        <w:rPr>
          <w:lang w:val="en-US"/>
        </w:rPr>
        <w:t>Moreover</w:t>
      </w:r>
      <w:r w:rsidR="00D43BA8" w:rsidRPr="00C9465D">
        <w:rPr>
          <w:lang w:val="en-US"/>
        </w:rPr>
        <w:t>, the Court notes that, during the investigation, at no time did the State requ</w:t>
      </w:r>
      <w:r w:rsidRPr="00C9465D">
        <w:rPr>
          <w:lang w:val="en-US"/>
        </w:rPr>
        <w:t>est</w:t>
      </w:r>
      <w:r w:rsidR="00D43BA8" w:rsidRPr="00C9465D">
        <w:rPr>
          <w:lang w:val="en-US"/>
        </w:rPr>
        <w:t xml:space="preserve"> the statements of other possible witnesses of what happened </w:t>
      </w:r>
      <w:r w:rsidR="002F3237" w:rsidRPr="00C9465D">
        <w:rPr>
          <w:lang w:val="en-US"/>
        </w:rPr>
        <w:t>to Mr. Guachalá</w:t>
      </w:r>
      <w:r w:rsidR="009E7742" w:rsidRPr="00C9465D">
        <w:rPr>
          <w:lang w:val="en-US"/>
        </w:rPr>
        <w:t xml:space="preserve"> Chimbo, particular</w:t>
      </w:r>
      <w:r w:rsidR="00D43BA8" w:rsidRPr="00C9465D">
        <w:rPr>
          <w:lang w:val="en-US"/>
        </w:rPr>
        <w:t>ly</w:t>
      </w:r>
      <w:r w:rsidRPr="00C9465D">
        <w:rPr>
          <w:lang w:val="en-US"/>
        </w:rPr>
        <w:t xml:space="preserve"> of</w:t>
      </w:r>
      <w:r w:rsidR="00D43BA8" w:rsidRPr="00C9465D">
        <w:rPr>
          <w:lang w:val="en-US"/>
        </w:rPr>
        <w:t xml:space="preserve"> those who were interned in the hospital at the time of his disappearance. Nor did it adequately investigate the possibility that </w:t>
      </w:r>
      <w:r w:rsidR="002F3237" w:rsidRPr="00C9465D">
        <w:rPr>
          <w:lang w:val="en-US"/>
        </w:rPr>
        <w:t>Mr. Guachalá</w:t>
      </w:r>
      <w:r w:rsidR="00972F63" w:rsidRPr="00C9465D">
        <w:rPr>
          <w:lang w:val="en-US"/>
        </w:rPr>
        <w:t xml:space="preserve"> </w:t>
      </w:r>
      <w:r w:rsidR="00D43BA8" w:rsidRPr="00C9465D">
        <w:rPr>
          <w:lang w:val="en-US"/>
        </w:rPr>
        <w:t>had died in the</w:t>
      </w:r>
      <w:r w:rsidR="00972F63" w:rsidRPr="00C9465D">
        <w:rPr>
          <w:lang w:val="en-US"/>
        </w:rPr>
        <w:t xml:space="preserve"> hospital</w:t>
      </w:r>
      <w:r w:rsidR="00E65B33" w:rsidRPr="00C9465D">
        <w:rPr>
          <w:lang w:val="en-US"/>
        </w:rPr>
        <w:t xml:space="preserve">. </w:t>
      </w:r>
    </w:p>
    <w:p w14:paraId="7F035C04" w14:textId="2ACAA77B" w:rsidR="00D46BC9" w:rsidRPr="00C9465D" w:rsidRDefault="00D43BA8" w:rsidP="00AA3C22">
      <w:pPr>
        <w:pStyle w:val="Numberedparagraphs"/>
        <w:rPr>
          <w:lang w:val="en-US"/>
        </w:rPr>
      </w:pPr>
      <w:bookmarkStart w:id="71" w:name="_Ref524711195"/>
      <w:r w:rsidRPr="00C9465D">
        <w:rPr>
          <w:lang w:val="en-US"/>
        </w:rPr>
        <w:t xml:space="preserve">The foregoing reveals that the investigation conducted was not serious, effective or exhaustive. Therefore, the Court considers that the investigation was not conducted with due diligence. </w:t>
      </w:r>
      <w:bookmarkStart w:id="72" w:name="_Toc526152714"/>
      <w:bookmarkEnd w:id="71"/>
    </w:p>
    <w:p w14:paraId="46604222" w14:textId="0AB4A849" w:rsidR="003E2FE4" w:rsidRPr="00C9465D" w:rsidRDefault="00D46BC9" w:rsidP="00F7278D">
      <w:pPr>
        <w:pStyle w:val="Heading3"/>
        <w:rPr>
          <w:lang w:val="en-US"/>
        </w:rPr>
      </w:pPr>
      <w:bookmarkStart w:id="73" w:name="_Toc74298465"/>
      <w:r w:rsidRPr="00C9465D">
        <w:rPr>
          <w:rStyle w:val="Heading3Char"/>
          <w:b/>
          <w:lang w:val="en-US"/>
        </w:rPr>
        <w:t>B.</w:t>
      </w:r>
      <w:r w:rsidR="00F717CA" w:rsidRPr="00C9465D">
        <w:rPr>
          <w:rStyle w:val="Heading3Char"/>
          <w:b/>
          <w:lang w:val="en-US"/>
        </w:rPr>
        <w:t>4</w:t>
      </w:r>
      <w:r w:rsidRPr="00C9465D">
        <w:rPr>
          <w:lang w:val="en-US"/>
        </w:rPr>
        <w:t xml:space="preserve"> </w:t>
      </w:r>
      <w:r w:rsidR="003E2FE4" w:rsidRPr="00C9465D">
        <w:rPr>
          <w:lang w:val="en-US"/>
        </w:rPr>
        <w:tab/>
      </w:r>
      <w:r w:rsidR="000A73DA" w:rsidRPr="00C9465D">
        <w:rPr>
          <w:lang w:val="en-US"/>
        </w:rPr>
        <w:t xml:space="preserve">Effectiveness of the application for </w:t>
      </w:r>
      <w:r w:rsidR="00721A86" w:rsidRPr="00C9465D">
        <w:rPr>
          <w:i/>
          <w:lang w:val="en-US"/>
        </w:rPr>
        <w:t>habeas corpus</w:t>
      </w:r>
      <w:bookmarkEnd w:id="73"/>
      <w:r w:rsidR="003E2FE4" w:rsidRPr="00C9465D">
        <w:rPr>
          <w:lang w:val="en-US"/>
        </w:rPr>
        <w:t xml:space="preserve"> </w:t>
      </w:r>
    </w:p>
    <w:p w14:paraId="3885D797" w14:textId="592FDE98" w:rsidR="00DC4D19" w:rsidRPr="00C9465D" w:rsidRDefault="00193CBB" w:rsidP="005D0655">
      <w:pPr>
        <w:pStyle w:val="Numberedparagraphs"/>
        <w:rPr>
          <w:lang w:val="en-US"/>
        </w:rPr>
      </w:pPr>
      <w:r w:rsidRPr="00C9465D">
        <w:rPr>
          <w:lang w:val="en-US"/>
        </w:rPr>
        <w:t>The Court</w:t>
      </w:r>
      <w:r w:rsidR="00DC4D19" w:rsidRPr="00C9465D">
        <w:rPr>
          <w:lang w:val="en-US"/>
        </w:rPr>
        <w:t xml:space="preserve"> rec</w:t>
      </w:r>
      <w:r w:rsidR="00D43BA8" w:rsidRPr="00C9465D">
        <w:rPr>
          <w:lang w:val="en-US"/>
        </w:rPr>
        <w:t>alls that</w:t>
      </w:r>
      <w:r w:rsidR="00DC4D19" w:rsidRPr="00C9465D">
        <w:rPr>
          <w:lang w:val="en-US"/>
        </w:rPr>
        <w:t xml:space="preserve"> </w:t>
      </w:r>
      <w:r w:rsidRPr="00C9465D">
        <w:rPr>
          <w:lang w:val="en-US"/>
        </w:rPr>
        <w:t>Articles</w:t>
      </w:r>
      <w:r w:rsidR="00DC4D19" w:rsidRPr="00C9465D">
        <w:rPr>
          <w:lang w:val="en-US"/>
        </w:rPr>
        <w:t xml:space="preserve"> 7</w:t>
      </w:r>
      <w:r w:rsidR="00D43BA8" w:rsidRPr="00C9465D">
        <w:rPr>
          <w:lang w:val="en-US"/>
        </w:rPr>
        <w:t>(</w:t>
      </w:r>
      <w:r w:rsidR="00DC4D19" w:rsidRPr="00C9465D">
        <w:rPr>
          <w:lang w:val="en-US"/>
        </w:rPr>
        <w:t>6</w:t>
      </w:r>
      <w:r w:rsidR="00D43BA8" w:rsidRPr="00C9465D">
        <w:rPr>
          <w:lang w:val="en-US"/>
        </w:rPr>
        <w:t>)</w:t>
      </w:r>
      <w:r w:rsidRPr="00C9465D">
        <w:rPr>
          <w:lang w:val="en-US"/>
        </w:rPr>
        <w:t xml:space="preserve"> and </w:t>
      </w:r>
      <w:r w:rsidR="00DC4D19" w:rsidRPr="00C9465D">
        <w:rPr>
          <w:lang w:val="en-US"/>
        </w:rPr>
        <w:t>25</w:t>
      </w:r>
      <w:r w:rsidRPr="00C9465D">
        <w:rPr>
          <w:lang w:val="en-US"/>
        </w:rPr>
        <w:t xml:space="preserve"> of the Convention</w:t>
      </w:r>
      <w:r w:rsidR="00DC4D19" w:rsidRPr="00C9465D">
        <w:rPr>
          <w:lang w:val="en-US"/>
        </w:rPr>
        <w:t xml:space="preserve"> </w:t>
      </w:r>
      <w:r w:rsidR="00D43BA8" w:rsidRPr="00C9465D">
        <w:rPr>
          <w:lang w:val="en-US"/>
        </w:rPr>
        <w:t xml:space="preserve">refer to different spheres of protection. </w:t>
      </w:r>
      <w:r w:rsidR="00834FCC" w:rsidRPr="00C9465D">
        <w:rPr>
          <w:lang w:val="en-US"/>
        </w:rPr>
        <w:t>Article</w:t>
      </w:r>
      <w:r w:rsidR="00DC4D19" w:rsidRPr="00C9465D">
        <w:rPr>
          <w:lang w:val="en-US"/>
        </w:rPr>
        <w:t xml:space="preserve"> 7</w:t>
      </w:r>
      <w:r w:rsidR="00D43BA8" w:rsidRPr="00C9465D">
        <w:rPr>
          <w:lang w:val="en-US"/>
        </w:rPr>
        <w:t>(</w:t>
      </w:r>
      <w:r w:rsidR="00DC4D19" w:rsidRPr="00C9465D">
        <w:rPr>
          <w:lang w:val="en-US"/>
        </w:rPr>
        <w:t>6</w:t>
      </w:r>
      <w:r w:rsidR="00D43BA8" w:rsidRPr="00C9465D">
        <w:rPr>
          <w:lang w:val="en-US"/>
        </w:rPr>
        <w:t>)</w:t>
      </w:r>
      <w:r w:rsidRPr="00C9465D">
        <w:rPr>
          <w:lang w:val="en-US"/>
        </w:rPr>
        <w:t xml:space="preserve"> of the Convention</w:t>
      </w:r>
      <w:r w:rsidR="00DC4D19" w:rsidRPr="00C9465D">
        <w:rPr>
          <w:rStyle w:val="FootnoteReference"/>
          <w:rFonts w:eastAsia="Batang"/>
          <w:lang w:val="en-US"/>
        </w:rPr>
        <w:footnoteReference w:id="327"/>
      </w:r>
      <w:r w:rsidR="00DC4D19" w:rsidRPr="00C9465D">
        <w:rPr>
          <w:lang w:val="en-US"/>
        </w:rPr>
        <w:t xml:space="preserve"> </w:t>
      </w:r>
      <w:r w:rsidR="00D43BA8" w:rsidRPr="00C9465D">
        <w:rPr>
          <w:lang w:val="en-US"/>
        </w:rPr>
        <w:t>has it</w:t>
      </w:r>
      <w:r w:rsidR="005D0655" w:rsidRPr="00C9465D">
        <w:rPr>
          <w:lang w:val="en-US"/>
        </w:rPr>
        <w:t>s</w:t>
      </w:r>
      <w:r w:rsidR="00D43BA8" w:rsidRPr="00C9465D">
        <w:rPr>
          <w:lang w:val="en-US"/>
        </w:rPr>
        <w:t xml:space="preserve"> own legal content </w:t>
      </w:r>
      <w:r w:rsidR="005D0655" w:rsidRPr="00C9465D">
        <w:rPr>
          <w:lang w:val="en-US"/>
        </w:rPr>
        <w:t>which</w:t>
      </w:r>
      <w:r w:rsidR="00D43BA8" w:rsidRPr="00C9465D">
        <w:rPr>
          <w:lang w:val="en-US"/>
        </w:rPr>
        <w:t xml:space="preserve"> consists in directly protecting physical or personal liberty by </w:t>
      </w:r>
      <w:r w:rsidR="005D0655" w:rsidRPr="00C9465D">
        <w:rPr>
          <w:lang w:val="en-US"/>
        </w:rPr>
        <w:t>a court order addressed to the corresponding authorities requiring them to bring a detainee before a judge so that the latter may examine the lawfulness of the detention and, order his release, if appropriate.</w:t>
      </w:r>
      <w:r w:rsidR="00DC4D19" w:rsidRPr="00C9465D">
        <w:rPr>
          <w:vertAlign w:val="superscript"/>
          <w:lang w:val="en-US"/>
        </w:rPr>
        <w:footnoteReference w:id="328"/>
      </w:r>
      <w:r w:rsidR="00DC4D19" w:rsidRPr="00C9465D">
        <w:rPr>
          <w:lang w:val="en-US"/>
        </w:rPr>
        <w:t xml:space="preserve"> </w:t>
      </w:r>
      <w:r w:rsidR="00B71E4D" w:rsidRPr="00C9465D">
        <w:rPr>
          <w:lang w:val="en-US"/>
        </w:rPr>
        <w:t>This Court</w:t>
      </w:r>
      <w:r w:rsidR="00DC4D19" w:rsidRPr="00C9465D">
        <w:rPr>
          <w:lang w:val="en-US"/>
        </w:rPr>
        <w:t xml:space="preserve"> ha</w:t>
      </w:r>
      <w:r w:rsidR="005D0655" w:rsidRPr="00C9465D">
        <w:rPr>
          <w:lang w:val="en-US"/>
        </w:rPr>
        <w:t xml:space="preserve">s considered that the remedy of </w:t>
      </w:r>
      <w:r w:rsidR="00721A86" w:rsidRPr="00C9465D">
        <w:rPr>
          <w:i/>
          <w:lang w:val="en-US"/>
        </w:rPr>
        <w:t>habeas corpus</w:t>
      </w:r>
      <w:r w:rsidR="00DC4D19" w:rsidRPr="00C9465D">
        <w:rPr>
          <w:lang w:val="en-US"/>
        </w:rPr>
        <w:t xml:space="preserve"> </w:t>
      </w:r>
      <w:r w:rsidR="005D0655" w:rsidRPr="00C9465D">
        <w:rPr>
          <w:lang w:val="en-US"/>
        </w:rPr>
        <w:t xml:space="preserve">is the appropriate means to ensure liberty, control respect for the </w:t>
      </w:r>
      <w:r w:rsidR="00D12C0E" w:rsidRPr="00C9465D">
        <w:rPr>
          <w:lang w:val="en-US"/>
        </w:rPr>
        <w:t>life</w:t>
      </w:r>
      <w:r w:rsidR="008C2989" w:rsidRPr="00C9465D">
        <w:rPr>
          <w:lang w:val="en-US"/>
        </w:rPr>
        <w:t xml:space="preserve"> and </w:t>
      </w:r>
      <w:r w:rsidR="00D12C0E" w:rsidRPr="00C9465D">
        <w:rPr>
          <w:lang w:val="en-US"/>
        </w:rPr>
        <w:t>integrity</w:t>
      </w:r>
      <w:r w:rsidR="00DC4D19" w:rsidRPr="00C9465D">
        <w:rPr>
          <w:lang w:val="en-US"/>
        </w:rPr>
        <w:t xml:space="preserve"> </w:t>
      </w:r>
      <w:r w:rsidR="005D0655" w:rsidRPr="00C9465D">
        <w:rPr>
          <w:lang w:val="en-US"/>
        </w:rPr>
        <w:t>of the individual</w:t>
      </w:r>
      <w:r w:rsidR="00DC4D19" w:rsidRPr="00C9465D">
        <w:rPr>
          <w:lang w:val="en-US"/>
        </w:rPr>
        <w:t>,</w:t>
      </w:r>
      <w:r w:rsidR="008C2989" w:rsidRPr="00C9465D">
        <w:rPr>
          <w:lang w:val="en-US"/>
        </w:rPr>
        <w:t xml:space="preserve"> and </w:t>
      </w:r>
      <w:r w:rsidR="005D0655" w:rsidRPr="00C9465D">
        <w:rPr>
          <w:lang w:val="en-US"/>
        </w:rPr>
        <w:t>prevent his disappearance or the indetermination of his place of detention.</w:t>
      </w:r>
      <w:r w:rsidR="00DC4D19" w:rsidRPr="00C9465D">
        <w:rPr>
          <w:vertAlign w:val="superscript"/>
          <w:lang w:val="en-US"/>
        </w:rPr>
        <w:footnoteReference w:id="329"/>
      </w:r>
      <w:r w:rsidR="005D0655" w:rsidRPr="00C9465D">
        <w:rPr>
          <w:lang w:val="en-US"/>
        </w:rPr>
        <w:t xml:space="preserve"> In this regard, in its case law, the Court has already indicated that </w:t>
      </w:r>
      <w:r w:rsidR="00246532" w:rsidRPr="00C9465D">
        <w:rPr>
          <w:lang w:val="en-US"/>
        </w:rPr>
        <w:t xml:space="preserve">such </w:t>
      </w:r>
      <w:r w:rsidR="005D0655" w:rsidRPr="00C9465D">
        <w:rPr>
          <w:lang w:val="en-US"/>
        </w:rPr>
        <w:t xml:space="preserve">remedies should not only exist formally in the laws, but must also </w:t>
      </w:r>
      <w:r w:rsidR="005D0655" w:rsidRPr="00C9465D">
        <w:rPr>
          <w:lang w:val="en-US"/>
        </w:rPr>
        <w:lastRenderedPageBreak/>
        <w:t>be effective.</w:t>
      </w:r>
      <w:r w:rsidR="00DC4D19" w:rsidRPr="00C9465D">
        <w:rPr>
          <w:rStyle w:val="FootnoteReference"/>
          <w:rFonts w:eastAsia="Batang"/>
          <w:lang w:val="en-US"/>
        </w:rPr>
        <w:footnoteReference w:id="330"/>
      </w:r>
      <w:r w:rsidR="005D0655" w:rsidRPr="00C9465D">
        <w:rPr>
          <w:lang w:val="en-US"/>
        </w:rPr>
        <w:t xml:space="preserve"> In light of the fact that the principle of effectiveness</w:t>
      </w:r>
      <w:r w:rsidR="00DC4D19" w:rsidRPr="00C9465D">
        <w:rPr>
          <w:lang w:val="en-US"/>
        </w:rPr>
        <w:t xml:space="preserve"> (</w:t>
      </w:r>
      <w:r w:rsidR="00DC4D19" w:rsidRPr="00C9465D">
        <w:rPr>
          <w:i/>
          <w:lang w:val="en-US"/>
        </w:rPr>
        <w:t>effet utile</w:t>
      </w:r>
      <w:r w:rsidR="00DC4D19" w:rsidRPr="00C9465D">
        <w:rPr>
          <w:lang w:val="en-US"/>
        </w:rPr>
        <w:t xml:space="preserve">) </w:t>
      </w:r>
      <w:r w:rsidR="005D0655" w:rsidRPr="00C9465D">
        <w:rPr>
          <w:lang w:val="en-US"/>
        </w:rPr>
        <w:t>crosscuts the protection due to all the rights recognized in th</w:t>
      </w:r>
      <w:r w:rsidR="00246532" w:rsidRPr="00C9465D">
        <w:rPr>
          <w:lang w:val="en-US"/>
        </w:rPr>
        <w:t>e said</w:t>
      </w:r>
      <w:r w:rsidR="005D0655" w:rsidRPr="00C9465D">
        <w:rPr>
          <w:lang w:val="en-US"/>
        </w:rPr>
        <w:t xml:space="preserve"> instrument, the Court considers, as it has on other occasions,</w:t>
      </w:r>
      <w:r w:rsidR="00DC4D19" w:rsidRPr="00C9465D">
        <w:rPr>
          <w:rFonts w:cs="Verdana"/>
          <w:vertAlign w:val="superscript"/>
          <w:lang w:val="en-US"/>
        </w:rPr>
        <w:footnoteReference w:id="331"/>
      </w:r>
      <w:r w:rsidR="00DC4D19" w:rsidRPr="00C9465D">
        <w:rPr>
          <w:lang w:val="en-US"/>
        </w:rPr>
        <w:t xml:space="preserve"> </w:t>
      </w:r>
      <w:r w:rsidR="005D0655" w:rsidRPr="00C9465D">
        <w:rPr>
          <w:lang w:val="en-US"/>
        </w:rPr>
        <w:t xml:space="preserve">that </w:t>
      </w:r>
      <w:r w:rsidR="00721A86" w:rsidRPr="00C9465D">
        <w:rPr>
          <w:lang w:val="en-US"/>
        </w:rPr>
        <w:t xml:space="preserve">– in </w:t>
      </w:r>
      <w:r w:rsidR="005D0655" w:rsidRPr="00C9465D">
        <w:rPr>
          <w:lang w:val="en-US"/>
        </w:rPr>
        <w:t>application of the</w:t>
      </w:r>
      <w:r w:rsidR="00DC4D19" w:rsidRPr="00C9465D">
        <w:rPr>
          <w:lang w:val="en-US"/>
        </w:rPr>
        <w:t xml:space="preserve"> </w:t>
      </w:r>
      <w:r w:rsidR="00DC4D19" w:rsidRPr="00C9465D">
        <w:rPr>
          <w:i/>
          <w:iCs/>
          <w:lang w:val="en-US"/>
        </w:rPr>
        <w:t>iura novit curia</w:t>
      </w:r>
      <w:r w:rsidR="005D0655" w:rsidRPr="00C9465D">
        <w:rPr>
          <w:i/>
          <w:iCs/>
          <w:lang w:val="en-US"/>
        </w:rPr>
        <w:t xml:space="preserve"> </w:t>
      </w:r>
      <w:r w:rsidR="005D0655" w:rsidRPr="00C9465D">
        <w:rPr>
          <w:lang w:val="en-US"/>
        </w:rPr>
        <w:t>principle</w:t>
      </w:r>
      <w:r w:rsidR="00DC4D19" w:rsidRPr="00C9465D">
        <w:rPr>
          <w:lang w:val="en-US"/>
        </w:rPr>
        <w:t xml:space="preserve">, </w:t>
      </w:r>
      <w:r w:rsidR="005D0655" w:rsidRPr="00C9465D">
        <w:rPr>
          <w:lang w:val="en-US"/>
        </w:rPr>
        <w:t>to which international case law has resorted repeatedly</w:t>
      </w:r>
      <w:r w:rsidR="00721A86" w:rsidRPr="00C9465D">
        <w:rPr>
          <w:lang w:val="en-US"/>
        </w:rPr>
        <w:t>, in the sense that the judge has the authority, and even the duty, to apply the pertinent legal provisions in a case, even when the parties have not cited them explicitly</w:t>
      </w:r>
      <w:r w:rsidR="00DC4D19" w:rsidRPr="00C9465D">
        <w:rPr>
          <w:vertAlign w:val="superscript"/>
          <w:lang w:val="en-US"/>
        </w:rPr>
        <w:footnoteReference w:id="332"/>
      </w:r>
      <w:r w:rsidR="00721A86" w:rsidRPr="00C9465D">
        <w:rPr>
          <w:lang w:val="en-US"/>
        </w:rPr>
        <w:t xml:space="preserve"> </w:t>
      </w:r>
      <w:r w:rsidR="00246532" w:rsidRPr="00C9465D">
        <w:rPr>
          <w:lang w:val="en-US"/>
        </w:rPr>
        <w:t>–</w:t>
      </w:r>
      <w:r w:rsidR="00721A86" w:rsidRPr="00C9465D">
        <w:rPr>
          <w:lang w:val="en-US"/>
        </w:rPr>
        <w:t xml:space="preserve"> it must examine the arguments related to the effectiveness of the applications for </w:t>
      </w:r>
      <w:r w:rsidR="00721A86" w:rsidRPr="00C9465D">
        <w:rPr>
          <w:i/>
          <w:lang w:val="en-US"/>
        </w:rPr>
        <w:t>habeas corpus</w:t>
      </w:r>
      <w:r w:rsidR="00DC4D19" w:rsidRPr="00C9465D">
        <w:rPr>
          <w:lang w:val="en-US"/>
        </w:rPr>
        <w:t xml:space="preserve"> </w:t>
      </w:r>
      <w:r w:rsidR="00721A86" w:rsidRPr="00C9465D">
        <w:rPr>
          <w:lang w:val="en-US"/>
        </w:rPr>
        <w:t>in relation to the said provision</w:t>
      </w:r>
      <w:r w:rsidR="007E6448" w:rsidRPr="00C9465D">
        <w:rPr>
          <w:lang w:val="en-US"/>
        </w:rPr>
        <w:t xml:space="preserve">. </w:t>
      </w:r>
      <w:r w:rsidR="00721A86" w:rsidRPr="00C9465D">
        <w:rPr>
          <w:lang w:val="en-US"/>
        </w:rPr>
        <w:t xml:space="preserve">In addition, the Court has indicated that </w:t>
      </w:r>
      <w:r w:rsidRPr="00C9465D">
        <w:rPr>
          <w:rFonts w:cs="Verdana"/>
          <w:lang w:val="en-US"/>
        </w:rPr>
        <w:t>Article</w:t>
      </w:r>
      <w:r w:rsidR="0067527A" w:rsidRPr="00C9465D">
        <w:rPr>
          <w:rFonts w:cs="Verdana"/>
          <w:lang w:val="en-US"/>
        </w:rPr>
        <w:t xml:space="preserve"> 25</w:t>
      </w:r>
      <w:r w:rsidRPr="00C9465D">
        <w:rPr>
          <w:rFonts w:cs="Verdana"/>
          <w:lang w:val="en-US"/>
        </w:rPr>
        <w:t xml:space="preserve"> of the Convention</w:t>
      </w:r>
      <w:r w:rsidR="0067527A" w:rsidRPr="00C9465D">
        <w:rPr>
          <w:rFonts w:cs="Verdana"/>
          <w:lang w:val="en-US"/>
        </w:rPr>
        <w:t xml:space="preserve"> </w:t>
      </w:r>
      <w:r w:rsidR="00721A86" w:rsidRPr="00C9465D">
        <w:rPr>
          <w:rFonts w:cs="Verdana"/>
          <w:lang w:val="en-US"/>
        </w:rPr>
        <w:t xml:space="preserve">signifies that judicial decisions, including </w:t>
      </w:r>
      <w:r w:rsidR="00721A86" w:rsidRPr="00C9465D">
        <w:rPr>
          <w:rFonts w:cs="Verdana"/>
          <w:i/>
          <w:lang w:val="en-US"/>
        </w:rPr>
        <w:t>habeas corpus</w:t>
      </w:r>
      <w:r w:rsidR="00721A86" w:rsidRPr="00C9465D">
        <w:rPr>
          <w:rFonts w:cs="Verdana"/>
          <w:lang w:val="en-US"/>
        </w:rPr>
        <w:t>, must be executed appropriately.</w:t>
      </w:r>
      <w:r w:rsidR="0067527A" w:rsidRPr="00C9465D">
        <w:rPr>
          <w:rStyle w:val="FootnoteReference"/>
          <w:rFonts w:cs="Verdana"/>
          <w:lang w:val="en-US"/>
        </w:rPr>
        <w:footnoteReference w:id="333"/>
      </w:r>
      <w:r w:rsidR="0067527A" w:rsidRPr="00C9465D">
        <w:rPr>
          <w:rFonts w:cs="Verdana"/>
          <w:lang w:val="en-US"/>
        </w:rPr>
        <w:t xml:space="preserve">  </w:t>
      </w:r>
    </w:p>
    <w:p w14:paraId="25AD582A" w14:textId="5A60DEF3" w:rsidR="00285457" w:rsidRPr="00C9465D" w:rsidRDefault="00721A86" w:rsidP="00AA3C22">
      <w:pPr>
        <w:pStyle w:val="Numberedparagraphs"/>
        <w:rPr>
          <w:lang w:val="en-US"/>
        </w:rPr>
      </w:pPr>
      <w:r w:rsidRPr="00C9465D">
        <w:rPr>
          <w:lang w:val="en-US"/>
        </w:rPr>
        <w:t>The effectiveness of a remedy supposes that, in addition to the formal existence of remedies, they provide results or answers to the violation of rights,</w:t>
      </w:r>
      <w:r w:rsidR="00285457" w:rsidRPr="00C9465D">
        <w:rPr>
          <w:rStyle w:val="FootnoteReference"/>
          <w:rFonts w:eastAsia="BatangChe"/>
          <w:color w:val="auto"/>
          <w:lang w:val="en-US"/>
        </w:rPr>
        <w:footnoteReference w:id="334"/>
      </w:r>
      <w:r w:rsidRPr="00C9465D">
        <w:rPr>
          <w:lang w:val="en-US"/>
        </w:rPr>
        <w:t xml:space="preserve"> which means that the remedy must be appropriate to combat </w:t>
      </w:r>
      <w:r w:rsidR="00183C22" w:rsidRPr="00C9465D">
        <w:rPr>
          <w:lang w:val="en-US"/>
        </w:rPr>
        <w:t>the violation</w:t>
      </w:r>
      <w:r w:rsidR="00285457" w:rsidRPr="00C9465D">
        <w:rPr>
          <w:lang w:val="en-US"/>
        </w:rPr>
        <w:t>,</w:t>
      </w:r>
      <w:r w:rsidR="00193CBB" w:rsidRPr="00C9465D">
        <w:rPr>
          <w:lang w:val="en-US"/>
        </w:rPr>
        <w:t xml:space="preserve"> and </w:t>
      </w:r>
      <w:r w:rsidRPr="00C9465D">
        <w:rPr>
          <w:lang w:val="en-US"/>
        </w:rPr>
        <w:t>that i</w:t>
      </w:r>
      <w:r w:rsidR="00246532" w:rsidRPr="00C9465D">
        <w:rPr>
          <w:lang w:val="en-US"/>
        </w:rPr>
        <w:t>t</w:t>
      </w:r>
      <w:r w:rsidRPr="00C9465D">
        <w:rPr>
          <w:lang w:val="en-US"/>
        </w:rPr>
        <w:t>s application by the competent authority is effective.</w:t>
      </w:r>
      <w:r w:rsidR="00285457" w:rsidRPr="00C9465D">
        <w:rPr>
          <w:rStyle w:val="FootnoteReference"/>
          <w:rFonts w:eastAsia="BatangChe"/>
          <w:color w:val="auto"/>
          <w:lang w:val="en-US"/>
        </w:rPr>
        <w:footnoteReference w:id="335"/>
      </w:r>
      <w:r w:rsidR="00285457" w:rsidRPr="00C9465D">
        <w:rPr>
          <w:lang w:val="en-US"/>
        </w:rPr>
        <w:t xml:space="preserve"> </w:t>
      </w:r>
      <w:r w:rsidRPr="00C9465D">
        <w:rPr>
          <w:lang w:val="en-US"/>
        </w:rPr>
        <w:t>I</w:t>
      </w:r>
      <w:r w:rsidR="00285457" w:rsidRPr="00C9465D">
        <w:rPr>
          <w:lang w:val="en-US"/>
        </w:rPr>
        <w:t xml:space="preserve">n particular, </w:t>
      </w:r>
      <w:r w:rsidRPr="00C9465D">
        <w:rPr>
          <w:lang w:val="en-US"/>
        </w:rPr>
        <w:t xml:space="preserve">the Court has considered </w:t>
      </w:r>
      <w:r w:rsidRPr="00C9465D">
        <w:rPr>
          <w:rFonts w:eastAsia="Batang"/>
          <w:lang w:val="en-US"/>
        </w:rPr>
        <w:t>the remedy of</w:t>
      </w:r>
      <w:r w:rsidR="00285457" w:rsidRPr="00C9465D">
        <w:rPr>
          <w:rFonts w:eastAsia="Batang"/>
          <w:lang w:val="en-US"/>
        </w:rPr>
        <w:t xml:space="preserve"> </w:t>
      </w:r>
      <w:r w:rsidRPr="00C9465D">
        <w:rPr>
          <w:rFonts w:eastAsia="Batang"/>
          <w:i/>
          <w:lang w:val="en-US"/>
        </w:rPr>
        <w:t>habeas corpus</w:t>
      </w:r>
      <w:r w:rsidR="00285457" w:rsidRPr="00C9465D">
        <w:rPr>
          <w:rFonts w:eastAsia="Batang"/>
          <w:lang w:val="en-US"/>
        </w:rPr>
        <w:t xml:space="preserve"> </w:t>
      </w:r>
      <w:r w:rsidRPr="00C9465D">
        <w:rPr>
          <w:rFonts w:eastAsia="Batang"/>
          <w:lang w:val="en-US"/>
        </w:rPr>
        <w:t xml:space="preserve">to be the appropriate means to guarantee liberty, control respect for the </w:t>
      </w:r>
      <w:r w:rsidR="00D12C0E" w:rsidRPr="00C9465D">
        <w:rPr>
          <w:rFonts w:eastAsia="Batang"/>
          <w:lang w:val="en-US"/>
        </w:rPr>
        <w:t>life</w:t>
      </w:r>
      <w:r w:rsidR="008C2989" w:rsidRPr="00C9465D">
        <w:rPr>
          <w:rFonts w:eastAsia="Batang"/>
          <w:lang w:val="en-US"/>
        </w:rPr>
        <w:t xml:space="preserve"> and </w:t>
      </w:r>
      <w:r w:rsidR="00D12C0E" w:rsidRPr="00C9465D">
        <w:rPr>
          <w:rFonts w:eastAsia="Batang"/>
          <w:lang w:val="en-US"/>
        </w:rPr>
        <w:t>integrity</w:t>
      </w:r>
      <w:r w:rsidR="00285457" w:rsidRPr="00C9465D">
        <w:rPr>
          <w:rFonts w:eastAsia="Batang"/>
          <w:lang w:val="en-US"/>
        </w:rPr>
        <w:t xml:space="preserve"> </w:t>
      </w:r>
      <w:r w:rsidRPr="00C9465D">
        <w:rPr>
          <w:rFonts w:eastAsia="Batang"/>
          <w:lang w:val="en-US"/>
        </w:rPr>
        <w:t xml:space="preserve"> of the individual</w:t>
      </w:r>
      <w:r w:rsidR="00246532" w:rsidRPr="00C9465D">
        <w:rPr>
          <w:rFonts w:eastAsia="Batang"/>
          <w:lang w:val="en-US"/>
        </w:rPr>
        <w:t>,</w:t>
      </w:r>
      <w:r w:rsidRPr="00C9465D">
        <w:rPr>
          <w:rFonts w:eastAsia="Batang"/>
          <w:lang w:val="en-US"/>
        </w:rPr>
        <w:t xml:space="preserve"> and prevent his disappearance or the indetermination of his place of detention.</w:t>
      </w:r>
      <w:r w:rsidR="00285457" w:rsidRPr="00C9465D">
        <w:rPr>
          <w:rFonts w:eastAsia="Batang"/>
          <w:vertAlign w:val="superscript"/>
          <w:lang w:val="en-US"/>
        </w:rPr>
        <w:footnoteReference w:id="336"/>
      </w:r>
    </w:p>
    <w:p w14:paraId="4942AF24" w14:textId="4689058D" w:rsidR="0075407B" w:rsidRPr="00C9465D" w:rsidRDefault="00721A86" w:rsidP="00AA3C22">
      <w:pPr>
        <w:pStyle w:val="Numberedparagraphs"/>
        <w:rPr>
          <w:lang w:val="en-US"/>
        </w:rPr>
      </w:pPr>
      <w:r w:rsidRPr="00C9465D">
        <w:rPr>
          <w:lang w:val="en-US"/>
        </w:rPr>
        <w:t xml:space="preserve">In the instant case, on November 29, </w:t>
      </w:r>
      <w:r w:rsidR="0075407B" w:rsidRPr="00C9465D">
        <w:rPr>
          <w:lang w:val="en-US"/>
        </w:rPr>
        <w:t>2004</w:t>
      </w:r>
      <w:r w:rsidRPr="00C9465D">
        <w:rPr>
          <w:lang w:val="en-US"/>
        </w:rPr>
        <w:t>,</w:t>
      </w:r>
      <w:r w:rsidR="0075407B" w:rsidRPr="00C9465D">
        <w:rPr>
          <w:lang w:val="en-US"/>
        </w:rPr>
        <w:t xml:space="preserve"> </w:t>
      </w:r>
      <w:r w:rsidR="001E3F3B" w:rsidRPr="00C9465D">
        <w:rPr>
          <w:lang w:val="en-US"/>
        </w:rPr>
        <w:t>INREDH</w:t>
      </w:r>
      <w:r w:rsidR="0075407B" w:rsidRPr="00C9465D">
        <w:rPr>
          <w:lang w:val="en-US"/>
        </w:rPr>
        <w:t xml:space="preserve"> </w:t>
      </w:r>
      <w:r w:rsidRPr="00C9465D">
        <w:rPr>
          <w:lang w:val="en-US"/>
        </w:rPr>
        <w:t>filed an application for</w:t>
      </w:r>
      <w:r w:rsidR="0075407B" w:rsidRPr="00C9465D">
        <w:rPr>
          <w:lang w:val="en-US"/>
        </w:rPr>
        <w:t xml:space="preserve"> </w:t>
      </w:r>
      <w:r w:rsidRPr="00C9465D">
        <w:rPr>
          <w:i/>
          <w:lang w:val="en-US"/>
        </w:rPr>
        <w:t>habeas corpus</w:t>
      </w:r>
      <w:r w:rsidR="0075407B" w:rsidRPr="00C9465D">
        <w:rPr>
          <w:lang w:val="en-US"/>
        </w:rPr>
        <w:t xml:space="preserve"> </w:t>
      </w:r>
      <w:r w:rsidRPr="00C9465D">
        <w:rPr>
          <w:lang w:val="en-US"/>
        </w:rPr>
        <w:t xml:space="preserve">before the Mayor </w:t>
      </w:r>
      <w:r w:rsidR="001F65A3" w:rsidRPr="00C9465D">
        <w:rPr>
          <w:lang w:val="en-US"/>
        </w:rPr>
        <w:t>of Quito</w:t>
      </w:r>
      <w:r w:rsidR="0075407B" w:rsidRPr="00C9465D">
        <w:rPr>
          <w:lang w:val="en-US"/>
        </w:rPr>
        <w:t xml:space="preserve"> </w:t>
      </w:r>
      <w:r w:rsidRPr="00C9465D">
        <w:rPr>
          <w:lang w:val="en-US"/>
        </w:rPr>
        <w:t>in</w:t>
      </w:r>
      <w:r w:rsidR="0075407B" w:rsidRPr="00C9465D">
        <w:rPr>
          <w:lang w:val="en-US"/>
        </w:rPr>
        <w:t xml:space="preserve"> favor </w:t>
      </w:r>
      <w:r w:rsidR="002F3237" w:rsidRPr="00C9465D">
        <w:rPr>
          <w:lang w:val="en-US"/>
        </w:rPr>
        <w:t>of Mr. Guachalá</w:t>
      </w:r>
      <w:r w:rsidR="0075407B" w:rsidRPr="00C9465D">
        <w:rPr>
          <w:lang w:val="en-US"/>
        </w:rPr>
        <w:t xml:space="preserve">, </w:t>
      </w:r>
      <w:r w:rsidRPr="00C9465D">
        <w:rPr>
          <w:lang w:val="en-US"/>
        </w:rPr>
        <w:t xml:space="preserve">providing information on his disappearance in the </w:t>
      </w:r>
      <w:r w:rsidR="001F65A3" w:rsidRPr="00C9465D">
        <w:rPr>
          <w:lang w:val="en-US"/>
        </w:rPr>
        <w:t>Julio Endara Hospital</w:t>
      </w:r>
      <w:r w:rsidRPr="00C9465D">
        <w:rPr>
          <w:lang w:val="en-US"/>
        </w:rPr>
        <w:t>.</w:t>
      </w:r>
      <w:r w:rsidR="0075407B" w:rsidRPr="00C9465D">
        <w:rPr>
          <w:rStyle w:val="FootnoteReference"/>
          <w:lang w:val="en-US"/>
        </w:rPr>
        <w:footnoteReference w:id="337"/>
      </w:r>
      <w:r w:rsidR="0075407B" w:rsidRPr="00C9465D">
        <w:rPr>
          <w:lang w:val="en-US"/>
        </w:rPr>
        <w:t xml:space="preserve"> </w:t>
      </w:r>
      <w:r w:rsidRPr="00C9465D">
        <w:rPr>
          <w:lang w:val="en-US"/>
        </w:rPr>
        <w:t>On December 14,</w:t>
      </w:r>
      <w:r w:rsidR="0075407B" w:rsidRPr="00C9465D">
        <w:rPr>
          <w:lang w:val="en-US"/>
        </w:rPr>
        <w:t xml:space="preserve"> 2004</w:t>
      </w:r>
      <w:r w:rsidRPr="00C9465D">
        <w:rPr>
          <w:lang w:val="en-US"/>
        </w:rPr>
        <w:t xml:space="preserve">, the Mayor </w:t>
      </w:r>
      <w:r w:rsidR="001F65A3" w:rsidRPr="00C9465D">
        <w:rPr>
          <w:lang w:val="en-US"/>
        </w:rPr>
        <w:t>of Quito</w:t>
      </w:r>
      <w:r w:rsidR="0075407B" w:rsidRPr="00C9465D">
        <w:rPr>
          <w:lang w:val="en-US"/>
        </w:rPr>
        <w:t xml:space="preserve"> </w:t>
      </w:r>
      <w:r w:rsidRPr="00C9465D">
        <w:rPr>
          <w:lang w:val="en-US"/>
        </w:rPr>
        <w:t>ordered that</w:t>
      </w:r>
      <w:r w:rsidR="0075407B" w:rsidRPr="00C9465D">
        <w:rPr>
          <w:lang w:val="en-US"/>
        </w:rPr>
        <w:t xml:space="preserve"> </w:t>
      </w:r>
      <w:r w:rsidR="002F3237" w:rsidRPr="00C9465D">
        <w:rPr>
          <w:lang w:val="en-US"/>
        </w:rPr>
        <w:t>Mr. Guachalá</w:t>
      </w:r>
      <w:r w:rsidR="0075407B" w:rsidRPr="00C9465D">
        <w:rPr>
          <w:lang w:val="en-US"/>
        </w:rPr>
        <w:t xml:space="preserve"> </w:t>
      </w:r>
      <w:r w:rsidRPr="00C9465D">
        <w:rPr>
          <w:lang w:val="en-US"/>
        </w:rPr>
        <w:t>be</w:t>
      </w:r>
      <w:r w:rsidR="0075407B" w:rsidRPr="00C9465D">
        <w:rPr>
          <w:lang w:val="en-US"/>
        </w:rPr>
        <w:t xml:space="preserve"> “</w:t>
      </w:r>
      <w:r w:rsidRPr="00C9465D">
        <w:rPr>
          <w:lang w:val="en-US"/>
        </w:rPr>
        <w:t xml:space="preserve">brought before him </w:t>
      </w:r>
      <w:r w:rsidR="00520411" w:rsidRPr="00C9465D">
        <w:rPr>
          <w:lang w:val="en-US"/>
        </w:rPr>
        <w:t>[…]</w:t>
      </w:r>
      <w:r w:rsidR="0075407B" w:rsidRPr="00C9465D">
        <w:rPr>
          <w:lang w:val="en-US"/>
        </w:rPr>
        <w:t xml:space="preserve"> </w:t>
      </w:r>
      <w:r w:rsidRPr="00C9465D">
        <w:rPr>
          <w:lang w:val="en-US"/>
        </w:rPr>
        <w:t>with the corresponding detention order.</w:t>
      </w:r>
      <w:r w:rsidR="0075407B" w:rsidRPr="00C9465D">
        <w:rPr>
          <w:lang w:val="en-US"/>
        </w:rPr>
        <w:t>”</w:t>
      </w:r>
      <w:r w:rsidR="0075407B" w:rsidRPr="00C9465D">
        <w:rPr>
          <w:rStyle w:val="FootnoteReference"/>
          <w:lang w:val="en-US"/>
        </w:rPr>
        <w:footnoteReference w:id="338"/>
      </w:r>
      <w:r w:rsidRPr="00C9465D">
        <w:rPr>
          <w:lang w:val="en-US"/>
        </w:rPr>
        <w:t xml:space="preserve"> The applicants explained that </w:t>
      </w:r>
      <w:r w:rsidR="002F3237" w:rsidRPr="00C9465D">
        <w:rPr>
          <w:lang w:val="en-US"/>
        </w:rPr>
        <w:t>Mr. Guachalá</w:t>
      </w:r>
      <w:r w:rsidR="0075407B" w:rsidRPr="00C9465D">
        <w:rPr>
          <w:lang w:val="en-US"/>
        </w:rPr>
        <w:t xml:space="preserve"> </w:t>
      </w:r>
      <w:r w:rsidRPr="00C9465D">
        <w:rPr>
          <w:lang w:val="en-US"/>
        </w:rPr>
        <w:t>could not be presented by the hospital and asked that the application for</w:t>
      </w:r>
      <w:r w:rsidR="0075407B" w:rsidRPr="00C9465D">
        <w:rPr>
          <w:lang w:val="en-US"/>
        </w:rPr>
        <w:t xml:space="preserve"> </w:t>
      </w:r>
      <w:r w:rsidRPr="00C9465D">
        <w:rPr>
          <w:i/>
          <w:lang w:val="en-US"/>
        </w:rPr>
        <w:t>habeas corpus</w:t>
      </w:r>
      <w:r w:rsidR="0075407B" w:rsidRPr="00C9465D">
        <w:rPr>
          <w:lang w:val="en-US"/>
        </w:rPr>
        <w:t xml:space="preserve"> </w:t>
      </w:r>
      <w:r w:rsidRPr="00C9465D">
        <w:rPr>
          <w:lang w:val="en-US"/>
        </w:rPr>
        <w:t>be granted because it was the appropriate guarantee to find a disappeared person.</w:t>
      </w:r>
      <w:r w:rsidR="0075407B" w:rsidRPr="00C9465D">
        <w:rPr>
          <w:rStyle w:val="FootnoteReference"/>
          <w:lang w:val="en-US"/>
        </w:rPr>
        <w:footnoteReference w:id="339"/>
      </w:r>
    </w:p>
    <w:p w14:paraId="68ECB7E7" w14:textId="6B6F9F5C" w:rsidR="0075407B" w:rsidRPr="00C9465D" w:rsidRDefault="00721A86" w:rsidP="00721A86">
      <w:pPr>
        <w:pStyle w:val="Numberedparagraphs"/>
        <w:rPr>
          <w:lang w:val="en-US"/>
        </w:rPr>
      </w:pPr>
      <w:r w:rsidRPr="00C9465D">
        <w:rPr>
          <w:lang w:val="en-US"/>
        </w:rPr>
        <w:t>On April 27,</w:t>
      </w:r>
      <w:r w:rsidR="0075407B" w:rsidRPr="00C9465D">
        <w:rPr>
          <w:lang w:val="en-US"/>
        </w:rPr>
        <w:t xml:space="preserve"> 2005</w:t>
      </w:r>
      <w:r w:rsidRPr="00C9465D">
        <w:rPr>
          <w:lang w:val="en-US"/>
        </w:rPr>
        <w:t>,</w:t>
      </w:r>
      <w:r w:rsidR="001E3F3B" w:rsidRPr="00C9465D">
        <w:rPr>
          <w:lang w:val="en-US"/>
        </w:rPr>
        <w:t xml:space="preserve"> INREDH</w:t>
      </w:r>
      <w:r w:rsidR="0075407B" w:rsidRPr="00C9465D">
        <w:rPr>
          <w:lang w:val="en-US"/>
        </w:rPr>
        <w:t xml:space="preserve"> </w:t>
      </w:r>
      <w:r w:rsidRPr="00C9465D">
        <w:rPr>
          <w:lang w:val="en-US"/>
        </w:rPr>
        <w:t>filed a brief with</w:t>
      </w:r>
      <w:r w:rsidR="0075407B" w:rsidRPr="00C9465D">
        <w:rPr>
          <w:lang w:val="en-US"/>
        </w:rPr>
        <w:t xml:space="preserve"> </w:t>
      </w:r>
      <w:r w:rsidR="001A4FA7" w:rsidRPr="00C9465D">
        <w:rPr>
          <w:lang w:val="en-US"/>
        </w:rPr>
        <w:t>the Constitutional Court</w:t>
      </w:r>
      <w:r w:rsidR="0075407B" w:rsidRPr="00C9465D">
        <w:rPr>
          <w:lang w:val="en-US"/>
        </w:rPr>
        <w:t xml:space="preserve"> </w:t>
      </w:r>
      <w:r w:rsidRPr="00C9465D">
        <w:rPr>
          <w:lang w:val="en-US"/>
        </w:rPr>
        <w:t xml:space="preserve">in which it indicated that, since five months had passed without obtaining a response from the </w:t>
      </w:r>
      <w:r w:rsidR="00246532" w:rsidRPr="00C9465D">
        <w:rPr>
          <w:lang w:val="en-US"/>
        </w:rPr>
        <w:t>m</w:t>
      </w:r>
      <w:r w:rsidRPr="00C9465D">
        <w:rPr>
          <w:lang w:val="en-US"/>
        </w:rPr>
        <w:t>ayor, it appealed “to obtain a decision by the system for the administration of justice.</w:t>
      </w:r>
      <w:r w:rsidR="0075407B" w:rsidRPr="00C9465D">
        <w:rPr>
          <w:lang w:val="en-US"/>
        </w:rPr>
        <w:t>”</w:t>
      </w:r>
      <w:r w:rsidR="0075407B" w:rsidRPr="00C9465D">
        <w:rPr>
          <w:rStyle w:val="FootnoteReference"/>
          <w:lang w:val="en-US"/>
        </w:rPr>
        <w:footnoteReference w:id="340"/>
      </w:r>
      <w:r w:rsidR="0075407B" w:rsidRPr="00C9465D">
        <w:rPr>
          <w:lang w:val="en-US"/>
        </w:rPr>
        <w:t xml:space="preserve"> </w:t>
      </w:r>
      <w:r w:rsidR="001A4FA7" w:rsidRPr="00C9465D">
        <w:rPr>
          <w:lang w:val="en-US"/>
        </w:rPr>
        <w:t>The Constitutional Court</w:t>
      </w:r>
      <w:r w:rsidR="0075407B" w:rsidRPr="00C9465D">
        <w:rPr>
          <w:lang w:val="en-US"/>
        </w:rPr>
        <w:t xml:space="preserve"> </w:t>
      </w:r>
      <w:r w:rsidRPr="00C9465D">
        <w:rPr>
          <w:lang w:val="en-US"/>
        </w:rPr>
        <w:t>ruled in favor of the appeal on July 6,</w:t>
      </w:r>
      <w:r w:rsidR="0075407B" w:rsidRPr="00C9465D">
        <w:rPr>
          <w:lang w:val="en-US"/>
        </w:rPr>
        <w:t xml:space="preserve"> 2006</w:t>
      </w:r>
      <w:r w:rsidRPr="00C9465D">
        <w:rPr>
          <w:lang w:val="en-US"/>
        </w:rPr>
        <w:t>.</w:t>
      </w:r>
      <w:r w:rsidR="0075407B" w:rsidRPr="00C9465D">
        <w:rPr>
          <w:rStyle w:val="FootnoteReference"/>
          <w:lang w:val="en-US"/>
        </w:rPr>
        <w:footnoteReference w:id="341"/>
      </w:r>
      <w:r w:rsidRPr="00C9465D">
        <w:rPr>
          <w:lang w:val="en-US"/>
        </w:rPr>
        <w:t xml:space="preserve"> It stated that “the mayor, in his capacity </w:t>
      </w:r>
      <w:r w:rsidRPr="00C9465D">
        <w:rPr>
          <w:lang w:val="en-US"/>
        </w:rPr>
        <w:lastRenderedPageBreak/>
        <w:t xml:space="preserve">of constitutional judge to hear the guarantee of </w:t>
      </w:r>
      <w:r w:rsidRPr="00C9465D">
        <w:rPr>
          <w:i/>
          <w:lang w:val="en-US"/>
        </w:rPr>
        <w:t>habeas corpus</w:t>
      </w:r>
      <w:r w:rsidRPr="00C9465D">
        <w:rPr>
          <w:lang w:val="en-US"/>
        </w:rPr>
        <w:t xml:space="preserve">, was obliged to ensure compliance with the said provision and, by not issuing a decision in the case submitted to him, he had left the party defenseless, a situation that must be rectified by </w:t>
      </w:r>
      <w:r w:rsidR="001A4FA7" w:rsidRPr="00C9465D">
        <w:rPr>
          <w:lang w:val="en-US"/>
        </w:rPr>
        <w:t>the Constitutional Court</w:t>
      </w:r>
      <w:r w:rsidRPr="00C9465D">
        <w:rPr>
          <w:lang w:val="en-US"/>
        </w:rPr>
        <w:t>.</w:t>
      </w:r>
      <w:r w:rsidR="0075407B" w:rsidRPr="00C9465D">
        <w:rPr>
          <w:lang w:val="en-US"/>
        </w:rPr>
        <w:t>”</w:t>
      </w:r>
      <w:r w:rsidR="0075407B" w:rsidRPr="00C9465D">
        <w:rPr>
          <w:rStyle w:val="FootnoteReference"/>
          <w:lang w:val="en-US"/>
        </w:rPr>
        <w:footnoteReference w:id="342"/>
      </w:r>
      <w:r w:rsidR="0075407B" w:rsidRPr="00C9465D">
        <w:rPr>
          <w:b/>
          <w:lang w:val="en-US"/>
        </w:rPr>
        <w:t xml:space="preserve"> </w:t>
      </w:r>
      <w:r w:rsidRPr="00C9465D">
        <w:rPr>
          <w:lang w:val="en-US"/>
        </w:rPr>
        <w:t>The</w:t>
      </w:r>
      <w:r w:rsidR="001A4FA7" w:rsidRPr="00C9465D">
        <w:rPr>
          <w:lang w:val="en-US"/>
        </w:rPr>
        <w:t xml:space="preserve"> Constitutional Court</w:t>
      </w:r>
      <w:r w:rsidRPr="00C9465D">
        <w:rPr>
          <w:lang w:val="en-US"/>
        </w:rPr>
        <w:t xml:space="preserve"> also indicated that</w:t>
      </w:r>
      <w:r w:rsidR="0075407B" w:rsidRPr="00C9465D">
        <w:rPr>
          <w:lang w:val="en-US"/>
        </w:rPr>
        <w:t xml:space="preserve"> “[</w:t>
      </w:r>
      <w:r w:rsidRPr="00C9465D">
        <w:rPr>
          <w:lang w:val="en-US"/>
        </w:rPr>
        <w:t>t</w:t>
      </w:r>
      <w:r w:rsidR="0075407B" w:rsidRPr="00C9465D">
        <w:rPr>
          <w:lang w:val="en-US"/>
        </w:rPr>
        <w:t>]</w:t>
      </w:r>
      <w:r w:rsidRPr="00C9465D">
        <w:rPr>
          <w:lang w:val="en-US"/>
        </w:rPr>
        <w:t xml:space="preserve">he position adopted by this Chamber, which is to leave valid alternatives open to the next of kin of the disappeared person, is extended to </w:t>
      </w:r>
      <w:r w:rsidR="00B50000" w:rsidRPr="00C9465D">
        <w:rPr>
          <w:lang w:val="en-US"/>
        </w:rPr>
        <w:t>the Ombudsman</w:t>
      </w:r>
      <w:r w:rsidR="0075407B" w:rsidRPr="00C9465D">
        <w:rPr>
          <w:lang w:val="en-US"/>
        </w:rPr>
        <w:t xml:space="preserve">, </w:t>
      </w:r>
      <w:r w:rsidR="00CB19F4" w:rsidRPr="00C9465D">
        <w:rPr>
          <w:lang w:val="en-US"/>
        </w:rPr>
        <w:t xml:space="preserve">the </w:t>
      </w:r>
      <w:r w:rsidR="004F5593" w:rsidRPr="00C9465D">
        <w:rPr>
          <w:lang w:val="en-US"/>
        </w:rPr>
        <w:t>Public Prosecution Service</w:t>
      </w:r>
      <w:r w:rsidR="0075407B" w:rsidRPr="00C9465D">
        <w:rPr>
          <w:lang w:val="en-US"/>
        </w:rPr>
        <w:t>,</w:t>
      </w:r>
      <w:r w:rsidR="00193CBB" w:rsidRPr="00C9465D">
        <w:rPr>
          <w:lang w:val="en-US"/>
        </w:rPr>
        <w:t xml:space="preserve"> and </w:t>
      </w:r>
      <w:r w:rsidR="00CB19F4" w:rsidRPr="00C9465D">
        <w:rPr>
          <w:lang w:val="en-US"/>
        </w:rPr>
        <w:t>any other state institution that has the legal obligation to contribute its efforts to coordinate actions in order to discover the whereabouts of</w:t>
      </w:r>
      <w:r w:rsidR="0075407B" w:rsidRPr="00C9465D">
        <w:rPr>
          <w:lang w:val="en-US"/>
        </w:rPr>
        <w:t xml:space="preserve"> Luis Guachalá Chimbo</w:t>
      </w:r>
      <w:r w:rsidR="00CB19F4" w:rsidRPr="00C9465D">
        <w:rPr>
          <w:lang w:val="en-US"/>
        </w:rPr>
        <w:t>; and none of them may close their investigation and execution procedures until the case has been definitively resolved.</w:t>
      </w:r>
      <w:r w:rsidR="0075407B" w:rsidRPr="00C9465D">
        <w:rPr>
          <w:lang w:val="en-US"/>
        </w:rPr>
        <w:t>”</w:t>
      </w:r>
      <w:r w:rsidR="0075407B" w:rsidRPr="00C9465D">
        <w:rPr>
          <w:rStyle w:val="FootnoteReference"/>
          <w:lang w:val="en-US"/>
        </w:rPr>
        <w:footnoteReference w:id="343"/>
      </w:r>
    </w:p>
    <w:p w14:paraId="38501854" w14:textId="0EF31FA8" w:rsidR="000231BC" w:rsidRPr="00C9465D" w:rsidRDefault="00CB19F4" w:rsidP="00CB19F4">
      <w:pPr>
        <w:pStyle w:val="Numberedparagraphs"/>
        <w:rPr>
          <w:rFonts w:eastAsia="BatangChe" w:cstheme="minorBidi"/>
          <w:color w:val="FF0000"/>
          <w:lang w:val="en-US"/>
        </w:rPr>
      </w:pPr>
      <w:r w:rsidRPr="00C9465D">
        <w:rPr>
          <w:lang w:val="en-US"/>
        </w:rPr>
        <w:t xml:space="preserve">Although </w:t>
      </w:r>
      <w:r w:rsidR="00193CBB" w:rsidRPr="00C9465D">
        <w:rPr>
          <w:lang w:val="en-US"/>
        </w:rPr>
        <w:t>the Court</w:t>
      </w:r>
      <w:r w:rsidR="0075407B" w:rsidRPr="00C9465D">
        <w:rPr>
          <w:lang w:val="en-US"/>
        </w:rPr>
        <w:t xml:space="preserve"> consider</w:t>
      </w:r>
      <w:r w:rsidRPr="00C9465D">
        <w:rPr>
          <w:lang w:val="en-US"/>
        </w:rPr>
        <w:t>s that the decision</w:t>
      </w:r>
      <w:r w:rsidR="0075407B" w:rsidRPr="00C9465D">
        <w:rPr>
          <w:lang w:val="en-US"/>
        </w:rPr>
        <w:t xml:space="preserve"> </w:t>
      </w:r>
      <w:r w:rsidR="00194B20" w:rsidRPr="00C9465D">
        <w:rPr>
          <w:lang w:val="en-US"/>
        </w:rPr>
        <w:t xml:space="preserve">of the </w:t>
      </w:r>
      <w:r w:rsidR="001A4FA7" w:rsidRPr="00C9465D">
        <w:rPr>
          <w:lang w:val="en-US"/>
        </w:rPr>
        <w:t>Constitutional Court</w:t>
      </w:r>
      <w:r w:rsidR="0075407B" w:rsidRPr="00C9465D">
        <w:rPr>
          <w:lang w:val="en-US"/>
        </w:rPr>
        <w:t xml:space="preserve"> </w:t>
      </w:r>
      <w:r w:rsidR="00C201E0" w:rsidRPr="00C9465D">
        <w:rPr>
          <w:lang w:val="en-US"/>
        </w:rPr>
        <w:t>represented</w:t>
      </w:r>
      <w:r w:rsidRPr="00C9465D">
        <w:rPr>
          <w:lang w:val="en-US"/>
        </w:rPr>
        <w:t xml:space="preserve"> an adequate control of conventionality,</w:t>
      </w:r>
      <w:r w:rsidR="0075407B" w:rsidRPr="00C9465D">
        <w:rPr>
          <w:rStyle w:val="FootnoteReference"/>
          <w:color w:val="auto"/>
          <w:lang w:val="en-US"/>
        </w:rPr>
        <w:footnoteReference w:id="344"/>
      </w:r>
      <w:r w:rsidRPr="00C9465D">
        <w:rPr>
          <w:lang w:val="en-US"/>
        </w:rPr>
        <w:t xml:space="preserve"> from the information provided to th</w:t>
      </w:r>
      <w:r w:rsidR="00C201E0" w:rsidRPr="00C9465D">
        <w:rPr>
          <w:lang w:val="en-US"/>
        </w:rPr>
        <w:t>is</w:t>
      </w:r>
      <w:r w:rsidRPr="00C9465D">
        <w:rPr>
          <w:lang w:val="en-US"/>
        </w:rPr>
        <w:t xml:space="preserve"> Court, it </w:t>
      </w:r>
      <w:r w:rsidR="00C201E0" w:rsidRPr="00C9465D">
        <w:rPr>
          <w:lang w:val="en-US"/>
        </w:rPr>
        <w:t xml:space="preserve">notes </w:t>
      </w:r>
      <w:r w:rsidRPr="00C9465D">
        <w:rPr>
          <w:lang w:val="en-US"/>
        </w:rPr>
        <w:t>that the authorities did not take any measure to comply with it immediately. To the contrary, the closure of the case was ordered 13 days after the Constitutional Court’s judgment.</w:t>
      </w:r>
      <w:r w:rsidR="0075407B" w:rsidRPr="00C9465D">
        <w:rPr>
          <w:rStyle w:val="FootnoteReference"/>
          <w:lang w:val="en-US"/>
        </w:rPr>
        <w:footnoteReference w:id="345"/>
      </w:r>
      <w:r w:rsidR="0075407B" w:rsidRPr="00C9465D">
        <w:rPr>
          <w:lang w:val="en-US"/>
        </w:rPr>
        <w:t xml:space="preserve"> </w:t>
      </w:r>
      <w:r w:rsidR="00193CBB" w:rsidRPr="00C9465D">
        <w:rPr>
          <w:lang w:val="en-US"/>
        </w:rPr>
        <w:t>The State</w:t>
      </w:r>
      <w:r w:rsidR="000231BC" w:rsidRPr="00C9465D">
        <w:rPr>
          <w:lang w:val="en-US"/>
        </w:rPr>
        <w:t xml:space="preserve"> argu</w:t>
      </w:r>
      <w:r w:rsidRPr="00C9465D">
        <w:rPr>
          <w:lang w:val="en-US"/>
        </w:rPr>
        <w:t>ed that the re-opening of the investigation in November</w:t>
      </w:r>
      <w:r w:rsidR="000231BC" w:rsidRPr="00C9465D">
        <w:rPr>
          <w:lang w:val="en-US"/>
        </w:rPr>
        <w:t xml:space="preserve"> 2009 </w:t>
      </w:r>
      <w:r w:rsidRPr="00C9465D">
        <w:rPr>
          <w:lang w:val="en-US"/>
        </w:rPr>
        <w:t xml:space="preserve">was in compliance with </w:t>
      </w:r>
      <w:r w:rsidR="008F17CD" w:rsidRPr="00C9465D">
        <w:rPr>
          <w:lang w:val="en-US"/>
        </w:rPr>
        <w:t>the judgment</w:t>
      </w:r>
      <w:r w:rsidR="00194B20" w:rsidRPr="00C9465D">
        <w:rPr>
          <w:lang w:val="en-US"/>
        </w:rPr>
        <w:t xml:space="preserve"> of the </w:t>
      </w:r>
      <w:r w:rsidR="001A4FA7" w:rsidRPr="00C9465D">
        <w:rPr>
          <w:lang w:val="en-US"/>
        </w:rPr>
        <w:t>Constitutional Court</w:t>
      </w:r>
      <w:r w:rsidR="000231BC" w:rsidRPr="00C9465D">
        <w:rPr>
          <w:lang w:val="en-US"/>
        </w:rPr>
        <w:t xml:space="preserve">. </w:t>
      </w:r>
      <w:r w:rsidRPr="00C9465D">
        <w:rPr>
          <w:lang w:val="en-US"/>
        </w:rPr>
        <w:t>However,</w:t>
      </w:r>
      <w:r w:rsidR="000231BC" w:rsidRPr="00C9465D">
        <w:rPr>
          <w:lang w:val="en-US"/>
        </w:rPr>
        <w:t xml:space="preserve"> </w:t>
      </w:r>
      <w:r w:rsidR="00183C22" w:rsidRPr="00C9465D">
        <w:rPr>
          <w:lang w:val="en-US"/>
        </w:rPr>
        <w:t>th</w:t>
      </w:r>
      <w:r w:rsidR="00251663" w:rsidRPr="00C9465D">
        <w:rPr>
          <w:lang w:val="en-US"/>
        </w:rPr>
        <w:t>e</w:t>
      </w:r>
      <w:r w:rsidR="00183C22" w:rsidRPr="00C9465D">
        <w:rPr>
          <w:lang w:val="en-US"/>
        </w:rPr>
        <w:t xml:space="preserve"> Court</w:t>
      </w:r>
      <w:r w:rsidR="000231BC" w:rsidRPr="00C9465D">
        <w:rPr>
          <w:lang w:val="en-US"/>
        </w:rPr>
        <w:t xml:space="preserve"> </w:t>
      </w:r>
      <w:r w:rsidRPr="00C9465D">
        <w:rPr>
          <w:lang w:val="en-US"/>
        </w:rPr>
        <w:t xml:space="preserve">notes that, even if this were true, this re-opening was carried out more than three years after </w:t>
      </w:r>
      <w:r w:rsidR="008F17CD" w:rsidRPr="00C9465D">
        <w:rPr>
          <w:lang w:val="en-US"/>
        </w:rPr>
        <w:t>the judgment</w:t>
      </w:r>
      <w:r w:rsidR="00C803A2" w:rsidRPr="00C9465D">
        <w:rPr>
          <w:lang w:val="en-US"/>
        </w:rPr>
        <w:t xml:space="preserve"> </w:t>
      </w:r>
      <w:r w:rsidRPr="00C9465D">
        <w:rPr>
          <w:lang w:val="en-US"/>
        </w:rPr>
        <w:t>granting the</w:t>
      </w:r>
      <w:r w:rsidR="00C803A2" w:rsidRPr="00C9465D">
        <w:rPr>
          <w:lang w:val="en-US"/>
        </w:rPr>
        <w:t xml:space="preserve"> </w:t>
      </w:r>
      <w:r w:rsidR="00721A86" w:rsidRPr="00C9465D">
        <w:rPr>
          <w:i/>
          <w:lang w:val="en-US"/>
        </w:rPr>
        <w:t>habeas corpus</w:t>
      </w:r>
      <w:r w:rsidR="00193CBB" w:rsidRPr="00C9465D">
        <w:rPr>
          <w:lang w:val="en-US"/>
        </w:rPr>
        <w:t xml:space="preserve"> and </w:t>
      </w:r>
      <w:r w:rsidRPr="00C9465D">
        <w:rPr>
          <w:lang w:val="en-US"/>
        </w:rPr>
        <w:t>that, in</w:t>
      </w:r>
      <w:r w:rsidR="000231BC" w:rsidRPr="00C9465D">
        <w:rPr>
          <w:lang w:val="en-US"/>
        </w:rPr>
        <w:t xml:space="preserve"> 2009</w:t>
      </w:r>
      <w:r w:rsidRPr="00C9465D">
        <w:rPr>
          <w:lang w:val="en-US"/>
        </w:rPr>
        <w:t>, only one investigation procedure was conducted.</w:t>
      </w:r>
      <w:r w:rsidR="000231BC" w:rsidRPr="00C9465D">
        <w:rPr>
          <w:rStyle w:val="FootnoteReference"/>
          <w:rFonts w:cs="Times New Roman"/>
          <w:lang w:val="en-US"/>
        </w:rPr>
        <w:footnoteReference w:id="346"/>
      </w:r>
      <w:r w:rsidRPr="00C9465D">
        <w:rPr>
          <w:rFonts w:cs="Times New Roman"/>
          <w:lang w:val="en-US"/>
        </w:rPr>
        <w:t xml:space="preserve"> The next procedures that appear in the case file were conducted in</w:t>
      </w:r>
      <w:r w:rsidR="000231BC" w:rsidRPr="00C9465D">
        <w:rPr>
          <w:rFonts w:cs="Times New Roman"/>
          <w:lang w:val="en-US"/>
        </w:rPr>
        <w:t xml:space="preserve"> 2013.</w:t>
      </w:r>
    </w:p>
    <w:p w14:paraId="6D0CCFCF" w14:textId="2659A35F" w:rsidR="000231BC" w:rsidRPr="00C9465D" w:rsidRDefault="00193CBB" w:rsidP="00CB19F4">
      <w:pPr>
        <w:pStyle w:val="Numberedparagraphs"/>
        <w:rPr>
          <w:color w:val="auto"/>
          <w:lang w:val="en-US"/>
        </w:rPr>
      </w:pPr>
      <w:r w:rsidRPr="00C9465D">
        <w:rPr>
          <w:lang w:val="en-US"/>
        </w:rPr>
        <w:t>The Court</w:t>
      </w:r>
      <w:r w:rsidR="000231BC" w:rsidRPr="00C9465D">
        <w:rPr>
          <w:snapToGrid w:val="0"/>
          <w:lang w:val="en-US"/>
        </w:rPr>
        <w:t xml:space="preserve"> </w:t>
      </w:r>
      <w:r w:rsidR="00CB19F4" w:rsidRPr="00C9465D">
        <w:rPr>
          <w:snapToGrid w:val="0"/>
          <w:lang w:val="en-US"/>
        </w:rPr>
        <w:t xml:space="preserve">stresses that both compliance with and execution of judgments constitute components of the right of access to justice and effective judicial protection. Similarly, the effectiveness of </w:t>
      </w:r>
      <w:r w:rsidR="00251663" w:rsidRPr="00C9465D">
        <w:rPr>
          <w:snapToGrid w:val="0"/>
          <w:lang w:val="en-US"/>
        </w:rPr>
        <w:t xml:space="preserve">a </w:t>
      </w:r>
      <w:r w:rsidR="00CB19F4" w:rsidRPr="00C9465D">
        <w:rPr>
          <w:snapToGrid w:val="0"/>
          <w:lang w:val="en-US"/>
        </w:rPr>
        <w:t xml:space="preserve">judgment depends on </w:t>
      </w:r>
      <w:r w:rsidR="00251663" w:rsidRPr="00C9465D">
        <w:rPr>
          <w:snapToGrid w:val="0"/>
          <w:lang w:val="en-US"/>
        </w:rPr>
        <w:t>its</w:t>
      </w:r>
      <w:r w:rsidR="00CB19F4" w:rsidRPr="00C9465D">
        <w:rPr>
          <w:snapToGrid w:val="0"/>
          <w:lang w:val="en-US"/>
        </w:rPr>
        <w:t xml:space="preserve"> </w:t>
      </w:r>
      <w:r w:rsidR="004C5E70" w:rsidRPr="00C9465D">
        <w:rPr>
          <w:snapToGrid w:val="0"/>
          <w:lang w:val="en-US"/>
        </w:rPr>
        <w:t>execution because</w:t>
      </w:r>
      <w:r w:rsidR="00CB19F4" w:rsidRPr="00C9465D">
        <w:rPr>
          <w:snapToGrid w:val="0"/>
          <w:lang w:val="en-US"/>
        </w:rPr>
        <w:t xml:space="preserve"> the right to judicial protection would be illusory if the </w:t>
      </w:r>
      <w:r w:rsidR="00251663" w:rsidRPr="00C9465D">
        <w:rPr>
          <w:snapToGrid w:val="0"/>
          <w:lang w:val="en-US"/>
        </w:rPr>
        <w:t xml:space="preserve">State’s </w:t>
      </w:r>
      <w:r w:rsidR="00CB19F4" w:rsidRPr="00C9465D">
        <w:rPr>
          <w:snapToGrid w:val="0"/>
          <w:lang w:val="en-US"/>
        </w:rPr>
        <w:t>legal system allowed a final and mandatory judicial decision to remain ineffective to the detriment of one of the parties.</w:t>
      </w:r>
      <w:r w:rsidR="000231BC" w:rsidRPr="00C9465D">
        <w:rPr>
          <w:rStyle w:val="FootnoteReference"/>
          <w:lang w:val="en-US"/>
        </w:rPr>
        <w:footnoteReference w:id="347"/>
      </w:r>
      <w:r w:rsidR="00CB19F4" w:rsidRPr="00C9465D">
        <w:rPr>
          <w:lang w:val="en-US"/>
        </w:rPr>
        <w:t xml:space="preserve"> Thus, the Court notes that, since no investigation actions were conducted immediately after the </w:t>
      </w:r>
      <w:r w:rsidR="001A4FA7" w:rsidRPr="00C9465D">
        <w:rPr>
          <w:lang w:val="en-US"/>
        </w:rPr>
        <w:t>Constitutional Court</w:t>
      </w:r>
      <w:r w:rsidR="00CB19F4" w:rsidRPr="00C9465D">
        <w:rPr>
          <w:lang w:val="en-US"/>
        </w:rPr>
        <w:t>’s decision</w:t>
      </w:r>
      <w:r w:rsidR="00DC4D19" w:rsidRPr="00C9465D">
        <w:rPr>
          <w:lang w:val="en-US"/>
        </w:rPr>
        <w:t xml:space="preserve">, </w:t>
      </w:r>
      <w:r w:rsidR="00CB19F4" w:rsidRPr="00C9465D">
        <w:rPr>
          <w:lang w:val="en-US"/>
        </w:rPr>
        <w:t>in practice, the remedy of</w:t>
      </w:r>
      <w:r w:rsidR="00C803A2" w:rsidRPr="00C9465D">
        <w:rPr>
          <w:lang w:val="en-US"/>
        </w:rPr>
        <w:t xml:space="preserve"> </w:t>
      </w:r>
      <w:r w:rsidR="00721A86" w:rsidRPr="00C9465D">
        <w:rPr>
          <w:i/>
          <w:lang w:val="en-US"/>
        </w:rPr>
        <w:t>habeas corpus</w:t>
      </w:r>
      <w:r w:rsidR="00C803A2" w:rsidRPr="00C9465D">
        <w:rPr>
          <w:lang w:val="en-US"/>
        </w:rPr>
        <w:t xml:space="preserve"> </w:t>
      </w:r>
      <w:r w:rsidR="00CB19F4" w:rsidRPr="00C9465D">
        <w:rPr>
          <w:lang w:val="en-US"/>
        </w:rPr>
        <w:t xml:space="preserve">was ineffective. Therefore, the Court concludes that the State violated its obligation to provide </w:t>
      </w:r>
      <w:r w:rsidR="00F42E0C" w:rsidRPr="00C9465D">
        <w:rPr>
          <w:color w:val="auto"/>
          <w:lang w:val="en-US"/>
        </w:rPr>
        <w:t>an effective remedy</w:t>
      </w:r>
      <w:r w:rsidR="00F44133" w:rsidRPr="00C9465D">
        <w:rPr>
          <w:color w:val="auto"/>
          <w:lang w:val="en-US"/>
        </w:rPr>
        <w:t xml:space="preserve"> </w:t>
      </w:r>
      <w:r w:rsidR="00CB19F4" w:rsidRPr="00C9465D">
        <w:rPr>
          <w:color w:val="auto"/>
          <w:lang w:val="en-US"/>
        </w:rPr>
        <w:t xml:space="preserve">in relation to the right to </w:t>
      </w:r>
      <w:r w:rsidR="00D12C0E" w:rsidRPr="00C9465D">
        <w:rPr>
          <w:color w:val="auto"/>
          <w:lang w:val="en-US"/>
        </w:rPr>
        <w:t>judicial protection</w:t>
      </w:r>
      <w:r w:rsidR="00F44133" w:rsidRPr="00C9465D">
        <w:rPr>
          <w:color w:val="auto"/>
          <w:lang w:val="en-US"/>
        </w:rPr>
        <w:t xml:space="preserve">. </w:t>
      </w:r>
    </w:p>
    <w:p w14:paraId="62476E90" w14:textId="57432AF8" w:rsidR="00D46BC9" w:rsidRPr="00C9465D" w:rsidRDefault="006E3AED" w:rsidP="00C95348">
      <w:pPr>
        <w:pStyle w:val="Heading3"/>
        <w:rPr>
          <w:bCs/>
          <w:i/>
          <w:lang w:val="en-US"/>
        </w:rPr>
      </w:pPr>
      <w:bookmarkStart w:id="74" w:name="_Toc74298466"/>
      <w:r w:rsidRPr="00C9465D">
        <w:rPr>
          <w:lang w:val="en-US"/>
        </w:rPr>
        <w:t>B.</w:t>
      </w:r>
      <w:r w:rsidR="00F717CA" w:rsidRPr="00C9465D">
        <w:rPr>
          <w:lang w:val="en-US"/>
        </w:rPr>
        <w:t>5</w:t>
      </w:r>
      <w:r w:rsidRPr="00C9465D">
        <w:rPr>
          <w:lang w:val="en-US"/>
        </w:rPr>
        <w:t xml:space="preserve"> </w:t>
      </w:r>
      <w:r w:rsidRPr="00C9465D">
        <w:rPr>
          <w:lang w:val="en-US"/>
        </w:rPr>
        <w:tab/>
      </w:r>
      <w:r w:rsidR="00CB19F4" w:rsidRPr="00C9465D">
        <w:rPr>
          <w:lang w:val="en-US"/>
        </w:rPr>
        <w:t>Reasonable time and right to know the truth</w:t>
      </w:r>
      <w:bookmarkEnd w:id="72"/>
      <w:bookmarkEnd w:id="74"/>
    </w:p>
    <w:p w14:paraId="0EBD751B" w14:textId="56698A41" w:rsidR="00D46BC9" w:rsidRPr="00C9465D" w:rsidRDefault="00193CBB" w:rsidP="00CF0173">
      <w:pPr>
        <w:pStyle w:val="Numberedparagraphs"/>
        <w:rPr>
          <w:lang w:val="en-US" w:eastAsia="es-MX"/>
        </w:rPr>
      </w:pPr>
      <w:bookmarkStart w:id="75" w:name="_Ref405656105"/>
      <w:r w:rsidRPr="00C9465D">
        <w:rPr>
          <w:lang w:val="en-US"/>
        </w:rPr>
        <w:t>The Court</w:t>
      </w:r>
      <w:r w:rsidR="00D46BC9" w:rsidRPr="00C9465D">
        <w:rPr>
          <w:lang w:val="en-US"/>
        </w:rPr>
        <w:t xml:space="preserve"> ha</w:t>
      </w:r>
      <w:r w:rsidR="00CF0173" w:rsidRPr="00C9465D">
        <w:rPr>
          <w:lang w:val="en-US"/>
        </w:rPr>
        <w:t>s established that the right of access to justice requires that the events investigated are determined within a reasonable time.</w:t>
      </w:r>
      <w:r w:rsidR="00D46BC9" w:rsidRPr="00C9465D">
        <w:rPr>
          <w:vertAlign w:val="superscript"/>
          <w:lang w:val="en-US"/>
        </w:rPr>
        <w:footnoteReference w:id="348"/>
      </w:r>
      <w:r w:rsidR="00D46BC9" w:rsidRPr="00C9465D">
        <w:rPr>
          <w:lang w:val="en-US"/>
        </w:rPr>
        <w:t xml:space="preserve"> </w:t>
      </w:r>
      <w:r w:rsidR="00B71E4D" w:rsidRPr="00C9465D">
        <w:rPr>
          <w:lang w:val="en-US"/>
        </w:rPr>
        <w:t>Th</w:t>
      </w:r>
      <w:r w:rsidR="00CF0173" w:rsidRPr="00C9465D">
        <w:rPr>
          <w:lang w:val="en-US"/>
        </w:rPr>
        <w:t>e</w:t>
      </w:r>
      <w:r w:rsidR="00B71E4D" w:rsidRPr="00C9465D">
        <w:rPr>
          <w:lang w:val="en-US"/>
        </w:rPr>
        <w:t xml:space="preserve"> Court</w:t>
      </w:r>
      <w:r w:rsidR="00D46BC9" w:rsidRPr="00C9465D">
        <w:rPr>
          <w:lang w:val="en-US"/>
        </w:rPr>
        <w:t xml:space="preserve"> ha</w:t>
      </w:r>
      <w:r w:rsidR="00CF0173" w:rsidRPr="00C9465D">
        <w:rPr>
          <w:lang w:val="en-US"/>
        </w:rPr>
        <w:t xml:space="preserve">s indicated that the </w:t>
      </w:r>
      <w:r w:rsidR="00D46BC9" w:rsidRPr="00C9465D">
        <w:rPr>
          <w:lang w:val="en-US"/>
        </w:rPr>
        <w:t>“</w:t>
      </w:r>
      <w:r w:rsidR="000A73DA" w:rsidRPr="00C9465D">
        <w:rPr>
          <w:lang w:val="en-US"/>
        </w:rPr>
        <w:t>reasonable time</w:t>
      </w:r>
      <w:r w:rsidR="00D46BC9" w:rsidRPr="00C9465D">
        <w:rPr>
          <w:lang w:val="en-US"/>
        </w:rPr>
        <w:t xml:space="preserve">” </w:t>
      </w:r>
      <w:r w:rsidR="00CF0173" w:rsidRPr="00C9465D">
        <w:rPr>
          <w:lang w:val="en-US"/>
        </w:rPr>
        <w:t>to which</w:t>
      </w:r>
      <w:r w:rsidR="00D46BC9" w:rsidRPr="00C9465D">
        <w:rPr>
          <w:lang w:val="en-US"/>
        </w:rPr>
        <w:t xml:space="preserve"> </w:t>
      </w:r>
      <w:r w:rsidRPr="00C9465D">
        <w:rPr>
          <w:lang w:val="en-US"/>
        </w:rPr>
        <w:t>Article</w:t>
      </w:r>
      <w:r w:rsidR="00D46BC9" w:rsidRPr="00C9465D">
        <w:rPr>
          <w:lang w:val="en-US"/>
        </w:rPr>
        <w:t xml:space="preserve"> </w:t>
      </w:r>
      <w:r w:rsidR="00577DE0" w:rsidRPr="00C9465D">
        <w:rPr>
          <w:lang w:val="en-US"/>
        </w:rPr>
        <w:t>8(1)</w:t>
      </w:r>
      <w:r w:rsidRPr="00C9465D">
        <w:rPr>
          <w:lang w:val="en-US"/>
        </w:rPr>
        <w:t xml:space="preserve"> of the Convention</w:t>
      </w:r>
      <w:r w:rsidR="00CF0173" w:rsidRPr="00C9465D">
        <w:rPr>
          <w:lang w:val="en-US"/>
        </w:rPr>
        <w:t xml:space="preserve"> refers should be assessed in relation to the total duration of the proceedings until the final judgment is delivered.</w:t>
      </w:r>
      <w:r w:rsidR="00D46BC9" w:rsidRPr="00C9465D">
        <w:rPr>
          <w:vertAlign w:val="superscript"/>
          <w:lang w:val="en-US"/>
        </w:rPr>
        <w:footnoteReference w:id="349"/>
      </w:r>
      <w:r w:rsidR="00CF0173" w:rsidRPr="00C9465D">
        <w:rPr>
          <w:lang w:val="en-US"/>
        </w:rPr>
        <w:t xml:space="preserve"> In addition, it </w:t>
      </w:r>
      <w:r w:rsidR="00CF0173" w:rsidRPr="00C9465D">
        <w:rPr>
          <w:lang w:val="en-US"/>
        </w:rPr>
        <w:lastRenderedPageBreak/>
        <w:t xml:space="preserve">has considered that, in principle, a prolonged delay constitutes, </w:t>
      </w:r>
      <w:r w:rsidR="00CF0173" w:rsidRPr="00C9465D">
        <w:rPr>
          <w:i/>
          <w:iCs/>
          <w:lang w:val="en-US"/>
        </w:rPr>
        <w:t>per se</w:t>
      </w:r>
      <w:r w:rsidR="00CF0173" w:rsidRPr="00C9465D">
        <w:rPr>
          <w:lang w:val="en-US"/>
        </w:rPr>
        <w:t xml:space="preserve">, </w:t>
      </w:r>
      <w:r w:rsidR="00183C22" w:rsidRPr="00C9465D">
        <w:rPr>
          <w:lang w:val="en-US"/>
        </w:rPr>
        <w:t>a violation</w:t>
      </w:r>
      <w:r w:rsidR="00D46BC9" w:rsidRPr="00C9465D">
        <w:rPr>
          <w:lang w:val="en-US"/>
        </w:rPr>
        <w:t xml:space="preserve"> </w:t>
      </w:r>
      <w:r w:rsidR="00CF0173" w:rsidRPr="00C9465D">
        <w:rPr>
          <w:lang w:val="en-US"/>
        </w:rPr>
        <w:t>of</w:t>
      </w:r>
      <w:r w:rsidR="00D46BC9" w:rsidRPr="00C9465D">
        <w:rPr>
          <w:lang w:val="en-US"/>
        </w:rPr>
        <w:t xml:space="preserve"> </w:t>
      </w:r>
      <w:r w:rsidR="00D12C0E" w:rsidRPr="00C9465D">
        <w:rPr>
          <w:lang w:val="en-US"/>
        </w:rPr>
        <w:t>judicial guarantees</w:t>
      </w:r>
      <w:r w:rsidR="00D46BC9" w:rsidRPr="00C9465D">
        <w:rPr>
          <w:vertAlign w:val="superscript"/>
          <w:lang w:val="en-US"/>
        </w:rPr>
        <w:footnoteReference w:id="350"/>
      </w:r>
      <w:r w:rsidR="00D46BC9" w:rsidRPr="00C9465D">
        <w:rPr>
          <w:lang w:val="en-US"/>
        </w:rPr>
        <w:t xml:space="preserve">. </w:t>
      </w:r>
    </w:p>
    <w:p w14:paraId="2A86583C" w14:textId="1F9E7B4B" w:rsidR="00D46BC9" w:rsidRPr="00C9465D" w:rsidRDefault="00CF0173" w:rsidP="00653966">
      <w:pPr>
        <w:pStyle w:val="Numberedparagraphs"/>
        <w:rPr>
          <w:szCs w:val="22"/>
          <w:lang w:val="en-US" w:eastAsia="es-MX"/>
        </w:rPr>
      </w:pPr>
      <w:r w:rsidRPr="00C9465D">
        <w:rPr>
          <w:lang w:val="en-US"/>
        </w:rPr>
        <w:t>The Court notes that</w:t>
      </w:r>
      <w:r w:rsidR="00251663" w:rsidRPr="00C9465D">
        <w:rPr>
          <w:lang w:val="en-US"/>
        </w:rPr>
        <w:t xml:space="preserve"> </w:t>
      </w:r>
      <w:r w:rsidRPr="00C9465D">
        <w:rPr>
          <w:lang w:val="en-US"/>
        </w:rPr>
        <w:t>there were three stages in the activities of the authorities in charge of the investigation</w:t>
      </w:r>
      <w:r w:rsidR="00251663" w:rsidRPr="00C9465D">
        <w:rPr>
          <w:lang w:val="en-US"/>
        </w:rPr>
        <w:t xml:space="preserve"> in this case</w:t>
      </w:r>
      <w:r w:rsidRPr="00C9465D">
        <w:rPr>
          <w:lang w:val="en-US"/>
        </w:rPr>
        <w:t>: a first stage (from 2004 to 2006)</w:t>
      </w:r>
      <w:r w:rsidRPr="00C9465D">
        <w:rPr>
          <w:szCs w:val="22"/>
          <w:lang w:val="en-US" w:eastAsia="es-MX"/>
        </w:rPr>
        <w:t xml:space="preserve"> d</w:t>
      </w:r>
      <w:r w:rsidRPr="00C9465D">
        <w:rPr>
          <w:lang w:val="en-US"/>
        </w:rPr>
        <w:t>uring which the initial investigation of the events was conducted and that concluded with the closure of the case, indicating that “it has not been possible to determine the existence of an offense of any kind</w:t>
      </w:r>
      <w:r w:rsidR="00964FAB" w:rsidRPr="00C9465D">
        <w:rPr>
          <w:lang w:val="en-US"/>
        </w:rPr>
        <w:t>”</w:t>
      </w:r>
      <w:r w:rsidRPr="00C9465D">
        <w:rPr>
          <w:lang w:val="en-US"/>
        </w:rPr>
        <w:t>;</w:t>
      </w:r>
      <w:r w:rsidR="00964FAB" w:rsidRPr="00C9465D">
        <w:rPr>
          <w:rStyle w:val="FootnoteReference"/>
          <w:color w:val="auto"/>
          <w:lang w:val="en-US"/>
        </w:rPr>
        <w:footnoteReference w:id="351"/>
      </w:r>
      <w:r w:rsidRPr="00C9465D">
        <w:rPr>
          <w:lang w:val="en-US"/>
        </w:rPr>
        <w:t xml:space="preserve"> a second stage, in November 2009, when the investigation was re-opened, and a third stage between </w:t>
      </w:r>
      <w:r w:rsidR="00964FAB" w:rsidRPr="00C9465D">
        <w:rPr>
          <w:lang w:val="en-US"/>
        </w:rPr>
        <w:t>2013</w:t>
      </w:r>
      <w:r w:rsidR="00193CBB" w:rsidRPr="00C9465D">
        <w:rPr>
          <w:lang w:val="en-US"/>
        </w:rPr>
        <w:t xml:space="preserve"> and </w:t>
      </w:r>
      <w:r w:rsidR="00964FAB" w:rsidRPr="00C9465D">
        <w:rPr>
          <w:lang w:val="en-US"/>
        </w:rPr>
        <w:t xml:space="preserve">2020. </w:t>
      </w:r>
      <w:r w:rsidRPr="00C9465D">
        <w:rPr>
          <w:lang w:val="en-US"/>
        </w:rPr>
        <w:t>No actions whatsoever were undertaken from 2006 to 2009,</w:t>
      </w:r>
      <w:r w:rsidR="00653966" w:rsidRPr="00C9465D">
        <w:rPr>
          <w:lang w:val="en-US"/>
        </w:rPr>
        <w:t xml:space="preserve"> when a single procedure was conducted, </w:t>
      </w:r>
      <w:r w:rsidR="00251663" w:rsidRPr="00C9465D">
        <w:rPr>
          <w:lang w:val="en-US"/>
        </w:rPr>
        <w:t>or</w:t>
      </w:r>
      <w:r w:rsidR="00653966" w:rsidRPr="00C9465D">
        <w:rPr>
          <w:lang w:val="en-US"/>
        </w:rPr>
        <w:t xml:space="preserve"> from </w:t>
      </w:r>
      <w:r w:rsidR="00D46BC9" w:rsidRPr="00C9465D">
        <w:rPr>
          <w:lang w:val="en-US"/>
        </w:rPr>
        <w:t>2009</w:t>
      </w:r>
      <w:r w:rsidR="00193CBB" w:rsidRPr="00C9465D">
        <w:rPr>
          <w:lang w:val="en-US"/>
        </w:rPr>
        <w:t xml:space="preserve"> </w:t>
      </w:r>
      <w:r w:rsidR="00653966" w:rsidRPr="00C9465D">
        <w:rPr>
          <w:lang w:val="en-US"/>
        </w:rPr>
        <w:t>to</w:t>
      </w:r>
      <w:r w:rsidR="00D46BC9" w:rsidRPr="00C9465D">
        <w:rPr>
          <w:lang w:val="en-US"/>
        </w:rPr>
        <w:t xml:space="preserve"> 2013</w:t>
      </w:r>
      <w:r w:rsidR="00964FAB" w:rsidRPr="00C9465D">
        <w:rPr>
          <w:lang w:val="en-US"/>
        </w:rPr>
        <w:t xml:space="preserve">. </w:t>
      </w:r>
      <w:r w:rsidR="00653966" w:rsidRPr="00C9465D">
        <w:rPr>
          <w:lang w:val="en-US"/>
        </w:rPr>
        <w:t>This absence of activity can be attributed to the conduct of the authorities because the State has not justified these periods of lack of investigation actions. Therefore, the Court concludes that the State failed to comply with its obligation to conduct the investigation in a</w:t>
      </w:r>
      <w:r w:rsidR="00653966" w:rsidRPr="00C9465D">
        <w:rPr>
          <w:szCs w:val="22"/>
          <w:lang w:val="en-US" w:eastAsia="es-MX"/>
        </w:rPr>
        <w:t xml:space="preserve"> </w:t>
      </w:r>
      <w:r w:rsidR="000A73DA" w:rsidRPr="00C9465D">
        <w:rPr>
          <w:lang w:val="en-US"/>
        </w:rPr>
        <w:t>reasonable time</w:t>
      </w:r>
      <w:r w:rsidR="00D46BC9" w:rsidRPr="00C9465D">
        <w:rPr>
          <w:lang w:val="en-US"/>
        </w:rPr>
        <w:t xml:space="preserve">. </w:t>
      </w:r>
    </w:p>
    <w:p w14:paraId="68D0A4A3" w14:textId="1DEC9CBA" w:rsidR="00D46BC9" w:rsidRPr="00C9465D" w:rsidRDefault="00653966" w:rsidP="00653966">
      <w:pPr>
        <w:pStyle w:val="Numberedparagraphs"/>
        <w:rPr>
          <w:lang w:val="en-US"/>
        </w:rPr>
      </w:pPr>
      <w:r w:rsidRPr="00C9465D">
        <w:rPr>
          <w:lang w:val="en-US"/>
        </w:rPr>
        <w:t>The Court also recalls that everyone, including the next of kin of victims of human rights violations, has the right to know the truth. Consequently, the victims’ next of kin and society as a whole should be informed of what happened in relation to such violations.</w:t>
      </w:r>
      <w:r w:rsidR="00D46BC9" w:rsidRPr="00C9465D">
        <w:rPr>
          <w:rStyle w:val="FootnoteReference"/>
          <w:lang w:val="en-US"/>
        </w:rPr>
        <w:footnoteReference w:id="352"/>
      </w:r>
      <w:r w:rsidRPr="00C9465D">
        <w:rPr>
          <w:lang w:val="en-US"/>
        </w:rPr>
        <w:t xml:space="preserve"> Even though the right to know the truth has been considered, above all, in relation to the right of access to justice,</w:t>
      </w:r>
      <w:r w:rsidR="00D46BC9" w:rsidRPr="00C9465D">
        <w:rPr>
          <w:rStyle w:val="FootnoteReference"/>
          <w:lang w:val="en-US"/>
        </w:rPr>
        <w:footnoteReference w:id="353"/>
      </w:r>
      <w:r w:rsidRPr="00C9465D">
        <w:rPr>
          <w:lang w:val="en-US"/>
        </w:rPr>
        <w:t xml:space="preserve"> it is comprehensive in nature and its violation may affect various rights recognized in </w:t>
      </w:r>
      <w:r w:rsidR="00193CBB" w:rsidRPr="00C9465D">
        <w:rPr>
          <w:lang w:val="en-US"/>
        </w:rPr>
        <w:t>the American Convention</w:t>
      </w:r>
      <w:r w:rsidR="00D46BC9" w:rsidRPr="00C9465D">
        <w:rPr>
          <w:rStyle w:val="FootnoteReference"/>
          <w:lang w:val="en-US"/>
        </w:rPr>
        <w:footnoteReference w:id="354"/>
      </w:r>
      <w:r w:rsidRPr="00C9465D">
        <w:rPr>
          <w:lang w:val="en-US"/>
        </w:rPr>
        <w:t xml:space="preserve"> depending on the context and particular circumstances of the case</w:t>
      </w:r>
      <w:r w:rsidR="00D46BC9" w:rsidRPr="00C9465D">
        <w:rPr>
          <w:lang w:val="en-US"/>
        </w:rPr>
        <w:t xml:space="preserve">. </w:t>
      </w:r>
    </w:p>
    <w:p w14:paraId="344A1441" w14:textId="1945530E" w:rsidR="00D46BC9" w:rsidRPr="00C9465D" w:rsidRDefault="00653966" w:rsidP="00AA3C22">
      <w:pPr>
        <w:pStyle w:val="Numberedparagraphs"/>
        <w:rPr>
          <w:color w:val="auto"/>
          <w:lang w:val="en-US"/>
        </w:rPr>
      </w:pPr>
      <w:r w:rsidRPr="00C9465D">
        <w:rPr>
          <w:lang w:val="en-US"/>
        </w:rPr>
        <w:t xml:space="preserve">In the instant case, </w:t>
      </w:r>
      <w:r w:rsidR="00CC7A21" w:rsidRPr="00C9465D">
        <w:rPr>
          <w:lang w:val="en-US"/>
        </w:rPr>
        <w:t xml:space="preserve">17 years have passed and the whereabouts </w:t>
      </w:r>
      <w:r w:rsidR="002F3237" w:rsidRPr="00C9465D">
        <w:rPr>
          <w:lang w:val="en-US"/>
        </w:rPr>
        <w:t>of Mr. Guachalá</w:t>
      </w:r>
      <w:r w:rsidR="00D46BC9" w:rsidRPr="00C9465D">
        <w:rPr>
          <w:lang w:val="en-US"/>
        </w:rPr>
        <w:t xml:space="preserve"> Chimbo</w:t>
      </w:r>
      <w:r w:rsidR="00CC7A21" w:rsidRPr="00C9465D">
        <w:rPr>
          <w:lang w:val="en-US"/>
        </w:rPr>
        <w:t xml:space="preserve"> remain unknown</w:t>
      </w:r>
      <w:r w:rsidR="00D46BC9" w:rsidRPr="00C9465D">
        <w:rPr>
          <w:lang w:val="en-US"/>
        </w:rPr>
        <w:t xml:space="preserve">. </w:t>
      </w:r>
      <w:r w:rsidR="00CC7A21" w:rsidRPr="00C9465D">
        <w:rPr>
          <w:lang w:val="en-US"/>
        </w:rPr>
        <w:t xml:space="preserve">Consequently, taking into account the flaws in the investigations, the Court declares </w:t>
      </w:r>
      <w:r w:rsidR="00183C22" w:rsidRPr="00C9465D">
        <w:rPr>
          <w:lang w:val="en-US"/>
        </w:rPr>
        <w:t>the violation</w:t>
      </w:r>
      <w:r w:rsidR="00D46BC9" w:rsidRPr="00C9465D">
        <w:rPr>
          <w:lang w:val="en-US"/>
        </w:rPr>
        <w:t xml:space="preserve"> </w:t>
      </w:r>
      <w:r w:rsidR="00CC7A21" w:rsidRPr="00C9465D">
        <w:rPr>
          <w:lang w:val="en-US"/>
        </w:rPr>
        <w:t>of the right to know the truth of the members of</w:t>
      </w:r>
      <w:r w:rsidR="00D46BC9" w:rsidRPr="00C9465D">
        <w:rPr>
          <w:lang w:val="en-US"/>
        </w:rPr>
        <w:t xml:space="preserve"> Luis Eduardo Guachalá Chimbo</w:t>
      </w:r>
      <w:r w:rsidR="00CC7A21" w:rsidRPr="00C9465D">
        <w:rPr>
          <w:lang w:val="en-US"/>
        </w:rPr>
        <w:t>’s family</w:t>
      </w:r>
      <w:r w:rsidR="00D46BC9" w:rsidRPr="00C9465D">
        <w:rPr>
          <w:lang w:val="en-US"/>
        </w:rPr>
        <w:t xml:space="preserve">. </w:t>
      </w:r>
      <w:r w:rsidR="00CC7A21" w:rsidRPr="00C9465D">
        <w:rPr>
          <w:lang w:val="en-US"/>
        </w:rPr>
        <w:t>In this case, as in others, this violation is included in the right of access to  justice.</w:t>
      </w:r>
      <w:bookmarkEnd w:id="75"/>
    </w:p>
    <w:p w14:paraId="3DE5C023" w14:textId="7B585026" w:rsidR="00D46BC9" w:rsidRPr="00C9465D" w:rsidRDefault="00D46BC9" w:rsidP="00C95348">
      <w:pPr>
        <w:pStyle w:val="Heading3"/>
        <w:rPr>
          <w:bCs/>
          <w:lang w:val="en-US"/>
        </w:rPr>
      </w:pPr>
      <w:bookmarkStart w:id="76" w:name="_Toc74298467"/>
      <w:r w:rsidRPr="00C9465D">
        <w:rPr>
          <w:lang w:val="en-US"/>
        </w:rPr>
        <w:t>B.</w:t>
      </w:r>
      <w:r w:rsidR="00F717CA" w:rsidRPr="00C9465D">
        <w:rPr>
          <w:lang w:val="en-US"/>
        </w:rPr>
        <w:t>6</w:t>
      </w:r>
      <w:r w:rsidRPr="00C9465D">
        <w:rPr>
          <w:lang w:val="en-US"/>
        </w:rPr>
        <w:t xml:space="preserve"> </w:t>
      </w:r>
      <w:r w:rsidR="00F717CA" w:rsidRPr="00C9465D">
        <w:rPr>
          <w:lang w:val="en-US"/>
        </w:rPr>
        <w:tab/>
      </w:r>
      <w:r w:rsidRPr="00C9465D">
        <w:rPr>
          <w:lang w:val="en-US"/>
        </w:rPr>
        <w:t>Conclusi</w:t>
      </w:r>
      <w:r w:rsidR="00CC7A21" w:rsidRPr="00C9465D">
        <w:rPr>
          <w:lang w:val="en-US"/>
        </w:rPr>
        <w:t>o</w:t>
      </w:r>
      <w:r w:rsidRPr="00C9465D">
        <w:rPr>
          <w:lang w:val="en-US"/>
        </w:rPr>
        <w:t>n</w:t>
      </w:r>
      <w:bookmarkEnd w:id="76"/>
      <w:r w:rsidRPr="00C9465D">
        <w:rPr>
          <w:lang w:val="en-US"/>
        </w:rPr>
        <w:t xml:space="preserve"> </w:t>
      </w:r>
    </w:p>
    <w:p w14:paraId="0EC8458B" w14:textId="7DD4E363" w:rsidR="00236B58" w:rsidRPr="00C9465D" w:rsidRDefault="00CC7A21" w:rsidP="00CC7A21">
      <w:pPr>
        <w:pStyle w:val="Numberedparagraphs"/>
        <w:rPr>
          <w:lang w:val="en-US" w:eastAsia="es-MX"/>
        </w:rPr>
      </w:pPr>
      <w:bookmarkStart w:id="77" w:name="_Ref72330068"/>
      <w:r w:rsidRPr="00C9465D">
        <w:rPr>
          <w:lang w:val="en-US"/>
        </w:rPr>
        <w:t>In light of the fact that</w:t>
      </w:r>
      <w:r w:rsidR="008455AE" w:rsidRPr="00C9465D">
        <w:rPr>
          <w:lang w:val="en-US"/>
        </w:rPr>
        <w:t xml:space="preserve">: </w:t>
      </w:r>
      <w:r w:rsidRPr="00C9465D">
        <w:rPr>
          <w:lang w:val="en-US"/>
        </w:rPr>
        <w:t>(</w:t>
      </w:r>
      <w:r w:rsidR="008455AE" w:rsidRPr="00C9465D">
        <w:rPr>
          <w:lang w:val="en-US"/>
        </w:rPr>
        <w:t xml:space="preserve">i) </w:t>
      </w:r>
      <w:r w:rsidRPr="00C9465D">
        <w:rPr>
          <w:lang w:val="en-US"/>
        </w:rPr>
        <w:t xml:space="preserve">the State failed to initiate an investigation </w:t>
      </w:r>
      <w:r w:rsidRPr="00C9465D">
        <w:rPr>
          <w:i/>
          <w:iCs/>
          <w:lang w:val="en-US"/>
        </w:rPr>
        <w:t>ex officio</w:t>
      </w:r>
      <w:r w:rsidRPr="00C9465D">
        <w:rPr>
          <w:lang w:val="en-US"/>
        </w:rPr>
        <w:t xml:space="preserve"> and immediately; (ii) the State failed to conduct a serious, coordinated and systematic search for the presumed victim; (iii) the State failed to investigate what happened with due diligence, </w:t>
      </w:r>
      <w:r w:rsidRPr="00C9465D">
        <w:rPr>
          <w:lang w:val="en-US"/>
        </w:rPr>
        <w:lastRenderedPageBreak/>
        <w:t xml:space="preserve">because there were flaws in the initial investigations that were impossible to rectify and the State has never requested the statements of other possible witnesses of what happened to Mr. Guachalá Chimbo; (iv) the remedy of </w:t>
      </w:r>
      <w:r w:rsidRPr="00C9465D">
        <w:rPr>
          <w:i/>
          <w:lang w:val="en-US"/>
        </w:rPr>
        <w:t>habeas corpus</w:t>
      </w:r>
      <w:r w:rsidRPr="00C9465D">
        <w:rPr>
          <w:lang w:val="en-US"/>
        </w:rPr>
        <w:t xml:space="preserve"> was ineffective to respond to the disappearance of Mr. Guachalá, and (v) the State failed to comply with its obligation to investigate the facts in a</w:t>
      </w:r>
      <w:r w:rsidRPr="00C9465D">
        <w:rPr>
          <w:lang w:val="en-US" w:eastAsia="es-MX"/>
        </w:rPr>
        <w:t xml:space="preserve"> </w:t>
      </w:r>
      <w:r w:rsidR="000A73DA" w:rsidRPr="00C9465D">
        <w:rPr>
          <w:lang w:val="en-US"/>
        </w:rPr>
        <w:t>reasonable time</w:t>
      </w:r>
      <w:r w:rsidR="00344D62" w:rsidRPr="00C9465D">
        <w:rPr>
          <w:lang w:val="en-US"/>
        </w:rPr>
        <w:t xml:space="preserve">, </w:t>
      </w:r>
      <w:r w:rsidR="00193CBB" w:rsidRPr="00C9465D">
        <w:rPr>
          <w:lang w:val="en-US"/>
        </w:rPr>
        <w:t>the Court</w:t>
      </w:r>
      <w:r w:rsidR="00344D62" w:rsidRPr="00C9465D">
        <w:rPr>
          <w:lang w:val="en-US"/>
        </w:rPr>
        <w:t xml:space="preserve"> </w:t>
      </w:r>
      <w:r w:rsidR="00776417" w:rsidRPr="00C9465D">
        <w:rPr>
          <w:lang w:val="en-US"/>
        </w:rPr>
        <w:t>conclu</w:t>
      </w:r>
      <w:r w:rsidRPr="00C9465D">
        <w:rPr>
          <w:lang w:val="en-US"/>
        </w:rPr>
        <w:t>des that</w:t>
      </w:r>
      <w:r w:rsidR="00776417" w:rsidRPr="00C9465D">
        <w:rPr>
          <w:lang w:val="en-US"/>
        </w:rPr>
        <w:t xml:space="preserve"> </w:t>
      </w:r>
      <w:r w:rsidR="00193CBB" w:rsidRPr="00C9465D">
        <w:rPr>
          <w:lang w:val="en-US"/>
        </w:rPr>
        <w:t>the State</w:t>
      </w:r>
      <w:r w:rsidR="00776417" w:rsidRPr="00C9465D">
        <w:rPr>
          <w:lang w:val="en-US"/>
        </w:rPr>
        <w:t xml:space="preserve"> </w:t>
      </w:r>
      <w:r w:rsidRPr="00C9465D">
        <w:rPr>
          <w:lang w:val="en-US"/>
        </w:rPr>
        <w:t>i</w:t>
      </w:r>
      <w:r w:rsidR="00776417" w:rsidRPr="00C9465D">
        <w:rPr>
          <w:lang w:val="en-US"/>
        </w:rPr>
        <w:t>s respons</w:t>
      </w:r>
      <w:r w:rsidRPr="00C9465D">
        <w:rPr>
          <w:lang w:val="en-US"/>
        </w:rPr>
        <w:t>i</w:t>
      </w:r>
      <w:r w:rsidR="00776417" w:rsidRPr="00C9465D">
        <w:rPr>
          <w:lang w:val="en-US"/>
        </w:rPr>
        <w:t xml:space="preserve">ble </w:t>
      </w:r>
      <w:r w:rsidRPr="00C9465D">
        <w:rPr>
          <w:lang w:val="en-US"/>
        </w:rPr>
        <w:t>f</w:t>
      </w:r>
      <w:r w:rsidR="00E90B85" w:rsidRPr="00C9465D">
        <w:rPr>
          <w:lang w:val="en-US"/>
        </w:rPr>
        <w:t xml:space="preserve">or </w:t>
      </w:r>
      <w:r w:rsidR="00183C22" w:rsidRPr="00C9465D">
        <w:rPr>
          <w:lang w:val="en-US"/>
        </w:rPr>
        <w:t>the violation</w:t>
      </w:r>
      <w:r w:rsidR="00776417" w:rsidRPr="00C9465D">
        <w:rPr>
          <w:lang w:val="en-US"/>
        </w:rPr>
        <w:t xml:space="preserve"> </w:t>
      </w:r>
      <w:r w:rsidRPr="00C9465D">
        <w:rPr>
          <w:lang w:val="en-US"/>
        </w:rPr>
        <w:t>of</w:t>
      </w:r>
      <w:r w:rsidR="00776417" w:rsidRPr="00C9465D">
        <w:rPr>
          <w:lang w:val="en-US"/>
        </w:rPr>
        <w:t xml:space="preserve"> </w:t>
      </w:r>
      <w:r w:rsidR="00193CBB" w:rsidRPr="00C9465D">
        <w:rPr>
          <w:lang w:val="en-US"/>
        </w:rPr>
        <w:t>Articles</w:t>
      </w:r>
      <w:r w:rsidR="00776417" w:rsidRPr="00C9465D">
        <w:rPr>
          <w:lang w:val="en-US"/>
        </w:rPr>
        <w:t xml:space="preserve"> </w:t>
      </w:r>
      <w:r w:rsidR="00236B58" w:rsidRPr="00C9465D">
        <w:rPr>
          <w:lang w:val="en-US"/>
        </w:rPr>
        <w:t>7</w:t>
      </w:r>
      <w:r w:rsidRPr="00C9465D">
        <w:rPr>
          <w:lang w:val="en-US"/>
        </w:rPr>
        <w:t>(</w:t>
      </w:r>
      <w:r w:rsidR="00236B58" w:rsidRPr="00C9465D">
        <w:rPr>
          <w:lang w:val="en-US"/>
        </w:rPr>
        <w:t>6</w:t>
      </w:r>
      <w:r w:rsidRPr="00C9465D">
        <w:rPr>
          <w:lang w:val="en-US"/>
        </w:rPr>
        <w:t>)</w:t>
      </w:r>
      <w:r w:rsidR="00236B58" w:rsidRPr="00C9465D">
        <w:rPr>
          <w:lang w:val="en-US"/>
        </w:rPr>
        <w:t xml:space="preserve">, </w:t>
      </w:r>
      <w:r w:rsidR="00577DE0" w:rsidRPr="00C9465D">
        <w:rPr>
          <w:lang w:val="en-US"/>
        </w:rPr>
        <w:t>8(1)</w:t>
      </w:r>
      <w:r w:rsidR="00193CBB" w:rsidRPr="00C9465D">
        <w:rPr>
          <w:lang w:val="en-US"/>
        </w:rPr>
        <w:t xml:space="preserve"> and </w:t>
      </w:r>
      <w:r w:rsidR="00776417" w:rsidRPr="00C9465D">
        <w:rPr>
          <w:lang w:val="en-US"/>
        </w:rPr>
        <w:t>2</w:t>
      </w:r>
      <w:r w:rsidR="00577DE0" w:rsidRPr="00C9465D">
        <w:rPr>
          <w:lang w:val="en-US"/>
        </w:rPr>
        <w:t>5(1)</w:t>
      </w:r>
      <w:r w:rsidR="00193CBB" w:rsidRPr="00C9465D">
        <w:rPr>
          <w:lang w:val="en-US"/>
        </w:rPr>
        <w:t xml:space="preserve"> of the Convention</w:t>
      </w:r>
      <w:r w:rsidR="00776417" w:rsidRPr="00C9465D">
        <w:rPr>
          <w:lang w:val="en-US"/>
        </w:rPr>
        <w:t xml:space="preserve">, </w:t>
      </w:r>
      <w:r w:rsidR="00F42E0C" w:rsidRPr="00C9465D">
        <w:rPr>
          <w:lang w:val="en-US"/>
        </w:rPr>
        <w:t>in relation to Article</w:t>
      </w:r>
      <w:r w:rsidR="00577DE0" w:rsidRPr="00C9465D">
        <w:rPr>
          <w:lang w:val="en-US"/>
        </w:rPr>
        <w:t xml:space="preserve"> 1(1)</w:t>
      </w:r>
      <w:r w:rsidR="00776417" w:rsidRPr="00C9465D">
        <w:rPr>
          <w:lang w:val="en-US"/>
        </w:rPr>
        <w:t xml:space="preserve"> </w:t>
      </w:r>
      <w:r w:rsidR="00577DE0" w:rsidRPr="00C9465D">
        <w:rPr>
          <w:lang w:val="en-US"/>
        </w:rPr>
        <w:t>of this instrument</w:t>
      </w:r>
      <w:r w:rsidR="00776417" w:rsidRPr="00C9465D">
        <w:rPr>
          <w:lang w:val="en-US"/>
        </w:rPr>
        <w:t xml:space="preserve">, </w:t>
      </w:r>
      <w:r w:rsidR="00577DE0" w:rsidRPr="00C9465D">
        <w:rPr>
          <w:lang w:val="en-US"/>
        </w:rPr>
        <w:t>to the detriment of</w:t>
      </w:r>
      <w:r w:rsidR="00776417" w:rsidRPr="00C9465D">
        <w:rPr>
          <w:lang w:val="en-US"/>
        </w:rPr>
        <w:t xml:space="preserve"> </w:t>
      </w:r>
      <w:r w:rsidR="00236B58" w:rsidRPr="00C9465D">
        <w:rPr>
          <w:lang w:val="en-US"/>
        </w:rPr>
        <w:t>Luis Eduardo Guachalá Chimbo</w:t>
      </w:r>
      <w:r w:rsidR="00193CBB" w:rsidRPr="00C9465D">
        <w:rPr>
          <w:lang w:val="en-US"/>
        </w:rPr>
        <w:t xml:space="preserve"> and </w:t>
      </w:r>
      <w:r w:rsidRPr="00C9465D">
        <w:rPr>
          <w:lang w:val="en-US"/>
        </w:rPr>
        <w:t>the members of his family,</w:t>
      </w:r>
      <w:r w:rsidR="00236B58" w:rsidRPr="00C9465D">
        <w:rPr>
          <w:lang w:val="en-US"/>
        </w:rPr>
        <w:t xml:space="preserve"> Zoil</w:t>
      </w:r>
      <w:r w:rsidR="00C803A2" w:rsidRPr="00C9465D">
        <w:rPr>
          <w:lang w:val="en-US"/>
        </w:rPr>
        <w:t>a</w:t>
      </w:r>
      <w:r w:rsidR="00236B58" w:rsidRPr="00C9465D">
        <w:rPr>
          <w:lang w:val="en-US"/>
        </w:rPr>
        <w:t xml:space="preserve"> Chimbo Jarro</w:t>
      </w:r>
      <w:r w:rsidR="00193CBB" w:rsidRPr="00C9465D">
        <w:rPr>
          <w:lang w:val="en-US"/>
        </w:rPr>
        <w:t xml:space="preserve"> and </w:t>
      </w:r>
      <w:r w:rsidR="00A16E23" w:rsidRPr="00C9465D">
        <w:rPr>
          <w:lang w:val="en-US"/>
        </w:rPr>
        <w:t>Nancy Guachalá Chimbo</w:t>
      </w:r>
      <w:r w:rsidR="00236B58" w:rsidRPr="00C9465D">
        <w:rPr>
          <w:lang w:val="en-US"/>
        </w:rPr>
        <w:t>.</w:t>
      </w:r>
      <w:r w:rsidR="00623578" w:rsidRPr="00C9465D">
        <w:rPr>
          <w:lang w:val="en-US"/>
        </w:rPr>
        <w:t xml:space="preserve"> </w:t>
      </w:r>
      <w:r w:rsidRPr="00C9465D">
        <w:rPr>
          <w:rFonts w:eastAsia="Times New Roman"/>
          <w:lang w:val="en-US"/>
        </w:rPr>
        <w:t>In addition</w:t>
      </w:r>
      <w:r w:rsidR="00623578" w:rsidRPr="00C9465D">
        <w:rPr>
          <w:rFonts w:eastAsia="Times New Roman"/>
          <w:lang w:val="en-US"/>
        </w:rPr>
        <w:t xml:space="preserve">, </w:t>
      </w:r>
      <w:r w:rsidR="00193CBB" w:rsidRPr="00C9465D">
        <w:rPr>
          <w:rFonts w:eastAsia="Times New Roman"/>
          <w:lang w:val="en-US"/>
        </w:rPr>
        <w:t>the State</w:t>
      </w:r>
      <w:r w:rsidR="00623578" w:rsidRPr="00C9465D">
        <w:rPr>
          <w:rFonts w:eastAsia="Times New Roman"/>
          <w:lang w:val="en-US"/>
        </w:rPr>
        <w:t xml:space="preserve"> viol</w:t>
      </w:r>
      <w:r w:rsidRPr="00C9465D">
        <w:rPr>
          <w:rFonts w:eastAsia="Times New Roman"/>
          <w:lang w:val="en-US"/>
        </w:rPr>
        <w:t>ated the right to know the truth of the members of</w:t>
      </w:r>
      <w:r w:rsidR="00623578" w:rsidRPr="00C9465D">
        <w:rPr>
          <w:rFonts w:eastAsia="Times New Roman"/>
          <w:lang w:val="en-US"/>
        </w:rPr>
        <w:t xml:space="preserve"> Luis Eduardo Gu</w:t>
      </w:r>
      <w:r w:rsidR="007E6448" w:rsidRPr="00C9465D">
        <w:rPr>
          <w:rFonts w:eastAsia="Times New Roman"/>
          <w:lang w:val="en-US"/>
        </w:rPr>
        <w:t>a</w:t>
      </w:r>
      <w:r w:rsidR="00623578" w:rsidRPr="00C9465D">
        <w:rPr>
          <w:rFonts w:eastAsia="Times New Roman"/>
          <w:lang w:val="en-US"/>
        </w:rPr>
        <w:t>chal</w:t>
      </w:r>
      <w:r w:rsidR="007E6448" w:rsidRPr="00C9465D">
        <w:rPr>
          <w:rFonts w:eastAsia="Times New Roman"/>
          <w:lang w:val="en-US"/>
        </w:rPr>
        <w:t>á</w:t>
      </w:r>
      <w:r w:rsidR="003A2506" w:rsidRPr="00C9465D">
        <w:rPr>
          <w:rFonts w:eastAsia="Times New Roman"/>
          <w:lang w:val="en-US"/>
        </w:rPr>
        <w:t xml:space="preserve"> Chimbo</w:t>
      </w:r>
      <w:r w:rsidRPr="00C9465D">
        <w:rPr>
          <w:rFonts w:eastAsia="Times New Roman"/>
          <w:lang w:val="en-US"/>
        </w:rPr>
        <w:t>’</w:t>
      </w:r>
      <w:r w:rsidR="002B75BB" w:rsidRPr="00C9465D">
        <w:rPr>
          <w:rFonts w:eastAsia="Times New Roman"/>
          <w:lang w:val="en-US"/>
        </w:rPr>
        <w:t>s family</w:t>
      </w:r>
      <w:r w:rsidR="00623578" w:rsidRPr="00C9465D">
        <w:rPr>
          <w:rFonts w:eastAsia="Times New Roman"/>
          <w:lang w:val="en-US"/>
        </w:rPr>
        <w:t>.</w:t>
      </w:r>
      <w:bookmarkEnd w:id="77"/>
      <w:r w:rsidR="00623578" w:rsidRPr="00C9465D">
        <w:rPr>
          <w:rFonts w:eastAsia="Times New Roman"/>
          <w:lang w:val="en-US"/>
        </w:rPr>
        <w:t xml:space="preserve">   </w:t>
      </w:r>
    </w:p>
    <w:p w14:paraId="632A0383" w14:textId="26371AED" w:rsidR="00A5429E" w:rsidRPr="00C9465D" w:rsidRDefault="00A5429E" w:rsidP="00E5784B">
      <w:pPr>
        <w:pStyle w:val="Heading1"/>
        <w:rPr>
          <w:lang w:val="en-US"/>
        </w:rPr>
      </w:pPr>
      <w:bookmarkStart w:id="78" w:name="_Toc74298468"/>
      <w:r w:rsidRPr="00C9465D">
        <w:rPr>
          <w:lang w:val="en-US"/>
        </w:rPr>
        <w:t>V</w:t>
      </w:r>
      <w:r w:rsidR="00AA3C22" w:rsidRPr="00C9465D">
        <w:rPr>
          <w:lang w:val="en-US"/>
        </w:rPr>
        <w:t>I</w:t>
      </w:r>
      <w:r w:rsidR="00B94BE6" w:rsidRPr="00C9465D">
        <w:rPr>
          <w:lang w:val="en-US"/>
        </w:rPr>
        <w:t>I</w:t>
      </w:r>
      <w:r w:rsidRPr="00C9465D">
        <w:rPr>
          <w:lang w:val="en-US"/>
        </w:rPr>
        <w:t>-5</w:t>
      </w:r>
      <w:r w:rsidR="00632CFA" w:rsidRPr="00C9465D">
        <w:rPr>
          <w:lang w:val="en-US"/>
        </w:rPr>
        <w:br/>
      </w:r>
      <w:r w:rsidR="001E19EC" w:rsidRPr="00C9465D">
        <w:rPr>
          <w:lang w:val="en-US"/>
        </w:rPr>
        <w:t>RIGHT TO PERSONAL INTEGRITY OF THE FAMILY MEMBERS</w:t>
      </w:r>
      <w:r w:rsidR="00992C98" w:rsidRPr="00C9465D">
        <w:rPr>
          <w:rStyle w:val="FootnoteReference"/>
          <w:lang w:val="en-US"/>
        </w:rPr>
        <w:footnoteReference w:id="355"/>
      </w:r>
      <w:bookmarkEnd w:id="78"/>
    </w:p>
    <w:p w14:paraId="74FB2C96" w14:textId="66817CEE" w:rsidR="003D48F7" w:rsidRPr="00C9465D" w:rsidRDefault="009E5D69" w:rsidP="00D47F8D">
      <w:pPr>
        <w:pStyle w:val="Heading2"/>
        <w:keepNext w:val="0"/>
        <w:numPr>
          <w:ilvl w:val="0"/>
          <w:numId w:val="11"/>
        </w:numPr>
        <w:tabs>
          <w:tab w:val="left" w:pos="567"/>
        </w:tabs>
        <w:autoSpaceDE/>
        <w:autoSpaceDN/>
        <w:adjustRightInd/>
        <w:spacing w:before="0" w:after="0"/>
        <w:ind w:left="1134" w:hanging="567"/>
        <w:contextualSpacing/>
        <w:rPr>
          <w:lang w:val="en-US"/>
        </w:rPr>
      </w:pPr>
      <w:bookmarkStart w:id="79" w:name="_Toc526152717"/>
      <w:bookmarkStart w:id="80" w:name="_Toc74298469"/>
      <w:r w:rsidRPr="00C9465D">
        <w:rPr>
          <w:lang w:val="en-US"/>
        </w:rPr>
        <w:t>Arguments of the parties</w:t>
      </w:r>
      <w:r w:rsidR="00193CBB" w:rsidRPr="00C9465D">
        <w:rPr>
          <w:lang w:val="en-US"/>
        </w:rPr>
        <w:t xml:space="preserve"> and the Commission</w:t>
      </w:r>
      <w:bookmarkEnd w:id="79"/>
      <w:bookmarkEnd w:id="80"/>
    </w:p>
    <w:p w14:paraId="16578169" w14:textId="088D1029" w:rsidR="00D05E87" w:rsidRPr="00C9465D" w:rsidRDefault="00193CBB" w:rsidP="00D05E87">
      <w:pPr>
        <w:pStyle w:val="Numberedparagraphs"/>
        <w:rPr>
          <w:noProof/>
          <w:szCs w:val="22"/>
          <w:lang w:val="en-US"/>
        </w:rPr>
      </w:pPr>
      <w:r w:rsidRPr="00C9465D">
        <w:rPr>
          <w:noProof/>
          <w:lang w:val="en-US"/>
        </w:rPr>
        <w:t xml:space="preserve">The </w:t>
      </w:r>
      <w:r w:rsidRPr="00C9465D">
        <w:rPr>
          <w:b/>
          <w:bCs/>
          <w:i/>
          <w:iCs/>
          <w:noProof/>
          <w:lang w:val="en-US"/>
        </w:rPr>
        <w:t>Commission</w:t>
      </w:r>
      <w:r w:rsidR="003D48F7" w:rsidRPr="00C9465D">
        <w:rPr>
          <w:noProof/>
          <w:lang w:val="en-US"/>
        </w:rPr>
        <w:t xml:space="preserve"> </w:t>
      </w:r>
      <w:r w:rsidR="00FA276C" w:rsidRPr="00C9465D">
        <w:rPr>
          <w:color w:val="auto"/>
          <w:lang w:val="en-US"/>
        </w:rPr>
        <w:t xml:space="preserve">considered that it had been sufficiently demonstrated that, in the instant case, Mr. Guachalá’s mother and his immediate family had suffered profoundly due to the disappearance of their loved one, which had been further aggravated by the failure to clarify the facts and the lack of any justice with regard to what happened. </w:t>
      </w:r>
      <w:r w:rsidRPr="00C9465D">
        <w:rPr>
          <w:noProof/>
          <w:lang w:val="en-US"/>
        </w:rPr>
        <w:t xml:space="preserve">The </w:t>
      </w:r>
      <w:r w:rsidRPr="00C9465D">
        <w:rPr>
          <w:b/>
          <w:bCs/>
          <w:i/>
          <w:iCs/>
          <w:noProof/>
          <w:lang w:val="en-US"/>
        </w:rPr>
        <w:t>representatives</w:t>
      </w:r>
      <w:r w:rsidR="003D48F7" w:rsidRPr="00C9465D">
        <w:rPr>
          <w:b/>
          <w:bCs/>
          <w:i/>
          <w:iCs/>
          <w:noProof/>
          <w:lang w:val="en-US"/>
        </w:rPr>
        <w:t xml:space="preserve"> </w:t>
      </w:r>
      <w:r w:rsidR="003D48F7" w:rsidRPr="00C9465D">
        <w:rPr>
          <w:noProof/>
          <w:lang w:val="en-US"/>
        </w:rPr>
        <w:t>indica</w:t>
      </w:r>
      <w:r w:rsidR="00FA276C" w:rsidRPr="00C9465D">
        <w:rPr>
          <w:noProof/>
          <w:lang w:val="en-US"/>
        </w:rPr>
        <w:t>ted that “Mrs.</w:t>
      </w:r>
      <w:r w:rsidR="003D48F7" w:rsidRPr="00C9465D">
        <w:rPr>
          <w:noProof/>
          <w:lang w:val="en-US"/>
        </w:rPr>
        <w:t xml:space="preserve"> Chimb</w:t>
      </w:r>
      <w:r w:rsidR="00FA276C" w:rsidRPr="00C9465D">
        <w:rPr>
          <w:noProof/>
          <w:lang w:val="en-US"/>
        </w:rPr>
        <w:t xml:space="preserve">o, since she was Luis Guachalá’s mother and the person who had the </w:t>
      </w:r>
      <w:r w:rsidR="00251663" w:rsidRPr="00C9465D">
        <w:rPr>
          <w:noProof/>
          <w:lang w:val="en-US"/>
        </w:rPr>
        <w:t>main</w:t>
      </w:r>
      <w:r w:rsidR="00FA276C" w:rsidRPr="00C9465D">
        <w:rPr>
          <w:noProof/>
          <w:lang w:val="en-US"/>
        </w:rPr>
        <w:t xml:space="preserve"> responsibility for taking care of him, had been the driving force for the continuation of the search for her son,” and together with “the State’s permanent refusal to determine the truth of the events,” this constituted a violation of her personal integrity.” The </w:t>
      </w:r>
      <w:r w:rsidR="00FA276C" w:rsidRPr="00C9465D">
        <w:rPr>
          <w:b/>
          <w:bCs/>
          <w:i/>
          <w:iCs/>
          <w:noProof/>
          <w:lang w:val="en-US"/>
        </w:rPr>
        <w:t>State</w:t>
      </w:r>
      <w:r w:rsidR="00FA276C" w:rsidRPr="00C9465D">
        <w:rPr>
          <w:noProof/>
          <w:lang w:val="en-US"/>
        </w:rPr>
        <w:t xml:space="preserve"> argued that “no evidence had been presented regard</w:t>
      </w:r>
      <w:r w:rsidR="00251663" w:rsidRPr="00C9465D">
        <w:rPr>
          <w:noProof/>
          <w:lang w:val="en-US"/>
        </w:rPr>
        <w:t>ing</w:t>
      </w:r>
      <w:r w:rsidR="00FA276C" w:rsidRPr="00C9465D">
        <w:rPr>
          <w:noProof/>
          <w:lang w:val="en-US"/>
        </w:rPr>
        <w:t xml:space="preserve"> any violation of</w:t>
      </w:r>
      <w:r w:rsidR="00AE2157" w:rsidRPr="00C9465D">
        <w:rPr>
          <w:noProof/>
          <w:lang w:val="en-US"/>
        </w:rPr>
        <w:t xml:space="preserve"> </w:t>
      </w:r>
      <w:r w:rsidR="00D334E7" w:rsidRPr="00C9465D">
        <w:rPr>
          <w:noProof/>
          <w:lang w:val="en-US"/>
        </w:rPr>
        <w:t>[</w:t>
      </w:r>
      <w:r w:rsidRPr="00C9465D">
        <w:rPr>
          <w:noProof/>
          <w:lang w:val="en-US"/>
        </w:rPr>
        <w:t>Article</w:t>
      </w:r>
      <w:r w:rsidR="00D334E7" w:rsidRPr="00C9465D">
        <w:rPr>
          <w:noProof/>
          <w:lang w:val="en-US"/>
        </w:rPr>
        <w:t>]</w:t>
      </w:r>
      <w:r w:rsidR="003D48F7" w:rsidRPr="00C9465D">
        <w:rPr>
          <w:noProof/>
          <w:lang w:val="en-US"/>
        </w:rPr>
        <w:t xml:space="preserve"> 5 </w:t>
      </w:r>
      <w:r w:rsidR="00FA276C" w:rsidRPr="00C9465D">
        <w:rPr>
          <w:noProof/>
          <w:lang w:val="en-US"/>
        </w:rPr>
        <w:t>of the</w:t>
      </w:r>
      <w:r w:rsidR="003D48F7" w:rsidRPr="00C9465D">
        <w:rPr>
          <w:noProof/>
          <w:lang w:val="en-US"/>
        </w:rPr>
        <w:t xml:space="preserve"> </w:t>
      </w:r>
      <w:r w:rsidR="00D334E7" w:rsidRPr="00C9465D">
        <w:rPr>
          <w:noProof/>
          <w:lang w:val="en-US"/>
        </w:rPr>
        <w:t>[Conven</w:t>
      </w:r>
      <w:r w:rsidR="00FA276C" w:rsidRPr="00C9465D">
        <w:rPr>
          <w:noProof/>
          <w:lang w:val="en-US"/>
        </w:rPr>
        <w:t>tio</w:t>
      </w:r>
      <w:r w:rsidR="00D334E7" w:rsidRPr="00C9465D">
        <w:rPr>
          <w:noProof/>
          <w:lang w:val="en-US"/>
        </w:rPr>
        <w:t xml:space="preserve">n] </w:t>
      </w:r>
      <w:r w:rsidR="00FA276C" w:rsidRPr="00C9465D">
        <w:rPr>
          <w:noProof/>
          <w:lang w:val="en-US"/>
        </w:rPr>
        <w:t xml:space="preserve">in the case of </w:t>
      </w:r>
      <w:r w:rsidR="00A56F98" w:rsidRPr="00C9465D">
        <w:rPr>
          <w:noProof/>
          <w:lang w:val="en-US"/>
        </w:rPr>
        <w:t>Mrs. Chimbo</w:t>
      </w:r>
      <w:r w:rsidR="003D48F7" w:rsidRPr="00C9465D">
        <w:rPr>
          <w:noProof/>
          <w:lang w:val="en-US"/>
        </w:rPr>
        <w:t xml:space="preserve"> Jarro, </w:t>
      </w:r>
      <w:r w:rsidR="00FA276C" w:rsidRPr="00C9465D">
        <w:rPr>
          <w:noProof/>
          <w:lang w:val="en-US"/>
        </w:rPr>
        <w:t>or</w:t>
      </w:r>
      <w:r w:rsidR="002F3237" w:rsidRPr="00C9465D">
        <w:rPr>
          <w:noProof/>
          <w:lang w:val="en-US"/>
        </w:rPr>
        <w:t xml:space="preserve"> Mr. Guachalá</w:t>
      </w:r>
      <w:r w:rsidR="00FA276C" w:rsidRPr="00C9465D">
        <w:rPr>
          <w:noProof/>
          <w:lang w:val="en-US"/>
        </w:rPr>
        <w:t>’s immediate family.</w:t>
      </w:r>
      <w:r w:rsidR="003D48F7" w:rsidRPr="00C9465D">
        <w:rPr>
          <w:noProof/>
          <w:lang w:val="en-US"/>
        </w:rPr>
        <w:t>”</w:t>
      </w:r>
      <w:r w:rsidR="00FA276C" w:rsidRPr="00C9465D">
        <w:rPr>
          <w:noProof/>
          <w:lang w:val="en-US"/>
        </w:rPr>
        <w:t xml:space="preserve"> It indicated that “the said presumption</w:t>
      </w:r>
      <w:r w:rsidR="003D48F7" w:rsidRPr="00C9465D">
        <w:rPr>
          <w:noProof/>
          <w:lang w:val="en-US"/>
        </w:rPr>
        <w:t xml:space="preserve"> </w:t>
      </w:r>
      <w:r w:rsidR="003D48F7" w:rsidRPr="00C9465D">
        <w:rPr>
          <w:i/>
          <w:noProof/>
          <w:lang w:val="en-US"/>
        </w:rPr>
        <w:t xml:space="preserve">iuris tantum </w:t>
      </w:r>
      <w:r w:rsidR="00FA276C" w:rsidRPr="00C9465D">
        <w:rPr>
          <w:noProof/>
          <w:lang w:val="en-US"/>
        </w:rPr>
        <w:t>is only constituted when the violation of the human rights of a specific person has been proved previously,</w:t>
      </w:r>
      <w:r w:rsidR="003D48F7" w:rsidRPr="00C9465D">
        <w:rPr>
          <w:noProof/>
          <w:lang w:val="en-US"/>
        </w:rPr>
        <w:t xml:space="preserve">” </w:t>
      </w:r>
      <w:r w:rsidR="00FA276C" w:rsidRPr="00C9465D">
        <w:rPr>
          <w:noProof/>
          <w:lang w:val="en-US"/>
        </w:rPr>
        <w:t>and this</w:t>
      </w:r>
      <w:r w:rsidR="003D48F7" w:rsidRPr="00C9465D">
        <w:rPr>
          <w:noProof/>
          <w:lang w:val="en-US"/>
        </w:rPr>
        <w:t xml:space="preserve"> “</w:t>
      </w:r>
      <w:r w:rsidR="00FA276C" w:rsidRPr="00C9465D">
        <w:rPr>
          <w:noProof/>
          <w:lang w:val="en-US"/>
        </w:rPr>
        <w:t>had not been verified” in the instant case, so that th</w:t>
      </w:r>
      <w:r w:rsidR="00251663" w:rsidRPr="00C9465D">
        <w:rPr>
          <w:noProof/>
          <w:lang w:val="en-US"/>
        </w:rPr>
        <w:t xml:space="preserve">e </w:t>
      </w:r>
      <w:r w:rsidR="00FA276C" w:rsidRPr="00C9465D">
        <w:rPr>
          <w:noProof/>
          <w:lang w:val="en-US"/>
        </w:rPr>
        <w:t xml:space="preserve">violation of Mrs. Chimbo’s mental and moral integrity could not be concluded. Nevertheless, the State stressed that it understood the “enormous concern” that the situation had cause Mrs. Chimbo and, therefore, alleged that it had “conducted </w:t>
      </w:r>
      <w:r w:rsidR="00D05E87" w:rsidRPr="00C9465D">
        <w:rPr>
          <w:noProof/>
          <w:lang w:val="en-US"/>
        </w:rPr>
        <w:t>numerous investigation procedures in order to clarify the circumstances</w:t>
      </w:r>
      <w:r w:rsidR="00D05E87" w:rsidRPr="00C9465D">
        <w:rPr>
          <w:noProof/>
          <w:szCs w:val="22"/>
          <w:lang w:val="en-US"/>
        </w:rPr>
        <w:t xml:space="preserve"> </w:t>
      </w:r>
      <w:r w:rsidR="00092D8C" w:rsidRPr="00C9465D">
        <w:rPr>
          <w:noProof/>
          <w:lang w:val="en-US"/>
        </w:rPr>
        <w:t xml:space="preserve">of </w:t>
      </w:r>
      <w:r w:rsidR="002F3237" w:rsidRPr="00C9465D">
        <w:rPr>
          <w:noProof/>
          <w:lang w:val="en-US"/>
        </w:rPr>
        <w:t>Mr. Guachalá</w:t>
      </w:r>
      <w:r w:rsidR="00D05E87" w:rsidRPr="00C9465D">
        <w:rPr>
          <w:noProof/>
          <w:lang w:val="en-US"/>
        </w:rPr>
        <w:t>’s disappearance</w:t>
      </w:r>
      <w:r w:rsidR="003D48F7" w:rsidRPr="00C9465D">
        <w:rPr>
          <w:noProof/>
          <w:lang w:val="en-US"/>
        </w:rPr>
        <w:t>”</w:t>
      </w:r>
      <w:r w:rsidRPr="00C9465D">
        <w:rPr>
          <w:noProof/>
          <w:lang w:val="en-US"/>
        </w:rPr>
        <w:t xml:space="preserve"> and </w:t>
      </w:r>
      <w:r w:rsidR="003D48F7" w:rsidRPr="00C9465D">
        <w:rPr>
          <w:noProof/>
          <w:lang w:val="en-US"/>
        </w:rPr>
        <w:t>“</w:t>
      </w:r>
      <w:r w:rsidR="00D05E87" w:rsidRPr="00C9465D">
        <w:rPr>
          <w:noProof/>
          <w:lang w:val="en-US"/>
        </w:rPr>
        <w:t xml:space="preserve">tried to assist </w:t>
      </w:r>
      <w:r w:rsidR="00A56F98" w:rsidRPr="00C9465D">
        <w:rPr>
          <w:noProof/>
          <w:lang w:val="en-US"/>
        </w:rPr>
        <w:t>Mrs. Chimbo</w:t>
      </w:r>
      <w:r w:rsidR="00D05E87" w:rsidRPr="00C9465D">
        <w:rPr>
          <w:noProof/>
          <w:lang w:val="en-US"/>
        </w:rPr>
        <w:t xml:space="preserve"> insofar as possible</w:t>
      </w:r>
      <w:r w:rsidR="003D48F7" w:rsidRPr="00C9465D">
        <w:rPr>
          <w:noProof/>
          <w:lang w:val="en-US"/>
        </w:rPr>
        <w:t xml:space="preserve">” </w:t>
      </w:r>
      <w:r w:rsidR="00D05E87" w:rsidRPr="00C9465D">
        <w:rPr>
          <w:noProof/>
          <w:lang w:val="en-US"/>
        </w:rPr>
        <w:t>by actions such as: (i) providing her with “frequent medical, psychological and dental treatment”; (ii) negoti</w:t>
      </w:r>
      <w:r w:rsidR="00251663" w:rsidRPr="00C9465D">
        <w:rPr>
          <w:noProof/>
          <w:lang w:val="en-US"/>
        </w:rPr>
        <w:t>a</w:t>
      </w:r>
      <w:r w:rsidR="00D05E87" w:rsidRPr="00C9465D">
        <w:rPr>
          <w:noProof/>
          <w:lang w:val="en-US"/>
        </w:rPr>
        <w:t>ting “financial aid so that she c[ould] generate her own enterprise,” and (iii) ensuring that she was constantly monitored by a social worker.</w:t>
      </w:r>
    </w:p>
    <w:p w14:paraId="14ACF33D" w14:textId="68AAFF41" w:rsidR="003D48F7" w:rsidRPr="00C9465D" w:rsidRDefault="007540C2" w:rsidP="00D47F8D">
      <w:pPr>
        <w:pStyle w:val="Heading2"/>
        <w:keepNext w:val="0"/>
        <w:numPr>
          <w:ilvl w:val="0"/>
          <w:numId w:val="11"/>
        </w:numPr>
        <w:tabs>
          <w:tab w:val="left" w:pos="567"/>
        </w:tabs>
        <w:autoSpaceDE/>
        <w:autoSpaceDN/>
        <w:adjustRightInd/>
        <w:spacing w:before="0" w:after="0"/>
        <w:ind w:left="1134" w:hanging="567"/>
        <w:contextualSpacing/>
        <w:rPr>
          <w:lang w:val="en-US"/>
        </w:rPr>
      </w:pPr>
      <w:bookmarkStart w:id="81" w:name="_Toc526152718"/>
      <w:bookmarkStart w:id="82" w:name="_Toc74298470"/>
      <w:r w:rsidRPr="00C9465D">
        <w:rPr>
          <w:lang w:val="en-US"/>
        </w:rPr>
        <w:t>Considerations</w:t>
      </w:r>
      <w:r w:rsidR="00193CBB" w:rsidRPr="00C9465D">
        <w:rPr>
          <w:lang w:val="en-US"/>
        </w:rPr>
        <w:t xml:space="preserve"> of the Court</w:t>
      </w:r>
      <w:bookmarkEnd w:id="81"/>
      <w:bookmarkEnd w:id="82"/>
    </w:p>
    <w:p w14:paraId="7B797D3B" w14:textId="1A00AB2D" w:rsidR="003C62B8" w:rsidRPr="00C9465D" w:rsidRDefault="00193CBB" w:rsidP="0080679C">
      <w:pPr>
        <w:pStyle w:val="Numberedparagraphs"/>
        <w:rPr>
          <w:lang w:val="en-US"/>
        </w:rPr>
      </w:pPr>
      <w:bookmarkStart w:id="83" w:name="_Ref72330116"/>
      <w:bookmarkStart w:id="84" w:name="_Ref524880502"/>
      <w:r w:rsidRPr="00C9465D">
        <w:rPr>
          <w:lang w:val="en-US"/>
        </w:rPr>
        <w:t>The Court</w:t>
      </w:r>
      <w:r w:rsidR="003C62B8" w:rsidRPr="00C9465D">
        <w:rPr>
          <w:lang w:val="en-US"/>
        </w:rPr>
        <w:t xml:space="preserve"> ha</w:t>
      </w:r>
      <w:r w:rsidR="00D05E87" w:rsidRPr="00C9465D">
        <w:rPr>
          <w:lang w:val="en-US"/>
        </w:rPr>
        <w:t xml:space="preserve">s asserted on numerous occasions that the </w:t>
      </w:r>
      <w:r w:rsidR="0080679C" w:rsidRPr="00C9465D">
        <w:rPr>
          <w:lang w:val="en-US"/>
        </w:rPr>
        <w:t xml:space="preserve">family members </w:t>
      </w:r>
      <w:r w:rsidR="00092D8C" w:rsidRPr="00C9465D">
        <w:rPr>
          <w:lang w:val="en-US"/>
        </w:rPr>
        <w:t xml:space="preserve">of the </w:t>
      </w:r>
      <w:r w:rsidR="00577DE0" w:rsidRPr="00C9465D">
        <w:rPr>
          <w:lang w:val="en-US"/>
        </w:rPr>
        <w:t>victims</w:t>
      </w:r>
      <w:r w:rsidR="003C62B8" w:rsidRPr="00C9465D">
        <w:rPr>
          <w:lang w:val="en-US"/>
        </w:rPr>
        <w:t xml:space="preserve"> </w:t>
      </w:r>
      <w:r w:rsidR="0080679C" w:rsidRPr="00C9465D">
        <w:rPr>
          <w:lang w:val="en-US"/>
        </w:rPr>
        <w:t>of human rights violations may, in turn, be victims.</w:t>
      </w:r>
      <w:r w:rsidR="003C62B8" w:rsidRPr="00C9465D">
        <w:rPr>
          <w:vertAlign w:val="superscript"/>
          <w:lang w:val="en-US"/>
        </w:rPr>
        <w:footnoteReference w:id="356"/>
      </w:r>
      <w:r w:rsidR="003C62B8" w:rsidRPr="00C9465D">
        <w:rPr>
          <w:lang w:val="en-US"/>
        </w:rPr>
        <w:t xml:space="preserve"> </w:t>
      </w:r>
      <w:r w:rsidR="00B71E4D" w:rsidRPr="00C9465D">
        <w:rPr>
          <w:lang w:val="en-US"/>
        </w:rPr>
        <w:t>Th</w:t>
      </w:r>
      <w:r w:rsidR="0080679C" w:rsidRPr="00C9465D">
        <w:rPr>
          <w:lang w:val="en-US"/>
        </w:rPr>
        <w:t>e</w:t>
      </w:r>
      <w:r w:rsidR="00B71E4D" w:rsidRPr="00C9465D">
        <w:rPr>
          <w:lang w:val="en-US"/>
        </w:rPr>
        <w:t xml:space="preserve"> Court</w:t>
      </w:r>
      <w:r w:rsidR="003C62B8" w:rsidRPr="00C9465D">
        <w:rPr>
          <w:lang w:val="en-US"/>
        </w:rPr>
        <w:t xml:space="preserve"> ha</w:t>
      </w:r>
      <w:r w:rsidR="0080679C" w:rsidRPr="00C9465D">
        <w:rPr>
          <w:lang w:val="en-US"/>
        </w:rPr>
        <w:t xml:space="preserve">s considered that it is possible to declare </w:t>
      </w:r>
      <w:r w:rsidR="00251663" w:rsidRPr="00C9465D">
        <w:rPr>
          <w:lang w:val="en-US"/>
        </w:rPr>
        <w:t xml:space="preserve">the </w:t>
      </w:r>
      <w:r w:rsidR="0080679C" w:rsidRPr="00C9465D">
        <w:rPr>
          <w:lang w:val="en-US"/>
        </w:rPr>
        <w:t xml:space="preserve">violation of the right to mental and moral integrity of </w:t>
      </w:r>
      <w:r w:rsidR="00251663" w:rsidRPr="00C9465D">
        <w:rPr>
          <w:lang w:val="en-US"/>
        </w:rPr>
        <w:t xml:space="preserve">the </w:t>
      </w:r>
      <w:r w:rsidR="0080679C" w:rsidRPr="00C9465D">
        <w:rPr>
          <w:lang w:val="en-US"/>
        </w:rPr>
        <w:t xml:space="preserve">victims’ “immediate family members” and other persons with close ties to the victims due to the additional suffering they have undergone as a result of the particular circumstances of the violations perpetrated against their loved ones, and owing to the subsequent acts or omissions </w:t>
      </w:r>
      <w:r w:rsidR="0080679C" w:rsidRPr="00C9465D">
        <w:rPr>
          <w:lang w:val="en-US"/>
        </w:rPr>
        <w:lastRenderedPageBreak/>
        <w:t xml:space="preserve">of the state authorities in relation to those </w:t>
      </w:r>
      <w:r w:rsidR="00B74BB8" w:rsidRPr="00C9465D">
        <w:rPr>
          <w:lang w:val="en-US"/>
        </w:rPr>
        <w:t>f</w:t>
      </w:r>
      <w:r w:rsidR="0080679C" w:rsidRPr="00C9465D">
        <w:rPr>
          <w:lang w:val="en-US"/>
        </w:rPr>
        <w:t>acts,</w:t>
      </w:r>
      <w:r w:rsidR="003C62B8" w:rsidRPr="00C9465D">
        <w:rPr>
          <w:vertAlign w:val="superscript"/>
          <w:lang w:val="en-US"/>
        </w:rPr>
        <w:footnoteReference w:id="357"/>
      </w:r>
      <w:r w:rsidR="0080679C" w:rsidRPr="00C9465D">
        <w:rPr>
          <w:lang w:val="en-US"/>
        </w:rPr>
        <w:t xml:space="preserve"> taking into account, among other matters, the steps taken to obtain justice and the existence of close family ties.</w:t>
      </w:r>
      <w:r w:rsidR="003C62B8" w:rsidRPr="00C9465D">
        <w:rPr>
          <w:vertAlign w:val="superscript"/>
          <w:lang w:val="en-US"/>
        </w:rPr>
        <w:footnoteReference w:id="358"/>
      </w:r>
      <w:bookmarkEnd w:id="83"/>
      <w:r w:rsidR="003C62B8" w:rsidRPr="00C9465D">
        <w:rPr>
          <w:lang w:val="en-US"/>
        </w:rPr>
        <w:t xml:space="preserve"> </w:t>
      </w:r>
    </w:p>
    <w:p w14:paraId="7D1A625C" w14:textId="26B3A415" w:rsidR="0048553E" w:rsidRPr="00C9465D" w:rsidRDefault="0080679C" w:rsidP="003D48F7">
      <w:pPr>
        <w:pStyle w:val="Numberedparagraphs"/>
        <w:rPr>
          <w:lang w:val="en-US" w:eastAsia="es-MX"/>
        </w:rPr>
      </w:pPr>
      <w:r w:rsidRPr="00C9465D">
        <w:rPr>
          <w:lang w:val="en-US"/>
        </w:rPr>
        <w:t xml:space="preserve">The evidence in the case file allows the Court to conclude that </w:t>
      </w:r>
      <w:r w:rsidR="00AE28B7" w:rsidRPr="00C9465D">
        <w:rPr>
          <w:noProof/>
          <w:lang w:val="en-US"/>
        </w:rPr>
        <w:t>Zoila</w:t>
      </w:r>
      <w:r w:rsidR="00E967DB" w:rsidRPr="00C9465D">
        <w:rPr>
          <w:noProof/>
          <w:lang w:val="en-US"/>
        </w:rPr>
        <w:t xml:space="preserve"> Chimbo Jarro</w:t>
      </w:r>
      <w:r w:rsidR="00193CBB" w:rsidRPr="00C9465D">
        <w:rPr>
          <w:noProof/>
          <w:lang w:val="en-US"/>
        </w:rPr>
        <w:t xml:space="preserve"> and </w:t>
      </w:r>
      <w:r w:rsidR="00E967DB" w:rsidRPr="00C9465D">
        <w:rPr>
          <w:noProof/>
          <w:lang w:val="en-US"/>
        </w:rPr>
        <w:t>Nancy</w:t>
      </w:r>
      <w:r w:rsidR="003C62B8" w:rsidRPr="00C9465D">
        <w:rPr>
          <w:noProof/>
          <w:lang w:val="en-US"/>
        </w:rPr>
        <w:t xml:space="preserve"> Guachalá Chimbo</w:t>
      </w:r>
      <w:r w:rsidR="003D48F7" w:rsidRPr="00C9465D">
        <w:rPr>
          <w:noProof/>
          <w:lang w:val="en-US"/>
        </w:rPr>
        <w:t xml:space="preserve"> ha</w:t>
      </w:r>
      <w:r w:rsidRPr="00C9465D">
        <w:rPr>
          <w:noProof/>
          <w:lang w:val="en-US"/>
        </w:rPr>
        <w:t xml:space="preserve">ve experienced profound suffering and anguish affecting their mental and moral integrity owing to what happened to </w:t>
      </w:r>
      <w:r w:rsidR="003C62B8" w:rsidRPr="00C9465D">
        <w:rPr>
          <w:noProof/>
          <w:lang w:val="en-US"/>
        </w:rPr>
        <w:t>Luis Eduardo Guachal</w:t>
      </w:r>
      <w:r w:rsidR="008C52CC" w:rsidRPr="00C9465D">
        <w:rPr>
          <w:noProof/>
          <w:lang w:val="en-US"/>
        </w:rPr>
        <w:t>á</w:t>
      </w:r>
      <w:r w:rsidR="003C62B8" w:rsidRPr="00C9465D">
        <w:rPr>
          <w:noProof/>
          <w:lang w:val="en-US"/>
        </w:rPr>
        <w:t xml:space="preserve"> </w:t>
      </w:r>
      <w:r w:rsidR="00D61212" w:rsidRPr="00C9465D">
        <w:rPr>
          <w:noProof/>
          <w:lang w:val="en-US"/>
        </w:rPr>
        <w:t>Chimbo</w:t>
      </w:r>
      <w:r w:rsidR="00193CBB" w:rsidRPr="00C9465D">
        <w:rPr>
          <w:noProof/>
          <w:lang w:val="en-US"/>
        </w:rPr>
        <w:t xml:space="preserve"> and </w:t>
      </w:r>
      <w:r w:rsidRPr="00C9465D">
        <w:rPr>
          <w:noProof/>
          <w:lang w:val="en-US"/>
        </w:rPr>
        <w:t xml:space="preserve">to the </w:t>
      </w:r>
      <w:r w:rsidR="006F7C2F" w:rsidRPr="00C9465D">
        <w:rPr>
          <w:noProof/>
          <w:lang w:val="en-US"/>
        </w:rPr>
        <w:t>action</w:t>
      </w:r>
      <w:r w:rsidR="00B74BB8" w:rsidRPr="00C9465D">
        <w:rPr>
          <w:noProof/>
          <w:lang w:val="en-US"/>
        </w:rPr>
        <w:t>s</w:t>
      </w:r>
      <w:r w:rsidR="006F7C2F" w:rsidRPr="00C9465D">
        <w:rPr>
          <w:noProof/>
          <w:lang w:val="en-US"/>
        </w:rPr>
        <w:t xml:space="preserve"> of the state authorities in relation to the investigation of what occurred. In this regard, </w:t>
      </w:r>
      <w:bookmarkEnd w:id="84"/>
      <w:r w:rsidR="00AE28B7" w:rsidRPr="00C9465D">
        <w:rPr>
          <w:lang w:val="en-US"/>
        </w:rPr>
        <w:t>Zoila</w:t>
      </w:r>
      <w:r w:rsidR="003D48F7" w:rsidRPr="00C9465D">
        <w:rPr>
          <w:lang w:val="en-US"/>
        </w:rPr>
        <w:t xml:space="preserve"> Chimbo Jarro, </w:t>
      </w:r>
      <w:r w:rsidR="002F3237" w:rsidRPr="00C9465D">
        <w:rPr>
          <w:lang w:val="en-US"/>
        </w:rPr>
        <w:t>Mr. Guachalá</w:t>
      </w:r>
      <w:r w:rsidR="003D48F7" w:rsidRPr="00C9465D">
        <w:rPr>
          <w:lang w:val="en-US"/>
        </w:rPr>
        <w:t xml:space="preserve"> Chimbo</w:t>
      </w:r>
      <w:r w:rsidR="006F7C2F" w:rsidRPr="00C9465D">
        <w:rPr>
          <w:lang w:val="en-US"/>
        </w:rPr>
        <w:t>’s mother,</w:t>
      </w:r>
      <w:r w:rsidR="003D48F7" w:rsidRPr="00C9465D">
        <w:rPr>
          <w:lang w:val="en-US"/>
        </w:rPr>
        <w:t xml:space="preserve"> </w:t>
      </w:r>
      <w:r w:rsidR="006F7C2F" w:rsidRPr="00C9465D">
        <w:rPr>
          <w:lang w:val="en-US"/>
        </w:rPr>
        <w:t>stated that</w:t>
      </w:r>
      <w:r w:rsidR="0048553E" w:rsidRPr="00C9465D">
        <w:rPr>
          <w:lang w:val="en-US"/>
        </w:rPr>
        <w:t>:</w:t>
      </w:r>
    </w:p>
    <w:p w14:paraId="651BFC3D" w14:textId="70761676" w:rsidR="0048553E" w:rsidRPr="00C9465D" w:rsidRDefault="006F7C2F" w:rsidP="00B74BB8">
      <w:pPr>
        <w:pStyle w:val="Numberedparagraphs"/>
        <w:numPr>
          <w:ilvl w:val="0"/>
          <w:numId w:val="0"/>
        </w:numPr>
        <w:ind w:left="567" w:right="404"/>
        <w:rPr>
          <w:noProof/>
          <w:sz w:val="18"/>
          <w:szCs w:val="18"/>
          <w:lang w:val="en-US"/>
        </w:rPr>
      </w:pPr>
      <w:r w:rsidRPr="00C9465D">
        <w:rPr>
          <w:sz w:val="18"/>
          <w:szCs w:val="18"/>
          <w:lang w:val="en-US"/>
        </w:rPr>
        <w:t>We are all devastated. My daughter, she went to look for him with me</w:t>
      </w:r>
      <w:r w:rsidR="00B74BB8" w:rsidRPr="00C9465D">
        <w:rPr>
          <w:sz w:val="18"/>
          <w:szCs w:val="18"/>
          <w:lang w:val="en-US"/>
        </w:rPr>
        <w:t xml:space="preserve"> and </w:t>
      </w:r>
      <w:r w:rsidRPr="00C9465D">
        <w:rPr>
          <w:sz w:val="18"/>
          <w:szCs w:val="18"/>
          <w:lang w:val="en-US"/>
        </w:rPr>
        <w:t>she almost died. She lost her baby because she was helping me</w:t>
      </w:r>
      <w:r w:rsidR="00B74BB8" w:rsidRPr="00C9465D">
        <w:rPr>
          <w:sz w:val="18"/>
          <w:szCs w:val="18"/>
          <w:lang w:val="en-US"/>
        </w:rPr>
        <w:t xml:space="preserve"> in these efforts</w:t>
      </w:r>
      <w:r w:rsidRPr="00C9465D">
        <w:rPr>
          <w:sz w:val="18"/>
          <w:szCs w:val="18"/>
          <w:lang w:val="en-US"/>
        </w:rPr>
        <w:t>; she suddenly had a tummy ache because she was pregnant, and she lost her baby.</w:t>
      </w:r>
      <w:r w:rsidR="003D48F7" w:rsidRPr="00C9465D">
        <w:rPr>
          <w:rStyle w:val="FootnoteReference"/>
          <w:sz w:val="18"/>
          <w:szCs w:val="18"/>
          <w:lang w:val="en-US"/>
        </w:rPr>
        <w:footnoteReference w:id="359"/>
      </w:r>
    </w:p>
    <w:p w14:paraId="2A2F5C9F" w14:textId="0B7F2C09" w:rsidR="003D48F7" w:rsidRPr="00C9465D" w:rsidRDefault="006F7C2F" w:rsidP="00CF54BB">
      <w:pPr>
        <w:pStyle w:val="Numberedparagraphs"/>
        <w:rPr>
          <w:lang w:val="en-US" w:eastAsia="es-MX"/>
        </w:rPr>
      </w:pPr>
      <w:r w:rsidRPr="00C9465D">
        <w:rPr>
          <w:lang w:val="en-US"/>
        </w:rPr>
        <w:t xml:space="preserve">On this point, </w:t>
      </w:r>
      <w:r w:rsidR="003D48F7" w:rsidRPr="00C9465D">
        <w:rPr>
          <w:lang w:val="en-US"/>
        </w:rPr>
        <w:t xml:space="preserve">Nancy Guachalá Chimbo, </w:t>
      </w:r>
      <w:r w:rsidR="00B73DF9" w:rsidRPr="00C9465D">
        <w:rPr>
          <w:lang w:val="en-US"/>
        </w:rPr>
        <w:t>Luis</w:t>
      </w:r>
      <w:r w:rsidR="003D48F7" w:rsidRPr="00C9465D">
        <w:rPr>
          <w:lang w:val="en-US"/>
        </w:rPr>
        <w:t xml:space="preserve"> Guachalá Chimbo</w:t>
      </w:r>
      <w:r w:rsidRPr="00C9465D">
        <w:rPr>
          <w:lang w:val="en-US"/>
        </w:rPr>
        <w:t>’s sister</w:t>
      </w:r>
      <w:r w:rsidR="003D48F7" w:rsidRPr="00C9465D">
        <w:rPr>
          <w:lang w:val="en-US"/>
        </w:rPr>
        <w:t>,</w:t>
      </w:r>
      <w:r w:rsidRPr="00C9465D">
        <w:rPr>
          <w:lang w:val="en-US"/>
        </w:rPr>
        <w:t xml:space="preserve"> stated that “during one of the searches I began to feel ill, I became dizzy. I was admitted to the emergency department of the Enrique Garcés Hospital and they told me that I was possibly one</w:t>
      </w:r>
      <w:r w:rsidR="00B74BB8" w:rsidRPr="00C9465D">
        <w:rPr>
          <w:lang w:val="en-US"/>
        </w:rPr>
        <w:t xml:space="preserve"> </w:t>
      </w:r>
      <w:r w:rsidRPr="00C9465D">
        <w:rPr>
          <w:lang w:val="en-US"/>
        </w:rPr>
        <w:t xml:space="preserve">month pregnant and had lost the baby. They hospitalized me in the afternoon and then they sent me to the ‘Isidro Ayora’ Maternity </w:t>
      </w:r>
      <w:r w:rsidR="00246C30" w:rsidRPr="00C9465D">
        <w:rPr>
          <w:lang w:val="en-US"/>
        </w:rPr>
        <w:t xml:space="preserve">Hospital for an ultrasound scan. The next day I went to the Maternity Hospital; they did an ultrasound scan, which confirmed an ectopic pregnancy and, later they did a D and C. The doctors told me that the tension and stress of my brother’s situation was the main cause of this accident. My mother’s life has ended. She gets angry and cries over everything. I admire her strength and don’t know how she endures all this. </w:t>
      </w:r>
      <w:r w:rsidR="00520411" w:rsidRPr="00C9465D">
        <w:rPr>
          <w:lang w:val="en-US"/>
        </w:rPr>
        <w:t>[…]</w:t>
      </w:r>
      <w:r w:rsidR="00246C30" w:rsidRPr="00C9465D">
        <w:rPr>
          <w:lang w:val="en-US"/>
        </w:rPr>
        <w:t xml:space="preserve"> This situation has cause</w:t>
      </w:r>
      <w:r w:rsidR="00B74BB8" w:rsidRPr="00C9465D">
        <w:rPr>
          <w:lang w:val="en-US"/>
        </w:rPr>
        <w:t>d</w:t>
      </w:r>
      <w:r w:rsidR="00246C30" w:rsidRPr="00C9465D">
        <w:rPr>
          <w:lang w:val="en-US"/>
        </w:rPr>
        <w:t xml:space="preserve"> so much tension. I don’t let my children go out without a telephone and I try to talk to them all the time. Owing to my brother’s disappearance I am very afraid that something will happen to my children. Once, one of my children </w:t>
      </w:r>
      <w:r w:rsidR="00520411" w:rsidRPr="00C9465D">
        <w:rPr>
          <w:lang w:val="en-US"/>
        </w:rPr>
        <w:t>[…]</w:t>
      </w:r>
      <w:r w:rsidR="00246C30" w:rsidRPr="00C9465D">
        <w:rPr>
          <w:lang w:val="en-US"/>
        </w:rPr>
        <w:t xml:space="preserve"> broke his leg and I was with him all the time during his hospitalization because I was afraid to lose him. What happened to Luis has marked</w:t>
      </w:r>
      <w:r w:rsidR="00CF54BB" w:rsidRPr="00C9465D">
        <w:rPr>
          <w:lang w:val="en-US"/>
        </w:rPr>
        <w:t xml:space="preserve"> my life and I have become overprotective because I am afraid.</w:t>
      </w:r>
      <w:r w:rsidR="003D48F7" w:rsidRPr="00C9465D">
        <w:rPr>
          <w:lang w:val="en-US"/>
        </w:rPr>
        <w:t>”</w:t>
      </w:r>
      <w:r w:rsidR="003D48F7" w:rsidRPr="00C9465D">
        <w:rPr>
          <w:rStyle w:val="FootnoteReference"/>
          <w:lang w:val="en-US"/>
        </w:rPr>
        <w:footnoteReference w:id="360"/>
      </w:r>
      <w:r w:rsidR="00CF54BB" w:rsidRPr="00C9465D">
        <w:rPr>
          <w:lang w:val="en-US"/>
        </w:rPr>
        <w:t xml:space="preserve"> Also, witness</w:t>
      </w:r>
      <w:r w:rsidR="003D48F7" w:rsidRPr="00C9465D">
        <w:rPr>
          <w:lang w:val="en-US"/>
        </w:rPr>
        <w:t xml:space="preserve"> Pablo Bermúdez </w:t>
      </w:r>
      <w:r w:rsidR="00CF54BB" w:rsidRPr="00C9465D">
        <w:rPr>
          <w:lang w:val="en-US"/>
        </w:rPr>
        <w:t>stated that</w:t>
      </w:r>
      <w:r w:rsidR="003D48F7" w:rsidRPr="00C9465D">
        <w:rPr>
          <w:lang w:val="en-US"/>
        </w:rPr>
        <w:t xml:space="preserve"> “Zoila Chimbo</w:t>
      </w:r>
      <w:r w:rsidR="00CF54BB" w:rsidRPr="00C9465D">
        <w:rPr>
          <w:lang w:val="en-US"/>
        </w:rPr>
        <w:t xml:space="preserve">’s suffering, the absence of her son, </w:t>
      </w:r>
      <w:r w:rsidR="003D48F7" w:rsidRPr="00C9465D">
        <w:rPr>
          <w:lang w:val="en-US"/>
        </w:rPr>
        <w:t xml:space="preserve">Luis Eduardo, </w:t>
      </w:r>
      <w:r w:rsidR="00CF54BB" w:rsidRPr="00C9465D">
        <w:rPr>
          <w:lang w:val="en-US"/>
        </w:rPr>
        <w:t>this is the most significant mental suffering because, even though he disappeared many years ago, she continues to experience the suffering which is renewed every day.</w:t>
      </w:r>
      <w:r w:rsidR="003D48F7" w:rsidRPr="00C9465D">
        <w:rPr>
          <w:lang w:val="en-US"/>
        </w:rPr>
        <w:t>”</w:t>
      </w:r>
      <w:r w:rsidR="003D48F7" w:rsidRPr="00C9465D">
        <w:rPr>
          <w:rStyle w:val="FootnoteReference"/>
          <w:lang w:val="en-US"/>
        </w:rPr>
        <w:footnoteReference w:id="361"/>
      </w:r>
    </w:p>
    <w:p w14:paraId="725648E1" w14:textId="329E40E9" w:rsidR="00A16E23" w:rsidRPr="00C9465D" w:rsidRDefault="00CF54BB" w:rsidP="003C62B8">
      <w:pPr>
        <w:pStyle w:val="Numberedparagraphs"/>
        <w:rPr>
          <w:lang w:val="en-US"/>
        </w:rPr>
      </w:pPr>
      <w:r w:rsidRPr="00C9465D">
        <w:rPr>
          <w:lang w:val="en-US"/>
        </w:rPr>
        <w:t>In relation to</w:t>
      </w:r>
      <w:r w:rsidR="00A16E23" w:rsidRPr="00C9465D">
        <w:rPr>
          <w:lang w:val="en-US"/>
        </w:rPr>
        <w:t xml:space="preserve"> </w:t>
      </w:r>
      <w:r w:rsidR="003C62B8" w:rsidRPr="00C9465D">
        <w:rPr>
          <w:lang w:val="en-US"/>
        </w:rPr>
        <w:t>Martha Guachalá Chimbo, Ángel Guachalá Chimbo</w:t>
      </w:r>
      <w:r w:rsidR="00193CBB" w:rsidRPr="00C9465D">
        <w:rPr>
          <w:lang w:val="en-US"/>
        </w:rPr>
        <w:t xml:space="preserve"> and </w:t>
      </w:r>
      <w:r w:rsidR="00A16E23" w:rsidRPr="00C9465D">
        <w:rPr>
          <w:lang w:val="en-US"/>
        </w:rPr>
        <w:t>Jessica Alexandra Guangaje Farinango</w:t>
      </w:r>
      <w:r w:rsidR="00B73DF9" w:rsidRPr="00C9465D">
        <w:rPr>
          <w:lang w:val="en-US"/>
        </w:rPr>
        <w:t>,</w:t>
      </w:r>
      <w:r w:rsidR="00A16E23" w:rsidRPr="00C9465D">
        <w:rPr>
          <w:lang w:val="en-US"/>
        </w:rPr>
        <w:t xml:space="preserve"> </w:t>
      </w:r>
      <w:r w:rsidR="00B71E4D" w:rsidRPr="00C9465D">
        <w:rPr>
          <w:lang w:val="en-US"/>
        </w:rPr>
        <w:t>th</w:t>
      </w:r>
      <w:r w:rsidRPr="00C9465D">
        <w:rPr>
          <w:lang w:val="en-US"/>
        </w:rPr>
        <w:t>e</w:t>
      </w:r>
      <w:r w:rsidR="00B71E4D" w:rsidRPr="00C9465D">
        <w:rPr>
          <w:lang w:val="en-US"/>
        </w:rPr>
        <w:t xml:space="preserve"> Court</w:t>
      </w:r>
      <w:r w:rsidR="00A16E23" w:rsidRPr="00C9465D">
        <w:rPr>
          <w:lang w:val="en-US"/>
        </w:rPr>
        <w:t xml:space="preserve"> </w:t>
      </w:r>
      <w:r w:rsidRPr="00C9465D">
        <w:rPr>
          <w:lang w:val="en-US"/>
        </w:rPr>
        <w:t xml:space="preserve">notes that </w:t>
      </w:r>
      <w:r w:rsidR="00193CBB" w:rsidRPr="00C9465D">
        <w:rPr>
          <w:lang w:val="en-US"/>
        </w:rPr>
        <w:t>the representatives</w:t>
      </w:r>
      <w:r w:rsidRPr="00C9465D">
        <w:rPr>
          <w:lang w:val="en-US"/>
        </w:rPr>
        <w:t xml:space="preserve"> presented no evidence concerning the alleged violation of their right to </w:t>
      </w:r>
      <w:r w:rsidR="00D12C0E" w:rsidRPr="00C9465D">
        <w:rPr>
          <w:lang w:val="en-US"/>
        </w:rPr>
        <w:t>personal integrity</w:t>
      </w:r>
      <w:r w:rsidR="00A16E23" w:rsidRPr="00C9465D">
        <w:rPr>
          <w:lang w:val="en-US"/>
        </w:rPr>
        <w:t xml:space="preserve">. </w:t>
      </w:r>
    </w:p>
    <w:p w14:paraId="0EB86604" w14:textId="15E2441A" w:rsidR="00630FC0" w:rsidRPr="00C9465D" w:rsidRDefault="00CF54BB" w:rsidP="003D48F7">
      <w:pPr>
        <w:pStyle w:val="Numberedparagraphs"/>
        <w:rPr>
          <w:lang w:val="en-US"/>
        </w:rPr>
      </w:pPr>
      <w:bookmarkStart w:id="85" w:name="_Ref524880520"/>
      <w:bookmarkStart w:id="86" w:name="_Ref72330118"/>
      <w:r w:rsidRPr="00C9465D">
        <w:rPr>
          <w:lang w:val="en-US"/>
        </w:rPr>
        <w:t xml:space="preserve">Based on the above, the Court concludes that </w:t>
      </w:r>
      <w:r w:rsidR="00193CBB" w:rsidRPr="00C9465D">
        <w:rPr>
          <w:lang w:val="en-US"/>
        </w:rPr>
        <w:t>the State</w:t>
      </w:r>
      <w:r w:rsidR="003D48F7" w:rsidRPr="00C9465D">
        <w:rPr>
          <w:lang w:val="en-US"/>
        </w:rPr>
        <w:t xml:space="preserve"> </w:t>
      </w:r>
      <w:r w:rsidRPr="00C9465D">
        <w:rPr>
          <w:lang w:val="en-US"/>
        </w:rPr>
        <w:t>violated the right to</w:t>
      </w:r>
      <w:r w:rsidR="003D48F7" w:rsidRPr="00C9465D">
        <w:rPr>
          <w:lang w:val="en-US"/>
        </w:rPr>
        <w:t xml:space="preserve"> </w:t>
      </w:r>
      <w:r w:rsidR="00D12C0E" w:rsidRPr="00C9465D">
        <w:rPr>
          <w:lang w:val="en-US"/>
        </w:rPr>
        <w:t>personal integrity</w:t>
      </w:r>
      <w:r w:rsidR="003D48F7" w:rsidRPr="00C9465D">
        <w:rPr>
          <w:lang w:val="en-US"/>
        </w:rPr>
        <w:t xml:space="preserve"> reco</w:t>
      </w:r>
      <w:r w:rsidRPr="00C9465D">
        <w:rPr>
          <w:lang w:val="en-US"/>
        </w:rPr>
        <w:t>gnized in</w:t>
      </w:r>
      <w:r w:rsidR="003D48F7" w:rsidRPr="00C9465D">
        <w:rPr>
          <w:lang w:val="en-US"/>
        </w:rPr>
        <w:t xml:space="preserve"> </w:t>
      </w:r>
      <w:r w:rsidR="00193CBB" w:rsidRPr="00C9465D">
        <w:rPr>
          <w:lang w:val="en-US"/>
        </w:rPr>
        <w:t>Article</w:t>
      </w:r>
      <w:r w:rsidR="003D48F7" w:rsidRPr="00C9465D">
        <w:rPr>
          <w:lang w:val="en-US"/>
        </w:rPr>
        <w:t xml:space="preserve"> </w:t>
      </w:r>
      <w:r w:rsidR="00577DE0" w:rsidRPr="00C9465D">
        <w:rPr>
          <w:lang w:val="en-US"/>
        </w:rPr>
        <w:t>5(1)</w:t>
      </w:r>
      <w:r w:rsidR="00193CBB" w:rsidRPr="00C9465D">
        <w:rPr>
          <w:lang w:val="en-US"/>
        </w:rPr>
        <w:t xml:space="preserve"> of the American Convention</w:t>
      </w:r>
      <w:r w:rsidR="003D48F7" w:rsidRPr="00C9465D">
        <w:rPr>
          <w:lang w:val="en-US"/>
        </w:rPr>
        <w:t xml:space="preserve">, </w:t>
      </w:r>
      <w:r w:rsidR="00F42E0C" w:rsidRPr="00C9465D">
        <w:rPr>
          <w:lang w:val="en-US"/>
        </w:rPr>
        <w:t>in relation to Article</w:t>
      </w:r>
      <w:r w:rsidR="00577DE0" w:rsidRPr="00C9465D">
        <w:rPr>
          <w:lang w:val="en-US"/>
        </w:rPr>
        <w:t xml:space="preserve"> 1(1)</w:t>
      </w:r>
      <w:r w:rsidR="003D48F7" w:rsidRPr="00C9465D">
        <w:rPr>
          <w:lang w:val="en-US"/>
        </w:rPr>
        <w:t xml:space="preserve"> </w:t>
      </w:r>
      <w:r w:rsidR="00577DE0" w:rsidRPr="00C9465D">
        <w:rPr>
          <w:lang w:val="en-US"/>
        </w:rPr>
        <w:t>of this instrument</w:t>
      </w:r>
      <w:r w:rsidR="003D48F7" w:rsidRPr="00C9465D">
        <w:rPr>
          <w:lang w:val="en-US"/>
        </w:rPr>
        <w:t xml:space="preserve">, </w:t>
      </w:r>
      <w:r w:rsidRPr="00C9465D">
        <w:rPr>
          <w:lang w:val="en-US"/>
        </w:rPr>
        <w:t xml:space="preserve">to the detriment </w:t>
      </w:r>
      <w:r w:rsidR="00577DE0" w:rsidRPr="00C9465D">
        <w:rPr>
          <w:lang w:val="en-US"/>
        </w:rPr>
        <w:t>of</w:t>
      </w:r>
      <w:r w:rsidR="003D48F7" w:rsidRPr="00C9465D">
        <w:rPr>
          <w:lang w:val="en-US"/>
        </w:rPr>
        <w:t xml:space="preserve"> </w:t>
      </w:r>
      <w:bookmarkEnd w:id="85"/>
      <w:r w:rsidR="003C62B8" w:rsidRPr="00C9465D">
        <w:rPr>
          <w:lang w:val="en-US"/>
        </w:rPr>
        <w:t>Zoila Chimbo Jarro</w:t>
      </w:r>
      <w:r w:rsidR="00193CBB" w:rsidRPr="00C9465D">
        <w:rPr>
          <w:lang w:val="en-US"/>
        </w:rPr>
        <w:t xml:space="preserve"> and </w:t>
      </w:r>
      <w:r w:rsidR="00A16E23" w:rsidRPr="00C9465D">
        <w:rPr>
          <w:lang w:val="en-US"/>
        </w:rPr>
        <w:t>Nancy Guachalá Chimbo</w:t>
      </w:r>
      <w:r w:rsidR="003D48F7" w:rsidRPr="00C9465D">
        <w:rPr>
          <w:lang w:val="en-US"/>
        </w:rPr>
        <w:t>.</w:t>
      </w:r>
      <w:bookmarkEnd w:id="86"/>
    </w:p>
    <w:p w14:paraId="45B8D452" w14:textId="52A59419" w:rsidR="00AB527E" w:rsidRPr="00C9465D" w:rsidRDefault="00632CFA" w:rsidP="00E5784B">
      <w:pPr>
        <w:pStyle w:val="Heading1"/>
        <w:rPr>
          <w:lang w:val="en-US"/>
        </w:rPr>
      </w:pPr>
      <w:bookmarkStart w:id="87" w:name="_Toc74298471"/>
      <w:r w:rsidRPr="00C9465D">
        <w:rPr>
          <w:lang w:val="en-US"/>
        </w:rPr>
        <w:t>VII</w:t>
      </w:r>
      <w:r w:rsidR="00B94BE6" w:rsidRPr="00C9465D">
        <w:rPr>
          <w:lang w:val="en-US"/>
        </w:rPr>
        <w:t>I</w:t>
      </w:r>
      <w:r w:rsidRPr="00C9465D">
        <w:rPr>
          <w:lang w:val="en-US"/>
        </w:rPr>
        <w:br/>
      </w:r>
      <w:r w:rsidR="00CF54BB" w:rsidRPr="00C9465D">
        <w:rPr>
          <w:lang w:val="en-US"/>
        </w:rPr>
        <w:t>REPARATIONS</w:t>
      </w:r>
      <w:bookmarkEnd w:id="87"/>
    </w:p>
    <w:p w14:paraId="0960E55A" w14:textId="28C8FDA8" w:rsidR="002571A8" w:rsidRPr="00C9465D" w:rsidRDefault="00CF54BB" w:rsidP="00CF54BB">
      <w:pPr>
        <w:pStyle w:val="Numberedparagraphs"/>
        <w:rPr>
          <w:lang w:val="en-US"/>
        </w:rPr>
      </w:pPr>
      <w:bookmarkStart w:id="88" w:name="_Toc514063465"/>
      <w:bookmarkStart w:id="89" w:name="_Toc502891616"/>
      <w:bookmarkStart w:id="90" w:name="_Toc502885956"/>
      <w:bookmarkStart w:id="91" w:name="_Toc192587"/>
      <w:bookmarkStart w:id="92" w:name="_Toc32394184"/>
      <w:bookmarkStart w:id="93" w:name="_Toc36823503"/>
      <w:bookmarkStart w:id="94" w:name="_Toc44332538"/>
      <w:r w:rsidRPr="00C9465D">
        <w:rPr>
          <w:lang w:val="en-US"/>
        </w:rPr>
        <w:t>Pursuant to the provisions of</w:t>
      </w:r>
      <w:r w:rsidR="002571A8" w:rsidRPr="00C9465D">
        <w:rPr>
          <w:lang w:val="en-US"/>
        </w:rPr>
        <w:t xml:space="preserve"> </w:t>
      </w:r>
      <w:r w:rsidR="00193CBB" w:rsidRPr="00C9465D">
        <w:rPr>
          <w:lang w:val="en-US"/>
        </w:rPr>
        <w:t>Article</w:t>
      </w:r>
      <w:r w:rsidR="002571A8" w:rsidRPr="00C9465D">
        <w:rPr>
          <w:lang w:val="en-US"/>
        </w:rPr>
        <w:t xml:space="preserve"> 63</w:t>
      </w:r>
      <w:r w:rsidRPr="00C9465D">
        <w:rPr>
          <w:lang w:val="en-US"/>
        </w:rPr>
        <w:t>(</w:t>
      </w:r>
      <w:r w:rsidR="002571A8" w:rsidRPr="00C9465D">
        <w:rPr>
          <w:lang w:val="en-US"/>
        </w:rPr>
        <w:t>1</w:t>
      </w:r>
      <w:r w:rsidRPr="00C9465D">
        <w:rPr>
          <w:lang w:val="en-US"/>
        </w:rPr>
        <w:t>)</w:t>
      </w:r>
      <w:r w:rsidR="00193CBB" w:rsidRPr="00C9465D">
        <w:rPr>
          <w:lang w:val="en-US"/>
        </w:rPr>
        <w:t xml:space="preserve"> of the American Convention</w:t>
      </w:r>
      <w:r w:rsidR="002571A8" w:rsidRPr="00C9465D">
        <w:rPr>
          <w:lang w:val="en-US"/>
        </w:rPr>
        <w:t xml:space="preserve">, </w:t>
      </w:r>
      <w:r w:rsidR="00193CBB" w:rsidRPr="00C9465D">
        <w:rPr>
          <w:lang w:val="en-US"/>
        </w:rPr>
        <w:t>the Court</w:t>
      </w:r>
      <w:r w:rsidR="002571A8" w:rsidRPr="00C9465D">
        <w:rPr>
          <w:lang w:val="en-US"/>
        </w:rPr>
        <w:t xml:space="preserve"> ha</w:t>
      </w:r>
      <w:r w:rsidRPr="00C9465D">
        <w:rPr>
          <w:lang w:val="en-US"/>
        </w:rPr>
        <w:t xml:space="preserve">s indicated that any violation of an international obligation that has caused harm entails the duty to redress it adequately and that this provision reflects a customary norm that constitutes </w:t>
      </w:r>
      <w:r w:rsidRPr="00C9465D">
        <w:rPr>
          <w:lang w:val="en-US"/>
        </w:rPr>
        <w:lastRenderedPageBreak/>
        <w:t>one of the fundamental principles of contemporary international law on State responsibility.</w:t>
      </w:r>
      <w:r w:rsidR="002571A8" w:rsidRPr="00C9465D">
        <w:rPr>
          <w:rStyle w:val="FootnoteReference"/>
          <w:lang w:val="en-US"/>
        </w:rPr>
        <w:footnoteReference w:id="362"/>
      </w:r>
      <w:r w:rsidRPr="00C9465D">
        <w:rPr>
          <w:lang w:val="en-US"/>
        </w:rPr>
        <w:t xml:space="preserve"> The Court has also established that the reparations must have a causal nexus to the facts of the case, the violations that have been declared, the harm proved, and the measures requested to redress the respective harm. Therefore, the Court must analyze the concurrence of these factors</w:t>
      </w:r>
      <w:r w:rsidR="002571A8" w:rsidRPr="00C9465D">
        <w:rPr>
          <w:lang w:val="en-US"/>
        </w:rPr>
        <w:t xml:space="preserve"> </w:t>
      </w:r>
      <w:r w:rsidRPr="00C9465D">
        <w:rPr>
          <w:lang w:val="en-US"/>
        </w:rPr>
        <w:t>to rule appropriately and in keeping with law.</w:t>
      </w:r>
      <w:r w:rsidR="002571A8" w:rsidRPr="00C9465D">
        <w:rPr>
          <w:vertAlign w:val="superscript"/>
          <w:lang w:val="en-US"/>
        </w:rPr>
        <w:footnoteReference w:id="363"/>
      </w:r>
    </w:p>
    <w:p w14:paraId="654B5B96" w14:textId="396E1128" w:rsidR="002571A8" w:rsidRPr="00C9465D" w:rsidRDefault="00CF54BB" w:rsidP="002571A8">
      <w:pPr>
        <w:pStyle w:val="Numberedparagraphs"/>
        <w:rPr>
          <w:lang w:val="en-US"/>
        </w:rPr>
      </w:pPr>
      <w:r w:rsidRPr="00C9465D">
        <w:rPr>
          <w:lang w:val="en-US"/>
        </w:rPr>
        <w:t xml:space="preserve">Consequently, and based on the considerations on the merits and the violations of </w:t>
      </w:r>
      <w:r w:rsidR="00193CBB" w:rsidRPr="00C9465D">
        <w:rPr>
          <w:lang w:val="en-US"/>
        </w:rPr>
        <w:t>the Convention</w:t>
      </w:r>
      <w:r w:rsidR="002571A8" w:rsidRPr="00C9465D">
        <w:rPr>
          <w:lang w:val="en-US"/>
        </w:rPr>
        <w:t xml:space="preserve"> declar</w:t>
      </w:r>
      <w:r w:rsidRPr="00C9465D">
        <w:rPr>
          <w:lang w:val="en-US"/>
        </w:rPr>
        <w:t xml:space="preserve">ed in this judgment, the Court will now examine the claims presented by </w:t>
      </w:r>
      <w:r w:rsidR="00193CBB" w:rsidRPr="00C9465D">
        <w:rPr>
          <w:lang w:val="en-US"/>
        </w:rPr>
        <w:t xml:space="preserve">the Commission and the </w:t>
      </w:r>
      <w:r w:rsidRPr="00C9465D">
        <w:rPr>
          <w:lang w:val="en-US"/>
        </w:rPr>
        <w:t xml:space="preserve">victims’ </w:t>
      </w:r>
      <w:r w:rsidR="00193CBB" w:rsidRPr="00C9465D">
        <w:rPr>
          <w:lang w:val="en-US"/>
        </w:rPr>
        <w:t>representatives</w:t>
      </w:r>
      <w:r w:rsidR="002571A8" w:rsidRPr="00C9465D">
        <w:rPr>
          <w:lang w:val="en-US"/>
        </w:rPr>
        <w:t>, a</w:t>
      </w:r>
      <w:r w:rsidRPr="00C9465D">
        <w:rPr>
          <w:lang w:val="en-US"/>
        </w:rPr>
        <w:t xml:space="preserve">s well as the corresponding </w:t>
      </w:r>
      <w:r w:rsidR="00936B63" w:rsidRPr="00C9465D">
        <w:rPr>
          <w:lang w:val="en-US"/>
        </w:rPr>
        <w:t>observations</w:t>
      </w:r>
      <w:r w:rsidR="00193CBB" w:rsidRPr="00C9465D">
        <w:rPr>
          <w:lang w:val="en-US"/>
        </w:rPr>
        <w:t xml:space="preserve"> of the State</w:t>
      </w:r>
      <w:r w:rsidRPr="00C9465D">
        <w:rPr>
          <w:lang w:val="en-US"/>
        </w:rPr>
        <w:t xml:space="preserve"> in light of the criteria established in its case law on the nature and scope of the obligation to make reparation, in order to establish measures a</w:t>
      </w:r>
      <w:r w:rsidR="00B74BB8" w:rsidRPr="00C9465D">
        <w:rPr>
          <w:lang w:val="en-US"/>
        </w:rPr>
        <w:t xml:space="preserve">imed </w:t>
      </w:r>
      <w:r w:rsidRPr="00C9465D">
        <w:rPr>
          <w:lang w:val="en-US"/>
        </w:rPr>
        <w:t>at redressing the harm caused.</w:t>
      </w:r>
      <w:r w:rsidR="002571A8" w:rsidRPr="00C9465D">
        <w:rPr>
          <w:rStyle w:val="FootnoteReference"/>
          <w:bCs/>
          <w:lang w:val="en-US"/>
        </w:rPr>
        <w:footnoteReference w:id="364"/>
      </w:r>
    </w:p>
    <w:p w14:paraId="5B81962D" w14:textId="72BA513E" w:rsidR="00632CFA" w:rsidRPr="00C9465D" w:rsidRDefault="00CF54BB" w:rsidP="00D47F8D">
      <w:pPr>
        <w:pStyle w:val="Heading2"/>
        <w:numPr>
          <w:ilvl w:val="0"/>
          <w:numId w:val="6"/>
        </w:numPr>
        <w:ind w:left="1134" w:hanging="567"/>
        <w:rPr>
          <w:lang w:val="en-US" w:eastAsia="es-ES"/>
        </w:rPr>
      </w:pPr>
      <w:r w:rsidRPr="00C9465D">
        <w:rPr>
          <w:lang w:val="en-US"/>
        </w:rPr>
        <w:t>Injured party</w:t>
      </w:r>
      <w:bookmarkStart w:id="95" w:name="_Ref469938768"/>
      <w:bookmarkEnd w:id="88"/>
      <w:bookmarkEnd w:id="89"/>
      <w:bookmarkEnd w:id="90"/>
      <w:bookmarkEnd w:id="91"/>
      <w:bookmarkEnd w:id="92"/>
      <w:bookmarkEnd w:id="93"/>
      <w:bookmarkEnd w:id="94"/>
    </w:p>
    <w:p w14:paraId="156B18D0" w14:textId="28B87919" w:rsidR="00632CFA" w:rsidRPr="00C9465D" w:rsidRDefault="00B71E4D" w:rsidP="005439A2">
      <w:pPr>
        <w:pStyle w:val="Numberedparagraphs"/>
        <w:rPr>
          <w:lang w:val="en-US"/>
        </w:rPr>
      </w:pPr>
      <w:r w:rsidRPr="00C9465D">
        <w:rPr>
          <w:lang w:val="en-US"/>
        </w:rPr>
        <w:t>This Court</w:t>
      </w:r>
      <w:r w:rsidR="00632CFA" w:rsidRPr="00C9465D">
        <w:rPr>
          <w:lang w:val="en-US"/>
        </w:rPr>
        <w:t xml:space="preserve"> consider</w:t>
      </w:r>
      <w:r w:rsidR="00CF54BB" w:rsidRPr="00C9465D">
        <w:rPr>
          <w:lang w:val="en-US"/>
        </w:rPr>
        <w:t xml:space="preserve">s that, pursuant to </w:t>
      </w:r>
      <w:r w:rsidR="00632CFA" w:rsidRPr="00C9465D">
        <w:rPr>
          <w:lang w:val="en-US"/>
        </w:rPr>
        <w:t xml:space="preserve"> </w:t>
      </w:r>
      <w:r w:rsidR="007A3CA5" w:rsidRPr="00C9465D">
        <w:rPr>
          <w:lang w:val="en-US"/>
        </w:rPr>
        <w:t>Article</w:t>
      </w:r>
      <w:r w:rsidR="00632CFA" w:rsidRPr="00C9465D">
        <w:rPr>
          <w:lang w:val="en-US"/>
        </w:rPr>
        <w:t xml:space="preserve"> 63</w:t>
      </w:r>
      <w:r w:rsidR="00CF54BB" w:rsidRPr="00C9465D">
        <w:rPr>
          <w:lang w:val="en-US"/>
        </w:rPr>
        <w:t>(</w:t>
      </w:r>
      <w:r w:rsidR="00632CFA" w:rsidRPr="00C9465D">
        <w:rPr>
          <w:lang w:val="en-US"/>
        </w:rPr>
        <w:t>1</w:t>
      </w:r>
      <w:r w:rsidR="00CF54BB" w:rsidRPr="00C9465D">
        <w:rPr>
          <w:lang w:val="en-US"/>
        </w:rPr>
        <w:t>)</w:t>
      </w:r>
      <w:r w:rsidR="00193CBB" w:rsidRPr="00C9465D">
        <w:rPr>
          <w:lang w:val="en-US"/>
        </w:rPr>
        <w:t xml:space="preserve"> of the Convention</w:t>
      </w:r>
      <w:r w:rsidR="00632CFA" w:rsidRPr="00C9465D">
        <w:rPr>
          <w:lang w:val="en-US"/>
        </w:rPr>
        <w:t xml:space="preserve">, </w:t>
      </w:r>
      <w:r w:rsidR="00CF54BB" w:rsidRPr="00C9465D">
        <w:rPr>
          <w:lang w:val="en-US"/>
        </w:rPr>
        <w:t xml:space="preserve">the injured party  is anyone who has been declared a victim </w:t>
      </w:r>
      <w:r w:rsidR="00183C22" w:rsidRPr="00C9465D">
        <w:rPr>
          <w:lang w:val="en-US"/>
        </w:rPr>
        <w:t>of the violation</w:t>
      </w:r>
      <w:r w:rsidR="00632CFA" w:rsidRPr="00C9465D">
        <w:rPr>
          <w:lang w:val="en-US"/>
        </w:rPr>
        <w:t xml:space="preserve"> </w:t>
      </w:r>
      <w:r w:rsidR="00CF54BB" w:rsidRPr="00C9465D">
        <w:rPr>
          <w:lang w:val="en-US"/>
        </w:rPr>
        <w:t xml:space="preserve">of any right recognized in this instrument. Therefore, the Court considers that Luis Eduardo Guachalá Chimbo, Zoila Chimbo Jarro and Nancy Guachalá Chimbo are the </w:t>
      </w:r>
      <w:r w:rsidR="00632CFA" w:rsidRPr="00C9465D">
        <w:rPr>
          <w:lang w:val="en-US"/>
        </w:rPr>
        <w:t>“</w:t>
      </w:r>
      <w:r w:rsidR="00CF54BB" w:rsidRPr="00C9465D">
        <w:rPr>
          <w:lang w:val="en-US"/>
        </w:rPr>
        <w:t>injured party</w:t>
      </w:r>
      <w:r w:rsidR="00632CFA" w:rsidRPr="00C9465D">
        <w:rPr>
          <w:lang w:val="en-US"/>
        </w:rPr>
        <w:t>” a</w:t>
      </w:r>
      <w:r w:rsidR="00CF54BB" w:rsidRPr="00C9465D">
        <w:rPr>
          <w:lang w:val="en-US"/>
        </w:rPr>
        <w:t>nd, in their capacity as victims of the violations declared in Chapter VII, they will be considered beneficiaries of the reparations ordered by the Court.</w:t>
      </w:r>
      <w:bookmarkEnd w:id="95"/>
      <w:r w:rsidR="00630FC0" w:rsidRPr="00C9465D">
        <w:rPr>
          <w:lang w:val="en-US"/>
        </w:rPr>
        <w:t xml:space="preserve"> </w:t>
      </w:r>
    </w:p>
    <w:p w14:paraId="35D2633D" w14:textId="69B48712" w:rsidR="00897418" w:rsidRPr="00C9465D" w:rsidRDefault="00CF54BB" w:rsidP="00897418">
      <w:pPr>
        <w:pStyle w:val="Heading2"/>
        <w:rPr>
          <w:lang w:val="en-US"/>
        </w:rPr>
      </w:pPr>
      <w:bookmarkStart w:id="96" w:name="_Toc66197508"/>
      <w:bookmarkStart w:id="97" w:name="_Toc74298473"/>
      <w:bookmarkStart w:id="98" w:name="_Toc44332539"/>
      <w:bookmarkStart w:id="99" w:name="_Toc32394186"/>
      <w:bookmarkStart w:id="100" w:name="_Toc36823505"/>
      <w:r w:rsidRPr="00C9465D">
        <w:rPr>
          <w:lang w:val="en-US"/>
        </w:rPr>
        <w:t>Obligation to investigate the facts and identify, prosecute and punish, as appropriate, those responsible</w:t>
      </w:r>
      <w:r w:rsidR="00897418" w:rsidRPr="00C9465D">
        <w:rPr>
          <w:lang w:val="en-US"/>
        </w:rPr>
        <w:t xml:space="preserve">, </w:t>
      </w:r>
      <w:r w:rsidRPr="00C9465D">
        <w:rPr>
          <w:lang w:val="en-US"/>
        </w:rPr>
        <w:t>as well as to determine the whereabouts</w:t>
      </w:r>
      <w:r w:rsidR="00092D8C" w:rsidRPr="00C9465D">
        <w:rPr>
          <w:lang w:val="en-US"/>
        </w:rPr>
        <w:t xml:space="preserve"> of the </w:t>
      </w:r>
      <w:r w:rsidR="00577DE0" w:rsidRPr="00C9465D">
        <w:rPr>
          <w:lang w:val="en-US"/>
        </w:rPr>
        <w:t>victim</w:t>
      </w:r>
      <w:bookmarkEnd w:id="96"/>
      <w:bookmarkEnd w:id="97"/>
    </w:p>
    <w:p w14:paraId="6335EF9A" w14:textId="003F348A" w:rsidR="00897418" w:rsidRPr="00C9465D" w:rsidRDefault="00897418" w:rsidP="00897418">
      <w:pPr>
        <w:pStyle w:val="Heading3"/>
        <w:rPr>
          <w:lang w:val="en-US"/>
        </w:rPr>
      </w:pPr>
      <w:bookmarkStart w:id="101" w:name="_Toc66197509"/>
      <w:bookmarkStart w:id="102" w:name="_Toc74298474"/>
      <w:r w:rsidRPr="00C9465D">
        <w:rPr>
          <w:lang w:val="en-US"/>
        </w:rPr>
        <w:t xml:space="preserve">B.1 </w:t>
      </w:r>
      <w:r w:rsidRPr="00C9465D">
        <w:rPr>
          <w:lang w:val="en-US"/>
        </w:rPr>
        <w:tab/>
      </w:r>
      <w:r w:rsidR="00AB607A" w:rsidRPr="00C9465D">
        <w:rPr>
          <w:lang w:val="en-US"/>
        </w:rPr>
        <w:t>Investigation, determination, prosecution</w:t>
      </w:r>
      <w:r w:rsidRPr="00C9465D">
        <w:rPr>
          <w:lang w:val="en-US"/>
        </w:rPr>
        <w:t xml:space="preserve"> </w:t>
      </w:r>
      <w:r w:rsidR="00AB607A" w:rsidRPr="00C9465D">
        <w:rPr>
          <w:lang w:val="en-US"/>
        </w:rPr>
        <w:t>and punishment, as appropriate, of those responsible</w:t>
      </w:r>
      <w:bookmarkEnd w:id="101"/>
      <w:bookmarkEnd w:id="102"/>
    </w:p>
    <w:p w14:paraId="437E81CB" w14:textId="4FBB0C5D" w:rsidR="00FC6426" w:rsidRPr="00C9465D" w:rsidRDefault="00193CBB" w:rsidP="00FC6426">
      <w:pPr>
        <w:pStyle w:val="Numberedparagraphs"/>
        <w:rPr>
          <w:lang w:val="en-US"/>
        </w:rPr>
      </w:pPr>
      <w:r w:rsidRPr="00C9465D">
        <w:rPr>
          <w:lang w:val="en-US"/>
        </w:rPr>
        <w:t xml:space="preserve">The </w:t>
      </w:r>
      <w:r w:rsidRPr="00C9465D">
        <w:rPr>
          <w:b/>
          <w:bCs/>
          <w:i/>
          <w:iCs/>
          <w:lang w:val="en-US"/>
        </w:rPr>
        <w:t>Commission</w:t>
      </w:r>
      <w:r w:rsidR="00897418" w:rsidRPr="00C9465D">
        <w:rPr>
          <w:b/>
          <w:bCs/>
          <w:i/>
          <w:iCs/>
          <w:lang w:val="en-US"/>
        </w:rPr>
        <w:t xml:space="preserve"> </w:t>
      </w:r>
      <w:r w:rsidR="00897418" w:rsidRPr="00C9465D">
        <w:rPr>
          <w:bCs/>
          <w:lang w:val="en-US"/>
        </w:rPr>
        <w:t>indic</w:t>
      </w:r>
      <w:r w:rsidR="00AB607A" w:rsidRPr="00C9465D">
        <w:rPr>
          <w:bCs/>
          <w:lang w:val="en-US"/>
        </w:rPr>
        <w:t>ated that</w:t>
      </w:r>
      <w:r w:rsidR="00897418" w:rsidRPr="00C9465D">
        <w:rPr>
          <w:bCs/>
          <w:lang w:val="en-US"/>
        </w:rPr>
        <w:t xml:space="preserve"> </w:t>
      </w:r>
      <w:r w:rsidRPr="00C9465D">
        <w:rPr>
          <w:bCs/>
          <w:lang w:val="en-US"/>
        </w:rPr>
        <w:t>the State</w:t>
      </w:r>
      <w:r w:rsidR="00897418" w:rsidRPr="00C9465D">
        <w:rPr>
          <w:bCs/>
          <w:lang w:val="en-US"/>
        </w:rPr>
        <w:t xml:space="preserve"> </w:t>
      </w:r>
      <w:r w:rsidR="00AB607A" w:rsidRPr="00C9465D">
        <w:rPr>
          <w:bCs/>
          <w:lang w:val="en-US"/>
        </w:rPr>
        <w:t xml:space="preserve">should continue the investigation impartially, effectively and within a reasonable time in order to clarify the facts completely, identifying the perpetrators and imposing the corresponding sanctions. </w:t>
      </w:r>
      <w:r w:rsidRPr="00C9465D">
        <w:rPr>
          <w:lang w:val="en-US" w:eastAsia="es-ES"/>
        </w:rPr>
        <w:t xml:space="preserve">The </w:t>
      </w:r>
      <w:r w:rsidRPr="00C9465D">
        <w:rPr>
          <w:b/>
          <w:bCs/>
          <w:i/>
          <w:iCs/>
          <w:lang w:val="en-US" w:eastAsia="es-ES"/>
        </w:rPr>
        <w:t>representatives</w:t>
      </w:r>
      <w:r w:rsidR="00897418" w:rsidRPr="00C9465D">
        <w:rPr>
          <w:b/>
          <w:i/>
          <w:lang w:val="en-US" w:eastAsia="es-ES"/>
        </w:rPr>
        <w:t xml:space="preserve"> </w:t>
      </w:r>
      <w:r w:rsidR="00FC6426" w:rsidRPr="00C9465D">
        <w:rPr>
          <w:lang w:val="en-US" w:eastAsia="es-ES"/>
        </w:rPr>
        <w:t xml:space="preserve">asked that </w:t>
      </w:r>
      <w:r w:rsidRPr="00C9465D">
        <w:rPr>
          <w:lang w:val="en-US" w:eastAsia="es-ES"/>
        </w:rPr>
        <w:t>the State</w:t>
      </w:r>
      <w:r w:rsidR="00897418" w:rsidRPr="00C9465D">
        <w:rPr>
          <w:lang w:val="en-US" w:eastAsia="es-ES"/>
        </w:rPr>
        <w:t xml:space="preserve"> ini</w:t>
      </w:r>
      <w:r w:rsidR="00FC6426" w:rsidRPr="00C9465D">
        <w:rPr>
          <w:lang w:val="en-US" w:eastAsia="es-ES"/>
        </w:rPr>
        <w:t>tiate</w:t>
      </w:r>
      <w:r w:rsidR="00897418" w:rsidRPr="00C9465D">
        <w:rPr>
          <w:lang w:val="en-US" w:eastAsia="es-ES"/>
        </w:rPr>
        <w:t xml:space="preserve"> “</w:t>
      </w:r>
      <w:r w:rsidR="00FC6426" w:rsidRPr="00C9465D">
        <w:rPr>
          <w:lang w:val="en-US" w:eastAsia="es-ES"/>
        </w:rPr>
        <w:t xml:space="preserve">the investigation, prosecution and punishment of the public officials responsible for the </w:t>
      </w:r>
      <w:r w:rsidR="00CF3A9D" w:rsidRPr="00C9465D">
        <w:rPr>
          <w:lang w:val="en-US" w:eastAsia="es-ES"/>
        </w:rPr>
        <w:t>forced disappearance</w:t>
      </w:r>
      <w:r w:rsidR="00897418" w:rsidRPr="00C9465D">
        <w:rPr>
          <w:lang w:val="en-US" w:eastAsia="es-ES"/>
        </w:rPr>
        <w:t xml:space="preserve"> </w:t>
      </w:r>
      <w:r w:rsidR="00FC6426" w:rsidRPr="00C9465D">
        <w:rPr>
          <w:lang w:val="en-US" w:eastAsia="es-ES"/>
        </w:rPr>
        <w:t>of</w:t>
      </w:r>
      <w:r w:rsidR="00897418" w:rsidRPr="00C9465D">
        <w:rPr>
          <w:lang w:val="en-US" w:eastAsia="es-ES"/>
        </w:rPr>
        <w:t xml:space="preserve"> Luis Eduardo Guachalá. </w:t>
      </w:r>
      <w:r w:rsidR="00FC6426" w:rsidRPr="00C9465D">
        <w:rPr>
          <w:lang w:val="en-US" w:eastAsia="es-ES"/>
        </w:rPr>
        <w:t xml:space="preserve">Moreover, this investigation and punishment should be extended to the prosecutors, investigation agents and others who failed to act diligently, promptly and competently, </w:t>
      </w:r>
      <w:r w:rsidR="00B74BB8" w:rsidRPr="00C9465D">
        <w:rPr>
          <w:lang w:val="en-US" w:eastAsia="es-ES"/>
        </w:rPr>
        <w:t xml:space="preserve">and </w:t>
      </w:r>
      <w:r w:rsidR="00FC6426" w:rsidRPr="00C9465D">
        <w:rPr>
          <w:lang w:val="en-US" w:eastAsia="es-ES"/>
        </w:rPr>
        <w:t xml:space="preserve">who were responsible by act or omission for violating human rights.” </w:t>
      </w:r>
      <w:r w:rsidRPr="00C9465D">
        <w:rPr>
          <w:lang w:val="en-US"/>
        </w:rPr>
        <w:t xml:space="preserve">The </w:t>
      </w:r>
      <w:r w:rsidRPr="00C9465D">
        <w:rPr>
          <w:b/>
          <w:bCs/>
          <w:i/>
          <w:iCs/>
          <w:lang w:val="en-US"/>
        </w:rPr>
        <w:t>State</w:t>
      </w:r>
      <w:r w:rsidR="00897418" w:rsidRPr="00C9465D">
        <w:rPr>
          <w:lang w:val="en-US"/>
        </w:rPr>
        <w:t xml:space="preserve"> </w:t>
      </w:r>
      <w:r w:rsidR="00FC6426" w:rsidRPr="00C9465D">
        <w:rPr>
          <w:lang w:val="en-US"/>
        </w:rPr>
        <w:t>indicated that “the investigation continues open to date</w:t>
      </w:r>
      <w:r w:rsidR="00B74BB8" w:rsidRPr="00C9465D">
        <w:rPr>
          <w:lang w:val="en-US"/>
        </w:rPr>
        <w:t>;</w:t>
      </w:r>
      <w:r w:rsidR="00FC6426" w:rsidRPr="00C9465D">
        <w:rPr>
          <w:lang w:val="en-US"/>
        </w:rPr>
        <w:t xml:space="preserve"> a series of measures have been take to clarify the facts and Mrs. Chimbo Jarro is legally authorized to have access to and be informed of them.”</w:t>
      </w:r>
    </w:p>
    <w:p w14:paraId="584521BF" w14:textId="0915BEB1" w:rsidR="00897418" w:rsidRPr="00C9465D" w:rsidRDefault="00B71E4D" w:rsidP="00D47F8D">
      <w:pPr>
        <w:pStyle w:val="Numberedparagraphs"/>
        <w:numPr>
          <w:ilvl w:val="0"/>
          <w:numId w:val="14"/>
        </w:numPr>
        <w:tabs>
          <w:tab w:val="num" w:pos="567"/>
        </w:tabs>
        <w:rPr>
          <w:lang w:val="en-US"/>
        </w:rPr>
      </w:pPr>
      <w:bookmarkStart w:id="103" w:name="_Ref524880604"/>
      <w:r w:rsidRPr="00C9465D">
        <w:rPr>
          <w:lang w:val="en-US"/>
        </w:rPr>
        <w:t>Th</w:t>
      </w:r>
      <w:r w:rsidR="00FC6426" w:rsidRPr="00C9465D">
        <w:rPr>
          <w:lang w:val="en-US"/>
        </w:rPr>
        <w:t>e</w:t>
      </w:r>
      <w:r w:rsidRPr="00C9465D">
        <w:rPr>
          <w:lang w:val="en-US"/>
        </w:rPr>
        <w:t xml:space="preserve"> Court</w:t>
      </w:r>
      <w:r w:rsidR="00897418" w:rsidRPr="00C9465D">
        <w:rPr>
          <w:lang w:val="en-US"/>
        </w:rPr>
        <w:t xml:space="preserve"> </w:t>
      </w:r>
      <w:r w:rsidR="00FC6426" w:rsidRPr="00C9465D">
        <w:rPr>
          <w:lang w:val="en-US"/>
        </w:rPr>
        <w:t>appreciates the progress made to date by the State in order to clarify the facts. However, bearing in mind the conclusions of Chapter</w:t>
      </w:r>
      <w:r w:rsidR="00897418" w:rsidRPr="00C9465D">
        <w:rPr>
          <w:lang w:val="en-US"/>
        </w:rPr>
        <w:t xml:space="preserve"> VII-4 </w:t>
      </w:r>
      <w:r w:rsidR="008F17CD" w:rsidRPr="00C9465D">
        <w:rPr>
          <w:lang w:val="en-US"/>
        </w:rPr>
        <w:t>of this judgment</w:t>
      </w:r>
      <w:r w:rsidR="00897418" w:rsidRPr="00C9465D">
        <w:rPr>
          <w:lang w:val="en-US"/>
        </w:rPr>
        <w:t xml:space="preserve">, </w:t>
      </w:r>
      <w:r w:rsidR="00193CBB" w:rsidRPr="00C9465D">
        <w:rPr>
          <w:lang w:val="en-US"/>
        </w:rPr>
        <w:t>the Court</w:t>
      </w:r>
      <w:r w:rsidR="00897418" w:rsidRPr="00C9465D">
        <w:rPr>
          <w:lang w:val="en-US"/>
        </w:rPr>
        <w:t xml:space="preserve"> </w:t>
      </w:r>
      <w:r w:rsidR="00FC6426" w:rsidRPr="00C9465D">
        <w:rPr>
          <w:lang w:val="en-US"/>
        </w:rPr>
        <w:t>establishes that</w:t>
      </w:r>
      <w:r w:rsidR="00897418" w:rsidRPr="00C9465D">
        <w:rPr>
          <w:lang w:val="en-US"/>
        </w:rPr>
        <w:t xml:space="preserve"> </w:t>
      </w:r>
      <w:r w:rsidR="00193CBB" w:rsidRPr="00C9465D">
        <w:rPr>
          <w:lang w:val="en-US"/>
        </w:rPr>
        <w:t>the State</w:t>
      </w:r>
      <w:r w:rsidR="00897418" w:rsidRPr="00C9465D">
        <w:rPr>
          <w:lang w:val="en-US"/>
        </w:rPr>
        <w:t xml:space="preserve"> </w:t>
      </w:r>
      <w:r w:rsidR="00FC6426" w:rsidRPr="00C9465D">
        <w:rPr>
          <w:lang w:val="en-US"/>
        </w:rPr>
        <w:t xml:space="preserve">should continue and conduct, within a </w:t>
      </w:r>
      <w:r w:rsidR="000A73DA" w:rsidRPr="00C9465D">
        <w:rPr>
          <w:lang w:val="en-US"/>
        </w:rPr>
        <w:t>reasonable time</w:t>
      </w:r>
      <w:r w:rsidR="00193CBB" w:rsidRPr="00C9465D">
        <w:rPr>
          <w:lang w:val="en-US"/>
        </w:rPr>
        <w:t xml:space="preserve"> and </w:t>
      </w:r>
      <w:r w:rsidR="00FC6426" w:rsidRPr="00C9465D">
        <w:rPr>
          <w:lang w:val="en-US"/>
        </w:rPr>
        <w:t xml:space="preserve">with the greatest diligence, all necessary investigations to determine what happened to </w:t>
      </w:r>
      <w:r w:rsidR="00CC049A" w:rsidRPr="00C9465D">
        <w:rPr>
          <w:lang w:val="en-US"/>
        </w:rPr>
        <w:t xml:space="preserve">Luis Eduardo Guachalá Chimbo </w:t>
      </w:r>
      <w:r w:rsidR="00FC6426" w:rsidRPr="00C9465D">
        <w:rPr>
          <w:lang w:val="en-US"/>
        </w:rPr>
        <w:t xml:space="preserve">in order to identify, prosecute and punish, as appropriate, those responsible pursuant to domestic law. This obligation must be complied with in keeping with the standards </w:t>
      </w:r>
      <w:r w:rsidR="00FC6426" w:rsidRPr="00C9465D">
        <w:rPr>
          <w:lang w:val="en-US"/>
        </w:rPr>
        <w:lastRenderedPageBreak/>
        <w:t>established by this Court’s case law,</w:t>
      </w:r>
      <w:r w:rsidR="00897418" w:rsidRPr="00C9465D">
        <w:rPr>
          <w:rStyle w:val="FootnoteReference"/>
          <w:lang w:val="en-US"/>
        </w:rPr>
        <w:footnoteReference w:id="365"/>
      </w:r>
      <w:r w:rsidR="00FC6426" w:rsidRPr="00C9465D">
        <w:rPr>
          <w:lang w:val="en-US"/>
        </w:rPr>
        <w:t xml:space="preserve"> taking into account that the victim’s whereabouts have been unknown for 17 years.</w:t>
      </w:r>
      <w:r w:rsidR="00897418" w:rsidRPr="00C9465D">
        <w:rPr>
          <w:lang w:val="en-US"/>
        </w:rPr>
        <w:t xml:space="preserve"> </w:t>
      </w:r>
      <w:bookmarkEnd w:id="103"/>
    </w:p>
    <w:p w14:paraId="6F2C7600" w14:textId="1B095E3B" w:rsidR="00897418" w:rsidRPr="00C9465D" w:rsidRDefault="00897418" w:rsidP="00897418">
      <w:pPr>
        <w:pStyle w:val="Heading3"/>
        <w:rPr>
          <w:lang w:val="en-US"/>
        </w:rPr>
      </w:pPr>
      <w:bookmarkStart w:id="104" w:name="_Toc66197510"/>
      <w:bookmarkStart w:id="105" w:name="_Toc74298475"/>
      <w:r w:rsidRPr="00C9465D">
        <w:rPr>
          <w:lang w:val="en-US"/>
        </w:rPr>
        <w:t xml:space="preserve">B.2 </w:t>
      </w:r>
      <w:r w:rsidRPr="00C9465D">
        <w:rPr>
          <w:lang w:val="en-US"/>
        </w:rPr>
        <w:tab/>
      </w:r>
      <w:r w:rsidR="00FC6426" w:rsidRPr="00C9465D">
        <w:rPr>
          <w:lang w:val="en-US"/>
        </w:rPr>
        <w:t>Determination of the victim’s whereabouts</w:t>
      </w:r>
      <w:bookmarkEnd w:id="104"/>
      <w:bookmarkEnd w:id="105"/>
    </w:p>
    <w:p w14:paraId="0E70F423" w14:textId="53E3DA15" w:rsidR="00632CFA" w:rsidRPr="00C9465D" w:rsidRDefault="00193CBB" w:rsidP="00AA3C22">
      <w:pPr>
        <w:pStyle w:val="Numberedparagraphs"/>
        <w:rPr>
          <w:lang w:val="en-US"/>
        </w:rPr>
      </w:pPr>
      <w:r w:rsidRPr="00C9465D">
        <w:rPr>
          <w:lang w:val="en-US"/>
        </w:rPr>
        <w:t xml:space="preserve">The </w:t>
      </w:r>
      <w:r w:rsidRPr="00C9465D">
        <w:rPr>
          <w:b/>
          <w:bCs/>
          <w:i/>
          <w:iCs/>
          <w:lang w:val="en-US"/>
        </w:rPr>
        <w:t>Commission</w:t>
      </w:r>
      <w:r w:rsidR="00371851" w:rsidRPr="00C9465D">
        <w:rPr>
          <w:b/>
          <w:bCs/>
          <w:i/>
          <w:iCs/>
          <w:lang w:val="en-US"/>
        </w:rPr>
        <w:t xml:space="preserve"> </w:t>
      </w:r>
      <w:r w:rsidR="00FC6426" w:rsidRPr="00C9465D">
        <w:rPr>
          <w:bCs/>
          <w:lang w:val="en-US"/>
        </w:rPr>
        <w:t>indicated that</w:t>
      </w:r>
      <w:r w:rsidR="00371851" w:rsidRPr="00C9465D">
        <w:rPr>
          <w:bCs/>
          <w:lang w:val="en-US"/>
        </w:rPr>
        <w:t xml:space="preserve"> </w:t>
      </w:r>
      <w:r w:rsidRPr="00C9465D">
        <w:rPr>
          <w:bCs/>
          <w:lang w:val="en-US"/>
        </w:rPr>
        <w:t>the State</w:t>
      </w:r>
      <w:r w:rsidR="00371851" w:rsidRPr="00C9465D">
        <w:rPr>
          <w:bCs/>
          <w:lang w:val="en-US"/>
        </w:rPr>
        <w:t xml:space="preserve"> </w:t>
      </w:r>
      <w:r w:rsidR="00B74BB8" w:rsidRPr="00C9465D">
        <w:rPr>
          <w:bCs/>
          <w:lang w:val="en-US"/>
        </w:rPr>
        <w:t xml:space="preserve">should </w:t>
      </w:r>
      <w:r w:rsidR="00FC6426" w:rsidRPr="00C9465D">
        <w:rPr>
          <w:bCs/>
          <w:lang w:val="en-US"/>
        </w:rPr>
        <w:t xml:space="preserve">undertake a search, using all available means, to discover the fate or whereabouts of </w:t>
      </w:r>
      <w:r w:rsidR="00632CFA" w:rsidRPr="00C9465D">
        <w:rPr>
          <w:lang w:val="en-US"/>
        </w:rPr>
        <w:t xml:space="preserve">Luis Eduardo Guachalá Chimbo </w:t>
      </w:r>
      <w:r w:rsidR="00C13EA3" w:rsidRPr="00C9465D">
        <w:rPr>
          <w:lang w:val="en-US"/>
        </w:rPr>
        <w:t>or his mortal remains</w:t>
      </w:r>
      <w:r w:rsidR="00632CFA" w:rsidRPr="00C9465D">
        <w:rPr>
          <w:lang w:val="en-US"/>
        </w:rPr>
        <w:t xml:space="preserve">. </w:t>
      </w:r>
      <w:r w:rsidR="00C13EA3" w:rsidRPr="00C9465D">
        <w:rPr>
          <w:lang w:val="en-US"/>
        </w:rPr>
        <w:t>If applicable</w:t>
      </w:r>
      <w:r w:rsidR="00632CFA" w:rsidRPr="00C9465D">
        <w:rPr>
          <w:lang w:val="en-US"/>
        </w:rPr>
        <w:t xml:space="preserve">, </w:t>
      </w:r>
      <w:r w:rsidRPr="00C9465D">
        <w:rPr>
          <w:lang w:val="en-US"/>
        </w:rPr>
        <w:t>the Commission</w:t>
      </w:r>
      <w:r w:rsidR="00632CFA" w:rsidRPr="00C9465D">
        <w:rPr>
          <w:lang w:val="en-US"/>
        </w:rPr>
        <w:t xml:space="preserve"> </w:t>
      </w:r>
      <w:r w:rsidR="00C13EA3" w:rsidRPr="00C9465D">
        <w:rPr>
          <w:lang w:val="en-US"/>
        </w:rPr>
        <w:t>asked that</w:t>
      </w:r>
      <w:r w:rsidR="00632CFA" w:rsidRPr="00C9465D">
        <w:rPr>
          <w:lang w:val="en-US"/>
        </w:rPr>
        <w:t xml:space="preserve"> </w:t>
      </w:r>
      <w:r w:rsidRPr="00C9465D">
        <w:rPr>
          <w:lang w:val="en-US"/>
        </w:rPr>
        <w:t>the State</w:t>
      </w:r>
      <w:r w:rsidR="00C13EA3" w:rsidRPr="00C9465D">
        <w:rPr>
          <w:lang w:val="en-US"/>
        </w:rPr>
        <w:t xml:space="preserve"> provide adequate means of identification and proceed to return the remains to the family. </w:t>
      </w:r>
      <w:r w:rsidRPr="00C9465D">
        <w:rPr>
          <w:lang w:val="en-US" w:eastAsia="es-ES"/>
        </w:rPr>
        <w:t xml:space="preserve">The </w:t>
      </w:r>
      <w:r w:rsidRPr="00C9465D">
        <w:rPr>
          <w:b/>
          <w:bCs/>
          <w:i/>
          <w:iCs/>
          <w:lang w:val="en-US" w:eastAsia="es-ES"/>
        </w:rPr>
        <w:t>representatives</w:t>
      </w:r>
      <w:r w:rsidR="000A411A" w:rsidRPr="00C9465D">
        <w:rPr>
          <w:lang w:val="en-US" w:eastAsia="es-ES"/>
        </w:rPr>
        <w:t xml:space="preserve"> </w:t>
      </w:r>
      <w:r w:rsidR="00C13EA3" w:rsidRPr="00C9465D">
        <w:rPr>
          <w:lang w:val="en-US" w:eastAsia="es-ES"/>
        </w:rPr>
        <w:t>asked that</w:t>
      </w:r>
      <w:r w:rsidR="000A411A" w:rsidRPr="00C9465D">
        <w:rPr>
          <w:lang w:val="en-US" w:eastAsia="es-ES"/>
        </w:rPr>
        <w:t xml:space="preserve"> </w:t>
      </w:r>
      <w:r w:rsidRPr="00C9465D">
        <w:rPr>
          <w:lang w:val="en-US" w:eastAsia="es-ES"/>
        </w:rPr>
        <w:t>the State</w:t>
      </w:r>
      <w:r w:rsidR="000A411A" w:rsidRPr="00C9465D">
        <w:rPr>
          <w:lang w:val="en-US" w:eastAsia="es-ES"/>
        </w:rPr>
        <w:t xml:space="preserve"> contin</w:t>
      </w:r>
      <w:r w:rsidR="00C13EA3" w:rsidRPr="00C9465D">
        <w:rPr>
          <w:lang w:val="en-US" w:eastAsia="es-ES"/>
        </w:rPr>
        <w:t xml:space="preserve">ue the search for </w:t>
      </w:r>
      <w:r w:rsidR="000A411A" w:rsidRPr="00C9465D">
        <w:rPr>
          <w:lang w:val="en-US" w:eastAsia="es-ES"/>
        </w:rPr>
        <w:t>Luis Eduardo Guachalá Chimbo “</w:t>
      </w:r>
      <w:r w:rsidR="00C13EA3" w:rsidRPr="00C9465D">
        <w:rPr>
          <w:lang w:val="en-US" w:eastAsia="es-ES"/>
        </w:rPr>
        <w:t xml:space="preserve">so that he may be given a Christian burial if his mortal remains are found.” </w:t>
      </w:r>
      <w:r w:rsidRPr="00C9465D">
        <w:rPr>
          <w:lang w:val="en-US"/>
        </w:rPr>
        <w:t xml:space="preserve">The </w:t>
      </w:r>
      <w:r w:rsidRPr="00C9465D">
        <w:rPr>
          <w:b/>
          <w:bCs/>
          <w:i/>
          <w:iCs/>
          <w:lang w:val="en-US"/>
        </w:rPr>
        <w:t>State</w:t>
      </w:r>
      <w:r w:rsidR="00A92FC0" w:rsidRPr="00C9465D">
        <w:rPr>
          <w:b/>
          <w:bCs/>
          <w:i/>
          <w:iCs/>
          <w:lang w:val="en-US"/>
        </w:rPr>
        <w:t xml:space="preserve"> </w:t>
      </w:r>
      <w:r w:rsidR="00C13EA3" w:rsidRPr="00C9465D">
        <w:rPr>
          <w:lang w:val="en-US"/>
        </w:rPr>
        <w:t>did not comment on this request.</w:t>
      </w:r>
    </w:p>
    <w:p w14:paraId="015B181A" w14:textId="4799EDAE" w:rsidR="001B617F" w:rsidRPr="00C9465D" w:rsidRDefault="00707554" w:rsidP="00707554">
      <w:pPr>
        <w:pStyle w:val="Numberedparagraphs"/>
        <w:rPr>
          <w:lang w:val="en-US"/>
        </w:rPr>
      </w:pPr>
      <w:bookmarkStart w:id="106" w:name="_Ref72330231"/>
      <w:bookmarkStart w:id="107" w:name="_Ref524880626"/>
      <w:r w:rsidRPr="00C9465D">
        <w:rPr>
          <w:rFonts w:cs="Tahoma"/>
          <w:lang w:val="en-US"/>
        </w:rPr>
        <w:t xml:space="preserve">In this case, it has been established that the whereabouts of </w:t>
      </w:r>
      <w:r w:rsidR="006A388E" w:rsidRPr="00C9465D">
        <w:rPr>
          <w:lang w:val="en-US"/>
        </w:rPr>
        <w:t>Luis Eduardo Guachalá Chimbo</w:t>
      </w:r>
      <w:r w:rsidRPr="00C9465D">
        <w:rPr>
          <w:lang w:val="en-US"/>
        </w:rPr>
        <w:t xml:space="preserve"> are still unknown</w:t>
      </w:r>
      <w:r w:rsidR="006A388E" w:rsidRPr="00C9465D">
        <w:rPr>
          <w:lang w:val="en-US"/>
        </w:rPr>
        <w:t xml:space="preserve">. </w:t>
      </w:r>
      <w:r w:rsidR="00B71E4D" w:rsidRPr="00C9465D">
        <w:rPr>
          <w:lang w:val="en-US"/>
        </w:rPr>
        <w:t>Th</w:t>
      </w:r>
      <w:r w:rsidRPr="00C9465D">
        <w:rPr>
          <w:lang w:val="en-US"/>
        </w:rPr>
        <w:t>e</w:t>
      </w:r>
      <w:r w:rsidR="00B71E4D" w:rsidRPr="00C9465D">
        <w:rPr>
          <w:lang w:val="en-US"/>
        </w:rPr>
        <w:t xml:space="preserve"> Court</w:t>
      </w:r>
      <w:r w:rsidR="006A388E" w:rsidRPr="00C9465D">
        <w:rPr>
          <w:lang w:val="en-US"/>
        </w:rPr>
        <w:t xml:space="preserve"> </w:t>
      </w:r>
      <w:r w:rsidRPr="00C9465D">
        <w:rPr>
          <w:lang w:val="en-US"/>
        </w:rPr>
        <w:t>emphasizes that more than 17 years have passed since he disappeared. The discovery of his whereabouts is a just expectation of hi</w:t>
      </w:r>
      <w:r w:rsidR="00D8209E" w:rsidRPr="00C9465D">
        <w:rPr>
          <w:lang w:val="en-US"/>
        </w:rPr>
        <w:t xml:space="preserve">s </w:t>
      </w:r>
      <w:r w:rsidRPr="00C9465D">
        <w:rPr>
          <w:lang w:val="en-US"/>
        </w:rPr>
        <w:t>family and constitutes a measure of reparation that gives rise to the correlative duty of the State to satisfy it.</w:t>
      </w:r>
      <w:r w:rsidR="006A388E" w:rsidRPr="00C9465D">
        <w:rPr>
          <w:vertAlign w:val="superscript"/>
          <w:lang w:val="en-US"/>
        </w:rPr>
        <w:footnoteReference w:id="366"/>
      </w:r>
      <w:r w:rsidRPr="00C9465D">
        <w:rPr>
          <w:lang w:val="en-US"/>
        </w:rPr>
        <w:t xml:space="preserve"> The remains of a person who has died and the place where they are found may provide valuable information about what happened.</w:t>
      </w:r>
      <w:r w:rsidR="00E20465" w:rsidRPr="00C9465D">
        <w:rPr>
          <w:rStyle w:val="FootnoteReference"/>
          <w:lang w:val="en-US"/>
        </w:rPr>
        <w:footnoteReference w:id="367"/>
      </w:r>
      <w:r w:rsidR="008D756F" w:rsidRPr="00C9465D">
        <w:rPr>
          <w:lang w:val="en-US"/>
        </w:rPr>
        <w:t xml:space="preserve"> </w:t>
      </w:r>
      <w:r w:rsidR="00E20465" w:rsidRPr="00C9465D">
        <w:rPr>
          <w:lang w:val="en-US"/>
        </w:rPr>
        <w:t>Ad</w:t>
      </w:r>
      <w:r w:rsidRPr="00C9465D">
        <w:rPr>
          <w:lang w:val="en-US"/>
        </w:rPr>
        <w:t>ditionally, for the families of victims of disappearance, receiving the bodies of their loved ones is extremely important because it allows them to bury their loved ones in keeping with their beliefs, and to bring closure to the mourning process that they have been experiencing over the years.</w:t>
      </w:r>
      <w:r w:rsidR="006A388E" w:rsidRPr="00C9465D">
        <w:rPr>
          <w:rStyle w:val="FootnoteReference"/>
          <w:lang w:val="en-US"/>
        </w:rPr>
        <w:footnoteReference w:id="368"/>
      </w:r>
      <w:bookmarkStart w:id="108" w:name="_Ref524880628"/>
      <w:bookmarkEnd w:id="106"/>
      <w:bookmarkEnd w:id="107"/>
    </w:p>
    <w:p w14:paraId="64CAC9B4" w14:textId="6FCC7C79" w:rsidR="00707554" w:rsidRPr="00C9465D" w:rsidRDefault="00707554" w:rsidP="00707554">
      <w:pPr>
        <w:pStyle w:val="Numberedparagraphs"/>
        <w:rPr>
          <w:lang w:val="en-US"/>
        </w:rPr>
      </w:pPr>
      <w:r w:rsidRPr="00C9465D">
        <w:rPr>
          <w:lang w:val="en-US"/>
        </w:rPr>
        <w:t>Consequently, the State must continue the search for</w:t>
      </w:r>
      <w:r w:rsidR="006A388E" w:rsidRPr="00C9465D">
        <w:rPr>
          <w:lang w:val="en-US"/>
        </w:rPr>
        <w:t xml:space="preserve"> Luis Eduardo Guachalá Chimbo </w:t>
      </w:r>
      <w:r w:rsidRPr="00C9465D">
        <w:rPr>
          <w:lang w:val="en-US"/>
        </w:rPr>
        <w:t xml:space="preserve">using all pertinent means, and make every effort to determine his whereabouts as </w:t>
      </w:r>
      <w:r w:rsidR="00D8209E" w:rsidRPr="00C9465D">
        <w:rPr>
          <w:lang w:val="en-US"/>
        </w:rPr>
        <w:t>soon</w:t>
      </w:r>
      <w:r w:rsidRPr="00C9465D">
        <w:rPr>
          <w:lang w:val="en-US"/>
        </w:rPr>
        <w:t xml:space="preserve"> as possible. This search must be conducted systematically and be assigned </w:t>
      </w:r>
      <w:r w:rsidR="00D8209E" w:rsidRPr="00C9465D">
        <w:rPr>
          <w:lang w:val="en-US"/>
        </w:rPr>
        <w:t>adequate</w:t>
      </w:r>
      <w:r w:rsidRPr="00C9465D">
        <w:rPr>
          <w:lang w:val="en-US"/>
        </w:rPr>
        <w:t xml:space="preserve"> human, technical and financial resources. A strategy for communicating with the family should be established in relation to these efforts together with a coordinated action plan to ensure their participation, awareness and presence, in keeping with the relevant guidelines and protocols.</w:t>
      </w:r>
      <w:r w:rsidR="006A388E" w:rsidRPr="00C9465D">
        <w:rPr>
          <w:rStyle w:val="FootnoteReference"/>
          <w:lang w:val="en-US"/>
        </w:rPr>
        <w:footnoteReference w:id="369"/>
      </w:r>
      <w:r w:rsidR="006A388E" w:rsidRPr="00C9465D">
        <w:rPr>
          <w:lang w:val="en-US"/>
        </w:rPr>
        <w:t xml:space="preserve"> </w:t>
      </w:r>
      <w:r w:rsidR="00193CBB" w:rsidRPr="00C9465D">
        <w:rPr>
          <w:rFonts w:cs="Cambria"/>
          <w:bCs/>
          <w:lang w:val="en-US"/>
        </w:rPr>
        <w:t>The Court</w:t>
      </w:r>
      <w:r w:rsidR="00B8770E" w:rsidRPr="00C9465D">
        <w:rPr>
          <w:rFonts w:cs="Cambria"/>
          <w:bCs/>
          <w:lang w:val="en-US"/>
        </w:rPr>
        <w:t xml:space="preserve"> rec</w:t>
      </w:r>
      <w:r w:rsidRPr="00C9465D">
        <w:rPr>
          <w:rFonts w:cs="Cambria"/>
          <w:bCs/>
          <w:lang w:val="en-US"/>
        </w:rPr>
        <w:t>alls that, in addition to constituting a measure of reparation, the effective search for the victim’s whereabouts is an expectation that the State must meet so that the families may know the truth of what happened. This duty subsists while the uncertainty about the fate of the disappeared person continues.</w:t>
      </w:r>
    </w:p>
    <w:p w14:paraId="7AE38223" w14:textId="75D8D81A" w:rsidR="00544F71" w:rsidRPr="00C9465D" w:rsidRDefault="00707554" w:rsidP="00686862">
      <w:pPr>
        <w:pStyle w:val="Numberedparagraphs"/>
        <w:tabs>
          <w:tab w:val="clear" w:pos="567"/>
        </w:tabs>
        <w:rPr>
          <w:lang w:val="en-US"/>
        </w:rPr>
      </w:pPr>
      <w:r w:rsidRPr="00C9465D">
        <w:rPr>
          <w:lang w:val="en-US"/>
        </w:rPr>
        <w:t xml:space="preserve">The Court also notes that, in the instant case, </w:t>
      </w:r>
      <w:r w:rsidR="00686862" w:rsidRPr="00C9465D">
        <w:rPr>
          <w:lang w:val="en-US"/>
        </w:rPr>
        <w:t xml:space="preserve">it has been </w:t>
      </w:r>
      <w:r w:rsidR="00AE28B7" w:rsidRPr="00C9465D">
        <w:rPr>
          <w:lang w:val="en-US"/>
        </w:rPr>
        <w:t>Zoila</w:t>
      </w:r>
      <w:r w:rsidR="00176F7A" w:rsidRPr="00C9465D">
        <w:rPr>
          <w:lang w:val="en-US"/>
        </w:rPr>
        <w:t xml:space="preserve"> Chimbo </w:t>
      </w:r>
      <w:r w:rsidR="00686862" w:rsidRPr="00C9465D">
        <w:rPr>
          <w:lang w:val="en-US"/>
        </w:rPr>
        <w:t>who has conducted most of the search</w:t>
      </w:r>
      <w:r w:rsidR="00610C35" w:rsidRPr="00C9465D">
        <w:rPr>
          <w:lang w:val="en-US"/>
        </w:rPr>
        <w:t>es</w:t>
      </w:r>
      <w:r w:rsidR="00686862" w:rsidRPr="00C9465D">
        <w:rPr>
          <w:lang w:val="en-US"/>
        </w:rPr>
        <w:t xml:space="preserve"> for her son. Although the obligation to search is a state obligation that does not depend on the participation of the family members, if they </w:t>
      </w:r>
      <w:r w:rsidR="00610C35" w:rsidRPr="00C9465D">
        <w:rPr>
          <w:lang w:val="en-US"/>
        </w:rPr>
        <w:t>are involved</w:t>
      </w:r>
      <w:r w:rsidR="00686862" w:rsidRPr="00C9465D">
        <w:rPr>
          <w:lang w:val="en-US"/>
        </w:rPr>
        <w:t xml:space="preserve">, the State must take measures to provide material and logistic support to </w:t>
      </w:r>
      <w:r w:rsidR="00D12C0E" w:rsidRPr="00C9465D">
        <w:rPr>
          <w:lang w:val="en-US"/>
        </w:rPr>
        <w:t>the members of Mr. Guachalá Chimbo’s family</w:t>
      </w:r>
      <w:r w:rsidR="00686862" w:rsidRPr="00C9465D">
        <w:rPr>
          <w:lang w:val="en-US"/>
        </w:rPr>
        <w:t xml:space="preserve"> who </w:t>
      </w:r>
      <w:r w:rsidR="00610C35" w:rsidRPr="00C9465D">
        <w:rPr>
          <w:lang w:val="en-US"/>
        </w:rPr>
        <w:t>participate</w:t>
      </w:r>
      <w:r w:rsidR="00686862" w:rsidRPr="00C9465D">
        <w:rPr>
          <w:lang w:val="en-US"/>
        </w:rPr>
        <w:t xml:space="preserve"> in the search. Also, and notwithstanding the provisions of </w:t>
      </w:r>
      <w:r w:rsidR="008F17CD" w:rsidRPr="00C9465D">
        <w:rPr>
          <w:lang w:val="en-US"/>
        </w:rPr>
        <w:t>paragraph</w:t>
      </w:r>
      <w:r w:rsidR="001B617F" w:rsidRPr="00C9465D">
        <w:rPr>
          <w:lang w:val="en-US"/>
        </w:rPr>
        <w:t xml:space="preserve"> </w:t>
      </w:r>
      <w:r w:rsidR="001B617F" w:rsidRPr="00C9465D">
        <w:rPr>
          <w:lang w:val="en-US"/>
        </w:rPr>
        <w:fldChar w:fldCharType="begin"/>
      </w:r>
      <w:r w:rsidR="001B617F" w:rsidRPr="00C9465D">
        <w:rPr>
          <w:lang w:val="en-US"/>
        </w:rPr>
        <w:instrText xml:space="preserve"> REF _Ref72326305 \r \h </w:instrText>
      </w:r>
      <w:r w:rsidR="00496133" w:rsidRPr="00C9465D">
        <w:rPr>
          <w:lang w:val="en-US"/>
        </w:rPr>
        <w:instrText xml:space="preserve"> \* MERGEFORMAT </w:instrText>
      </w:r>
      <w:r w:rsidR="001B617F" w:rsidRPr="00C9465D">
        <w:rPr>
          <w:lang w:val="en-US"/>
        </w:rPr>
      </w:r>
      <w:r w:rsidR="001B617F" w:rsidRPr="00C9465D">
        <w:rPr>
          <w:lang w:val="en-US"/>
        </w:rPr>
        <w:fldChar w:fldCharType="separate"/>
      </w:r>
      <w:r w:rsidR="001B617F" w:rsidRPr="00C9465D">
        <w:rPr>
          <w:lang w:val="en-US"/>
        </w:rPr>
        <w:t>233</w:t>
      </w:r>
      <w:r w:rsidR="001B617F" w:rsidRPr="00C9465D">
        <w:rPr>
          <w:lang w:val="en-US"/>
        </w:rPr>
        <w:fldChar w:fldCharType="end"/>
      </w:r>
      <w:r w:rsidR="00176F7A" w:rsidRPr="00C9465D">
        <w:rPr>
          <w:lang w:val="en-US"/>
        </w:rPr>
        <w:t xml:space="preserve">, </w:t>
      </w:r>
      <w:r w:rsidR="00686862" w:rsidRPr="00C9465D">
        <w:rPr>
          <w:lang w:val="en-US"/>
        </w:rPr>
        <w:t xml:space="preserve">if, during the search, </w:t>
      </w:r>
      <w:r w:rsidR="00A57F4A" w:rsidRPr="00C9465D">
        <w:rPr>
          <w:lang w:val="en-US"/>
        </w:rPr>
        <w:t xml:space="preserve">a </w:t>
      </w:r>
      <w:r w:rsidR="00686862" w:rsidRPr="00C9465D">
        <w:rPr>
          <w:lang w:val="en-US"/>
        </w:rPr>
        <w:t>risk</w:t>
      </w:r>
      <w:r w:rsidR="00A57F4A" w:rsidRPr="00C9465D">
        <w:rPr>
          <w:lang w:val="en-US"/>
        </w:rPr>
        <w:t xml:space="preserve"> is identified</w:t>
      </w:r>
      <w:r w:rsidR="00686862" w:rsidRPr="00C9465D">
        <w:rPr>
          <w:lang w:val="en-US"/>
        </w:rPr>
        <w:t xml:space="preserve"> to </w:t>
      </w:r>
      <w:r w:rsidR="00686862" w:rsidRPr="00C9465D">
        <w:rPr>
          <w:lang w:val="en-US"/>
        </w:rPr>
        <w:lastRenderedPageBreak/>
        <w:t>the physical or men</w:t>
      </w:r>
      <w:r w:rsidR="00812D37" w:rsidRPr="00C9465D">
        <w:rPr>
          <w:lang w:val="en-US"/>
        </w:rPr>
        <w:t>t</w:t>
      </w:r>
      <w:r w:rsidR="00686862" w:rsidRPr="00C9465D">
        <w:rPr>
          <w:lang w:val="en-US"/>
        </w:rPr>
        <w:t xml:space="preserve">al health </w:t>
      </w:r>
      <w:r w:rsidR="00092D8C" w:rsidRPr="00C9465D">
        <w:rPr>
          <w:lang w:val="en-US"/>
        </w:rPr>
        <w:t xml:space="preserve">of the </w:t>
      </w:r>
      <w:r w:rsidR="00D12C0E" w:rsidRPr="00C9465D">
        <w:rPr>
          <w:lang w:val="en-US"/>
        </w:rPr>
        <w:t>members of Mr. Guachalá Chimbo’s family</w:t>
      </w:r>
      <w:r w:rsidR="00686862" w:rsidRPr="00C9465D">
        <w:rPr>
          <w:lang w:val="en-US"/>
        </w:rPr>
        <w:t xml:space="preserve"> who take part in it</w:t>
      </w:r>
      <w:r w:rsidR="00812D37" w:rsidRPr="00C9465D">
        <w:rPr>
          <w:lang w:val="en-US"/>
        </w:rPr>
        <w:t xml:space="preserve">, the State must </w:t>
      </w:r>
      <w:r w:rsidR="00A57F4A" w:rsidRPr="00C9465D">
        <w:rPr>
          <w:lang w:val="en-US"/>
        </w:rPr>
        <w:t>offer</w:t>
      </w:r>
      <w:r w:rsidR="00812D37" w:rsidRPr="00C9465D">
        <w:rPr>
          <w:lang w:val="en-US"/>
        </w:rPr>
        <w:t xml:space="preserve"> comprehensive support to</w:t>
      </w:r>
      <w:r w:rsidR="00176F7A" w:rsidRPr="00C9465D">
        <w:rPr>
          <w:lang w:val="en-US"/>
        </w:rPr>
        <w:t xml:space="preserve"> </w:t>
      </w:r>
      <w:r w:rsidR="00577DE0" w:rsidRPr="00C9465D">
        <w:rPr>
          <w:lang w:val="en-US"/>
        </w:rPr>
        <w:t>the victims</w:t>
      </w:r>
      <w:r w:rsidR="00176F7A" w:rsidRPr="00C9465D">
        <w:rPr>
          <w:lang w:val="en-US"/>
        </w:rPr>
        <w:t xml:space="preserve">. </w:t>
      </w:r>
      <w:r w:rsidR="00812D37" w:rsidRPr="00C9465D">
        <w:rPr>
          <w:lang w:val="en-US"/>
        </w:rPr>
        <w:t>All protection measures should respect the</w:t>
      </w:r>
      <w:r w:rsidR="00A57F4A" w:rsidRPr="00C9465D">
        <w:rPr>
          <w:lang w:val="en-US"/>
        </w:rPr>
        <w:t xml:space="preserve"> beneficiaries’</w:t>
      </w:r>
      <w:r w:rsidR="00812D37" w:rsidRPr="00C9465D">
        <w:rPr>
          <w:lang w:val="en-US"/>
        </w:rPr>
        <w:t xml:space="preserve"> right to privacy</w:t>
      </w:r>
      <w:r w:rsidR="00A57F4A" w:rsidRPr="00C9465D">
        <w:rPr>
          <w:lang w:val="en-US"/>
        </w:rPr>
        <w:t xml:space="preserve">. Such measures require the </w:t>
      </w:r>
      <w:r w:rsidR="00812D37" w:rsidRPr="00C9465D">
        <w:rPr>
          <w:lang w:val="en-US"/>
        </w:rPr>
        <w:t xml:space="preserve">prior consent </w:t>
      </w:r>
      <w:r w:rsidR="00A57F4A" w:rsidRPr="00C9465D">
        <w:rPr>
          <w:lang w:val="en-US"/>
        </w:rPr>
        <w:t xml:space="preserve">of beneficiaries </w:t>
      </w:r>
      <w:r w:rsidR="00812D37" w:rsidRPr="00C9465D">
        <w:rPr>
          <w:lang w:val="en-US"/>
        </w:rPr>
        <w:t xml:space="preserve">and </w:t>
      </w:r>
      <w:r w:rsidR="00A57F4A" w:rsidRPr="00C9465D">
        <w:rPr>
          <w:lang w:val="en-US"/>
        </w:rPr>
        <w:t>are</w:t>
      </w:r>
      <w:r w:rsidR="00812D37" w:rsidRPr="00C9465D">
        <w:rPr>
          <w:lang w:val="en-US"/>
        </w:rPr>
        <w:t xml:space="preserve"> subject to review </w:t>
      </w:r>
      <w:r w:rsidR="00A57F4A" w:rsidRPr="00C9465D">
        <w:rPr>
          <w:lang w:val="en-US"/>
        </w:rPr>
        <w:t>at their</w:t>
      </w:r>
      <w:r w:rsidR="00812D37" w:rsidRPr="00C9465D">
        <w:rPr>
          <w:lang w:val="en-US"/>
        </w:rPr>
        <w:t xml:space="preserve"> request.</w:t>
      </w:r>
      <w:r w:rsidR="0011694B" w:rsidRPr="00C9465D">
        <w:rPr>
          <w:rStyle w:val="FootnoteReference"/>
          <w:lang w:val="en-US"/>
        </w:rPr>
        <w:footnoteReference w:id="370"/>
      </w:r>
    </w:p>
    <w:p w14:paraId="628F602D" w14:textId="6DF96939" w:rsidR="006A388E" w:rsidRPr="00C9465D" w:rsidRDefault="00812D37" w:rsidP="00AA3C22">
      <w:pPr>
        <w:pStyle w:val="Numberedparagraphs"/>
        <w:rPr>
          <w:lang w:val="en-US"/>
        </w:rPr>
      </w:pPr>
      <w:bookmarkStart w:id="109" w:name="_Ref72330232"/>
      <w:r w:rsidRPr="00C9465D">
        <w:rPr>
          <w:lang w:val="en-US"/>
        </w:rPr>
        <w:t>If, in the course of the measures taken by the State</w:t>
      </w:r>
      <w:r w:rsidR="006A388E" w:rsidRPr="00C9465D">
        <w:rPr>
          <w:lang w:val="en-US"/>
        </w:rPr>
        <w:t xml:space="preserve">, </w:t>
      </w:r>
      <w:r w:rsidR="00577DE0" w:rsidRPr="00C9465D">
        <w:rPr>
          <w:lang w:val="en-US"/>
        </w:rPr>
        <w:t>the victim</w:t>
      </w:r>
      <w:r w:rsidR="006A388E" w:rsidRPr="00C9465D">
        <w:rPr>
          <w:lang w:val="en-US"/>
        </w:rPr>
        <w:t xml:space="preserve"> </w:t>
      </w:r>
      <w:r w:rsidRPr="00C9465D">
        <w:rPr>
          <w:lang w:val="en-US"/>
        </w:rPr>
        <w:t>is found deceased, the mortal remains must be delivered to his family, following reliable confirmation of his identity, as soon as possible and without any cost to them. In addition, if applicable, the State must cover the funeral costs in agreement with the family and according to their beliefs.</w:t>
      </w:r>
      <w:bookmarkEnd w:id="108"/>
      <w:r w:rsidR="006A2334" w:rsidRPr="00C9465D">
        <w:rPr>
          <w:rStyle w:val="FootnoteReference"/>
          <w:lang w:val="en-US"/>
        </w:rPr>
        <w:footnoteReference w:id="371"/>
      </w:r>
      <w:bookmarkEnd w:id="109"/>
    </w:p>
    <w:bookmarkEnd w:id="98"/>
    <w:p w14:paraId="2FD74CC9" w14:textId="4EEBCF33" w:rsidR="00FE4725" w:rsidRPr="00C9465D" w:rsidRDefault="00A57F4A" w:rsidP="00BB407B">
      <w:pPr>
        <w:pStyle w:val="Heading2"/>
        <w:rPr>
          <w:lang w:val="en-US"/>
        </w:rPr>
      </w:pPr>
      <w:r w:rsidRPr="00C9465D">
        <w:rPr>
          <w:lang w:val="en-US"/>
        </w:rPr>
        <w:t>Measures of rehabilitation</w:t>
      </w:r>
      <w:r w:rsidR="00FE4725" w:rsidRPr="00C9465D">
        <w:rPr>
          <w:lang w:val="en-US"/>
        </w:rPr>
        <w:t xml:space="preserve"> </w:t>
      </w:r>
    </w:p>
    <w:p w14:paraId="2E85513B" w14:textId="38C443EE" w:rsidR="00FE4725" w:rsidRPr="00C9465D" w:rsidRDefault="00193CBB" w:rsidP="00A57F4A">
      <w:pPr>
        <w:pStyle w:val="Numberedparagraphs"/>
        <w:rPr>
          <w:lang w:val="en-US"/>
        </w:rPr>
      </w:pPr>
      <w:r w:rsidRPr="00C9465D">
        <w:rPr>
          <w:lang w:val="en-US"/>
        </w:rPr>
        <w:t xml:space="preserve">The </w:t>
      </w:r>
      <w:r w:rsidRPr="00C9465D">
        <w:rPr>
          <w:b/>
          <w:bCs/>
          <w:i/>
          <w:iCs/>
          <w:lang w:val="en-US"/>
        </w:rPr>
        <w:t>Commission</w:t>
      </w:r>
      <w:r w:rsidR="00FE4725" w:rsidRPr="00C9465D">
        <w:rPr>
          <w:lang w:val="en-US"/>
        </w:rPr>
        <w:t xml:space="preserve"> indic</w:t>
      </w:r>
      <w:r w:rsidR="00A57F4A" w:rsidRPr="00C9465D">
        <w:rPr>
          <w:lang w:val="en-US"/>
        </w:rPr>
        <w:t xml:space="preserve">ated that, if </w:t>
      </w:r>
      <w:r w:rsidR="00FE4725" w:rsidRPr="00C9465D">
        <w:rPr>
          <w:lang w:val="en-US"/>
        </w:rPr>
        <w:t xml:space="preserve">Luis Guachalá </w:t>
      </w:r>
      <w:r w:rsidR="00A57F4A" w:rsidRPr="00C9465D">
        <w:rPr>
          <w:lang w:val="en-US"/>
        </w:rPr>
        <w:t xml:space="preserve">was found alive, </w:t>
      </w:r>
      <w:r w:rsidRPr="00C9465D">
        <w:rPr>
          <w:lang w:val="en-US"/>
        </w:rPr>
        <w:t>the State</w:t>
      </w:r>
      <w:r w:rsidR="00A57F4A" w:rsidRPr="00C9465D">
        <w:rPr>
          <w:lang w:val="en-US"/>
        </w:rPr>
        <w:t xml:space="preserve"> should “provide him with the mental health treatment he requires, in coordination with him, free of charge and for the time necessary</w:t>
      </w:r>
      <w:r w:rsidR="00FE4725" w:rsidRPr="00C9465D">
        <w:rPr>
          <w:lang w:val="en-US"/>
        </w:rPr>
        <w:t xml:space="preserve"> </w:t>
      </w:r>
      <w:r w:rsidR="00520411" w:rsidRPr="00C9465D">
        <w:rPr>
          <w:lang w:val="en-US"/>
        </w:rPr>
        <w:t>[…]</w:t>
      </w:r>
      <w:r w:rsidR="00A57F4A" w:rsidRPr="00C9465D">
        <w:rPr>
          <w:lang w:val="en-US"/>
        </w:rPr>
        <w:t>.</w:t>
      </w:r>
      <w:r w:rsidR="00FE4725" w:rsidRPr="00C9465D">
        <w:rPr>
          <w:lang w:val="en-US"/>
        </w:rPr>
        <w:t>”</w:t>
      </w:r>
      <w:r w:rsidR="00FE4725" w:rsidRPr="00C9465D">
        <w:rPr>
          <w:b/>
          <w:lang w:val="en-US"/>
        </w:rPr>
        <w:t xml:space="preserve"> </w:t>
      </w:r>
      <w:r w:rsidRPr="00C9465D">
        <w:rPr>
          <w:lang w:val="en-US"/>
        </w:rPr>
        <w:t xml:space="preserve">The </w:t>
      </w:r>
      <w:r w:rsidRPr="00C9465D">
        <w:rPr>
          <w:b/>
          <w:bCs/>
          <w:i/>
          <w:iCs/>
          <w:lang w:val="en-US"/>
        </w:rPr>
        <w:t>representatives</w:t>
      </w:r>
      <w:r w:rsidR="00FE4725" w:rsidRPr="00C9465D">
        <w:rPr>
          <w:lang w:val="en-US"/>
        </w:rPr>
        <w:t xml:space="preserve"> </w:t>
      </w:r>
      <w:r w:rsidR="00A57F4A" w:rsidRPr="00C9465D">
        <w:rPr>
          <w:lang w:val="en-US"/>
        </w:rPr>
        <w:t>asked</w:t>
      </w:r>
      <w:r w:rsidR="00FE4725" w:rsidRPr="00C9465D">
        <w:rPr>
          <w:lang w:val="en-US"/>
        </w:rPr>
        <w:t xml:space="preserve"> </w:t>
      </w:r>
      <w:r w:rsidRPr="00C9465D">
        <w:rPr>
          <w:lang w:val="en-US"/>
        </w:rPr>
        <w:t>the Court</w:t>
      </w:r>
      <w:r w:rsidR="00FE4725" w:rsidRPr="00C9465D">
        <w:rPr>
          <w:lang w:val="en-US"/>
        </w:rPr>
        <w:t xml:space="preserve"> </w:t>
      </w:r>
      <w:r w:rsidR="00A57F4A" w:rsidRPr="00C9465D">
        <w:rPr>
          <w:lang w:val="en-US"/>
        </w:rPr>
        <w:t>to order the State to provide medical and psychological care to the family members and, specifically in the case of</w:t>
      </w:r>
      <w:r w:rsidR="00FE4725" w:rsidRPr="00C9465D">
        <w:rPr>
          <w:lang w:val="en-US"/>
        </w:rPr>
        <w:t xml:space="preserve"> </w:t>
      </w:r>
      <w:r w:rsidR="00AE28B7" w:rsidRPr="00C9465D">
        <w:rPr>
          <w:lang w:val="en-US"/>
        </w:rPr>
        <w:t>Zoila</w:t>
      </w:r>
      <w:r w:rsidR="00FE4725" w:rsidRPr="00C9465D">
        <w:rPr>
          <w:lang w:val="en-US"/>
        </w:rPr>
        <w:t xml:space="preserve"> Chimbo, </w:t>
      </w:r>
      <w:r w:rsidR="00A57F4A" w:rsidRPr="00C9465D">
        <w:rPr>
          <w:lang w:val="en-US"/>
        </w:rPr>
        <w:t xml:space="preserve">they asked that she be provided with private health insurance for the rest of her </w:t>
      </w:r>
      <w:r w:rsidR="00D12C0E" w:rsidRPr="00C9465D">
        <w:rPr>
          <w:lang w:val="en-US"/>
        </w:rPr>
        <w:t>life</w:t>
      </w:r>
      <w:r w:rsidR="006A2334" w:rsidRPr="00C9465D">
        <w:rPr>
          <w:lang w:val="en-US"/>
        </w:rPr>
        <w:t xml:space="preserve">. </w:t>
      </w:r>
      <w:r w:rsidR="00A57F4A" w:rsidRPr="00C9465D">
        <w:rPr>
          <w:lang w:val="en-US"/>
        </w:rPr>
        <w:t xml:space="preserve">They also indicated that, if </w:t>
      </w:r>
      <w:r w:rsidR="002F3237" w:rsidRPr="00C9465D">
        <w:rPr>
          <w:lang w:val="en-US"/>
        </w:rPr>
        <w:t>Mr. Guachalá</w:t>
      </w:r>
      <w:r w:rsidR="00A57F4A" w:rsidRPr="00C9465D">
        <w:rPr>
          <w:lang w:val="en-US"/>
        </w:rPr>
        <w:t xml:space="preserve"> was found alive</w:t>
      </w:r>
      <w:r w:rsidR="00FE4725" w:rsidRPr="00C9465D">
        <w:rPr>
          <w:lang w:val="en-US"/>
        </w:rPr>
        <w:t xml:space="preserve">, </w:t>
      </w:r>
      <w:r w:rsidR="00787E97" w:rsidRPr="00C9465D">
        <w:rPr>
          <w:lang w:val="en-US"/>
        </w:rPr>
        <w:t xml:space="preserve">he should be granted the same measure. </w:t>
      </w:r>
      <w:r w:rsidRPr="00C9465D">
        <w:rPr>
          <w:lang w:val="en-US"/>
        </w:rPr>
        <w:t xml:space="preserve">The </w:t>
      </w:r>
      <w:r w:rsidRPr="00C9465D">
        <w:rPr>
          <w:b/>
          <w:bCs/>
          <w:i/>
          <w:iCs/>
          <w:lang w:val="en-US"/>
        </w:rPr>
        <w:t>State</w:t>
      </w:r>
      <w:r w:rsidR="00FE4725" w:rsidRPr="00C9465D">
        <w:rPr>
          <w:lang w:val="en-US"/>
        </w:rPr>
        <w:t xml:space="preserve"> argu</w:t>
      </w:r>
      <w:r w:rsidR="00787E97" w:rsidRPr="00C9465D">
        <w:rPr>
          <w:lang w:val="en-US"/>
        </w:rPr>
        <w:t>ed that the</w:t>
      </w:r>
      <w:r w:rsidR="00FE4725" w:rsidRPr="00C9465D">
        <w:rPr>
          <w:lang w:val="en-US"/>
        </w:rPr>
        <w:t xml:space="preserve"> </w:t>
      </w:r>
      <w:r w:rsidR="00561A0C" w:rsidRPr="00C9465D">
        <w:rPr>
          <w:lang w:val="en-US"/>
        </w:rPr>
        <w:t>Constitution</w:t>
      </w:r>
      <w:r w:rsidR="00FE4725" w:rsidRPr="00C9465D">
        <w:rPr>
          <w:lang w:val="en-US"/>
        </w:rPr>
        <w:t xml:space="preserve"> </w:t>
      </w:r>
      <w:r w:rsidR="00787E97" w:rsidRPr="00C9465D">
        <w:rPr>
          <w:lang w:val="en-US"/>
        </w:rPr>
        <w:t xml:space="preserve">recognized and guaranteed </w:t>
      </w:r>
      <w:r w:rsidR="00AC1354" w:rsidRPr="00C9465D">
        <w:rPr>
          <w:lang w:val="en-US"/>
        </w:rPr>
        <w:t>the right</w:t>
      </w:r>
      <w:r w:rsidR="00260D95" w:rsidRPr="00C9465D">
        <w:rPr>
          <w:lang w:val="en-US"/>
        </w:rPr>
        <w:t xml:space="preserve"> to health</w:t>
      </w:r>
      <w:r w:rsidR="00787E97" w:rsidRPr="00C9465D">
        <w:rPr>
          <w:lang w:val="en-US"/>
        </w:rPr>
        <w:t xml:space="preserve"> and</w:t>
      </w:r>
      <w:r w:rsidR="00FE4725" w:rsidRPr="00C9465D">
        <w:rPr>
          <w:lang w:val="en-US"/>
        </w:rPr>
        <w:t xml:space="preserve"> </w:t>
      </w:r>
      <w:r w:rsidR="00787E97" w:rsidRPr="00C9465D">
        <w:rPr>
          <w:lang w:val="en-US"/>
        </w:rPr>
        <w:t>to a decent</w:t>
      </w:r>
      <w:r w:rsidR="00D12C0E" w:rsidRPr="00C9465D">
        <w:rPr>
          <w:lang w:val="en-US"/>
        </w:rPr>
        <w:t xml:space="preserve"> life</w:t>
      </w:r>
      <w:r w:rsidR="00787E97" w:rsidRPr="00C9465D">
        <w:rPr>
          <w:lang w:val="en-US"/>
        </w:rPr>
        <w:t>, and the existence of “state public health services</w:t>
      </w:r>
      <w:r w:rsidR="00FE4725" w:rsidRPr="00C9465D">
        <w:rPr>
          <w:lang w:val="en-US"/>
        </w:rPr>
        <w:t xml:space="preserve"> </w:t>
      </w:r>
      <w:r w:rsidR="00520411" w:rsidRPr="00C9465D">
        <w:rPr>
          <w:lang w:val="en-US"/>
        </w:rPr>
        <w:t>[…]</w:t>
      </w:r>
      <w:r w:rsidR="00FE4725" w:rsidRPr="00C9465D">
        <w:rPr>
          <w:lang w:val="en-US"/>
        </w:rPr>
        <w:t xml:space="preserve"> universal</w:t>
      </w:r>
      <w:r w:rsidRPr="00C9465D">
        <w:rPr>
          <w:lang w:val="en-US"/>
        </w:rPr>
        <w:t xml:space="preserve"> and </w:t>
      </w:r>
      <w:r w:rsidR="00787E97" w:rsidRPr="00C9465D">
        <w:rPr>
          <w:lang w:val="en-US"/>
        </w:rPr>
        <w:t xml:space="preserve">free of charge at all levels of care </w:t>
      </w:r>
      <w:r w:rsidR="00520411" w:rsidRPr="00C9465D">
        <w:rPr>
          <w:lang w:val="en-US"/>
        </w:rPr>
        <w:t>[…]</w:t>
      </w:r>
      <w:r w:rsidR="00787E97" w:rsidRPr="00C9465D">
        <w:rPr>
          <w:lang w:val="en-US"/>
        </w:rPr>
        <w:t>.</w:t>
      </w:r>
      <w:r w:rsidR="00FE4725" w:rsidRPr="00C9465D">
        <w:rPr>
          <w:lang w:val="en-US"/>
        </w:rPr>
        <w:t>”</w:t>
      </w:r>
      <w:r w:rsidR="00787E97" w:rsidRPr="00C9465D">
        <w:rPr>
          <w:lang w:val="en-US"/>
        </w:rPr>
        <w:t xml:space="preserve"> Therefore, it concluded that </w:t>
      </w:r>
      <w:r w:rsidR="00FE4725" w:rsidRPr="00C9465D">
        <w:rPr>
          <w:lang w:val="en-US"/>
        </w:rPr>
        <w:t>“</w:t>
      </w:r>
      <w:r w:rsidR="00A56F98" w:rsidRPr="00C9465D">
        <w:rPr>
          <w:lang w:val="en-US"/>
        </w:rPr>
        <w:t>Mrs. Chimbo</w:t>
      </w:r>
      <w:r w:rsidRPr="00C9465D">
        <w:rPr>
          <w:lang w:val="en-US"/>
        </w:rPr>
        <w:t xml:space="preserve"> and </w:t>
      </w:r>
      <w:r w:rsidR="00787E97" w:rsidRPr="00C9465D">
        <w:rPr>
          <w:lang w:val="en-US"/>
        </w:rPr>
        <w:t xml:space="preserve">her family are able to request comprehensive medical care from the providers of public health care services </w:t>
      </w:r>
      <w:r w:rsidR="00520411" w:rsidRPr="00C9465D">
        <w:rPr>
          <w:lang w:val="en-US"/>
        </w:rPr>
        <w:t>[…]</w:t>
      </w:r>
      <w:r w:rsidR="00FE4725" w:rsidRPr="00C9465D">
        <w:rPr>
          <w:lang w:val="en-US"/>
        </w:rPr>
        <w:t xml:space="preserve"> </w:t>
      </w:r>
      <w:r w:rsidR="00787E97" w:rsidRPr="00C9465D">
        <w:rPr>
          <w:lang w:val="en-US"/>
        </w:rPr>
        <w:t xml:space="preserve">so that it is neither necessary nor pertinent that the Inter-American Court rule” on this measure. </w:t>
      </w:r>
    </w:p>
    <w:p w14:paraId="4E185D31" w14:textId="37E13E1C" w:rsidR="00FE4725" w:rsidRPr="00C9465D" w:rsidRDefault="00787E97" w:rsidP="00FE4725">
      <w:pPr>
        <w:pStyle w:val="Numberedparagraphs"/>
        <w:rPr>
          <w:lang w:val="en-US"/>
        </w:rPr>
      </w:pPr>
      <w:bookmarkStart w:id="110" w:name="_Ref72326305"/>
      <w:bookmarkStart w:id="111" w:name="_Ref64553338"/>
      <w:r w:rsidRPr="00C9465D">
        <w:rPr>
          <w:lang w:val="en-US" w:eastAsia="es-MX"/>
        </w:rPr>
        <w:t>Based on the</w:t>
      </w:r>
      <w:r w:rsidR="00FE4725" w:rsidRPr="00C9465D">
        <w:rPr>
          <w:lang w:val="en-US" w:eastAsia="es-MX"/>
        </w:rPr>
        <w:t xml:space="preserve"> </w:t>
      </w:r>
      <w:r w:rsidRPr="00C9465D">
        <w:rPr>
          <w:lang w:val="en-US" w:eastAsia="es-MX"/>
        </w:rPr>
        <w:t>a</w:t>
      </w:r>
      <w:r w:rsidR="009E5D69" w:rsidRPr="00C9465D">
        <w:rPr>
          <w:lang w:val="en-US" w:eastAsia="es-MX"/>
        </w:rPr>
        <w:t>rguments of the parties</w:t>
      </w:r>
      <w:r w:rsidR="00FE4725" w:rsidRPr="00C9465D">
        <w:rPr>
          <w:lang w:val="en-US" w:eastAsia="es-MX"/>
        </w:rPr>
        <w:t xml:space="preserve">, </w:t>
      </w:r>
      <w:r w:rsidR="00193CBB" w:rsidRPr="00C9465D">
        <w:rPr>
          <w:lang w:val="en-US" w:eastAsia="es-MX"/>
        </w:rPr>
        <w:t>the Court</w:t>
      </w:r>
      <w:r w:rsidRPr="00C9465D">
        <w:rPr>
          <w:lang w:val="en-US" w:eastAsia="es-MX"/>
        </w:rPr>
        <w:t xml:space="preserve">, in the instant case, finds it pertinent that </w:t>
      </w:r>
      <w:r w:rsidR="00193CBB" w:rsidRPr="00C9465D">
        <w:rPr>
          <w:lang w:val="en-US" w:eastAsia="es-MX"/>
        </w:rPr>
        <w:t>the State</w:t>
      </w:r>
      <w:r w:rsidR="00FE4725" w:rsidRPr="00C9465D">
        <w:rPr>
          <w:lang w:val="en-US" w:eastAsia="es-MX"/>
        </w:rPr>
        <w:t xml:space="preserve"> </w:t>
      </w:r>
      <w:r w:rsidRPr="00C9465D">
        <w:rPr>
          <w:lang w:val="en-US" w:eastAsia="es-MX"/>
        </w:rPr>
        <w:t>grant</w:t>
      </w:r>
      <w:r w:rsidR="00FE4725" w:rsidRPr="00C9465D">
        <w:rPr>
          <w:lang w:val="en-US" w:eastAsia="es-MX"/>
        </w:rPr>
        <w:t xml:space="preserve"> </w:t>
      </w:r>
      <w:r w:rsidR="00FE4725" w:rsidRPr="00C9465D">
        <w:rPr>
          <w:lang w:val="en-US"/>
        </w:rPr>
        <w:t>Zoila Chimbo Jarro</w:t>
      </w:r>
      <w:r w:rsidR="00193CBB" w:rsidRPr="00C9465D">
        <w:rPr>
          <w:lang w:val="en-US"/>
        </w:rPr>
        <w:t xml:space="preserve"> and</w:t>
      </w:r>
      <w:r w:rsidR="00FE4725" w:rsidRPr="00C9465D">
        <w:rPr>
          <w:lang w:val="en-US"/>
        </w:rPr>
        <w:t xml:space="preserve"> Nancy Guachalá Chimbo</w:t>
      </w:r>
      <w:r w:rsidR="0045766A" w:rsidRPr="00C9465D">
        <w:rPr>
          <w:lang w:val="en-US"/>
        </w:rPr>
        <w:t xml:space="preserve">, </w:t>
      </w:r>
      <w:r w:rsidRPr="00C9465D">
        <w:rPr>
          <w:lang w:val="en-US"/>
        </w:rPr>
        <w:t>once,</w:t>
      </w:r>
      <w:r w:rsidR="00FE4725" w:rsidRPr="00C9465D">
        <w:rPr>
          <w:lang w:val="en-US"/>
        </w:rPr>
        <w:t xml:space="preserve"> </w:t>
      </w:r>
      <w:r w:rsidRPr="00C9465D">
        <w:rPr>
          <w:lang w:val="en-US" w:eastAsia="es-MX"/>
        </w:rPr>
        <w:t>the sum of</w:t>
      </w:r>
      <w:r w:rsidR="00FE4725" w:rsidRPr="00C9465D">
        <w:rPr>
          <w:lang w:val="en-US" w:eastAsia="es-MX"/>
        </w:rPr>
        <w:t xml:space="preserve"> US$</w:t>
      </w:r>
      <w:r w:rsidR="002161E4" w:rsidRPr="00C9465D">
        <w:rPr>
          <w:lang w:val="en-US" w:eastAsia="es-MX"/>
        </w:rPr>
        <w:t>7</w:t>
      </w:r>
      <w:r w:rsidRPr="00C9465D">
        <w:rPr>
          <w:lang w:val="en-US" w:eastAsia="es-MX"/>
        </w:rPr>
        <w:t>,</w:t>
      </w:r>
      <w:r w:rsidR="00FE4725" w:rsidRPr="00C9465D">
        <w:rPr>
          <w:lang w:val="en-US" w:eastAsia="es-MX"/>
        </w:rPr>
        <w:t>000</w:t>
      </w:r>
      <w:r w:rsidRPr="00C9465D">
        <w:rPr>
          <w:lang w:val="en-US" w:eastAsia="es-MX"/>
        </w:rPr>
        <w:t>.</w:t>
      </w:r>
      <w:r w:rsidR="00FE4725" w:rsidRPr="00C9465D">
        <w:rPr>
          <w:lang w:val="en-US" w:eastAsia="es-MX"/>
        </w:rPr>
        <w:t>00</w:t>
      </w:r>
      <w:r w:rsidR="00FE4725" w:rsidRPr="00C9465D">
        <w:rPr>
          <w:lang w:val="en-US"/>
        </w:rPr>
        <w:t xml:space="preserve"> (</w:t>
      </w:r>
      <w:r w:rsidR="002161E4" w:rsidRPr="00C9465D">
        <w:rPr>
          <w:lang w:val="en-US"/>
        </w:rPr>
        <w:t>s</w:t>
      </w:r>
      <w:r w:rsidRPr="00C9465D">
        <w:rPr>
          <w:lang w:val="en-US"/>
        </w:rPr>
        <w:t>even</w:t>
      </w:r>
      <w:r w:rsidR="00FE4725" w:rsidRPr="00C9465D">
        <w:rPr>
          <w:lang w:val="en-US"/>
        </w:rPr>
        <w:t xml:space="preserve"> </w:t>
      </w:r>
      <w:r w:rsidRPr="00C9465D">
        <w:rPr>
          <w:lang w:val="en-US"/>
        </w:rPr>
        <w:t>thousand United States dollars</w:t>
      </w:r>
      <w:r w:rsidR="00FE4725" w:rsidRPr="00C9465D">
        <w:rPr>
          <w:lang w:val="en-US"/>
        </w:rPr>
        <w:t>)</w:t>
      </w:r>
      <w:r w:rsidR="002161E4" w:rsidRPr="00C9465D">
        <w:rPr>
          <w:lang w:val="en-US"/>
        </w:rPr>
        <w:t xml:space="preserve"> </w:t>
      </w:r>
      <w:r w:rsidRPr="00C9465D">
        <w:rPr>
          <w:lang w:val="en-US"/>
        </w:rPr>
        <w:t>each for the expenses of psychological and/or psychiatric treatment, as well as for medicines and other related expenses that they may require.</w:t>
      </w:r>
      <w:bookmarkEnd w:id="110"/>
    </w:p>
    <w:p w14:paraId="06340567" w14:textId="560DF824" w:rsidR="006A2334" w:rsidRPr="00C9465D" w:rsidRDefault="00787E97" w:rsidP="00391119">
      <w:pPr>
        <w:pStyle w:val="Numberedparagraphs"/>
        <w:rPr>
          <w:lang w:val="en-US"/>
        </w:rPr>
      </w:pPr>
      <w:bookmarkStart w:id="112" w:name="_Ref72330276"/>
      <w:bookmarkEnd w:id="111"/>
      <w:r w:rsidRPr="00C9465D">
        <w:rPr>
          <w:lang w:val="en-US" w:eastAsia="es-MX"/>
        </w:rPr>
        <w:t>If</w:t>
      </w:r>
      <w:r w:rsidR="002F3237" w:rsidRPr="00C9465D">
        <w:rPr>
          <w:lang w:val="en-US" w:eastAsia="es-MX"/>
        </w:rPr>
        <w:t xml:space="preserve"> Mr. Guachalá</w:t>
      </w:r>
      <w:r w:rsidR="006A2334" w:rsidRPr="00C9465D">
        <w:rPr>
          <w:lang w:val="en-US" w:eastAsia="es-MX"/>
        </w:rPr>
        <w:t xml:space="preserve"> Chimbo </w:t>
      </w:r>
      <w:r w:rsidRPr="00C9465D">
        <w:rPr>
          <w:lang w:val="en-US" w:eastAsia="es-MX"/>
        </w:rPr>
        <w:t>is found alive</w:t>
      </w:r>
      <w:r w:rsidR="00471D98" w:rsidRPr="00C9465D">
        <w:rPr>
          <w:lang w:val="en-US" w:eastAsia="es-MX"/>
        </w:rPr>
        <w:t xml:space="preserve">, </w:t>
      </w:r>
      <w:r w:rsidR="00193CBB" w:rsidRPr="00C9465D">
        <w:rPr>
          <w:lang w:val="en-US" w:eastAsia="es-MX"/>
        </w:rPr>
        <w:t>the State</w:t>
      </w:r>
      <w:r w:rsidR="00471D98" w:rsidRPr="00C9465D">
        <w:rPr>
          <w:lang w:val="en-US" w:eastAsia="es-MX"/>
        </w:rPr>
        <w:t xml:space="preserve"> </w:t>
      </w:r>
      <w:r w:rsidR="00391119" w:rsidRPr="00C9465D">
        <w:rPr>
          <w:lang w:val="en-US" w:eastAsia="es-MX"/>
        </w:rPr>
        <w:t>must provide appropriate treatment</w:t>
      </w:r>
      <w:r w:rsidR="00610C35" w:rsidRPr="00C9465D">
        <w:rPr>
          <w:lang w:val="en-US" w:eastAsia="es-MX"/>
        </w:rPr>
        <w:t>s</w:t>
      </w:r>
      <w:r w:rsidR="00391119" w:rsidRPr="00C9465D">
        <w:rPr>
          <w:lang w:val="en-US" w:eastAsia="es-MX"/>
        </w:rPr>
        <w:t xml:space="preserve"> for his physical, psychological and/or psychiatric ailments that respond</w:t>
      </w:r>
      <w:r w:rsidR="00610C35" w:rsidRPr="00C9465D">
        <w:rPr>
          <w:lang w:val="en-US" w:eastAsia="es-MX"/>
        </w:rPr>
        <w:t xml:space="preserve"> </w:t>
      </w:r>
      <w:r w:rsidR="00391119" w:rsidRPr="00C9465D">
        <w:rPr>
          <w:lang w:val="en-US" w:eastAsia="es-MX"/>
        </w:rPr>
        <w:t>to his specific needs and medical record, as well as ensuring that it has his informed consent for each treatment. Th</w:t>
      </w:r>
      <w:r w:rsidR="00610C35" w:rsidRPr="00C9465D">
        <w:rPr>
          <w:lang w:val="en-US" w:eastAsia="es-MX"/>
        </w:rPr>
        <w:t>e</w:t>
      </w:r>
      <w:r w:rsidR="00391119" w:rsidRPr="00C9465D">
        <w:rPr>
          <w:lang w:val="en-US" w:eastAsia="es-MX"/>
        </w:rPr>
        <w:t xml:space="preserve"> treatment </w:t>
      </w:r>
      <w:r w:rsidR="00610C35" w:rsidRPr="00C9465D">
        <w:rPr>
          <w:lang w:val="en-US" w:eastAsia="es-MX"/>
        </w:rPr>
        <w:t>must</w:t>
      </w:r>
      <w:r w:rsidR="00391119" w:rsidRPr="00C9465D">
        <w:rPr>
          <w:lang w:val="en-US" w:eastAsia="es-MX"/>
        </w:rPr>
        <w:t xml:space="preserve"> be provided free of charge, immediately, opportunely, adequately and effectively, through </w:t>
      </w:r>
      <w:r w:rsidR="00610C35" w:rsidRPr="00C9465D">
        <w:rPr>
          <w:lang w:val="en-US" w:eastAsia="es-MX"/>
        </w:rPr>
        <w:t>the State’s</w:t>
      </w:r>
      <w:r w:rsidR="00391119" w:rsidRPr="00C9465D">
        <w:rPr>
          <w:lang w:val="en-US" w:eastAsia="es-MX"/>
        </w:rPr>
        <w:t xml:space="preserve"> specialized health care institutions, following the victim’s indication of his wishes. This means that the victim must receive a differentiated treatment as regards the procedures that have to be </w:t>
      </w:r>
      <w:r w:rsidR="00610C35" w:rsidRPr="00C9465D">
        <w:rPr>
          <w:lang w:val="en-US" w:eastAsia="es-MX"/>
        </w:rPr>
        <w:t>followed</w:t>
      </w:r>
      <w:r w:rsidR="00391119" w:rsidRPr="00C9465D">
        <w:rPr>
          <w:lang w:val="en-US" w:eastAsia="es-MX"/>
        </w:rPr>
        <w:t xml:space="preserve"> to be treated in public hospitals.</w:t>
      </w:r>
      <w:bookmarkStart w:id="113" w:name="_Ref524880658"/>
      <w:r w:rsidR="006A2334" w:rsidRPr="00C9465D">
        <w:rPr>
          <w:rStyle w:val="FootnoteReference"/>
          <w:lang w:val="en-US"/>
        </w:rPr>
        <w:footnoteReference w:id="372"/>
      </w:r>
      <w:r w:rsidR="00391119" w:rsidRPr="00C9465D">
        <w:rPr>
          <w:lang w:val="en-US"/>
        </w:rPr>
        <w:t xml:space="preserve"> Also, the respective treatments must be provided, insofar as possible, in the centers nearest to his place of residence for as long as necessary.</w:t>
      </w:r>
      <w:r w:rsidR="006A2334" w:rsidRPr="00C9465D">
        <w:rPr>
          <w:rStyle w:val="FootnoteReference"/>
          <w:lang w:val="en-US"/>
        </w:rPr>
        <w:footnoteReference w:id="373"/>
      </w:r>
      <w:bookmarkEnd w:id="112"/>
      <w:bookmarkEnd w:id="113"/>
    </w:p>
    <w:p w14:paraId="1B5F1C30" w14:textId="0065F642" w:rsidR="00632CFA" w:rsidRPr="00C9465D" w:rsidRDefault="00391119" w:rsidP="00BB407B">
      <w:pPr>
        <w:pStyle w:val="Heading2"/>
        <w:rPr>
          <w:lang w:val="en-US" w:eastAsia="es-ES"/>
        </w:rPr>
      </w:pPr>
      <w:r w:rsidRPr="00C9465D">
        <w:rPr>
          <w:lang w:val="en-US"/>
        </w:rPr>
        <w:lastRenderedPageBreak/>
        <w:t>Measures of satisfaction</w:t>
      </w:r>
      <w:r w:rsidR="009B4441" w:rsidRPr="00C9465D">
        <w:rPr>
          <w:lang w:val="en-US"/>
        </w:rPr>
        <w:t xml:space="preserve"> </w:t>
      </w:r>
    </w:p>
    <w:p w14:paraId="2AC91842" w14:textId="404EB549" w:rsidR="00632CFA" w:rsidRPr="00C9465D" w:rsidRDefault="00657B1F" w:rsidP="00C95348">
      <w:pPr>
        <w:pStyle w:val="Heading3"/>
        <w:rPr>
          <w:lang w:val="en-US"/>
        </w:rPr>
      </w:pPr>
      <w:bookmarkStart w:id="114" w:name="_Toc74298478"/>
      <w:r w:rsidRPr="00C9465D">
        <w:rPr>
          <w:lang w:val="en-US"/>
        </w:rPr>
        <w:t>D</w:t>
      </w:r>
      <w:r w:rsidR="00632CFA" w:rsidRPr="00C9465D">
        <w:rPr>
          <w:lang w:val="en-US"/>
        </w:rPr>
        <w:t>.</w:t>
      </w:r>
      <w:r w:rsidRPr="00C9465D">
        <w:rPr>
          <w:lang w:val="en-US"/>
        </w:rPr>
        <w:t>1</w:t>
      </w:r>
      <w:r w:rsidR="00632CFA" w:rsidRPr="00C9465D">
        <w:rPr>
          <w:lang w:val="en-US"/>
        </w:rPr>
        <w:t xml:space="preserve"> </w:t>
      </w:r>
      <w:r w:rsidR="007F418C" w:rsidRPr="00C9465D">
        <w:rPr>
          <w:lang w:val="en-US"/>
        </w:rPr>
        <w:tab/>
      </w:r>
      <w:r w:rsidR="00391119" w:rsidRPr="00C9465D">
        <w:rPr>
          <w:lang w:val="en-US"/>
        </w:rPr>
        <w:t>Publication</w:t>
      </w:r>
      <w:r w:rsidRPr="00C9465D">
        <w:rPr>
          <w:lang w:val="en-US"/>
        </w:rPr>
        <w:t xml:space="preserve"> </w:t>
      </w:r>
      <w:r w:rsidR="008F17CD" w:rsidRPr="00C9465D">
        <w:rPr>
          <w:lang w:val="en-US"/>
        </w:rPr>
        <w:t>of the judgment</w:t>
      </w:r>
      <w:bookmarkEnd w:id="114"/>
    </w:p>
    <w:p w14:paraId="026C94A2" w14:textId="192D8F5B" w:rsidR="00632CFA" w:rsidRPr="00C9465D" w:rsidRDefault="00193CBB" w:rsidP="00391119">
      <w:pPr>
        <w:pStyle w:val="Numberedparagraphs"/>
        <w:rPr>
          <w:lang w:val="en-US" w:eastAsia="es-ES"/>
        </w:rPr>
      </w:pPr>
      <w:r w:rsidRPr="00C9465D">
        <w:rPr>
          <w:lang w:val="en-US"/>
        </w:rPr>
        <w:t xml:space="preserve">The </w:t>
      </w:r>
      <w:r w:rsidRPr="00C9465D">
        <w:rPr>
          <w:b/>
          <w:bCs/>
          <w:i/>
          <w:iCs/>
          <w:lang w:val="en-US"/>
        </w:rPr>
        <w:t>representatives</w:t>
      </w:r>
      <w:r w:rsidR="00632CFA" w:rsidRPr="00C9465D">
        <w:rPr>
          <w:lang w:val="en-US"/>
        </w:rPr>
        <w:t xml:space="preserve"> </w:t>
      </w:r>
      <w:r w:rsidR="00391119" w:rsidRPr="00C9465D">
        <w:rPr>
          <w:lang w:val="en-US"/>
        </w:rPr>
        <w:t xml:space="preserve">asked the Court to order the Ecuadorian State to publish a summary </w:t>
      </w:r>
      <w:r w:rsidR="008F17CD" w:rsidRPr="00C9465D">
        <w:rPr>
          <w:lang w:val="en-US"/>
        </w:rPr>
        <w:t>of the judgment</w:t>
      </w:r>
      <w:r w:rsidR="00391119" w:rsidRPr="00C9465D">
        <w:rPr>
          <w:lang w:val="en-US"/>
        </w:rPr>
        <w:t xml:space="preserve"> containing a description of the facts, the operative paragraphs and </w:t>
      </w:r>
      <w:r w:rsidR="00610C35" w:rsidRPr="00C9465D">
        <w:rPr>
          <w:lang w:val="en-US"/>
        </w:rPr>
        <w:t>a description</w:t>
      </w:r>
      <w:r w:rsidR="00391119" w:rsidRPr="00C9465D">
        <w:rPr>
          <w:lang w:val="en-US"/>
        </w:rPr>
        <w:t xml:space="preserve"> of the </w:t>
      </w:r>
      <w:r w:rsidR="00D12C0E" w:rsidRPr="00C9465D">
        <w:rPr>
          <w:lang w:val="en-US"/>
        </w:rPr>
        <w:t>life</w:t>
      </w:r>
      <w:r w:rsidR="00092D8C" w:rsidRPr="00C9465D">
        <w:rPr>
          <w:lang w:val="en-US"/>
        </w:rPr>
        <w:t xml:space="preserve"> of the </w:t>
      </w:r>
      <w:r w:rsidR="00577DE0" w:rsidRPr="00C9465D">
        <w:rPr>
          <w:lang w:val="en-US"/>
        </w:rPr>
        <w:t>victims</w:t>
      </w:r>
      <w:r w:rsidR="00632CFA" w:rsidRPr="00C9465D">
        <w:rPr>
          <w:lang w:val="en-US"/>
        </w:rPr>
        <w:t xml:space="preserve"> </w:t>
      </w:r>
      <w:r w:rsidR="00391119" w:rsidRPr="00C9465D">
        <w:rPr>
          <w:lang w:val="en-US"/>
        </w:rPr>
        <w:t>in this case in “newspapers, websites of different state entities</w:t>
      </w:r>
      <w:r w:rsidR="00610C35" w:rsidRPr="00C9465D">
        <w:rPr>
          <w:lang w:val="en-US"/>
        </w:rPr>
        <w:t>,</w:t>
      </w:r>
      <w:r w:rsidR="00391119" w:rsidRPr="00C9465D">
        <w:rPr>
          <w:lang w:val="en-US"/>
        </w:rPr>
        <w:t xml:space="preserve"> and </w:t>
      </w:r>
      <w:r w:rsidR="00610C35" w:rsidRPr="00C9465D">
        <w:rPr>
          <w:lang w:val="en-US"/>
        </w:rPr>
        <w:t>by radio and</w:t>
      </w:r>
      <w:r w:rsidR="00391119" w:rsidRPr="00C9465D">
        <w:rPr>
          <w:lang w:val="en-US"/>
        </w:rPr>
        <w:t xml:space="preserve"> television.” The </w:t>
      </w:r>
      <w:r w:rsidR="00391119" w:rsidRPr="00C9465D">
        <w:rPr>
          <w:b/>
          <w:bCs/>
          <w:i/>
          <w:iCs/>
          <w:lang w:val="en-US"/>
        </w:rPr>
        <w:t xml:space="preserve">State </w:t>
      </w:r>
      <w:r w:rsidR="00391119" w:rsidRPr="00C9465D">
        <w:rPr>
          <w:lang w:val="en-US"/>
        </w:rPr>
        <w:t>did not comment on this request.</w:t>
      </w:r>
    </w:p>
    <w:p w14:paraId="22AD3B81" w14:textId="5F44FA07" w:rsidR="006A2334" w:rsidRPr="00C9465D" w:rsidRDefault="00193CBB" w:rsidP="00644DD4">
      <w:pPr>
        <w:pStyle w:val="Numberedparagraphs"/>
        <w:rPr>
          <w:lang w:val="en-US"/>
        </w:rPr>
      </w:pPr>
      <w:bookmarkStart w:id="115" w:name="_Ref521518604"/>
      <w:r w:rsidRPr="00C9465D">
        <w:rPr>
          <w:lang w:val="en-US"/>
        </w:rPr>
        <w:t>The Court</w:t>
      </w:r>
      <w:r w:rsidR="006A2334" w:rsidRPr="00C9465D">
        <w:rPr>
          <w:lang w:val="en-US"/>
        </w:rPr>
        <w:t xml:space="preserve"> </w:t>
      </w:r>
      <w:r w:rsidR="00391119" w:rsidRPr="00C9465D">
        <w:rPr>
          <w:lang w:val="en-US"/>
        </w:rPr>
        <w:t>establishes, as it has in other cases,</w:t>
      </w:r>
      <w:r w:rsidR="006A2334" w:rsidRPr="00C9465D">
        <w:rPr>
          <w:rStyle w:val="FootnoteReference"/>
          <w:lang w:val="en-US"/>
        </w:rPr>
        <w:footnoteReference w:id="374"/>
      </w:r>
      <w:r w:rsidR="006A2334" w:rsidRPr="00C9465D">
        <w:rPr>
          <w:lang w:val="en-US"/>
        </w:rPr>
        <w:t xml:space="preserve"> </w:t>
      </w:r>
      <w:r w:rsidR="00391119" w:rsidRPr="00C9465D">
        <w:rPr>
          <w:lang w:val="en-US"/>
        </w:rPr>
        <w:t>that</w:t>
      </w:r>
      <w:r w:rsidR="006A2334" w:rsidRPr="00C9465D">
        <w:rPr>
          <w:lang w:val="en-US"/>
        </w:rPr>
        <w:t xml:space="preserve"> </w:t>
      </w:r>
      <w:r w:rsidRPr="00C9465D">
        <w:rPr>
          <w:lang w:val="en-US"/>
        </w:rPr>
        <w:t>the State</w:t>
      </w:r>
      <w:r w:rsidR="006A2334" w:rsidRPr="00C9465D">
        <w:rPr>
          <w:lang w:val="en-US"/>
        </w:rPr>
        <w:t xml:space="preserve"> </w:t>
      </w:r>
      <w:r w:rsidR="00391119" w:rsidRPr="00C9465D">
        <w:rPr>
          <w:lang w:val="en-US"/>
        </w:rPr>
        <w:t>must publish, within six months</w:t>
      </w:r>
      <w:r w:rsidR="00644DD4" w:rsidRPr="00C9465D">
        <w:rPr>
          <w:lang w:val="en-US"/>
        </w:rPr>
        <w:t xml:space="preserve"> of notification</w:t>
      </w:r>
      <w:r w:rsidR="006A2334" w:rsidRPr="00C9465D">
        <w:rPr>
          <w:lang w:val="en-US"/>
        </w:rPr>
        <w:t xml:space="preserve"> </w:t>
      </w:r>
      <w:r w:rsidR="008F17CD" w:rsidRPr="00C9465D">
        <w:rPr>
          <w:lang w:val="en-US"/>
        </w:rPr>
        <w:t>of the judgment</w:t>
      </w:r>
      <w:r w:rsidR="006A2334" w:rsidRPr="00C9465D">
        <w:rPr>
          <w:lang w:val="en-US"/>
        </w:rPr>
        <w:t xml:space="preserve">: </w:t>
      </w:r>
      <w:r w:rsidR="00644DD4" w:rsidRPr="00C9465D">
        <w:rPr>
          <w:lang w:val="en-US"/>
        </w:rPr>
        <w:t>(</w:t>
      </w:r>
      <w:r w:rsidR="006A2334" w:rsidRPr="00C9465D">
        <w:rPr>
          <w:lang w:val="en-US"/>
        </w:rPr>
        <w:t xml:space="preserve">a) </w:t>
      </w:r>
      <w:r w:rsidR="00644DD4" w:rsidRPr="00C9465D">
        <w:rPr>
          <w:lang w:val="en-US"/>
        </w:rPr>
        <w:t>the official summary</w:t>
      </w:r>
      <w:r w:rsidR="006A2334" w:rsidRPr="00C9465D">
        <w:rPr>
          <w:lang w:val="en-US"/>
        </w:rPr>
        <w:t xml:space="preserve"> </w:t>
      </w:r>
      <w:r w:rsidR="00CF3A9D" w:rsidRPr="00C9465D">
        <w:rPr>
          <w:lang w:val="en-US"/>
        </w:rPr>
        <w:t>of this judgment</w:t>
      </w:r>
      <w:r w:rsidR="006A2334" w:rsidRPr="00C9465D">
        <w:rPr>
          <w:lang w:val="en-US"/>
        </w:rPr>
        <w:t xml:space="preserve"> </w:t>
      </w:r>
      <w:r w:rsidR="00644DD4" w:rsidRPr="00C9465D">
        <w:rPr>
          <w:lang w:val="en-US"/>
        </w:rPr>
        <w:t>prepared by</w:t>
      </w:r>
      <w:r w:rsidR="006A2334" w:rsidRPr="00C9465D">
        <w:rPr>
          <w:lang w:val="en-US"/>
        </w:rPr>
        <w:t xml:space="preserve"> </w:t>
      </w:r>
      <w:r w:rsidRPr="00C9465D">
        <w:rPr>
          <w:lang w:val="en-US"/>
        </w:rPr>
        <w:t>the Court</w:t>
      </w:r>
      <w:r w:rsidR="006A2334" w:rsidRPr="00C9465D">
        <w:rPr>
          <w:lang w:val="en-US"/>
        </w:rPr>
        <w:t xml:space="preserve">, </w:t>
      </w:r>
      <w:r w:rsidR="00644DD4" w:rsidRPr="00C9465D">
        <w:rPr>
          <w:lang w:val="en-US"/>
        </w:rPr>
        <w:t xml:space="preserve">once, in the Official Gazette and in another national newspaper with widespread circulation, in an appropriate and legible font, and (b) this judgment in its entirety, available for at least one year on an official website of the State, and accessible to the public from the main webpage. The State must inform the Court immediately when it has made each of the publications ordered, irrespective of the one-year time frame to present its first report established in the operative paragraphs </w:t>
      </w:r>
      <w:r w:rsidR="008F17CD" w:rsidRPr="00C9465D">
        <w:rPr>
          <w:lang w:val="en-US"/>
        </w:rPr>
        <w:t>of the judgment</w:t>
      </w:r>
      <w:r w:rsidR="006A2334" w:rsidRPr="00C9465D">
        <w:rPr>
          <w:lang w:val="en-US"/>
        </w:rPr>
        <w:t>.</w:t>
      </w:r>
      <w:bookmarkEnd w:id="115"/>
    </w:p>
    <w:p w14:paraId="541C5C84" w14:textId="60C51A87" w:rsidR="00632CFA" w:rsidRPr="00C9465D" w:rsidRDefault="00657B1F" w:rsidP="00C95348">
      <w:pPr>
        <w:pStyle w:val="Heading3"/>
        <w:rPr>
          <w:lang w:val="en-US"/>
        </w:rPr>
      </w:pPr>
      <w:bookmarkStart w:id="116" w:name="_Toc74298479"/>
      <w:r w:rsidRPr="00C9465D">
        <w:rPr>
          <w:lang w:val="en-US"/>
        </w:rPr>
        <w:t>D.2</w:t>
      </w:r>
      <w:r w:rsidR="00632CFA" w:rsidRPr="00C9465D">
        <w:rPr>
          <w:lang w:val="en-US"/>
        </w:rPr>
        <w:t xml:space="preserve"> </w:t>
      </w:r>
      <w:r w:rsidR="00CC3E64" w:rsidRPr="00C9465D">
        <w:rPr>
          <w:lang w:val="en-US"/>
        </w:rPr>
        <w:tab/>
      </w:r>
      <w:r w:rsidR="00644DD4" w:rsidRPr="00C9465D">
        <w:rPr>
          <w:lang w:val="en-US"/>
        </w:rPr>
        <w:t>Public act to acknowledge international responsibility</w:t>
      </w:r>
      <w:bookmarkEnd w:id="99"/>
      <w:bookmarkEnd w:id="100"/>
      <w:bookmarkEnd w:id="116"/>
    </w:p>
    <w:p w14:paraId="1A637FAF" w14:textId="5658CBF3" w:rsidR="006A2334" w:rsidRPr="00C9465D" w:rsidRDefault="00193CBB" w:rsidP="00644DD4">
      <w:pPr>
        <w:pStyle w:val="Numberedparagraphs"/>
        <w:rPr>
          <w:lang w:val="en-US"/>
        </w:rPr>
      </w:pPr>
      <w:r w:rsidRPr="00C9465D">
        <w:rPr>
          <w:lang w:val="en-US"/>
        </w:rPr>
        <w:t xml:space="preserve">The </w:t>
      </w:r>
      <w:r w:rsidRPr="00C9465D">
        <w:rPr>
          <w:b/>
          <w:bCs/>
          <w:i/>
          <w:iCs/>
          <w:lang w:val="en-US"/>
        </w:rPr>
        <w:t>representatives</w:t>
      </w:r>
      <w:r w:rsidR="006A2334" w:rsidRPr="00C9465D">
        <w:rPr>
          <w:b/>
          <w:bCs/>
          <w:i/>
          <w:iCs/>
          <w:lang w:val="en-US"/>
        </w:rPr>
        <w:t xml:space="preserve"> </w:t>
      </w:r>
      <w:r w:rsidR="00644DD4" w:rsidRPr="00C9465D">
        <w:rPr>
          <w:lang w:val="en-US"/>
        </w:rPr>
        <w:t xml:space="preserve">asked that the State </w:t>
      </w:r>
      <w:r w:rsidR="00610C35" w:rsidRPr="00C9465D">
        <w:rPr>
          <w:lang w:val="en-US"/>
        </w:rPr>
        <w:t>organize</w:t>
      </w:r>
      <w:r w:rsidR="00644DD4" w:rsidRPr="00C9465D">
        <w:rPr>
          <w:lang w:val="en-US"/>
        </w:rPr>
        <w:t xml:space="preserve"> a public act to acknowledge international responsibility</w:t>
      </w:r>
      <w:r w:rsidR="006A2334" w:rsidRPr="00C9465D">
        <w:rPr>
          <w:lang w:val="en-US"/>
        </w:rPr>
        <w:t xml:space="preserve"> “</w:t>
      </w:r>
      <w:r w:rsidR="00644DD4" w:rsidRPr="00C9465D">
        <w:rPr>
          <w:lang w:val="en-US"/>
        </w:rPr>
        <w:t>in a solemn public ceremony</w:t>
      </w:r>
      <w:r w:rsidR="00471D98" w:rsidRPr="00C9465D">
        <w:rPr>
          <w:lang w:val="en-US"/>
        </w:rPr>
        <w:t xml:space="preserve">, </w:t>
      </w:r>
      <w:r w:rsidR="00520411" w:rsidRPr="00C9465D">
        <w:rPr>
          <w:lang w:val="en-US"/>
        </w:rPr>
        <w:t>[…]</w:t>
      </w:r>
      <w:r w:rsidR="006A2334" w:rsidRPr="00C9465D">
        <w:rPr>
          <w:lang w:val="en-US"/>
        </w:rPr>
        <w:t xml:space="preserve"> </w:t>
      </w:r>
      <w:r w:rsidR="00644DD4" w:rsidRPr="00C9465D">
        <w:rPr>
          <w:lang w:val="en-US"/>
        </w:rPr>
        <w:t xml:space="preserve">presided by the President of the Republic and in the presence of the Prosecutor General, the details of which must be agreed with the victims, their family members and representatives, and for which the State must assume the expenses.” They asked that, during this act, reference be made to the human rights violations committed to the detriment of Luis Eduardo Guachalá and his family and that, the State explicitly declare that “the violations found in this case are serious human rights violations, inadmissible from any perspective and in any circumstance.” Also, during the act “the authorities present must issue a public apology, and we ask that the apology addressed </w:t>
      </w:r>
      <w:r w:rsidR="00610C35" w:rsidRPr="00C9465D">
        <w:rPr>
          <w:lang w:val="en-US"/>
        </w:rPr>
        <w:t>to</w:t>
      </w:r>
      <w:r w:rsidR="00644DD4" w:rsidRPr="00C9465D">
        <w:rPr>
          <w:lang w:val="en-US"/>
        </w:rPr>
        <w:t xml:space="preserve"> the family members of the direct victims in this case be disseminated by the media.” This act </w:t>
      </w:r>
      <w:r w:rsidR="00610C35" w:rsidRPr="00C9465D">
        <w:rPr>
          <w:lang w:val="en-US"/>
        </w:rPr>
        <w:t>should</w:t>
      </w:r>
      <w:r w:rsidR="00644DD4" w:rsidRPr="00C9465D">
        <w:rPr>
          <w:lang w:val="en-US"/>
        </w:rPr>
        <w:t xml:space="preserve"> be held in the </w:t>
      </w:r>
      <w:r w:rsidR="002C5740" w:rsidRPr="00C9465D">
        <w:rPr>
          <w:rFonts w:cs="Times New Roman"/>
          <w:color w:val="101010"/>
          <w:lang w:val="en-US"/>
        </w:rPr>
        <w:t>Julio Endara Psychiatric Hospital</w:t>
      </w:r>
      <w:r w:rsidR="006A2334" w:rsidRPr="00C9465D">
        <w:rPr>
          <w:rFonts w:cs="Times New Roman"/>
          <w:color w:val="2F2F2F"/>
          <w:lang w:val="en-US"/>
        </w:rPr>
        <w:t>.</w:t>
      </w:r>
      <w:r w:rsidR="006A2334" w:rsidRPr="00C9465D">
        <w:rPr>
          <w:rFonts w:cs="Times New Roman"/>
          <w:b/>
          <w:lang w:val="en-US"/>
        </w:rPr>
        <w:t xml:space="preserve"> </w:t>
      </w:r>
    </w:p>
    <w:p w14:paraId="0295E6FE" w14:textId="39D35343" w:rsidR="00644DD4" w:rsidRPr="00C9465D" w:rsidRDefault="00193CBB" w:rsidP="00AA3C22">
      <w:pPr>
        <w:pStyle w:val="Numberedparagraphs"/>
        <w:rPr>
          <w:b/>
          <w:lang w:val="en-US"/>
        </w:rPr>
      </w:pPr>
      <w:r w:rsidRPr="00C9465D">
        <w:rPr>
          <w:lang w:val="en-US"/>
        </w:rPr>
        <w:t xml:space="preserve">The </w:t>
      </w:r>
      <w:r w:rsidRPr="00C9465D">
        <w:rPr>
          <w:b/>
          <w:bCs/>
          <w:i/>
          <w:iCs/>
          <w:lang w:val="en-US"/>
        </w:rPr>
        <w:t>State</w:t>
      </w:r>
      <w:r w:rsidR="00632CFA" w:rsidRPr="00C9465D">
        <w:rPr>
          <w:lang w:val="en-US"/>
        </w:rPr>
        <w:t xml:space="preserve"> </w:t>
      </w:r>
      <w:r w:rsidR="00644DD4" w:rsidRPr="00C9465D">
        <w:rPr>
          <w:lang w:val="en-US"/>
        </w:rPr>
        <w:t>argued that</w:t>
      </w:r>
      <w:r w:rsidR="00632CFA" w:rsidRPr="00C9465D">
        <w:rPr>
          <w:lang w:val="en-US"/>
        </w:rPr>
        <w:t xml:space="preserve"> “</w:t>
      </w:r>
      <w:r w:rsidR="00644DD4" w:rsidRPr="00C9465D">
        <w:rPr>
          <w:lang w:val="en-US"/>
        </w:rPr>
        <w:t>since the</w:t>
      </w:r>
      <w:r w:rsidR="00632CFA" w:rsidRPr="00C9465D">
        <w:rPr>
          <w:lang w:val="en-US"/>
        </w:rPr>
        <w:t xml:space="preserve"> </w:t>
      </w:r>
      <w:r w:rsidR="00391119" w:rsidRPr="00C9465D">
        <w:rPr>
          <w:lang w:val="en-US"/>
        </w:rPr>
        <w:t>publication</w:t>
      </w:r>
      <w:r w:rsidR="00632CFA" w:rsidRPr="00C9465D">
        <w:rPr>
          <w:lang w:val="en-US"/>
        </w:rPr>
        <w:t xml:space="preserve"> </w:t>
      </w:r>
      <w:r w:rsidR="008F17CD" w:rsidRPr="00C9465D">
        <w:rPr>
          <w:lang w:val="en-US"/>
        </w:rPr>
        <w:t>of the judgment</w:t>
      </w:r>
      <w:r w:rsidR="00632CFA" w:rsidRPr="00C9465D">
        <w:rPr>
          <w:lang w:val="en-US"/>
        </w:rPr>
        <w:t xml:space="preserve"> </w:t>
      </w:r>
      <w:r w:rsidR="00644DD4" w:rsidRPr="00C9465D">
        <w:rPr>
          <w:lang w:val="en-US"/>
        </w:rPr>
        <w:t>is, in itself, a measure of satisfaction, the public act to acknowledge international responsibility and additional dissemination activities such as those requested, are not necessary.” It therefore concluded that the Court “should refrain from ordering them.”</w:t>
      </w:r>
    </w:p>
    <w:p w14:paraId="089D4FAB" w14:textId="1A43A005" w:rsidR="006A2334" w:rsidRPr="00C9465D" w:rsidRDefault="00193CBB" w:rsidP="00644DD4">
      <w:pPr>
        <w:pStyle w:val="Numberedparagraphs"/>
        <w:rPr>
          <w:lang w:val="en-US"/>
        </w:rPr>
      </w:pPr>
      <w:bookmarkStart w:id="117" w:name="_Ref446682213"/>
      <w:bookmarkStart w:id="118" w:name="_Toc36823513"/>
      <w:bookmarkStart w:id="119" w:name="_Toc44332540"/>
      <w:r w:rsidRPr="00C9465D">
        <w:rPr>
          <w:lang w:val="en-US"/>
        </w:rPr>
        <w:t>The Court</w:t>
      </w:r>
      <w:r w:rsidR="006A2334" w:rsidRPr="00C9465D">
        <w:rPr>
          <w:lang w:val="en-US"/>
        </w:rPr>
        <w:t xml:space="preserve"> </w:t>
      </w:r>
      <w:r w:rsidR="00644DD4" w:rsidRPr="00C9465D">
        <w:rPr>
          <w:lang w:val="en-US"/>
        </w:rPr>
        <w:t xml:space="preserve">finds it necessary to </w:t>
      </w:r>
      <w:r w:rsidR="00610C35" w:rsidRPr="00C9465D">
        <w:rPr>
          <w:lang w:val="en-US"/>
        </w:rPr>
        <w:t>establish</w:t>
      </w:r>
      <w:r w:rsidR="00644DD4" w:rsidRPr="00C9465D">
        <w:rPr>
          <w:lang w:val="en-US"/>
        </w:rPr>
        <w:t xml:space="preserve">, in order to redress the harm caused to the victims and to avoid facts such as those of this case being repeated, that the State </w:t>
      </w:r>
      <w:r w:rsidR="00610C35" w:rsidRPr="00C9465D">
        <w:rPr>
          <w:lang w:val="en-US"/>
        </w:rPr>
        <w:t xml:space="preserve">must </w:t>
      </w:r>
      <w:r w:rsidR="00644DD4" w:rsidRPr="00C9465D">
        <w:rPr>
          <w:lang w:val="en-US"/>
        </w:rPr>
        <w:t>conduct a public act to acknowledge international responsibility</w:t>
      </w:r>
      <w:r w:rsidR="006A2334" w:rsidRPr="00C9465D">
        <w:rPr>
          <w:lang w:val="en-US"/>
        </w:rPr>
        <w:t xml:space="preserve"> </w:t>
      </w:r>
      <w:r w:rsidR="00644DD4" w:rsidRPr="00C9465D">
        <w:rPr>
          <w:lang w:val="en-US"/>
        </w:rPr>
        <w:t xml:space="preserve">in relation to the facts of this case. During the act, reference must be made to the human rights violations declared in this judgment. In addition, it must be held in a public ceremony in the presence of senior State officials and of Mr. </w:t>
      </w:r>
      <w:r w:rsidR="006A2334" w:rsidRPr="00C9465D">
        <w:rPr>
          <w:lang w:val="en-US"/>
        </w:rPr>
        <w:t>Guachalá Chimbo</w:t>
      </w:r>
      <w:r w:rsidR="00610C35" w:rsidRPr="00C9465D">
        <w:rPr>
          <w:lang w:val="en-US"/>
        </w:rPr>
        <w:t>’s next of kin</w:t>
      </w:r>
      <w:r w:rsidR="006A2334" w:rsidRPr="00C9465D">
        <w:rPr>
          <w:lang w:val="en-US"/>
        </w:rPr>
        <w:t xml:space="preserve"> </w:t>
      </w:r>
      <w:r w:rsidR="00644DD4" w:rsidRPr="00C9465D">
        <w:rPr>
          <w:lang w:val="en-US"/>
        </w:rPr>
        <w:t>or their representatives.</w:t>
      </w:r>
      <w:r w:rsidR="006A2334" w:rsidRPr="00C9465D">
        <w:rPr>
          <w:rStyle w:val="FootnoteReference"/>
          <w:lang w:val="en-US"/>
        </w:rPr>
        <w:footnoteReference w:id="375"/>
      </w:r>
      <w:bookmarkEnd w:id="117"/>
    </w:p>
    <w:p w14:paraId="16060C12" w14:textId="544078D1" w:rsidR="006A2334" w:rsidRPr="00C9465D" w:rsidRDefault="00193CBB" w:rsidP="006A2334">
      <w:pPr>
        <w:pStyle w:val="Numberedparagraphs"/>
        <w:rPr>
          <w:lang w:val="en-US"/>
        </w:rPr>
      </w:pPr>
      <w:bookmarkStart w:id="120" w:name="_Ref72330304"/>
      <w:bookmarkStart w:id="121" w:name="_Ref33109786"/>
      <w:r w:rsidRPr="00C9465D">
        <w:rPr>
          <w:lang w:val="en-US"/>
        </w:rPr>
        <w:t xml:space="preserve">The State and </w:t>
      </w:r>
      <w:r w:rsidR="00577DE0" w:rsidRPr="00C9465D">
        <w:rPr>
          <w:lang w:val="en-US"/>
        </w:rPr>
        <w:t>the victims</w:t>
      </w:r>
      <w:r w:rsidR="006A2334" w:rsidRPr="00C9465D">
        <w:rPr>
          <w:lang w:val="en-US"/>
        </w:rPr>
        <w:t xml:space="preserve"> </w:t>
      </w:r>
      <w:r w:rsidR="00644DD4" w:rsidRPr="00C9465D">
        <w:rPr>
          <w:lang w:val="en-US"/>
        </w:rPr>
        <w:t>and/or</w:t>
      </w:r>
      <w:r w:rsidR="006A2334" w:rsidRPr="00C9465D">
        <w:rPr>
          <w:lang w:val="en-US"/>
        </w:rPr>
        <w:t xml:space="preserve"> </w:t>
      </w:r>
      <w:r w:rsidR="00644DD4" w:rsidRPr="00C9465D">
        <w:rPr>
          <w:lang w:val="en-US"/>
        </w:rPr>
        <w:t>their representatives must coordinate the way in which the public act will be held, as well as details such as the date and place.</w:t>
      </w:r>
      <w:r w:rsidR="006A2334" w:rsidRPr="00C9465D">
        <w:rPr>
          <w:rStyle w:val="FootnoteReference"/>
          <w:lang w:val="en-US"/>
        </w:rPr>
        <w:footnoteReference w:id="376"/>
      </w:r>
      <w:bookmarkEnd w:id="120"/>
      <w:r w:rsidR="006A2334" w:rsidRPr="00C9465D">
        <w:rPr>
          <w:lang w:val="en-US"/>
        </w:rPr>
        <w:t xml:space="preserve"> </w:t>
      </w:r>
      <w:bookmarkEnd w:id="121"/>
    </w:p>
    <w:p w14:paraId="16FBC959" w14:textId="617E5E43" w:rsidR="00371851" w:rsidRPr="00C9465D" w:rsidRDefault="00644DD4" w:rsidP="00BB407B">
      <w:pPr>
        <w:pStyle w:val="Heading2"/>
        <w:rPr>
          <w:lang w:val="en-US"/>
        </w:rPr>
      </w:pPr>
      <w:r w:rsidRPr="00C9465D">
        <w:rPr>
          <w:lang w:val="en-US"/>
        </w:rPr>
        <w:lastRenderedPageBreak/>
        <w:t>Guarantees of non-repetition</w:t>
      </w:r>
    </w:p>
    <w:p w14:paraId="61738B59" w14:textId="079CB6A7" w:rsidR="00161F1D" w:rsidRPr="00C9465D" w:rsidRDefault="005B20D0" w:rsidP="00C95348">
      <w:pPr>
        <w:pStyle w:val="Heading3"/>
        <w:rPr>
          <w:u w:val="single"/>
          <w:lang w:val="en-US"/>
        </w:rPr>
      </w:pPr>
      <w:bookmarkStart w:id="122" w:name="_Toc74298481"/>
      <w:r w:rsidRPr="00C9465D">
        <w:rPr>
          <w:lang w:val="en-US"/>
        </w:rPr>
        <w:t>E</w:t>
      </w:r>
      <w:r w:rsidR="00161F1D" w:rsidRPr="00C9465D">
        <w:rPr>
          <w:lang w:val="en-US"/>
        </w:rPr>
        <w:t xml:space="preserve">.1 </w:t>
      </w:r>
      <w:r w:rsidR="00161F1D" w:rsidRPr="00C9465D">
        <w:rPr>
          <w:lang w:val="en-US"/>
        </w:rPr>
        <w:tab/>
      </w:r>
      <w:r w:rsidR="00644DD4" w:rsidRPr="00C9465D">
        <w:rPr>
          <w:lang w:val="en-US"/>
        </w:rPr>
        <w:t>Adaptation of existing laws</w:t>
      </w:r>
      <w:bookmarkEnd w:id="122"/>
      <w:r w:rsidR="00161F1D" w:rsidRPr="00C9465D">
        <w:rPr>
          <w:lang w:val="en-US"/>
        </w:rPr>
        <w:t xml:space="preserve"> </w:t>
      </w:r>
    </w:p>
    <w:p w14:paraId="5C3AC77B" w14:textId="3F001DD0" w:rsidR="001D0D49" w:rsidRPr="00C9465D" w:rsidRDefault="00193CBB" w:rsidP="001D0D49">
      <w:pPr>
        <w:pStyle w:val="Numberedparagraphs"/>
        <w:rPr>
          <w:b/>
          <w:lang w:val="en-US"/>
        </w:rPr>
      </w:pPr>
      <w:r w:rsidRPr="00C9465D">
        <w:rPr>
          <w:lang w:val="en-US"/>
        </w:rPr>
        <w:t xml:space="preserve">The </w:t>
      </w:r>
      <w:r w:rsidRPr="00C9465D">
        <w:rPr>
          <w:b/>
          <w:bCs/>
          <w:i/>
          <w:iCs/>
          <w:lang w:val="en-US"/>
        </w:rPr>
        <w:t>Commission</w:t>
      </w:r>
      <w:r w:rsidR="001D0D49" w:rsidRPr="00C9465D">
        <w:rPr>
          <w:lang w:val="en-US"/>
        </w:rPr>
        <w:t xml:space="preserve"> </w:t>
      </w:r>
      <w:r w:rsidR="00644DD4" w:rsidRPr="00C9465D">
        <w:rPr>
          <w:lang w:val="en-US"/>
        </w:rPr>
        <w:t>asked</w:t>
      </w:r>
      <w:r w:rsidR="001D0D49" w:rsidRPr="00C9465D">
        <w:rPr>
          <w:lang w:val="en-US"/>
        </w:rPr>
        <w:t xml:space="preserve"> </w:t>
      </w:r>
      <w:r w:rsidRPr="00C9465D">
        <w:rPr>
          <w:lang w:val="en-US"/>
        </w:rPr>
        <w:t>the Court</w:t>
      </w:r>
      <w:r w:rsidR="001D0D49" w:rsidRPr="00C9465D">
        <w:rPr>
          <w:lang w:val="en-US"/>
        </w:rPr>
        <w:t xml:space="preserve"> </w:t>
      </w:r>
      <w:r w:rsidR="00644DD4" w:rsidRPr="00C9465D">
        <w:rPr>
          <w:lang w:val="en-US"/>
        </w:rPr>
        <w:t>to order</w:t>
      </w:r>
      <w:r w:rsidR="001D0D49" w:rsidRPr="00C9465D">
        <w:rPr>
          <w:lang w:val="en-US"/>
        </w:rPr>
        <w:t xml:space="preserve"> Ecuador </w:t>
      </w:r>
      <w:r w:rsidR="00CB46D4" w:rsidRPr="00C9465D">
        <w:rPr>
          <w:lang w:val="en-US"/>
        </w:rPr>
        <w:t xml:space="preserve">to take measures that include: </w:t>
      </w:r>
      <w:r w:rsidR="001D0D49" w:rsidRPr="00C9465D">
        <w:rPr>
          <w:lang w:val="en-US"/>
        </w:rPr>
        <w:t>“a</w:t>
      </w:r>
      <w:r w:rsidR="00CB46D4" w:rsidRPr="00C9465D">
        <w:rPr>
          <w:lang w:val="en-US"/>
        </w:rPr>
        <w:t xml:space="preserve"> review of domestic legislation and deep-rooted practices in relation to decision-making procedures for </w:t>
      </w:r>
      <w:r w:rsidR="00D85850" w:rsidRPr="00C9465D">
        <w:rPr>
          <w:lang w:val="en-US"/>
        </w:rPr>
        <w:t>persons with disabilities</w:t>
      </w:r>
      <w:r w:rsidR="001D0D49" w:rsidRPr="00C9465D">
        <w:rPr>
          <w:lang w:val="en-US"/>
        </w:rPr>
        <w:t xml:space="preserve">, </w:t>
      </w:r>
      <w:r w:rsidR="00CB46D4" w:rsidRPr="00C9465D">
        <w:rPr>
          <w:lang w:val="en-US"/>
        </w:rPr>
        <w:t xml:space="preserve">to ensure that </w:t>
      </w:r>
      <w:r w:rsidR="00520411" w:rsidRPr="00C9465D">
        <w:rPr>
          <w:lang w:val="en-US"/>
        </w:rPr>
        <w:t>[…]</w:t>
      </w:r>
      <w:r w:rsidR="001D0D49" w:rsidRPr="00C9465D">
        <w:rPr>
          <w:lang w:val="en-US"/>
        </w:rPr>
        <w:t xml:space="preserve"> </w:t>
      </w:r>
      <w:r w:rsidR="00CB46D4" w:rsidRPr="00C9465D">
        <w:rPr>
          <w:lang w:val="en-US"/>
        </w:rPr>
        <w:t>the legal framework is compatible with international standards.”</w:t>
      </w:r>
    </w:p>
    <w:p w14:paraId="1E6ACFD0" w14:textId="17C1B802" w:rsidR="00CB46D4" w:rsidRPr="00C9465D" w:rsidRDefault="00193CBB" w:rsidP="001D0D49">
      <w:pPr>
        <w:pStyle w:val="Numberedparagraphs"/>
        <w:rPr>
          <w:b/>
          <w:lang w:val="en-US"/>
        </w:rPr>
      </w:pPr>
      <w:r w:rsidRPr="00C9465D">
        <w:rPr>
          <w:lang w:val="en-US"/>
        </w:rPr>
        <w:t xml:space="preserve">The </w:t>
      </w:r>
      <w:r w:rsidRPr="00C9465D">
        <w:rPr>
          <w:b/>
          <w:bCs/>
          <w:i/>
          <w:iCs/>
          <w:lang w:val="en-US"/>
        </w:rPr>
        <w:t>State</w:t>
      </w:r>
      <w:r w:rsidR="001D0D49" w:rsidRPr="00C9465D">
        <w:rPr>
          <w:b/>
          <w:bCs/>
          <w:i/>
          <w:iCs/>
          <w:lang w:val="en-US"/>
        </w:rPr>
        <w:t xml:space="preserve"> </w:t>
      </w:r>
      <w:r w:rsidR="00CB46D4" w:rsidRPr="00C9465D">
        <w:rPr>
          <w:lang w:val="en-US"/>
        </w:rPr>
        <w:t>indicated that</w:t>
      </w:r>
      <w:r w:rsidR="001D0D49" w:rsidRPr="00C9465D">
        <w:rPr>
          <w:lang w:val="en-US"/>
        </w:rPr>
        <w:t xml:space="preserve"> “</w:t>
      </w:r>
      <w:r w:rsidR="00CB46D4" w:rsidRPr="00C9465D">
        <w:rPr>
          <w:lang w:val="en-US"/>
        </w:rPr>
        <w:t>the Ecuadorian authorities are already implementing the laws in force and all the measures required to ensure the effective enjoyment of rights as has been described, so that the measures of non-repetition requested are unnecessary in light of domestic law</w:t>
      </w:r>
      <w:r w:rsidR="00CC0377" w:rsidRPr="00C9465D">
        <w:rPr>
          <w:lang w:val="en-US"/>
        </w:rPr>
        <w:t xml:space="preserve"> </w:t>
      </w:r>
      <w:r w:rsidR="00CB46D4" w:rsidRPr="00C9465D">
        <w:rPr>
          <w:lang w:val="en-US"/>
        </w:rPr>
        <w:t xml:space="preserve">and the </w:t>
      </w:r>
      <w:r w:rsidR="00CC0377" w:rsidRPr="00C9465D">
        <w:rPr>
          <w:lang w:val="en-US"/>
        </w:rPr>
        <w:t xml:space="preserve">corresponding </w:t>
      </w:r>
      <w:r w:rsidR="00CB46D4" w:rsidRPr="00C9465D">
        <w:rPr>
          <w:lang w:val="en-US"/>
        </w:rPr>
        <w:t xml:space="preserve">implementation </w:t>
      </w:r>
      <w:r w:rsidR="00CC0377" w:rsidRPr="00C9465D">
        <w:rPr>
          <w:lang w:val="en-US"/>
        </w:rPr>
        <w:t xml:space="preserve">measures </w:t>
      </w:r>
      <w:r w:rsidR="00CB46D4" w:rsidRPr="00C9465D">
        <w:rPr>
          <w:lang w:val="en-US"/>
        </w:rPr>
        <w:t>already in force in Ecuador.”</w:t>
      </w:r>
    </w:p>
    <w:p w14:paraId="64DFEF16" w14:textId="115F013F" w:rsidR="001D0D49" w:rsidRPr="00C9465D" w:rsidRDefault="00193CBB" w:rsidP="007866C0">
      <w:pPr>
        <w:pStyle w:val="Numberedparagraphs"/>
        <w:tabs>
          <w:tab w:val="left" w:pos="1701"/>
        </w:tabs>
        <w:rPr>
          <w:lang w:val="en-US"/>
        </w:rPr>
      </w:pPr>
      <w:r w:rsidRPr="00C9465D">
        <w:rPr>
          <w:lang w:val="en-US"/>
        </w:rPr>
        <w:t>The Court</w:t>
      </w:r>
      <w:r w:rsidR="001D0D49" w:rsidRPr="00C9465D">
        <w:rPr>
          <w:lang w:val="en-US"/>
        </w:rPr>
        <w:t xml:space="preserve"> </w:t>
      </w:r>
      <w:r w:rsidR="00CB46D4" w:rsidRPr="00C9465D">
        <w:rPr>
          <w:lang w:val="en-US"/>
        </w:rPr>
        <w:t xml:space="preserve">notes that, in its answering brief, </w:t>
      </w:r>
      <w:r w:rsidRPr="00C9465D">
        <w:rPr>
          <w:lang w:val="en-US"/>
        </w:rPr>
        <w:t>the State</w:t>
      </w:r>
      <w:r w:rsidR="001D0D49" w:rsidRPr="00C9465D">
        <w:rPr>
          <w:lang w:val="en-US"/>
        </w:rPr>
        <w:t xml:space="preserve"> </w:t>
      </w:r>
      <w:r w:rsidR="00CB46D4" w:rsidRPr="00C9465D">
        <w:rPr>
          <w:lang w:val="en-US"/>
        </w:rPr>
        <w:t>underscored various legislative measures that it had taken with regard to the protection of</w:t>
      </w:r>
      <w:r w:rsidR="001D0D49" w:rsidRPr="00C9465D">
        <w:rPr>
          <w:lang w:val="en-US"/>
        </w:rPr>
        <w:t xml:space="preserve"> </w:t>
      </w:r>
      <w:r w:rsidR="00D85850" w:rsidRPr="00C9465D">
        <w:rPr>
          <w:lang w:val="en-US"/>
        </w:rPr>
        <w:t>persons with disabilities</w:t>
      </w:r>
      <w:r w:rsidR="001D0D49" w:rsidRPr="00C9465D">
        <w:rPr>
          <w:lang w:val="en-US"/>
        </w:rPr>
        <w:t>, inclu</w:t>
      </w:r>
      <w:r w:rsidR="00CB46D4" w:rsidRPr="00C9465D">
        <w:rPr>
          <w:lang w:val="en-US"/>
        </w:rPr>
        <w:t xml:space="preserve">ding in its </w:t>
      </w:r>
      <w:r w:rsidR="00561A0C" w:rsidRPr="00C9465D">
        <w:rPr>
          <w:lang w:val="en-US"/>
        </w:rPr>
        <w:t>Constitution</w:t>
      </w:r>
      <w:r w:rsidR="001D0D49" w:rsidRPr="00C9465D">
        <w:rPr>
          <w:lang w:val="en-US"/>
        </w:rPr>
        <w:t xml:space="preserve">, </w:t>
      </w:r>
      <w:r w:rsidR="00CB46D4" w:rsidRPr="00C9465D">
        <w:rPr>
          <w:lang w:val="en-US"/>
        </w:rPr>
        <w:t xml:space="preserve">the Organic Health Act and the </w:t>
      </w:r>
      <w:r w:rsidR="00A35921" w:rsidRPr="00C9465D">
        <w:rPr>
          <w:lang w:val="en-US"/>
        </w:rPr>
        <w:t xml:space="preserve">Organic </w:t>
      </w:r>
      <w:r w:rsidR="00CB46D4" w:rsidRPr="00C9465D">
        <w:rPr>
          <w:lang w:val="en-US"/>
        </w:rPr>
        <w:t xml:space="preserve">Disabilities </w:t>
      </w:r>
      <w:r w:rsidR="00A35921" w:rsidRPr="00C9465D">
        <w:rPr>
          <w:lang w:val="en-US"/>
        </w:rPr>
        <w:t>Act</w:t>
      </w:r>
      <w:r w:rsidR="001D0D49" w:rsidRPr="00C9465D">
        <w:rPr>
          <w:lang w:val="en-US"/>
        </w:rPr>
        <w:t xml:space="preserve">. </w:t>
      </w:r>
      <w:r w:rsidR="00CB46D4" w:rsidRPr="00C9465D">
        <w:rPr>
          <w:lang w:val="en-US"/>
        </w:rPr>
        <w:t>T</w:t>
      </w:r>
      <w:r w:rsidRPr="00C9465D">
        <w:rPr>
          <w:lang w:val="en-US"/>
        </w:rPr>
        <w:t>he State</w:t>
      </w:r>
      <w:r w:rsidR="00CB46D4" w:rsidRPr="00C9465D">
        <w:rPr>
          <w:lang w:val="en-US"/>
        </w:rPr>
        <w:t xml:space="preserve"> also signed the Ministerial Decision that facilitated the National Strategic Plan on Mental Health, strategic guideline No. 2 of which establishes that the process of de-institutionalization should be undertaken, and </w:t>
      </w:r>
      <w:r w:rsidR="00CC0377" w:rsidRPr="00C9465D">
        <w:rPr>
          <w:lang w:val="en-US"/>
        </w:rPr>
        <w:t xml:space="preserve">is </w:t>
      </w:r>
      <w:r w:rsidR="00CB46D4" w:rsidRPr="00C9465D">
        <w:rPr>
          <w:lang w:val="en-US"/>
        </w:rPr>
        <w:t>promot</w:t>
      </w:r>
      <w:r w:rsidR="00CC0377" w:rsidRPr="00C9465D">
        <w:rPr>
          <w:lang w:val="en-US"/>
        </w:rPr>
        <w:t>ing</w:t>
      </w:r>
      <w:r w:rsidR="00CB46D4" w:rsidRPr="00C9465D">
        <w:rPr>
          <w:lang w:val="en-US"/>
        </w:rPr>
        <w:t xml:space="preserve"> the community mental health model. The Court considers that these measures </w:t>
      </w:r>
      <w:r w:rsidR="007866C0" w:rsidRPr="00C9465D">
        <w:rPr>
          <w:lang w:val="en-US"/>
        </w:rPr>
        <w:t xml:space="preserve">reveal significant progress to adapt domestic law to the obligation to ensure the right to health of persons with disabilities without discrimination. However, the Court notes that the State should take measures to ensure complete application of the social model to address disabilities, </w:t>
      </w:r>
      <w:r w:rsidR="00CC0377" w:rsidRPr="00C9465D">
        <w:rPr>
          <w:lang w:val="en-US"/>
        </w:rPr>
        <w:t>based on</w:t>
      </w:r>
      <w:r w:rsidR="001D0D49" w:rsidRPr="00C9465D">
        <w:rPr>
          <w:lang w:val="en-US"/>
        </w:rPr>
        <w:t xml:space="preserve"> </w:t>
      </w:r>
      <w:r w:rsidR="007866C0" w:rsidRPr="00C9465D">
        <w:rPr>
          <w:lang w:val="en-US"/>
        </w:rPr>
        <w:t xml:space="preserve">the obligations that arise from </w:t>
      </w:r>
      <w:r w:rsidRPr="00C9465D">
        <w:rPr>
          <w:lang w:val="en-US"/>
        </w:rPr>
        <w:t>the American Convention</w:t>
      </w:r>
      <w:r w:rsidR="001D0D49" w:rsidRPr="00C9465D">
        <w:rPr>
          <w:lang w:val="en-US"/>
        </w:rPr>
        <w:t xml:space="preserve">, </w:t>
      </w:r>
      <w:r w:rsidRPr="00C9465D">
        <w:rPr>
          <w:lang w:val="en-US"/>
        </w:rPr>
        <w:t xml:space="preserve">the </w:t>
      </w:r>
      <w:r w:rsidR="00D85850" w:rsidRPr="00C9465D">
        <w:rPr>
          <w:lang w:val="en-US"/>
        </w:rPr>
        <w:t>Inter-American Convention on the Elimination of All Forms of Discrimination against Persons with Disabilities</w:t>
      </w:r>
      <w:r w:rsidR="007866C0" w:rsidRPr="00C9465D">
        <w:rPr>
          <w:lang w:val="en-US"/>
        </w:rPr>
        <w:t>,</w:t>
      </w:r>
      <w:r w:rsidRPr="00C9465D">
        <w:rPr>
          <w:bCs/>
          <w:lang w:val="en-US"/>
        </w:rPr>
        <w:t xml:space="preserve"> and the </w:t>
      </w:r>
      <w:r w:rsidR="00593C0F" w:rsidRPr="00C9465D">
        <w:rPr>
          <w:bCs/>
          <w:lang w:val="en-US"/>
        </w:rPr>
        <w:t>Convention on the Rights of Persons with Disabilities</w:t>
      </w:r>
      <w:r w:rsidR="001D0D49" w:rsidRPr="00C9465D">
        <w:rPr>
          <w:bCs/>
          <w:lang w:val="en-US"/>
        </w:rPr>
        <w:t>.</w:t>
      </w:r>
    </w:p>
    <w:p w14:paraId="7DE4197F" w14:textId="3F7E504A" w:rsidR="001D0D49" w:rsidRPr="00C9465D" w:rsidRDefault="007866C0" w:rsidP="001D0D49">
      <w:pPr>
        <w:pStyle w:val="Numberedparagraphs"/>
        <w:tabs>
          <w:tab w:val="left" w:pos="1701"/>
        </w:tabs>
        <w:rPr>
          <w:lang w:val="en-US"/>
        </w:rPr>
      </w:pPr>
      <w:r w:rsidRPr="00C9465D">
        <w:rPr>
          <w:lang w:val="en-US"/>
        </w:rPr>
        <w:t>Regarding</w:t>
      </w:r>
      <w:r w:rsidR="001D0D49" w:rsidRPr="00C9465D">
        <w:rPr>
          <w:lang w:val="en-US"/>
        </w:rPr>
        <w:t xml:space="preserve"> </w:t>
      </w:r>
      <w:r w:rsidR="005B7EE9" w:rsidRPr="00C9465D">
        <w:rPr>
          <w:lang w:val="en-US"/>
        </w:rPr>
        <w:t>informed consent</w:t>
      </w:r>
      <w:r w:rsidR="001D0D49" w:rsidRPr="00C9465D">
        <w:rPr>
          <w:lang w:val="en-US"/>
        </w:rPr>
        <w:t xml:space="preserve">, </w:t>
      </w:r>
      <w:r w:rsidR="00193CBB" w:rsidRPr="00C9465D">
        <w:rPr>
          <w:lang w:val="en-US"/>
        </w:rPr>
        <w:t>the State</w:t>
      </w:r>
      <w:r w:rsidR="001D0D49" w:rsidRPr="00C9465D">
        <w:rPr>
          <w:lang w:val="en-US"/>
        </w:rPr>
        <w:t xml:space="preserve"> </w:t>
      </w:r>
      <w:r w:rsidRPr="00C9465D">
        <w:rPr>
          <w:lang w:val="en-US"/>
        </w:rPr>
        <w:t xml:space="preserve">has not demonstrated that it has regulated the obligation to provide the necessary support for </w:t>
      </w:r>
      <w:r w:rsidR="00D85850" w:rsidRPr="00C9465D">
        <w:rPr>
          <w:lang w:val="en-US"/>
        </w:rPr>
        <w:t>persons with disabilities</w:t>
      </w:r>
      <w:r w:rsidR="001D0D49" w:rsidRPr="00C9465D">
        <w:rPr>
          <w:lang w:val="en-US"/>
        </w:rPr>
        <w:t xml:space="preserve"> </w:t>
      </w:r>
      <w:r w:rsidRPr="00C9465D">
        <w:rPr>
          <w:lang w:val="en-US"/>
        </w:rPr>
        <w:t>to be able to take the pertinent decisions with regard to the medical treatments they wish to receive. To the contrary, during these international proceedings, the State indicated that</w:t>
      </w:r>
      <w:r w:rsidR="001D0D49" w:rsidRPr="00C9465D">
        <w:rPr>
          <w:lang w:val="en-US"/>
        </w:rPr>
        <w:t xml:space="preserve"> </w:t>
      </w:r>
      <w:r w:rsidR="00AE2055" w:rsidRPr="00C9465D">
        <w:rPr>
          <w:lang w:val="en-US"/>
        </w:rPr>
        <w:t>“[</w:t>
      </w:r>
      <w:r w:rsidRPr="00C9465D">
        <w:rPr>
          <w:lang w:val="en-US"/>
        </w:rPr>
        <w:t>i</w:t>
      </w:r>
      <w:r w:rsidR="00AE2055" w:rsidRPr="00C9465D">
        <w:rPr>
          <w:lang w:val="en-US"/>
        </w:rPr>
        <w:t>]</w:t>
      </w:r>
      <w:r w:rsidRPr="00C9465D">
        <w:rPr>
          <w:lang w:val="en-US"/>
        </w:rPr>
        <w:t>t is evident that, in the case of children and adolescents, and persons with disabilities, it is the family who provides this consent.</w:t>
      </w:r>
      <w:r w:rsidR="001D0D49" w:rsidRPr="00C9465D">
        <w:rPr>
          <w:lang w:val="en-US"/>
        </w:rPr>
        <w:t xml:space="preserve">” </w:t>
      </w:r>
    </w:p>
    <w:p w14:paraId="32B31CAA" w14:textId="3498E805" w:rsidR="001D0D49" w:rsidRPr="00C9465D" w:rsidRDefault="007866C0" w:rsidP="001D0D49">
      <w:pPr>
        <w:pStyle w:val="Numberedparagraphs"/>
        <w:tabs>
          <w:tab w:val="left" w:pos="1701"/>
        </w:tabs>
        <w:rPr>
          <w:lang w:val="en-US"/>
        </w:rPr>
      </w:pPr>
      <w:bookmarkStart w:id="123" w:name="_Ref72330380"/>
      <w:r w:rsidRPr="00C9465D">
        <w:rPr>
          <w:lang w:val="en-US"/>
        </w:rPr>
        <w:t xml:space="preserve">Based on the foregoing, the Court finds it desirable to order the State to regulate specifically, within two years of notification </w:t>
      </w:r>
      <w:r w:rsidR="00CF3A9D" w:rsidRPr="00C9465D">
        <w:rPr>
          <w:lang w:val="en-US"/>
        </w:rPr>
        <w:t>of this judgment</w:t>
      </w:r>
      <w:r w:rsidR="001D0D49" w:rsidRPr="00C9465D">
        <w:rPr>
          <w:lang w:val="en-US"/>
        </w:rPr>
        <w:t xml:space="preserve">, </w:t>
      </w:r>
      <w:r w:rsidRPr="00C9465D">
        <w:rPr>
          <w:lang w:val="en-US"/>
        </w:rPr>
        <w:t xml:space="preserve">the international obligation to provide support to </w:t>
      </w:r>
      <w:r w:rsidR="00D85850" w:rsidRPr="00C9465D">
        <w:rPr>
          <w:lang w:val="en-US"/>
        </w:rPr>
        <w:t>persons with disabilities</w:t>
      </w:r>
      <w:r w:rsidR="001E3F3B" w:rsidRPr="00C9465D">
        <w:rPr>
          <w:lang w:val="en-US"/>
        </w:rPr>
        <w:t xml:space="preserve"> </w:t>
      </w:r>
      <w:r w:rsidRPr="00C9465D">
        <w:rPr>
          <w:lang w:val="en-US"/>
        </w:rPr>
        <w:t xml:space="preserve">so that they are </w:t>
      </w:r>
      <w:r w:rsidR="00D8209E" w:rsidRPr="00C9465D">
        <w:rPr>
          <w:lang w:val="en-US"/>
        </w:rPr>
        <w:t>able</w:t>
      </w:r>
      <w:r w:rsidRPr="00C9465D">
        <w:rPr>
          <w:lang w:val="en-US"/>
        </w:rPr>
        <w:t xml:space="preserve"> to give their </w:t>
      </w:r>
      <w:r w:rsidR="005B7EE9" w:rsidRPr="00C9465D">
        <w:rPr>
          <w:lang w:val="en-US"/>
        </w:rPr>
        <w:t>informed consent</w:t>
      </w:r>
      <w:r w:rsidR="001E3F3B" w:rsidRPr="00C9465D">
        <w:rPr>
          <w:lang w:val="en-US"/>
        </w:rPr>
        <w:t xml:space="preserve"> </w:t>
      </w:r>
      <w:r w:rsidRPr="00C9465D">
        <w:rPr>
          <w:lang w:val="en-US"/>
        </w:rPr>
        <w:t xml:space="preserve">to medical treatments, </w:t>
      </w:r>
      <w:r w:rsidR="008F17CD" w:rsidRPr="00C9465D">
        <w:rPr>
          <w:lang w:val="en-US"/>
        </w:rPr>
        <w:t>pursuant to</w:t>
      </w:r>
      <w:r w:rsidR="001D0D49" w:rsidRPr="00C9465D">
        <w:rPr>
          <w:lang w:val="en-US"/>
        </w:rPr>
        <w:t xml:space="preserve"> </w:t>
      </w:r>
      <w:r w:rsidR="008F17CD" w:rsidRPr="00C9465D">
        <w:rPr>
          <w:lang w:val="en-US"/>
        </w:rPr>
        <w:t>paragraphs</w:t>
      </w:r>
      <w:r w:rsidR="001D0D49" w:rsidRPr="00C9465D">
        <w:rPr>
          <w:lang w:val="en-US"/>
        </w:rPr>
        <w:t xml:space="preserve"> </w:t>
      </w:r>
      <w:r w:rsidR="00AE2055" w:rsidRPr="00C9465D">
        <w:rPr>
          <w:lang w:val="en-US"/>
        </w:rPr>
        <w:fldChar w:fldCharType="begin"/>
      </w:r>
      <w:r w:rsidR="00AE2055" w:rsidRPr="00C9465D">
        <w:rPr>
          <w:lang w:val="en-US"/>
        </w:rPr>
        <w:instrText xml:space="preserve"> REF _Ref72326566 \r \h </w:instrText>
      </w:r>
      <w:r w:rsidR="00471D98" w:rsidRPr="00C9465D">
        <w:rPr>
          <w:lang w:val="en-US"/>
        </w:rPr>
        <w:instrText xml:space="preserve"> \* MERGEFORMAT </w:instrText>
      </w:r>
      <w:r w:rsidR="00AE2055" w:rsidRPr="00C9465D">
        <w:rPr>
          <w:lang w:val="en-US"/>
        </w:rPr>
      </w:r>
      <w:r w:rsidR="00AE2055" w:rsidRPr="00C9465D">
        <w:rPr>
          <w:lang w:val="en-US"/>
        </w:rPr>
        <w:fldChar w:fldCharType="separate"/>
      </w:r>
      <w:r w:rsidR="00AE2055" w:rsidRPr="00C9465D">
        <w:rPr>
          <w:lang w:val="en-US"/>
        </w:rPr>
        <w:t>110</w:t>
      </w:r>
      <w:r w:rsidR="00AE2055" w:rsidRPr="00C9465D">
        <w:rPr>
          <w:lang w:val="en-US"/>
        </w:rPr>
        <w:fldChar w:fldCharType="end"/>
      </w:r>
      <w:r w:rsidR="00AE2055" w:rsidRPr="00C9465D">
        <w:rPr>
          <w:lang w:val="en-US"/>
        </w:rPr>
        <w:t xml:space="preserve"> </w:t>
      </w:r>
      <w:r w:rsidRPr="00C9465D">
        <w:rPr>
          <w:lang w:val="en-US"/>
        </w:rPr>
        <w:t>to</w:t>
      </w:r>
      <w:r w:rsidR="00AE2055" w:rsidRPr="00C9465D">
        <w:rPr>
          <w:lang w:val="en-US"/>
        </w:rPr>
        <w:t xml:space="preserve"> </w:t>
      </w:r>
      <w:r w:rsidR="00AE2055" w:rsidRPr="00C9465D">
        <w:rPr>
          <w:lang w:val="en-US"/>
        </w:rPr>
        <w:fldChar w:fldCharType="begin"/>
      </w:r>
      <w:r w:rsidR="00AE2055" w:rsidRPr="00C9465D">
        <w:rPr>
          <w:lang w:val="en-US"/>
        </w:rPr>
        <w:instrText xml:space="preserve"> REF _Ref72326572 \r \h </w:instrText>
      </w:r>
      <w:r w:rsidR="00471D98" w:rsidRPr="00C9465D">
        <w:rPr>
          <w:lang w:val="en-US"/>
        </w:rPr>
        <w:instrText xml:space="preserve"> \* MERGEFORMAT </w:instrText>
      </w:r>
      <w:r w:rsidR="00AE2055" w:rsidRPr="00C9465D">
        <w:rPr>
          <w:lang w:val="en-US"/>
        </w:rPr>
      </w:r>
      <w:r w:rsidR="00AE2055" w:rsidRPr="00C9465D">
        <w:rPr>
          <w:lang w:val="en-US"/>
        </w:rPr>
        <w:fldChar w:fldCharType="separate"/>
      </w:r>
      <w:r w:rsidR="00AE2055" w:rsidRPr="00C9465D">
        <w:rPr>
          <w:lang w:val="en-US"/>
        </w:rPr>
        <w:t>139</w:t>
      </w:r>
      <w:r w:rsidR="00AE2055" w:rsidRPr="00C9465D">
        <w:rPr>
          <w:lang w:val="en-US"/>
        </w:rPr>
        <w:fldChar w:fldCharType="end"/>
      </w:r>
      <w:r w:rsidR="00AE2055" w:rsidRPr="00C9465D">
        <w:rPr>
          <w:lang w:val="en-US"/>
        </w:rPr>
        <w:t xml:space="preserve"> </w:t>
      </w:r>
      <w:r w:rsidR="008F17CD" w:rsidRPr="00C9465D">
        <w:rPr>
          <w:lang w:val="en-US"/>
        </w:rPr>
        <w:t>of this judgment</w:t>
      </w:r>
      <w:r w:rsidR="001D0D49" w:rsidRPr="00C9465D">
        <w:rPr>
          <w:lang w:val="en-US"/>
        </w:rPr>
        <w:t xml:space="preserve">. </w:t>
      </w:r>
      <w:r w:rsidRPr="00C9465D">
        <w:rPr>
          <w:lang w:val="en-US"/>
        </w:rPr>
        <w:t xml:space="preserve">The State must explicitly establish the obligation to provide support to </w:t>
      </w:r>
      <w:r w:rsidR="00D85850" w:rsidRPr="00C9465D">
        <w:rPr>
          <w:lang w:val="en-US"/>
        </w:rPr>
        <w:t>persons with disabilities</w:t>
      </w:r>
      <w:r w:rsidRPr="00C9465D">
        <w:rPr>
          <w:lang w:val="en-US"/>
        </w:rPr>
        <w:t xml:space="preserve"> in order to ensure </w:t>
      </w:r>
      <w:r w:rsidR="00AC1354" w:rsidRPr="00C9465D">
        <w:rPr>
          <w:lang w:val="en-US"/>
        </w:rPr>
        <w:t>the right</w:t>
      </w:r>
      <w:r w:rsidR="00260D95" w:rsidRPr="00C9465D">
        <w:rPr>
          <w:lang w:val="en-US"/>
        </w:rPr>
        <w:t xml:space="preserve"> to health</w:t>
      </w:r>
      <w:r w:rsidR="001D0D49" w:rsidRPr="00C9465D">
        <w:rPr>
          <w:lang w:val="en-US"/>
        </w:rPr>
        <w:t xml:space="preserve"> </w:t>
      </w:r>
      <w:bookmarkEnd w:id="123"/>
      <w:r w:rsidRPr="00C9465D">
        <w:rPr>
          <w:lang w:val="en-US"/>
        </w:rPr>
        <w:t>without discrimination.</w:t>
      </w:r>
      <w:r w:rsidR="001D0D49" w:rsidRPr="00C9465D">
        <w:rPr>
          <w:lang w:val="en-US"/>
        </w:rPr>
        <w:t xml:space="preserve"> </w:t>
      </w:r>
    </w:p>
    <w:p w14:paraId="3F22DCCB" w14:textId="21D9D2F3" w:rsidR="00DF7E99" w:rsidRPr="00C9465D" w:rsidRDefault="005B20D0" w:rsidP="00C95348">
      <w:pPr>
        <w:pStyle w:val="Heading3"/>
        <w:rPr>
          <w:lang w:val="en-US"/>
        </w:rPr>
      </w:pPr>
      <w:bookmarkStart w:id="124" w:name="_Toc74298482"/>
      <w:r w:rsidRPr="00C9465D">
        <w:rPr>
          <w:lang w:val="en-US"/>
        </w:rPr>
        <w:t>E</w:t>
      </w:r>
      <w:r w:rsidR="00161F1D" w:rsidRPr="00C9465D">
        <w:rPr>
          <w:lang w:val="en-US"/>
        </w:rPr>
        <w:t xml:space="preserve">.2 </w:t>
      </w:r>
      <w:r w:rsidR="00161F1D" w:rsidRPr="00C9465D">
        <w:rPr>
          <w:lang w:val="en-US"/>
        </w:rPr>
        <w:tab/>
      </w:r>
      <w:r w:rsidR="007866C0" w:rsidRPr="00C9465D">
        <w:rPr>
          <w:lang w:val="en-US"/>
        </w:rPr>
        <w:t>Training</w:t>
      </w:r>
      <w:bookmarkEnd w:id="124"/>
    </w:p>
    <w:p w14:paraId="3ABEC5AB" w14:textId="3C19F095" w:rsidR="001D0D49" w:rsidRPr="00C9465D" w:rsidRDefault="00193CBB" w:rsidP="001D0D49">
      <w:pPr>
        <w:pStyle w:val="Numberedparagraphs"/>
        <w:rPr>
          <w:bCs/>
          <w:lang w:val="en-US"/>
        </w:rPr>
      </w:pPr>
      <w:r w:rsidRPr="00C9465D">
        <w:rPr>
          <w:lang w:val="en-US"/>
        </w:rPr>
        <w:t>The</w:t>
      </w:r>
      <w:r w:rsidRPr="00C9465D">
        <w:rPr>
          <w:b/>
          <w:bCs/>
          <w:i/>
          <w:iCs/>
          <w:lang w:val="en-US"/>
        </w:rPr>
        <w:t xml:space="preserve"> Commission</w:t>
      </w:r>
      <w:r w:rsidR="001D0D49" w:rsidRPr="00C9465D">
        <w:rPr>
          <w:b/>
          <w:bCs/>
          <w:i/>
          <w:iCs/>
          <w:lang w:val="en-US"/>
        </w:rPr>
        <w:t xml:space="preserve"> </w:t>
      </w:r>
      <w:r w:rsidR="001C5103" w:rsidRPr="00C9465D">
        <w:rPr>
          <w:lang w:val="en-US"/>
        </w:rPr>
        <w:t>asked that the State</w:t>
      </w:r>
      <w:r w:rsidR="001D0D49" w:rsidRPr="00C9465D">
        <w:rPr>
          <w:lang w:val="en-US"/>
        </w:rPr>
        <w:t xml:space="preserve"> “adopt</w:t>
      </w:r>
      <w:r w:rsidR="001C5103" w:rsidRPr="00C9465D">
        <w:rPr>
          <w:lang w:val="en-US"/>
        </w:rPr>
        <w:t xml:space="preserve"> specific measures to eradicate </w:t>
      </w:r>
      <w:r w:rsidR="00D8209E" w:rsidRPr="00C9465D">
        <w:rPr>
          <w:lang w:val="en-US"/>
        </w:rPr>
        <w:t>coercion</w:t>
      </w:r>
      <w:r w:rsidR="001C5103" w:rsidRPr="00C9465D">
        <w:rPr>
          <w:lang w:val="en-US"/>
        </w:rPr>
        <w:t xml:space="preserve"> and forced psychiatric treatments, as well as to ensure </w:t>
      </w:r>
      <w:r w:rsidR="00183C22" w:rsidRPr="00C9465D">
        <w:rPr>
          <w:lang w:val="en-US"/>
        </w:rPr>
        <w:t>informed consent</w:t>
      </w:r>
      <w:r w:rsidR="001D0D49" w:rsidRPr="00C9465D">
        <w:rPr>
          <w:lang w:val="en-US"/>
        </w:rPr>
        <w:t xml:space="preserve"> </w:t>
      </w:r>
      <w:r w:rsidR="001C5103" w:rsidRPr="00C9465D">
        <w:rPr>
          <w:lang w:val="en-US"/>
        </w:rPr>
        <w:t>in matters relating to mental</w:t>
      </w:r>
      <w:r w:rsidR="001D0D49" w:rsidRPr="00C9465D">
        <w:rPr>
          <w:lang w:val="en-US"/>
        </w:rPr>
        <w:t xml:space="preserve"> </w:t>
      </w:r>
      <w:r w:rsidR="00D12C0E" w:rsidRPr="00C9465D">
        <w:rPr>
          <w:lang w:val="en-US"/>
        </w:rPr>
        <w:t>health</w:t>
      </w:r>
      <w:r w:rsidR="001D0D49" w:rsidRPr="00C9465D">
        <w:rPr>
          <w:lang w:val="en-US"/>
        </w:rPr>
        <w:t xml:space="preserve"> </w:t>
      </w:r>
      <w:r w:rsidR="001C5103" w:rsidRPr="00C9465D">
        <w:rPr>
          <w:lang w:val="en-US"/>
        </w:rPr>
        <w:t>in keeping with the standards described in [its] report.”</w:t>
      </w:r>
      <w:r w:rsidR="001D0D49" w:rsidRPr="00C9465D">
        <w:rPr>
          <w:lang w:val="en-US"/>
        </w:rPr>
        <w:t xml:space="preserve"> </w:t>
      </w:r>
    </w:p>
    <w:p w14:paraId="26050795" w14:textId="4E50AA2D" w:rsidR="001C5103" w:rsidRPr="00C9465D" w:rsidRDefault="00193CBB" w:rsidP="001D0D49">
      <w:pPr>
        <w:pStyle w:val="Numberedparagraphs"/>
        <w:rPr>
          <w:bCs/>
          <w:color w:val="auto"/>
          <w:lang w:val="en-US"/>
        </w:rPr>
      </w:pPr>
      <w:r w:rsidRPr="00C9465D">
        <w:rPr>
          <w:rFonts w:cs="Times New Roman"/>
          <w:color w:val="auto"/>
          <w:lang w:val="en-US"/>
        </w:rPr>
        <w:t xml:space="preserve">The </w:t>
      </w:r>
      <w:r w:rsidRPr="00C9465D">
        <w:rPr>
          <w:rFonts w:cs="Times New Roman"/>
          <w:b/>
          <w:bCs/>
          <w:i/>
          <w:iCs/>
          <w:color w:val="auto"/>
          <w:lang w:val="en-US"/>
        </w:rPr>
        <w:t>representatives</w:t>
      </w:r>
      <w:r w:rsidR="001D0D49" w:rsidRPr="00C9465D">
        <w:rPr>
          <w:rFonts w:cs="Times New Roman"/>
          <w:b/>
          <w:i/>
          <w:color w:val="auto"/>
          <w:lang w:val="en-US"/>
        </w:rPr>
        <w:t xml:space="preserve"> </w:t>
      </w:r>
      <w:r w:rsidR="001C5103" w:rsidRPr="00C9465D">
        <w:rPr>
          <w:color w:val="auto"/>
          <w:lang w:val="en-US"/>
        </w:rPr>
        <w:t xml:space="preserve">requested implementation of “human rights training programs for personnel </w:t>
      </w:r>
      <w:r w:rsidR="00092D8C" w:rsidRPr="00C9465D">
        <w:rPr>
          <w:color w:val="auto"/>
          <w:lang w:val="en-US"/>
        </w:rPr>
        <w:t xml:space="preserve">of the </w:t>
      </w:r>
      <w:r w:rsidR="004F5593" w:rsidRPr="00C9465D">
        <w:rPr>
          <w:color w:val="auto"/>
          <w:lang w:val="en-US"/>
        </w:rPr>
        <w:t>National Police</w:t>
      </w:r>
      <w:r w:rsidR="001C5103" w:rsidRPr="00C9465D">
        <w:rPr>
          <w:color w:val="auto"/>
          <w:lang w:val="en-US"/>
        </w:rPr>
        <w:t xml:space="preserve"> </w:t>
      </w:r>
      <w:r w:rsidR="001D0D49" w:rsidRPr="00C9465D">
        <w:rPr>
          <w:color w:val="auto"/>
          <w:lang w:val="en-US"/>
        </w:rPr>
        <w:t xml:space="preserve">(DINASED), </w:t>
      </w:r>
      <w:r w:rsidR="001C5103" w:rsidRPr="00C9465D">
        <w:rPr>
          <w:color w:val="auto"/>
          <w:lang w:val="en-US"/>
        </w:rPr>
        <w:t xml:space="preserve">the Prosecutor General’s Office, the Ombudsman’s Office, the </w:t>
      </w:r>
      <w:r w:rsidR="00422D91" w:rsidRPr="00C9465D">
        <w:rPr>
          <w:color w:val="auto"/>
          <w:lang w:val="en-US"/>
        </w:rPr>
        <w:t>Ministry of Public Health</w:t>
      </w:r>
      <w:r w:rsidR="001D0D49" w:rsidRPr="00C9465D">
        <w:rPr>
          <w:color w:val="auto"/>
          <w:lang w:val="en-US"/>
        </w:rPr>
        <w:t xml:space="preserve">, </w:t>
      </w:r>
      <w:r w:rsidR="001C5103" w:rsidRPr="00C9465D">
        <w:rPr>
          <w:color w:val="auto"/>
          <w:lang w:val="en-US"/>
        </w:rPr>
        <w:t xml:space="preserve">the Human Rights Secretariat, and other competent public institutions related to this specific case, and especially for all the staff of public and private psychiatric hospitals in </w:t>
      </w:r>
      <w:r w:rsidR="001D0D49" w:rsidRPr="00C9465D">
        <w:rPr>
          <w:color w:val="auto"/>
          <w:lang w:val="en-US"/>
        </w:rPr>
        <w:t>Ecuador</w:t>
      </w:r>
      <w:r w:rsidR="001C5103" w:rsidRPr="00C9465D">
        <w:rPr>
          <w:color w:val="auto"/>
          <w:lang w:val="en-US"/>
        </w:rPr>
        <w:t>.</w:t>
      </w:r>
      <w:r w:rsidR="001D0D49" w:rsidRPr="00C9465D">
        <w:rPr>
          <w:color w:val="auto"/>
          <w:lang w:val="en-US"/>
        </w:rPr>
        <w:t xml:space="preserve">” </w:t>
      </w:r>
      <w:r w:rsidR="001C5103" w:rsidRPr="00C9465D">
        <w:rPr>
          <w:color w:val="auto"/>
          <w:lang w:val="en-US"/>
        </w:rPr>
        <w:t>They indicated that the “training programs should include, among other topics, those relating to the international standards on disappearance of persons and en</w:t>
      </w:r>
      <w:r w:rsidR="001C5103" w:rsidRPr="00C9465D">
        <w:rPr>
          <w:rFonts w:cs="Times New Roman"/>
          <w:color w:val="auto"/>
          <w:lang w:val="en-US"/>
        </w:rPr>
        <w:t xml:space="preserve">forced disappearance and, in general, on human rights related to the relevant case law of the inter-American system. These programs or courses must be permanent and addressed at the aforementioned officials of the public system at all </w:t>
      </w:r>
      <w:r w:rsidR="001C5103" w:rsidRPr="00C9465D">
        <w:rPr>
          <w:rFonts w:cs="Times New Roman"/>
          <w:color w:val="auto"/>
          <w:lang w:val="en-US"/>
        </w:rPr>
        <w:lastRenderedPageBreak/>
        <w:t xml:space="preserve">hierarchical levels. In addition, </w:t>
      </w:r>
      <w:r w:rsidR="0027499B" w:rsidRPr="00C9465D">
        <w:rPr>
          <w:rFonts w:cs="Times New Roman"/>
          <w:color w:val="auto"/>
          <w:lang w:val="en-US"/>
        </w:rPr>
        <w:t>information on the case and on enforced disappearances in the country must be included in the core curricula and study plans in order to expand and increase awareness of the Ecuadorian historical memory concerning serious human rights violations.</w:t>
      </w:r>
    </w:p>
    <w:p w14:paraId="61854C80" w14:textId="3D7FFB4D" w:rsidR="0027499B" w:rsidRPr="00C9465D" w:rsidRDefault="00193CBB" w:rsidP="001D0D49">
      <w:pPr>
        <w:pStyle w:val="Numberedparagraphs"/>
        <w:rPr>
          <w:lang w:val="en-US"/>
        </w:rPr>
      </w:pPr>
      <w:r w:rsidRPr="00C9465D">
        <w:rPr>
          <w:lang w:val="en-US"/>
        </w:rPr>
        <w:t xml:space="preserve">The </w:t>
      </w:r>
      <w:r w:rsidRPr="00C9465D">
        <w:rPr>
          <w:b/>
          <w:bCs/>
          <w:i/>
          <w:iCs/>
          <w:lang w:val="en-US"/>
        </w:rPr>
        <w:t>State</w:t>
      </w:r>
      <w:r w:rsidR="001D0D49" w:rsidRPr="00C9465D">
        <w:rPr>
          <w:b/>
          <w:i/>
          <w:lang w:val="en-US"/>
        </w:rPr>
        <w:t xml:space="preserve"> </w:t>
      </w:r>
      <w:r w:rsidR="0027499B" w:rsidRPr="00C9465D">
        <w:rPr>
          <w:lang w:val="en-US"/>
        </w:rPr>
        <w:t>indicated that the</w:t>
      </w:r>
      <w:r w:rsidR="001D0D49" w:rsidRPr="00C9465D">
        <w:rPr>
          <w:lang w:val="en-US"/>
        </w:rPr>
        <w:t xml:space="preserve"> </w:t>
      </w:r>
      <w:r w:rsidR="0027499B" w:rsidRPr="00C9465D">
        <w:rPr>
          <w:lang w:val="en-US"/>
        </w:rPr>
        <w:t>Ministry of</w:t>
      </w:r>
      <w:r w:rsidR="001D0D49" w:rsidRPr="00C9465D">
        <w:rPr>
          <w:lang w:val="en-US"/>
        </w:rPr>
        <w:t xml:space="preserve"> </w:t>
      </w:r>
      <w:r w:rsidR="00D12C0E" w:rsidRPr="00C9465D">
        <w:rPr>
          <w:lang w:val="en-US"/>
        </w:rPr>
        <w:t>Health</w:t>
      </w:r>
      <w:r w:rsidR="001D0D49" w:rsidRPr="00C9465D">
        <w:rPr>
          <w:lang w:val="en-US"/>
        </w:rPr>
        <w:t xml:space="preserve"> </w:t>
      </w:r>
      <w:r w:rsidR="0027499B" w:rsidRPr="00C9465D">
        <w:rPr>
          <w:lang w:val="en-US"/>
        </w:rPr>
        <w:t xml:space="preserve">had a system of virtual training modules through which “it has designed and executed workshops on the rights of persons belonging to groups requiring priority attention, and health care for victims of serious human rights violations and crimes against humanity. Professionals in the fields of medicine, psychology, nursing and social work, who perform functions at different levels of health care, participate in these training modules and this </w:t>
      </w:r>
      <w:r w:rsidR="00CC0377" w:rsidRPr="00C9465D">
        <w:rPr>
          <w:lang w:val="en-US"/>
        </w:rPr>
        <w:t>allows</w:t>
      </w:r>
      <w:r w:rsidR="0027499B" w:rsidRPr="00C9465D">
        <w:rPr>
          <w:lang w:val="en-US"/>
        </w:rPr>
        <w:t xml:space="preserve"> </w:t>
      </w:r>
      <w:r w:rsidR="00CC0377" w:rsidRPr="00C9465D">
        <w:rPr>
          <w:lang w:val="en-US"/>
        </w:rPr>
        <w:t>care to be improved</w:t>
      </w:r>
      <w:r w:rsidR="0027499B" w:rsidRPr="00C9465D">
        <w:rPr>
          <w:lang w:val="en-US"/>
        </w:rPr>
        <w:t xml:space="preserve"> in keeping with standards of quality and friendliness, raise</w:t>
      </w:r>
      <w:r w:rsidR="00CC0377" w:rsidRPr="00C9465D">
        <w:rPr>
          <w:lang w:val="en-US"/>
        </w:rPr>
        <w:t>s</w:t>
      </w:r>
      <w:r w:rsidR="0027499B" w:rsidRPr="00C9465D">
        <w:rPr>
          <w:lang w:val="en-US"/>
        </w:rPr>
        <w:t xml:space="preserve"> the awareness of </w:t>
      </w:r>
      <w:r w:rsidR="00CC0377" w:rsidRPr="00C9465D">
        <w:rPr>
          <w:lang w:val="en-US"/>
        </w:rPr>
        <w:t xml:space="preserve">the </w:t>
      </w:r>
      <w:r w:rsidR="0027499B" w:rsidRPr="00C9465D">
        <w:rPr>
          <w:lang w:val="en-US"/>
        </w:rPr>
        <w:t xml:space="preserve">personnel </w:t>
      </w:r>
      <w:r w:rsidR="00CC0377" w:rsidRPr="00C9465D">
        <w:rPr>
          <w:lang w:val="en-US"/>
        </w:rPr>
        <w:t>concerning</w:t>
      </w:r>
      <w:r w:rsidR="0027499B" w:rsidRPr="00C9465D">
        <w:rPr>
          <w:lang w:val="en-US"/>
        </w:rPr>
        <w:t xml:space="preserve"> the needs of vulnerable groups and </w:t>
      </w:r>
      <w:r w:rsidR="00CC0377" w:rsidRPr="00C9465D">
        <w:rPr>
          <w:lang w:val="en-US"/>
        </w:rPr>
        <w:t>for</w:t>
      </w:r>
      <w:r w:rsidR="0027499B" w:rsidRPr="00C9465D">
        <w:rPr>
          <w:lang w:val="en-US"/>
        </w:rPr>
        <w:t xml:space="preserve"> priority care, and prevent</w:t>
      </w:r>
      <w:r w:rsidR="00B92F46" w:rsidRPr="00C9465D">
        <w:rPr>
          <w:lang w:val="en-US"/>
        </w:rPr>
        <w:t>s</w:t>
      </w:r>
      <w:r w:rsidR="0027499B" w:rsidRPr="00C9465D">
        <w:rPr>
          <w:lang w:val="en-US"/>
        </w:rPr>
        <w:t xml:space="preserve"> human rights violations.”</w:t>
      </w:r>
    </w:p>
    <w:p w14:paraId="25DCE32F" w14:textId="6880830C" w:rsidR="001D0D49" w:rsidRPr="00C9465D" w:rsidRDefault="00B71E4D" w:rsidP="00912FFF">
      <w:pPr>
        <w:pStyle w:val="Numberedparagraphs"/>
        <w:rPr>
          <w:color w:val="auto"/>
          <w:lang w:val="en-US"/>
        </w:rPr>
      </w:pPr>
      <w:r w:rsidRPr="00C9465D">
        <w:rPr>
          <w:color w:val="auto"/>
          <w:lang w:val="en-US"/>
        </w:rPr>
        <w:t>This Court</w:t>
      </w:r>
      <w:r w:rsidR="001D0D49" w:rsidRPr="00C9465D">
        <w:rPr>
          <w:color w:val="auto"/>
          <w:lang w:val="en-US"/>
        </w:rPr>
        <w:t xml:space="preserve"> </w:t>
      </w:r>
      <w:r w:rsidR="0027499B" w:rsidRPr="00C9465D">
        <w:rPr>
          <w:color w:val="auto"/>
          <w:lang w:val="en-US"/>
        </w:rPr>
        <w:t xml:space="preserve">appreciates the efforts made by the State to train personnel in this way. However, it stresses that States have the obligation to </w:t>
      </w:r>
      <w:r w:rsidR="00B92F46" w:rsidRPr="00C9465D">
        <w:rPr>
          <w:color w:val="auto"/>
          <w:lang w:val="en-US"/>
        </w:rPr>
        <w:t>guarantee</w:t>
      </w:r>
      <w:r w:rsidR="0027499B" w:rsidRPr="00C9465D">
        <w:rPr>
          <w:color w:val="auto"/>
          <w:lang w:val="en-US"/>
        </w:rPr>
        <w:t xml:space="preserve"> that “[a]ll health and medical personnel </w:t>
      </w:r>
      <w:r w:rsidR="005069F4" w:rsidRPr="00C9465D">
        <w:rPr>
          <w:color w:val="auto"/>
          <w:lang w:val="en-US"/>
        </w:rPr>
        <w:t>should ensure</w:t>
      </w:r>
      <w:r w:rsidR="0027499B" w:rsidRPr="00C9465D">
        <w:rPr>
          <w:color w:val="auto"/>
          <w:lang w:val="en-US"/>
        </w:rPr>
        <w:t xml:space="preserve"> appropriate consultation </w:t>
      </w:r>
      <w:r w:rsidR="005069F4" w:rsidRPr="00C9465D">
        <w:rPr>
          <w:color w:val="auto"/>
          <w:lang w:val="en-US"/>
        </w:rPr>
        <w:t xml:space="preserve">that </w:t>
      </w:r>
      <w:r w:rsidR="0027499B" w:rsidRPr="00C9465D">
        <w:rPr>
          <w:color w:val="auto"/>
          <w:lang w:val="en-US"/>
        </w:rPr>
        <w:t xml:space="preserve">directly </w:t>
      </w:r>
      <w:r w:rsidR="005069F4" w:rsidRPr="00C9465D">
        <w:rPr>
          <w:color w:val="auto"/>
          <w:lang w:val="en-US"/>
        </w:rPr>
        <w:t>engages</w:t>
      </w:r>
      <w:r w:rsidR="0027499B" w:rsidRPr="00C9465D">
        <w:rPr>
          <w:color w:val="auto"/>
          <w:lang w:val="en-US"/>
        </w:rPr>
        <w:t xml:space="preserve"> the person with disabilities. Th</w:t>
      </w:r>
      <w:r w:rsidR="005069F4" w:rsidRPr="00C9465D">
        <w:rPr>
          <w:color w:val="auto"/>
          <w:lang w:val="en-US"/>
        </w:rPr>
        <w:t>ey</w:t>
      </w:r>
      <w:r w:rsidR="0027499B" w:rsidRPr="00C9465D">
        <w:rPr>
          <w:color w:val="auto"/>
          <w:lang w:val="en-US"/>
        </w:rPr>
        <w:t xml:space="preserve"> </w:t>
      </w:r>
      <w:r w:rsidR="005069F4" w:rsidRPr="00C9465D">
        <w:rPr>
          <w:color w:val="auto"/>
          <w:lang w:val="en-US"/>
        </w:rPr>
        <w:t>should</w:t>
      </w:r>
      <w:r w:rsidR="0027499B" w:rsidRPr="00C9465D">
        <w:rPr>
          <w:color w:val="auto"/>
          <w:lang w:val="en-US"/>
        </w:rPr>
        <w:t xml:space="preserve"> also ensure, </w:t>
      </w:r>
      <w:r w:rsidR="005069F4" w:rsidRPr="00C9465D">
        <w:rPr>
          <w:color w:val="auto"/>
          <w:lang w:val="en-US"/>
        </w:rPr>
        <w:t>to the best of their ability</w:t>
      </w:r>
      <w:r w:rsidR="0027499B" w:rsidRPr="00C9465D">
        <w:rPr>
          <w:color w:val="auto"/>
          <w:lang w:val="en-US"/>
        </w:rPr>
        <w:t xml:space="preserve">, that assistants or </w:t>
      </w:r>
      <w:r w:rsidR="005069F4" w:rsidRPr="00C9465D">
        <w:rPr>
          <w:color w:val="auto"/>
          <w:lang w:val="en-US"/>
        </w:rPr>
        <w:t xml:space="preserve">support persons </w:t>
      </w:r>
      <w:r w:rsidR="0027499B" w:rsidRPr="00C9465D">
        <w:rPr>
          <w:color w:val="auto"/>
          <w:lang w:val="en-US"/>
        </w:rPr>
        <w:t xml:space="preserve">do not substitute </w:t>
      </w:r>
      <w:r w:rsidR="005069F4" w:rsidRPr="00C9465D">
        <w:rPr>
          <w:color w:val="auto"/>
          <w:lang w:val="en-US"/>
        </w:rPr>
        <w:t>or have undue influence over the decisions of</w:t>
      </w:r>
      <w:r w:rsidR="00912FFF" w:rsidRPr="00C9465D">
        <w:rPr>
          <w:color w:val="auto"/>
          <w:lang w:val="en-US"/>
        </w:rPr>
        <w:t xml:space="preserve"> </w:t>
      </w:r>
      <w:r w:rsidR="00D85850" w:rsidRPr="00C9465D">
        <w:rPr>
          <w:color w:val="auto"/>
          <w:lang w:val="en-US"/>
        </w:rPr>
        <w:t>persons with disabilities</w:t>
      </w:r>
      <w:r w:rsidR="00912FFF" w:rsidRPr="00C9465D">
        <w:rPr>
          <w:color w:val="auto"/>
          <w:lang w:val="en-US"/>
        </w:rPr>
        <w:t>.</w:t>
      </w:r>
      <w:r w:rsidR="001D0D49" w:rsidRPr="00C9465D">
        <w:rPr>
          <w:color w:val="auto"/>
          <w:lang w:val="en-US"/>
        </w:rPr>
        <w:t>”</w:t>
      </w:r>
      <w:r w:rsidR="001D0D49" w:rsidRPr="00C9465D">
        <w:rPr>
          <w:rStyle w:val="FootnoteReference"/>
          <w:color w:val="auto"/>
          <w:lang w:val="en-US"/>
        </w:rPr>
        <w:footnoteReference w:id="377"/>
      </w:r>
      <w:r w:rsidR="00912FFF" w:rsidRPr="00C9465D">
        <w:rPr>
          <w:color w:val="auto"/>
          <w:lang w:val="en-US"/>
        </w:rPr>
        <w:t xml:space="preserve"> Therefore, the State should adopt permanent education and training programs for medical students and medical professionals (including psychiatrists), as well as all the personnel who comprise the health care and social security system</w:t>
      </w:r>
      <w:r w:rsidR="00B92F46" w:rsidRPr="00C9465D">
        <w:rPr>
          <w:color w:val="auto"/>
          <w:lang w:val="en-US"/>
        </w:rPr>
        <w:t>s</w:t>
      </w:r>
      <w:r w:rsidR="00912FFF" w:rsidRPr="00C9465D">
        <w:rPr>
          <w:color w:val="auto"/>
          <w:lang w:val="en-US"/>
        </w:rPr>
        <w:t xml:space="preserve">, on issues of informed consent, the obligation to provide the necessary support for </w:t>
      </w:r>
      <w:r w:rsidR="00D85850" w:rsidRPr="00C9465D">
        <w:rPr>
          <w:color w:val="auto"/>
          <w:lang w:val="en-US"/>
        </w:rPr>
        <w:t>persons with disabilities</w:t>
      </w:r>
      <w:r w:rsidR="001D0D49" w:rsidRPr="00C9465D">
        <w:rPr>
          <w:color w:val="auto"/>
          <w:lang w:val="en-US"/>
        </w:rPr>
        <w:t xml:space="preserve"> </w:t>
      </w:r>
      <w:r w:rsidR="00912FFF" w:rsidRPr="00C9465D">
        <w:rPr>
          <w:color w:val="auto"/>
          <w:lang w:val="en-US"/>
        </w:rPr>
        <w:t xml:space="preserve">to be able to decide in an informed manner whether or not they wish to receive a medical treatment, and the obligation to ensure that the appropriate consultation is carried out directly with the person with </w:t>
      </w:r>
      <w:r w:rsidR="00B92F46" w:rsidRPr="00C9465D">
        <w:rPr>
          <w:color w:val="auto"/>
          <w:lang w:val="en-US"/>
        </w:rPr>
        <w:t xml:space="preserve">a </w:t>
      </w:r>
      <w:r w:rsidR="00912FFF" w:rsidRPr="00C9465D">
        <w:rPr>
          <w:color w:val="auto"/>
          <w:lang w:val="en-US"/>
        </w:rPr>
        <w:t>disabilit</w:t>
      </w:r>
      <w:r w:rsidR="00B92F46" w:rsidRPr="00C9465D">
        <w:rPr>
          <w:color w:val="auto"/>
          <w:lang w:val="en-US"/>
        </w:rPr>
        <w:t>y</w:t>
      </w:r>
      <w:r w:rsidR="00912FFF" w:rsidRPr="00C9465D">
        <w:rPr>
          <w:color w:val="auto"/>
          <w:lang w:val="en-US"/>
        </w:rPr>
        <w:t>.</w:t>
      </w:r>
    </w:p>
    <w:p w14:paraId="2604589E" w14:textId="65E296AD" w:rsidR="001D0D49" w:rsidRPr="00C9465D" w:rsidRDefault="00912FFF" w:rsidP="001D0D49">
      <w:pPr>
        <w:pStyle w:val="Numberedparagraphs"/>
        <w:rPr>
          <w:color w:val="auto"/>
          <w:lang w:val="en-US"/>
        </w:rPr>
      </w:pPr>
      <w:bookmarkStart w:id="125" w:name="_Ref72330407"/>
      <w:r w:rsidRPr="00C9465D">
        <w:rPr>
          <w:color w:val="auto"/>
          <w:lang w:val="en-US"/>
        </w:rPr>
        <w:t>To this end, the Court finds it pertinent to order the State to design and implement</w:t>
      </w:r>
      <w:r w:rsidR="00B92F46" w:rsidRPr="00C9465D">
        <w:rPr>
          <w:color w:val="auto"/>
          <w:lang w:val="en-US"/>
        </w:rPr>
        <w:t>,</w:t>
      </w:r>
      <w:r w:rsidRPr="00C9465D">
        <w:rPr>
          <w:color w:val="auto"/>
          <w:lang w:val="en-US"/>
        </w:rPr>
        <w:t xml:space="preserve"> within one year and once only, a training course on </w:t>
      </w:r>
      <w:r w:rsidR="00183C22" w:rsidRPr="00C9465D">
        <w:rPr>
          <w:lang w:val="en-US"/>
        </w:rPr>
        <w:t>informed consent</w:t>
      </w:r>
      <w:r w:rsidR="00193CBB" w:rsidRPr="00C9465D">
        <w:rPr>
          <w:lang w:val="en-US"/>
        </w:rPr>
        <w:t xml:space="preserve"> and </w:t>
      </w:r>
      <w:r w:rsidRPr="00C9465D">
        <w:rPr>
          <w:lang w:val="en-US"/>
        </w:rPr>
        <w:t xml:space="preserve">the obligation </w:t>
      </w:r>
      <w:r w:rsidR="00B92F46" w:rsidRPr="00C9465D">
        <w:rPr>
          <w:lang w:val="en-US"/>
        </w:rPr>
        <w:t xml:space="preserve">to </w:t>
      </w:r>
      <w:r w:rsidRPr="00C9465D">
        <w:rPr>
          <w:lang w:val="en-US"/>
        </w:rPr>
        <w:t xml:space="preserve">provide support to </w:t>
      </w:r>
      <w:r w:rsidR="00D85850" w:rsidRPr="00C9465D">
        <w:rPr>
          <w:lang w:val="en-US"/>
        </w:rPr>
        <w:t>persons with disabilities</w:t>
      </w:r>
      <w:r w:rsidR="001D0D49" w:rsidRPr="00C9465D">
        <w:rPr>
          <w:lang w:val="en-US"/>
        </w:rPr>
        <w:t xml:space="preserve"> </w:t>
      </w:r>
      <w:r w:rsidRPr="00C9465D">
        <w:rPr>
          <w:lang w:val="en-US"/>
        </w:rPr>
        <w:t xml:space="preserve">for the medical staff and health workers </w:t>
      </w:r>
      <w:r w:rsidR="006758E3" w:rsidRPr="00C9465D">
        <w:rPr>
          <w:lang w:val="en-US"/>
        </w:rPr>
        <w:t>of the Julio Endara</w:t>
      </w:r>
      <w:r w:rsidR="001F65A3" w:rsidRPr="00C9465D">
        <w:rPr>
          <w:lang w:val="en-US"/>
        </w:rPr>
        <w:t xml:space="preserve"> Hospital</w:t>
      </w:r>
      <w:r w:rsidR="001D0D49" w:rsidRPr="00C9465D">
        <w:rPr>
          <w:lang w:val="en-US"/>
        </w:rPr>
        <w:t>.</w:t>
      </w:r>
      <w:bookmarkEnd w:id="125"/>
    </w:p>
    <w:p w14:paraId="25DEBE79" w14:textId="3EC6AFAC" w:rsidR="008846EE" w:rsidRPr="00C9465D" w:rsidRDefault="00532E10" w:rsidP="00532E10">
      <w:pPr>
        <w:pStyle w:val="Numberedparagraphs"/>
        <w:rPr>
          <w:color w:val="auto"/>
          <w:lang w:val="en-US"/>
        </w:rPr>
      </w:pPr>
      <w:bookmarkStart w:id="126" w:name="_Ref72330427"/>
      <w:r w:rsidRPr="00C9465D">
        <w:rPr>
          <w:lang w:val="en-US"/>
        </w:rPr>
        <w:t>Furthermore, the Court orders the State to design a publication or leaflet that outlines in a clear, accessible and reader-friendly way the right of persons with disabilities to receive medical care, as well as the obligations of the medical staff to provide care to persons with disabilities</w:t>
      </w:r>
      <w:r w:rsidRPr="00C9465D">
        <w:rPr>
          <w:color w:val="auto"/>
          <w:lang w:val="en-US"/>
        </w:rPr>
        <w:t xml:space="preserve">, </w:t>
      </w:r>
      <w:r w:rsidRPr="00C9465D">
        <w:rPr>
          <w:lang w:val="en-US"/>
        </w:rPr>
        <w:t>which should specifically mention prior, free, full and informed consent and the obligation to provide the necessary support to persons with disabilities. This publication must be made available in all Ecuador’s public and private hospitals for both patients and medical personnel, as well on the website of the Ministry of Public Health. The State must also make an information</w:t>
      </w:r>
      <w:r w:rsidR="000B48C6" w:rsidRPr="00C9465D">
        <w:rPr>
          <w:lang w:val="en-US"/>
        </w:rPr>
        <w:t>al</w:t>
      </w:r>
      <w:r w:rsidRPr="00C9465D">
        <w:rPr>
          <w:lang w:val="en-US"/>
        </w:rPr>
        <w:t xml:space="preserve"> video on the right of</w:t>
      </w:r>
      <w:r w:rsidRPr="00C9465D">
        <w:rPr>
          <w:color w:val="auto"/>
          <w:lang w:val="en-US"/>
        </w:rPr>
        <w:t xml:space="preserve"> </w:t>
      </w:r>
      <w:r w:rsidR="00D85850" w:rsidRPr="00C9465D">
        <w:rPr>
          <w:lang w:val="en-US"/>
        </w:rPr>
        <w:t>persons with disabilities</w:t>
      </w:r>
      <w:r w:rsidR="001D0D49" w:rsidRPr="00C9465D">
        <w:rPr>
          <w:lang w:val="en-US"/>
        </w:rPr>
        <w:t xml:space="preserve"> </w:t>
      </w:r>
      <w:r w:rsidRPr="00C9465D">
        <w:rPr>
          <w:lang w:val="en-US"/>
        </w:rPr>
        <w:t xml:space="preserve">to receive medical care, as well as the obligations of the medical personnel to provide care to persons with </w:t>
      </w:r>
      <w:r w:rsidR="00D85850" w:rsidRPr="00C9465D">
        <w:rPr>
          <w:lang w:val="en-US"/>
        </w:rPr>
        <w:t>disabilities</w:t>
      </w:r>
      <w:r w:rsidR="001D0D49" w:rsidRPr="00C9465D">
        <w:rPr>
          <w:lang w:val="en-US"/>
        </w:rPr>
        <w:t>,</w:t>
      </w:r>
      <w:r w:rsidRPr="00C9465D">
        <w:rPr>
          <w:lang w:val="en-US"/>
        </w:rPr>
        <w:t xml:space="preserve"> and in which specific mention is made of prior, free, full and informed consent and the obligation to provide the necessary support to</w:t>
      </w:r>
      <w:r w:rsidRPr="00C9465D">
        <w:rPr>
          <w:color w:val="auto"/>
          <w:lang w:val="en-US"/>
        </w:rPr>
        <w:t xml:space="preserve"> </w:t>
      </w:r>
      <w:r w:rsidR="00D85850" w:rsidRPr="00C9465D">
        <w:rPr>
          <w:lang w:val="en-US"/>
        </w:rPr>
        <w:t>persons with disabilities</w:t>
      </w:r>
      <w:r w:rsidR="001D0D49" w:rsidRPr="00C9465D">
        <w:rPr>
          <w:lang w:val="en-US"/>
        </w:rPr>
        <w:t xml:space="preserve">. </w:t>
      </w:r>
      <w:r w:rsidRPr="00C9465D">
        <w:rPr>
          <w:lang w:val="en-US"/>
        </w:rPr>
        <w:t xml:space="preserve">This video must be available on the website of the </w:t>
      </w:r>
      <w:r w:rsidR="00422D91" w:rsidRPr="00C9465D">
        <w:rPr>
          <w:lang w:val="en-US"/>
        </w:rPr>
        <w:t>Ministry of Public Health</w:t>
      </w:r>
      <w:r w:rsidR="00193CBB" w:rsidRPr="00C9465D">
        <w:rPr>
          <w:lang w:val="en-US"/>
        </w:rPr>
        <w:t xml:space="preserve"> and</w:t>
      </w:r>
      <w:r w:rsidRPr="00C9465D">
        <w:rPr>
          <w:lang w:val="en-US"/>
        </w:rPr>
        <w:t>, insofar as possible, must be shown in public hospitals. The State must inform the Court each year on the implementation of this measure for three years once this me</w:t>
      </w:r>
      <w:r w:rsidR="00B92F46" w:rsidRPr="00C9465D">
        <w:rPr>
          <w:lang w:val="en-US"/>
        </w:rPr>
        <w:t>asure</w:t>
      </w:r>
      <w:r w:rsidRPr="00C9465D">
        <w:rPr>
          <w:lang w:val="en-US"/>
        </w:rPr>
        <w:t xml:space="preserve"> has been implemented</w:t>
      </w:r>
      <w:r w:rsidR="005457EC" w:rsidRPr="00C9465D">
        <w:rPr>
          <w:lang w:val="en-US"/>
        </w:rPr>
        <w:t>.</w:t>
      </w:r>
      <w:bookmarkEnd w:id="126"/>
    </w:p>
    <w:p w14:paraId="5D5B79BC" w14:textId="3C5483A9" w:rsidR="002D2057" w:rsidRPr="00C9465D" w:rsidRDefault="002D2057" w:rsidP="001D0D49">
      <w:pPr>
        <w:pStyle w:val="Heading3"/>
        <w:tabs>
          <w:tab w:val="num" w:pos="567"/>
        </w:tabs>
        <w:rPr>
          <w:lang w:val="en-US"/>
        </w:rPr>
      </w:pPr>
      <w:bookmarkStart w:id="127" w:name="_Toc74298483"/>
      <w:r w:rsidRPr="00C9465D">
        <w:rPr>
          <w:lang w:val="en-US"/>
        </w:rPr>
        <w:t xml:space="preserve">E.3 </w:t>
      </w:r>
      <w:r w:rsidRPr="00C9465D">
        <w:rPr>
          <w:lang w:val="en-US"/>
        </w:rPr>
        <w:tab/>
      </w:r>
      <w:r w:rsidR="00532E10" w:rsidRPr="00C9465D">
        <w:rPr>
          <w:lang w:val="en-US"/>
        </w:rPr>
        <w:t>Action protocol for public health officials when</w:t>
      </w:r>
      <w:r w:rsidRPr="00C9465D">
        <w:rPr>
          <w:lang w:val="en-US"/>
        </w:rPr>
        <w:t xml:space="preserve"> </w:t>
      </w:r>
      <w:r w:rsidR="00532E10" w:rsidRPr="00C9465D">
        <w:rPr>
          <w:lang w:val="en-US"/>
        </w:rPr>
        <w:t xml:space="preserve">a disappearance </w:t>
      </w:r>
      <w:bookmarkEnd w:id="127"/>
      <w:r w:rsidR="00283AF9" w:rsidRPr="00C9465D">
        <w:rPr>
          <w:lang w:val="en-US"/>
        </w:rPr>
        <w:t>occurs</w:t>
      </w:r>
    </w:p>
    <w:p w14:paraId="44BD7CA8" w14:textId="201B3D0D" w:rsidR="00532E10" w:rsidRPr="00C9465D" w:rsidRDefault="00193CBB" w:rsidP="002D2057">
      <w:pPr>
        <w:pStyle w:val="Numberedparagraphs"/>
        <w:rPr>
          <w:b/>
          <w:lang w:val="en-US"/>
        </w:rPr>
      </w:pPr>
      <w:r w:rsidRPr="00C9465D">
        <w:rPr>
          <w:lang w:val="en-US"/>
        </w:rPr>
        <w:t xml:space="preserve">The </w:t>
      </w:r>
      <w:r w:rsidRPr="00C9465D">
        <w:rPr>
          <w:b/>
          <w:bCs/>
          <w:i/>
          <w:iCs/>
          <w:lang w:val="en-US"/>
        </w:rPr>
        <w:t>representatives</w:t>
      </w:r>
      <w:r w:rsidR="002D2057" w:rsidRPr="00C9465D">
        <w:rPr>
          <w:b/>
          <w:bCs/>
          <w:i/>
          <w:iCs/>
          <w:lang w:val="en-US"/>
        </w:rPr>
        <w:t xml:space="preserve"> </w:t>
      </w:r>
      <w:r w:rsidR="00532E10" w:rsidRPr="00C9465D">
        <w:rPr>
          <w:lang w:val="en-US"/>
        </w:rPr>
        <w:t>asked</w:t>
      </w:r>
      <w:r w:rsidR="002D2057" w:rsidRPr="00C9465D">
        <w:rPr>
          <w:lang w:val="en-US"/>
        </w:rPr>
        <w:t xml:space="preserve"> </w:t>
      </w:r>
      <w:r w:rsidRPr="00C9465D">
        <w:rPr>
          <w:lang w:val="en-US"/>
        </w:rPr>
        <w:t>the Court</w:t>
      </w:r>
      <w:r w:rsidR="002D2057" w:rsidRPr="00C9465D">
        <w:rPr>
          <w:lang w:val="en-US"/>
        </w:rPr>
        <w:t xml:space="preserve"> </w:t>
      </w:r>
      <w:r w:rsidR="00532E10" w:rsidRPr="00C9465D">
        <w:rPr>
          <w:lang w:val="en-US"/>
        </w:rPr>
        <w:t>to order</w:t>
      </w:r>
      <w:r w:rsidR="002D2057" w:rsidRPr="00C9465D">
        <w:rPr>
          <w:lang w:val="en-US"/>
        </w:rPr>
        <w:t xml:space="preserve"> “</w:t>
      </w:r>
      <w:r w:rsidR="00532E10" w:rsidRPr="00C9465D">
        <w:rPr>
          <w:lang w:val="en-US"/>
        </w:rPr>
        <w:t xml:space="preserve">the issue of a specific legal instrument on investigation, search and localization in cases of disappearances from public institutions.” The </w:t>
      </w:r>
      <w:r w:rsidR="00532E10" w:rsidRPr="00C9465D">
        <w:rPr>
          <w:b/>
          <w:bCs/>
          <w:i/>
          <w:iCs/>
          <w:lang w:val="en-US"/>
        </w:rPr>
        <w:t>State</w:t>
      </w:r>
      <w:r w:rsidR="00532E10" w:rsidRPr="00C9465D">
        <w:rPr>
          <w:lang w:val="en-US"/>
        </w:rPr>
        <w:t xml:space="preserve"> indicated that, in 2020, it had adopted the Organic </w:t>
      </w:r>
      <w:r w:rsidR="00283AF9" w:rsidRPr="00C9465D">
        <w:rPr>
          <w:lang w:val="en-US"/>
        </w:rPr>
        <w:t>Law</w:t>
      </w:r>
      <w:r w:rsidR="00532E10" w:rsidRPr="00C9465D">
        <w:rPr>
          <w:lang w:val="en-US"/>
        </w:rPr>
        <w:t xml:space="preserve"> on Actions in Cases of </w:t>
      </w:r>
      <w:r w:rsidR="00532E10" w:rsidRPr="00C9465D">
        <w:rPr>
          <w:lang w:val="en-US"/>
        </w:rPr>
        <w:lastRenderedPageBreak/>
        <w:t xml:space="preserve">Disappeared or Missing Persons, which “includes the immediate search for individuals following a report, immediate attention, and that the search continues until the remains of the persons appear [and] stipulates the creation of a national list of disappeared persons.” Consequently, </w:t>
      </w:r>
      <w:r w:rsidR="00D8209E" w:rsidRPr="00C9465D">
        <w:rPr>
          <w:lang w:val="en-US"/>
        </w:rPr>
        <w:t>Ecuador</w:t>
      </w:r>
      <w:r w:rsidR="00532E10" w:rsidRPr="00C9465D">
        <w:rPr>
          <w:lang w:val="en-US"/>
        </w:rPr>
        <w:t xml:space="preserve"> considered that the measure of reparation requested by the representatives was unnecessary.</w:t>
      </w:r>
    </w:p>
    <w:p w14:paraId="48EB4B50" w14:textId="51F7AFDA" w:rsidR="002D2057" w:rsidRPr="00C9465D" w:rsidRDefault="005069F4" w:rsidP="005069F4">
      <w:pPr>
        <w:pStyle w:val="Numberedparagraphs"/>
        <w:rPr>
          <w:lang w:val="en-US"/>
        </w:rPr>
      </w:pPr>
      <w:bookmarkStart w:id="128" w:name="_Ref72330472"/>
      <w:r w:rsidRPr="00C9465D">
        <w:rPr>
          <w:lang w:val="en-US"/>
        </w:rPr>
        <w:t xml:space="preserve">In the instant case, the Court has </w:t>
      </w:r>
      <w:r w:rsidR="00D8209E" w:rsidRPr="00C9465D">
        <w:rPr>
          <w:lang w:val="en-US"/>
        </w:rPr>
        <w:t>considered</w:t>
      </w:r>
      <w:r w:rsidRPr="00C9465D">
        <w:rPr>
          <w:lang w:val="en-US"/>
        </w:rPr>
        <w:t xml:space="preserve"> it proved that the public officials who worked in the </w:t>
      </w:r>
      <w:r w:rsidR="001F65A3" w:rsidRPr="00C9465D">
        <w:rPr>
          <w:lang w:val="en-US"/>
        </w:rPr>
        <w:t>Julio Endara Hospital</w:t>
      </w:r>
      <w:r w:rsidR="002D2057" w:rsidRPr="00C9465D">
        <w:rPr>
          <w:lang w:val="en-US"/>
        </w:rPr>
        <w:t xml:space="preserve"> </w:t>
      </w:r>
      <w:r w:rsidRPr="00C9465D">
        <w:rPr>
          <w:lang w:val="en-US"/>
        </w:rPr>
        <w:t xml:space="preserve">did not act with </w:t>
      </w:r>
      <w:r w:rsidR="000A73DA" w:rsidRPr="00C9465D">
        <w:rPr>
          <w:lang w:val="en-US"/>
        </w:rPr>
        <w:t>due diligence</w:t>
      </w:r>
      <w:r w:rsidR="002D2057" w:rsidRPr="00C9465D">
        <w:rPr>
          <w:lang w:val="en-US"/>
        </w:rPr>
        <w:t xml:space="preserve"> </w:t>
      </w:r>
      <w:r w:rsidRPr="00C9465D">
        <w:rPr>
          <w:lang w:val="en-US"/>
        </w:rPr>
        <w:t xml:space="preserve">by reporting </w:t>
      </w:r>
      <w:r w:rsidR="00BF6AD0" w:rsidRPr="00C9465D">
        <w:rPr>
          <w:lang w:val="en-US"/>
        </w:rPr>
        <w:t>the disappearance of</w:t>
      </w:r>
      <w:r w:rsidR="002F3237" w:rsidRPr="00C9465D">
        <w:rPr>
          <w:lang w:val="en-US"/>
        </w:rPr>
        <w:t xml:space="preserve"> Mr. Guachalá</w:t>
      </w:r>
      <w:r w:rsidR="002D2057" w:rsidRPr="00C9465D">
        <w:rPr>
          <w:lang w:val="en-US"/>
        </w:rPr>
        <w:t xml:space="preserve"> Chimbo </w:t>
      </w:r>
      <w:r w:rsidRPr="00C9465D">
        <w:rPr>
          <w:lang w:val="en-US"/>
        </w:rPr>
        <w:t xml:space="preserve">to the competent authorities </w:t>
      </w:r>
      <w:r w:rsidR="002D2057" w:rsidRPr="00C9465D">
        <w:rPr>
          <w:lang w:val="en-US"/>
        </w:rPr>
        <w:t>(</w:t>
      </w:r>
      <w:r w:rsidR="002D2057" w:rsidRPr="00C9465D">
        <w:rPr>
          <w:i/>
          <w:lang w:val="en-US"/>
        </w:rPr>
        <w:t>supra</w:t>
      </w:r>
      <w:r w:rsidR="002D2057" w:rsidRPr="00C9465D">
        <w:rPr>
          <w:lang w:val="en-US"/>
        </w:rPr>
        <w:t xml:space="preserve"> </w:t>
      </w:r>
      <w:r w:rsidR="00D8466F" w:rsidRPr="00C9465D">
        <w:rPr>
          <w:lang w:val="en-US"/>
        </w:rPr>
        <w:t>paras.</w:t>
      </w:r>
      <w:r w:rsidR="002D2057" w:rsidRPr="00C9465D">
        <w:rPr>
          <w:lang w:val="en-US"/>
        </w:rPr>
        <w:t xml:space="preserve"> </w:t>
      </w:r>
      <w:r w:rsidR="005A4459" w:rsidRPr="00C9465D">
        <w:rPr>
          <w:lang w:val="en-US"/>
        </w:rPr>
        <w:fldChar w:fldCharType="begin"/>
      </w:r>
      <w:r w:rsidR="005A4459" w:rsidRPr="00C9465D">
        <w:rPr>
          <w:lang w:val="en-US"/>
        </w:rPr>
        <w:instrText xml:space="preserve"> REF _Ref72159313 \r \h </w:instrText>
      </w:r>
      <w:r w:rsidR="00496133" w:rsidRPr="00C9465D">
        <w:rPr>
          <w:lang w:val="en-US"/>
        </w:rPr>
        <w:instrText xml:space="preserve"> \* MERGEFORMAT </w:instrText>
      </w:r>
      <w:r w:rsidR="005A4459" w:rsidRPr="00C9465D">
        <w:rPr>
          <w:lang w:val="en-US"/>
        </w:rPr>
      </w:r>
      <w:r w:rsidR="005A4459" w:rsidRPr="00C9465D">
        <w:rPr>
          <w:lang w:val="en-US"/>
        </w:rPr>
        <w:fldChar w:fldCharType="separate"/>
      </w:r>
      <w:r w:rsidR="005A4459" w:rsidRPr="00C9465D">
        <w:rPr>
          <w:lang w:val="en-US"/>
        </w:rPr>
        <w:t>187</w:t>
      </w:r>
      <w:r w:rsidR="005A4459" w:rsidRPr="00C9465D">
        <w:rPr>
          <w:lang w:val="en-US"/>
        </w:rPr>
        <w:fldChar w:fldCharType="end"/>
      </w:r>
      <w:r w:rsidR="005A4459" w:rsidRPr="00C9465D">
        <w:rPr>
          <w:lang w:val="en-US"/>
        </w:rPr>
        <w:t xml:space="preserve"> </w:t>
      </w:r>
      <w:r w:rsidRPr="00C9465D">
        <w:rPr>
          <w:lang w:val="en-US"/>
        </w:rPr>
        <w:t>to</w:t>
      </w:r>
      <w:r w:rsidR="005A4459" w:rsidRPr="00C9465D">
        <w:rPr>
          <w:lang w:val="en-US"/>
        </w:rPr>
        <w:t xml:space="preserve"> </w:t>
      </w:r>
      <w:r w:rsidR="005A4459" w:rsidRPr="00C9465D">
        <w:rPr>
          <w:lang w:val="en-US"/>
        </w:rPr>
        <w:fldChar w:fldCharType="begin"/>
      </w:r>
      <w:r w:rsidR="005A4459" w:rsidRPr="00C9465D">
        <w:rPr>
          <w:lang w:val="en-US"/>
        </w:rPr>
        <w:instrText xml:space="preserve"> REF _Ref72159318 \r \h </w:instrText>
      </w:r>
      <w:r w:rsidR="00496133" w:rsidRPr="00C9465D">
        <w:rPr>
          <w:lang w:val="en-US"/>
        </w:rPr>
        <w:instrText xml:space="preserve"> \* MERGEFORMAT </w:instrText>
      </w:r>
      <w:r w:rsidR="005A4459" w:rsidRPr="00C9465D">
        <w:rPr>
          <w:lang w:val="en-US"/>
        </w:rPr>
      </w:r>
      <w:r w:rsidR="005A4459" w:rsidRPr="00C9465D">
        <w:rPr>
          <w:lang w:val="en-US"/>
        </w:rPr>
        <w:fldChar w:fldCharType="separate"/>
      </w:r>
      <w:r w:rsidR="005A4459" w:rsidRPr="00C9465D">
        <w:rPr>
          <w:lang w:val="en-US"/>
        </w:rPr>
        <w:t>198</w:t>
      </w:r>
      <w:r w:rsidR="005A4459" w:rsidRPr="00C9465D">
        <w:rPr>
          <w:lang w:val="en-US"/>
        </w:rPr>
        <w:fldChar w:fldCharType="end"/>
      </w:r>
      <w:r w:rsidR="002D2057" w:rsidRPr="00C9465D">
        <w:rPr>
          <w:lang w:val="en-US"/>
        </w:rPr>
        <w:t xml:space="preserve">). </w:t>
      </w:r>
      <w:r w:rsidR="00193CBB" w:rsidRPr="00C9465D">
        <w:rPr>
          <w:lang w:val="en-US"/>
        </w:rPr>
        <w:t>The Court</w:t>
      </w:r>
      <w:r w:rsidR="002D2057" w:rsidRPr="00C9465D">
        <w:rPr>
          <w:lang w:val="en-US"/>
        </w:rPr>
        <w:t xml:space="preserve"> </w:t>
      </w:r>
      <w:r w:rsidRPr="00C9465D">
        <w:rPr>
          <w:lang w:val="en-US"/>
        </w:rPr>
        <w:t xml:space="preserve">notes that, since the facts of this case occurred, the State has taken various measures, including the publication of the Organic </w:t>
      </w:r>
      <w:r w:rsidR="00283AF9" w:rsidRPr="00C9465D">
        <w:rPr>
          <w:lang w:val="en-US"/>
        </w:rPr>
        <w:t>Law</w:t>
      </w:r>
      <w:r w:rsidRPr="00C9465D">
        <w:rPr>
          <w:lang w:val="en-US"/>
        </w:rPr>
        <w:t xml:space="preserve"> on Actions in Cases of Disappeared or Missing Persons on January 28, </w:t>
      </w:r>
      <w:r w:rsidR="002D2057" w:rsidRPr="00C9465D">
        <w:rPr>
          <w:lang w:val="en-US"/>
        </w:rPr>
        <w:t xml:space="preserve">2020. </w:t>
      </w:r>
      <w:r w:rsidR="00B71E4D" w:rsidRPr="00C9465D">
        <w:rPr>
          <w:lang w:val="en-US"/>
        </w:rPr>
        <w:t>Th</w:t>
      </w:r>
      <w:r w:rsidRPr="00C9465D">
        <w:rPr>
          <w:lang w:val="en-US"/>
        </w:rPr>
        <w:t xml:space="preserve">e </w:t>
      </w:r>
      <w:r w:rsidR="00B71E4D" w:rsidRPr="00C9465D">
        <w:rPr>
          <w:lang w:val="en-US"/>
        </w:rPr>
        <w:t>Court</w:t>
      </w:r>
      <w:r w:rsidR="002D2057" w:rsidRPr="00C9465D">
        <w:rPr>
          <w:lang w:val="en-US"/>
        </w:rPr>
        <w:t xml:space="preserve"> not</w:t>
      </w:r>
      <w:r w:rsidRPr="00C9465D">
        <w:rPr>
          <w:lang w:val="en-US"/>
        </w:rPr>
        <w:t>es that this law, even though it constitutes an important step forward in the non-repetition of facts such as those that occurred in this case, lacks specific provisions regarding the disappearance of persons in public hospitals. Therefore, the Court considers it desirable that the State develop, within one year, an action protocol for cases of disappearances of persons hospitalized in public health centers that includes the standards developed in this judgment on the obligation to notify the competent authorities so that they open an investigation</w:t>
      </w:r>
      <w:r w:rsidR="002D2057" w:rsidRPr="00C9465D">
        <w:rPr>
          <w:lang w:val="en-US"/>
        </w:rPr>
        <w:t xml:space="preserve"> (</w:t>
      </w:r>
      <w:r w:rsidR="002D2057" w:rsidRPr="00C9465D">
        <w:rPr>
          <w:i/>
          <w:lang w:val="en-US"/>
        </w:rPr>
        <w:t>supra</w:t>
      </w:r>
      <w:r w:rsidR="002D2057" w:rsidRPr="00C9465D">
        <w:rPr>
          <w:lang w:val="en-US"/>
        </w:rPr>
        <w:t xml:space="preserve"> </w:t>
      </w:r>
      <w:r w:rsidR="00D8466F" w:rsidRPr="00C9465D">
        <w:rPr>
          <w:lang w:val="en-US"/>
        </w:rPr>
        <w:t>paras.</w:t>
      </w:r>
      <w:r w:rsidR="002D2057" w:rsidRPr="00C9465D">
        <w:rPr>
          <w:lang w:val="en-US"/>
        </w:rPr>
        <w:t xml:space="preserve"> </w:t>
      </w:r>
      <w:r w:rsidR="005A4459" w:rsidRPr="00C9465D">
        <w:rPr>
          <w:lang w:val="en-US"/>
        </w:rPr>
        <w:fldChar w:fldCharType="begin"/>
      </w:r>
      <w:r w:rsidR="005A4459" w:rsidRPr="00C9465D">
        <w:rPr>
          <w:lang w:val="en-US"/>
        </w:rPr>
        <w:instrText xml:space="preserve"> REF _Ref72159313 \r \h </w:instrText>
      </w:r>
      <w:r w:rsidR="00496133" w:rsidRPr="00C9465D">
        <w:rPr>
          <w:lang w:val="en-US"/>
        </w:rPr>
        <w:instrText xml:space="preserve"> \* MERGEFORMAT </w:instrText>
      </w:r>
      <w:r w:rsidR="005A4459" w:rsidRPr="00C9465D">
        <w:rPr>
          <w:lang w:val="en-US"/>
        </w:rPr>
      </w:r>
      <w:r w:rsidR="005A4459" w:rsidRPr="00C9465D">
        <w:rPr>
          <w:lang w:val="en-US"/>
        </w:rPr>
        <w:fldChar w:fldCharType="separate"/>
      </w:r>
      <w:r w:rsidR="005A4459" w:rsidRPr="00C9465D">
        <w:rPr>
          <w:lang w:val="en-US"/>
        </w:rPr>
        <w:t>187</w:t>
      </w:r>
      <w:r w:rsidR="005A4459" w:rsidRPr="00C9465D">
        <w:rPr>
          <w:lang w:val="en-US"/>
        </w:rPr>
        <w:fldChar w:fldCharType="end"/>
      </w:r>
      <w:r w:rsidR="005A4459" w:rsidRPr="00C9465D">
        <w:rPr>
          <w:lang w:val="en-US"/>
        </w:rPr>
        <w:t xml:space="preserve"> </w:t>
      </w:r>
      <w:r w:rsidRPr="00C9465D">
        <w:rPr>
          <w:lang w:val="en-US"/>
        </w:rPr>
        <w:t>to</w:t>
      </w:r>
      <w:r w:rsidR="005A4459" w:rsidRPr="00C9465D">
        <w:rPr>
          <w:lang w:val="en-US"/>
        </w:rPr>
        <w:t xml:space="preserve"> </w:t>
      </w:r>
      <w:r w:rsidR="005A4459" w:rsidRPr="00C9465D">
        <w:rPr>
          <w:lang w:val="en-US"/>
        </w:rPr>
        <w:fldChar w:fldCharType="begin"/>
      </w:r>
      <w:r w:rsidR="005A4459" w:rsidRPr="00C9465D">
        <w:rPr>
          <w:lang w:val="en-US"/>
        </w:rPr>
        <w:instrText xml:space="preserve"> REF _Ref72159318 \r \h </w:instrText>
      </w:r>
      <w:r w:rsidR="00496133" w:rsidRPr="00C9465D">
        <w:rPr>
          <w:lang w:val="en-US"/>
        </w:rPr>
        <w:instrText xml:space="preserve"> \* MERGEFORMAT </w:instrText>
      </w:r>
      <w:r w:rsidR="005A4459" w:rsidRPr="00C9465D">
        <w:rPr>
          <w:lang w:val="en-US"/>
        </w:rPr>
      </w:r>
      <w:r w:rsidR="005A4459" w:rsidRPr="00C9465D">
        <w:rPr>
          <w:lang w:val="en-US"/>
        </w:rPr>
        <w:fldChar w:fldCharType="separate"/>
      </w:r>
      <w:r w:rsidR="005A4459" w:rsidRPr="00C9465D">
        <w:rPr>
          <w:lang w:val="en-US"/>
        </w:rPr>
        <w:t>198</w:t>
      </w:r>
      <w:r w:rsidR="005A4459" w:rsidRPr="00C9465D">
        <w:rPr>
          <w:lang w:val="en-US"/>
        </w:rPr>
        <w:fldChar w:fldCharType="end"/>
      </w:r>
      <w:r w:rsidR="005A4459" w:rsidRPr="00C9465D">
        <w:rPr>
          <w:lang w:val="en-US"/>
        </w:rPr>
        <w:t>).</w:t>
      </w:r>
      <w:bookmarkEnd w:id="128"/>
    </w:p>
    <w:p w14:paraId="78AC2DCC" w14:textId="0F1511F3" w:rsidR="00632CFA" w:rsidRPr="00C9465D" w:rsidRDefault="005069F4" w:rsidP="00BB407B">
      <w:pPr>
        <w:pStyle w:val="Heading2"/>
        <w:rPr>
          <w:lang w:val="en-US"/>
        </w:rPr>
      </w:pPr>
      <w:r w:rsidRPr="00C9465D">
        <w:rPr>
          <w:lang w:val="en-US"/>
        </w:rPr>
        <w:t>Compensation</w:t>
      </w:r>
      <w:bookmarkEnd w:id="118"/>
      <w:bookmarkEnd w:id="119"/>
    </w:p>
    <w:p w14:paraId="2C594CD0" w14:textId="147DECA7" w:rsidR="00371851" w:rsidRPr="00C9465D" w:rsidRDefault="00193CBB" w:rsidP="00AA3C22">
      <w:pPr>
        <w:pStyle w:val="Numberedparagraphs"/>
        <w:rPr>
          <w:lang w:val="en-US"/>
        </w:rPr>
      </w:pPr>
      <w:bookmarkStart w:id="129" w:name="_Toc192592"/>
      <w:bookmarkStart w:id="130" w:name="_Toc32394191"/>
      <w:bookmarkStart w:id="131" w:name="_Toc36823514"/>
      <w:bookmarkStart w:id="132" w:name="_Toc44332541"/>
      <w:r w:rsidRPr="00C9465D">
        <w:rPr>
          <w:lang w:val="en-US"/>
        </w:rPr>
        <w:t xml:space="preserve">The </w:t>
      </w:r>
      <w:r w:rsidRPr="00C9465D">
        <w:rPr>
          <w:b/>
          <w:bCs/>
          <w:i/>
          <w:iCs/>
          <w:lang w:val="en-US"/>
        </w:rPr>
        <w:t>Commission</w:t>
      </w:r>
      <w:r w:rsidR="00371851" w:rsidRPr="00C9465D">
        <w:rPr>
          <w:lang w:val="en-US"/>
        </w:rPr>
        <w:t xml:space="preserve"> </w:t>
      </w:r>
      <w:r w:rsidR="005069F4" w:rsidRPr="00C9465D">
        <w:rPr>
          <w:lang w:val="en-US"/>
        </w:rPr>
        <w:t>asked the Court to order</w:t>
      </w:r>
      <w:r w:rsidR="00371851" w:rsidRPr="00C9465D">
        <w:rPr>
          <w:lang w:val="en-US"/>
        </w:rPr>
        <w:t xml:space="preserve"> Ecuador “</w:t>
      </w:r>
      <w:r w:rsidR="005069F4" w:rsidRPr="00C9465D">
        <w:rPr>
          <w:lang w:val="en-US"/>
        </w:rPr>
        <w:t>to make integral reparation for the human rights violations declared in the report, for both the pecuniary and the non-pecuniary aspects,” and “to order measures of financial compensation and satisfaction.</w:t>
      </w:r>
      <w:r w:rsidR="00371851" w:rsidRPr="00C9465D">
        <w:rPr>
          <w:lang w:val="en-US"/>
        </w:rPr>
        <w:t xml:space="preserve">” </w:t>
      </w:r>
    </w:p>
    <w:p w14:paraId="181929F6" w14:textId="3F7A2DD9" w:rsidR="000A411A" w:rsidRPr="00C9465D" w:rsidRDefault="002A1688" w:rsidP="00C95348">
      <w:pPr>
        <w:pStyle w:val="Heading3"/>
        <w:rPr>
          <w:lang w:val="en-US"/>
        </w:rPr>
      </w:pPr>
      <w:bookmarkStart w:id="133" w:name="_Toc74298485"/>
      <w:r w:rsidRPr="00C9465D">
        <w:rPr>
          <w:lang w:val="en-US"/>
        </w:rPr>
        <w:t>F</w:t>
      </w:r>
      <w:r w:rsidR="000A411A" w:rsidRPr="00C9465D">
        <w:rPr>
          <w:lang w:val="en-US"/>
        </w:rPr>
        <w:t xml:space="preserve">.1 </w:t>
      </w:r>
      <w:r w:rsidR="005069F4" w:rsidRPr="00C9465D">
        <w:rPr>
          <w:lang w:val="en-US"/>
        </w:rPr>
        <w:t>Pecuniary damage</w:t>
      </w:r>
      <w:bookmarkEnd w:id="133"/>
    </w:p>
    <w:p w14:paraId="4AF49E17" w14:textId="0B463F70" w:rsidR="005069F4" w:rsidRPr="00C9465D" w:rsidRDefault="00193CBB" w:rsidP="00AC22BA">
      <w:pPr>
        <w:pStyle w:val="Numberedparagraphs"/>
        <w:rPr>
          <w:b/>
          <w:lang w:val="en-US"/>
        </w:rPr>
      </w:pPr>
      <w:r w:rsidRPr="00C9465D">
        <w:rPr>
          <w:lang w:val="en-US"/>
        </w:rPr>
        <w:t xml:space="preserve">The </w:t>
      </w:r>
      <w:r w:rsidRPr="00C9465D">
        <w:rPr>
          <w:b/>
          <w:bCs/>
          <w:i/>
          <w:iCs/>
          <w:lang w:val="en-US"/>
        </w:rPr>
        <w:t>representatives</w:t>
      </w:r>
      <w:r w:rsidR="00AC22BA" w:rsidRPr="00C9465D">
        <w:rPr>
          <w:lang w:val="en-US"/>
        </w:rPr>
        <w:t xml:space="preserve"> </w:t>
      </w:r>
      <w:r w:rsidR="005069F4" w:rsidRPr="00C9465D">
        <w:rPr>
          <w:lang w:val="en-US"/>
        </w:rPr>
        <w:t>asked the Court to establish, in equity, consequential damage to cover “the actions undertaken by the family to find the victim from the day of his disappearance, which involved traveling to different parts of the country, as well as different legal procedures and measures.” They indicated that “it has not been possible to authenticate these expenses owing to the time that has passed and the impossibility of presenting documentation for all these expenses.”</w:t>
      </w:r>
    </w:p>
    <w:p w14:paraId="12BDE1AC" w14:textId="71D0F1D6" w:rsidR="00AC22BA" w:rsidRPr="00C9465D" w:rsidRDefault="00193CBB" w:rsidP="00AC22BA">
      <w:pPr>
        <w:pStyle w:val="Numberedparagraphs"/>
        <w:rPr>
          <w:lang w:val="en-US"/>
        </w:rPr>
      </w:pPr>
      <w:r w:rsidRPr="00C9465D">
        <w:rPr>
          <w:lang w:val="en-US"/>
        </w:rPr>
        <w:t xml:space="preserve">The </w:t>
      </w:r>
      <w:r w:rsidRPr="00C9465D">
        <w:rPr>
          <w:b/>
          <w:bCs/>
          <w:i/>
          <w:iCs/>
          <w:lang w:val="en-US"/>
        </w:rPr>
        <w:t>State</w:t>
      </w:r>
      <w:r w:rsidR="00AC22BA" w:rsidRPr="00C9465D">
        <w:rPr>
          <w:b/>
          <w:i/>
          <w:lang w:val="en-US"/>
        </w:rPr>
        <w:t xml:space="preserve"> </w:t>
      </w:r>
      <w:r w:rsidR="005069F4" w:rsidRPr="00C9465D">
        <w:rPr>
          <w:lang w:val="en-US"/>
        </w:rPr>
        <w:t>emphasized that</w:t>
      </w:r>
      <w:r w:rsidR="00AC22BA" w:rsidRPr="00C9465D">
        <w:rPr>
          <w:lang w:val="en-US"/>
        </w:rPr>
        <w:t xml:space="preserve"> </w:t>
      </w:r>
      <w:r w:rsidRPr="00C9465D">
        <w:rPr>
          <w:lang w:val="en-US"/>
        </w:rPr>
        <w:t>the representatives</w:t>
      </w:r>
      <w:r w:rsidR="00AC22BA" w:rsidRPr="00C9465D">
        <w:rPr>
          <w:lang w:val="en-US"/>
        </w:rPr>
        <w:t xml:space="preserve"> </w:t>
      </w:r>
      <w:r w:rsidR="005069F4" w:rsidRPr="00C9465D">
        <w:rPr>
          <w:lang w:val="en-US"/>
        </w:rPr>
        <w:t>had not</w:t>
      </w:r>
      <w:r w:rsidR="00AC22BA" w:rsidRPr="00C9465D">
        <w:rPr>
          <w:lang w:val="en-US"/>
        </w:rPr>
        <w:t xml:space="preserve"> “</w:t>
      </w:r>
      <w:r w:rsidR="005069F4" w:rsidRPr="00C9465D">
        <w:rPr>
          <w:lang w:val="en-US"/>
        </w:rPr>
        <w:t>justified their claim with any evidence.” However, it indicated that “if the Court should so decide, it should calculate this compensation based on the principle of equity.</w:t>
      </w:r>
      <w:r w:rsidR="00AC22BA" w:rsidRPr="00C9465D">
        <w:rPr>
          <w:lang w:val="en-US"/>
        </w:rPr>
        <w:t>”</w:t>
      </w:r>
    </w:p>
    <w:p w14:paraId="19874294" w14:textId="733E0845" w:rsidR="00AC22BA" w:rsidRPr="00C9465D" w:rsidRDefault="005069F4" w:rsidP="00AC22BA">
      <w:pPr>
        <w:pStyle w:val="Numberedparagraphs"/>
        <w:rPr>
          <w:lang w:val="en-US"/>
        </w:rPr>
      </w:pPr>
      <w:r w:rsidRPr="00C9465D">
        <w:rPr>
          <w:lang w:val="en-US"/>
        </w:rPr>
        <w:t>In its case law, t</w:t>
      </w:r>
      <w:r w:rsidR="00B71E4D" w:rsidRPr="00C9465D">
        <w:rPr>
          <w:lang w:val="en-US"/>
        </w:rPr>
        <w:t>his Court</w:t>
      </w:r>
      <w:r w:rsidR="00AC22BA" w:rsidRPr="00C9465D">
        <w:rPr>
          <w:lang w:val="en-US"/>
        </w:rPr>
        <w:t xml:space="preserve"> ha</w:t>
      </w:r>
      <w:r w:rsidRPr="00C9465D">
        <w:rPr>
          <w:lang w:val="en-US"/>
        </w:rPr>
        <w:t>s developed that pecuniary damage</w:t>
      </w:r>
      <w:r w:rsidR="00AC22BA" w:rsidRPr="00C9465D">
        <w:rPr>
          <w:lang w:val="en-US"/>
        </w:rPr>
        <w:t xml:space="preserve"> sup</w:t>
      </w:r>
      <w:r w:rsidRPr="00C9465D">
        <w:rPr>
          <w:lang w:val="en-US"/>
        </w:rPr>
        <w:t>poses the loss of, or detriment to, the victims’ income, the expenses incurred as a result of the facts, and the consequences of a pecuniary nature that have a causal nexus with the facts of the case.</w:t>
      </w:r>
      <w:r w:rsidR="00AC22BA" w:rsidRPr="00C9465D">
        <w:rPr>
          <w:rStyle w:val="FootnoteReference"/>
          <w:lang w:val="en-US"/>
        </w:rPr>
        <w:footnoteReference w:id="378"/>
      </w:r>
      <w:bookmarkStart w:id="134" w:name="_Ref525053004"/>
    </w:p>
    <w:p w14:paraId="7511D8FE" w14:textId="30456A43" w:rsidR="00AC22BA" w:rsidRPr="00C9465D" w:rsidRDefault="00193CBB" w:rsidP="00AC22BA">
      <w:pPr>
        <w:pStyle w:val="Numberedparagraphs"/>
        <w:rPr>
          <w:lang w:val="en-US"/>
        </w:rPr>
      </w:pPr>
      <w:bookmarkStart w:id="135" w:name="_Ref72330517"/>
      <w:r w:rsidRPr="00C9465D">
        <w:rPr>
          <w:lang w:val="en-US"/>
        </w:rPr>
        <w:t>The Court</w:t>
      </w:r>
      <w:r w:rsidR="00AC22BA" w:rsidRPr="00C9465D">
        <w:rPr>
          <w:lang w:val="en-US"/>
        </w:rPr>
        <w:t xml:space="preserve"> </w:t>
      </w:r>
      <w:r w:rsidR="005069F4" w:rsidRPr="00C9465D">
        <w:rPr>
          <w:lang w:val="en-US"/>
        </w:rPr>
        <w:t xml:space="preserve">notes that, even though no expense vouchers were presented, it can be presumed that </w:t>
      </w:r>
      <w:r w:rsidR="00D12C0E" w:rsidRPr="00C9465D">
        <w:rPr>
          <w:lang w:val="en-US"/>
        </w:rPr>
        <w:t>the members of Mr. Guachalá Chimbo’s family</w:t>
      </w:r>
      <w:r w:rsidR="00AC22BA" w:rsidRPr="00C9465D">
        <w:rPr>
          <w:lang w:val="en-US"/>
        </w:rPr>
        <w:t xml:space="preserve"> incurr</w:t>
      </w:r>
      <w:r w:rsidR="005069F4" w:rsidRPr="00C9465D">
        <w:rPr>
          <w:lang w:val="en-US"/>
        </w:rPr>
        <w:t>ed different expenses due to his disappearance. Accordingly, the Court finds it reasonable to establish the sum of</w:t>
      </w:r>
      <w:r w:rsidR="00AC22BA" w:rsidRPr="00C9465D">
        <w:rPr>
          <w:lang w:val="en-US"/>
        </w:rPr>
        <w:t xml:space="preserve"> US$15</w:t>
      </w:r>
      <w:r w:rsidR="005069F4" w:rsidRPr="00C9465D">
        <w:rPr>
          <w:lang w:val="en-US"/>
        </w:rPr>
        <w:t>,000.00</w:t>
      </w:r>
      <w:r w:rsidR="00AC22BA" w:rsidRPr="00C9465D">
        <w:rPr>
          <w:lang w:val="en-US"/>
        </w:rPr>
        <w:t xml:space="preserve"> (</w:t>
      </w:r>
      <w:r w:rsidR="005069F4" w:rsidRPr="00C9465D">
        <w:rPr>
          <w:lang w:val="en-US"/>
        </w:rPr>
        <w:t>fifteen</w:t>
      </w:r>
      <w:r w:rsidR="00AC22BA" w:rsidRPr="00C9465D">
        <w:rPr>
          <w:lang w:val="en-US"/>
        </w:rPr>
        <w:t xml:space="preserve"> </w:t>
      </w:r>
      <w:r w:rsidR="00787E97" w:rsidRPr="00C9465D">
        <w:rPr>
          <w:lang w:val="en-US"/>
        </w:rPr>
        <w:t>thousand United States dollars</w:t>
      </w:r>
      <w:r w:rsidR="00AC22BA" w:rsidRPr="00C9465D">
        <w:rPr>
          <w:lang w:val="en-US"/>
        </w:rPr>
        <w:t xml:space="preserve">) </w:t>
      </w:r>
      <w:r w:rsidR="005069F4" w:rsidRPr="00C9465D">
        <w:rPr>
          <w:lang w:val="en-US"/>
        </w:rPr>
        <w:t xml:space="preserve">as compensation for consequential damage, and this must be delivered to </w:t>
      </w:r>
      <w:r w:rsidR="00AC22BA" w:rsidRPr="00C9465D">
        <w:rPr>
          <w:lang w:val="en-US"/>
        </w:rPr>
        <w:t>Zoila Chimbo</w:t>
      </w:r>
      <w:r w:rsidR="00B4122F" w:rsidRPr="00C9465D">
        <w:rPr>
          <w:lang w:val="en-US"/>
        </w:rPr>
        <w:t xml:space="preserve"> Jarro</w:t>
      </w:r>
      <w:r w:rsidR="00AC22BA" w:rsidRPr="00C9465D">
        <w:rPr>
          <w:lang w:val="en-US"/>
        </w:rPr>
        <w:t>.</w:t>
      </w:r>
      <w:bookmarkEnd w:id="134"/>
      <w:bookmarkEnd w:id="135"/>
      <w:r w:rsidR="00AC22BA" w:rsidRPr="00C9465D">
        <w:rPr>
          <w:lang w:val="en-US"/>
        </w:rPr>
        <w:t xml:space="preserve"> </w:t>
      </w:r>
    </w:p>
    <w:p w14:paraId="78F85D8A" w14:textId="6E387845" w:rsidR="000A411A" w:rsidRPr="00C9465D" w:rsidRDefault="002A1688" w:rsidP="00C95348">
      <w:pPr>
        <w:pStyle w:val="Heading3"/>
        <w:rPr>
          <w:lang w:val="en-US"/>
        </w:rPr>
      </w:pPr>
      <w:bookmarkStart w:id="136" w:name="_Toc74298486"/>
      <w:r w:rsidRPr="00C9465D">
        <w:rPr>
          <w:lang w:val="en-US"/>
        </w:rPr>
        <w:t>F</w:t>
      </w:r>
      <w:r w:rsidR="00813618" w:rsidRPr="00C9465D">
        <w:rPr>
          <w:lang w:val="en-US"/>
        </w:rPr>
        <w:t xml:space="preserve">.2 </w:t>
      </w:r>
      <w:r w:rsidR="005069F4" w:rsidRPr="00C9465D">
        <w:rPr>
          <w:lang w:val="en-US"/>
        </w:rPr>
        <w:t>Non-pecuniary damage</w:t>
      </w:r>
      <w:bookmarkEnd w:id="136"/>
    </w:p>
    <w:p w14:paraId="73C37899" w14:textId="2449AD17" w:rsidR="00371851" w:rsidRPr="00C9465D" w:rsidRDefault="00193CBB" w:rsidP="00AA3C22">
      <w:pPr>
        <w:pStyle w:val="Numberedparagraphs"/>
        <w:rPr>
          <w:lang w:val="en-US"/>
        </w:rPr>
      </w:pPr>
      <w:r w:rsidRPr="00C9465D">
        <w:rPr>
          <w:lang w:val="en-US"/>
        </w:rPr>
        <w:lastRenderedPageBreak/>
        <w:t xml:space="preserve">The </w:t>
      </w:r>
      <w:r w:rsidRPr="00C9465D">
        <w:rPr>
          <w:b/>
          <w:bCs/>
          <w:i/>
          <w:iCs/>
          <w:lang w:val="en-US"/>
        </w:rPr>
        <w:t>representatives</w:t>
      </w:r>
      <w:r w:rsidR="00813618" w:rsidRPr="00C9465D">
        <w:rPr>
          <w:b/>
          <w:bCs/>
          <w:i/>
          <w:iCs/>
          <w:lang w:val="en-US"/>
        </w:rPr>
        <w:t xml:space="preserve"> </w:t>
      </w:r>
      <w:r w:rsidR="005069F4" w:rsidRPr="00C9465D">
        <w:rPr>
          <w:lang w:val="en-US"/>
        </w:rPr>
        <w:t>asked the Court to order the payment of US</w:t>
      </w:r>
      <w:r w:rsidR="00371851" w:rsidRPr="00C9465D">
        <w:rPr>
          <w:lang w:val="en-US"/>
        </w:rPr>
        <w:t>$150</w:t>
      </w:r>
      <w:r w:rsidR="005069F4" w:rsidRPr="00C9465D">
        <w:rPr>
          <w:lang w:val="en-US"/>
        </w:rPr>
        <w:t>,</w:t>
      </w:r>
      <w:r w:rsidR="00371851" w:rsidRPr="00C9465D">
        <w:rPr>
          <w:lang w:val="en-US"/>
        </w:rPr>
        <w:t xml:space="preserve">000 </w:t>
      </w:r>
      <w:r w:rsidR="005069F4" w:rsidRPr="00C9465D">
        <w:rPr>
          <w:lang w:val="en-US"/>
        </w:rPr>
        <w:t>to</w:t>
      </w:r>
      <w:r w:rsidR="00371851" w:rsidRPr="00C9465D">
        <w:rPr>
          <w:lang w:val="en-US"/>
        </w:rPr>
        <w:t xml:space="preserve"> Zoila </w:t>
      </w:r>
      <w:r w:rsidR="00D61212" w:rsidRPr="00C9465D">
        <w:rPr>
          <w:lang w:val="en-US"/>
        </w:rPr>
        <w:t>Chimbo</w:t>
      </w:r>
      <w:r w:rsidRPr="00C9465D">
        <w:rPr>
          <w:lang w:val="en-US"/>
        </w:rPr>
        <w:t xml:space="preserve"> and </w:t>
      </w:r>
      <w:r w:rsidR="00371851" w:rsidRPr="00C9465D">
        <w:rPr>
          <w:lang w:val="en-US"/>
        </w:rPr>
        <w:t>US$5</w:t>
      </w:r>
      <w:r w:rsidR="005069F4" w:rsidRPr="00C9465D">
        <w:rPr>
          <w:lang w:val="en-US"/>
        </w:rPr>
        <w:t>,</w:t>
      </w:r>
      <w:r w:rsidR="00371851" w:rsidRPr="00C9465D">
        <w:rPr>
          <w:lang w:val="en-US"/>
        </w:rPr>
        <w:t xml:space="preserve">000 </w:t>
      </w:r>
      <w:r w:rsidR="005069F4" w:rsidRPr="00C9465D">
        <w:rPr>
          <w:lang w:val="en-US"/>
        </w:rPr>
        <w:t xml:space="preserve">to each of </w:t>
      </w:r>
      <w:r w:rsidR="00371851" w:rsidRPr="00C9465D">
        <w:rPr>
          <w:lang w:val="en-US"/>
        </w:rPr>
        <w:t>Luis</w:t>
      </w:r>
      <w:r w:rsidR="00DD6B7B" w:rsidRPr="00C9465D">
        <w:rPr>
          <w:lang w:val="en-US"/>
        </w:rPr>
        <w:t xml:space="preserve"> Eduardo Guachalá Chimbo</w:t>
      </w:r>
      <w:r w:rsidR="005069F4" w:rsidRPr="00C9465D">
        <w:rPr>
          <w:lang w:val="en-US"/>
        </w:rPr>
        <w:t>’s siblings</w:t>
      </w:r>
      <w:r w:rsidR="00283AF9" w:rsidRPr="00C9465D">
        <w:rPr>
          <w:lang w:val="en-US"/>
        </w:rPr>
        <w:t xml:space="preserve"> for non-pecuniary damage</w:t>
      </w:r>
      <w:r w:rsidR="00371851" w:rsidRPr="00C9465D">
        <w:rPr>
          <w:lang w:val="en-US"/>
        </w:rPr>
        <w:t xml:space="preserve">. </w:t>
      </w:r>
    </w:p>
    <w:bookmarkEnd w:id="129"/>
    <w:bookmarkEnd w:id="130"/>
    <w:bookmarkEnd w:id="131"/>
    <w:bookmarkEnd w:id="132"/>
    <w:p w14:paraId="7017B957" w14:textId="1655B56E" w:rsidR="0094203A" w:rsidRPr="00C9465D" w:rsidRDefault="00193CBB" w:rsidP="00D171CA">
      <w:pPr>
        <w:pStyle w:val="Numberedparagraphs"/>
        <w:rPr>
          <w:lang w:val="en-US"/>
        </w:rPr>
      </w:pPr>
      <w:r w:rsidRPr="00C9465D">
        <w:rPr>
          <w:lang w:val="en-US"/>
        </w:rPr>
        <w:t xml:space="preserve">The </w:t>
      </w:r>
      <w:r w:rsidRPr="00C9465D">
        <w:rPr>
          <w:b/>
          <w:bCs/>
          <w:i/>
          <w:iCs/>
          <w:lang w:val="en-US"/>
        </w:rPr>
        <w:t>State</w:t>
      </w:r>
      <w:r w:rsidR="00D171CA" w:rsidRPr="00C9465D">
        <w:rPr>
          <w:lang w:val="en-US"/>
        </w:rPr>
        <w:t xml:space="preserve"> </w:t>
      </w:r>
      <w:r w:rsidR="005069F4" w:rsidRPr="00C9465D">
        <w:rPr>
          <w:lang w:val="en-US"/>
        </w:rPr>
        <w:t>argued that</w:t>
      </w:r>
      <w:r w:rsidR="00D171CA" w:rsidRPr="00C9465D">
        <w:rPr>
          <w:lang w:val="en-US"/>
        </w:rPr>
        <w:t xml:space="preserve"> </w:t>
      </w:r>
      <w:r w:rsidRPr="00C9465D">
        <w:rPr>
          <w:lang w:val="en-US"/>
        </w:rPr>
        <w:t>the representatives</w:t>
      </w:r>
      <w:r w:rsidR="00D171CA" w:rsidRPr="00C9465D">
        <w:rPr>
          <w:lang w:val="en-US"/>
        </w:rPr>
        <w:t xml:space="preserve"> “</w:t>
      </w:r>
      <w:r w:rsidR="005069F4" w:rsidRPr="00C9465D">
        <w:rPr>
          <w:lang w:val="en-US"/>
        </w:rPr>
        <w:t xml:space="preserve">support this claim for compensation on sums decided in some precedents that are not applicable to this case.” It indicated that “given the </w:t>
      </w:r>
      <w:r w:rsidR="0094203A" w:rsidRPr="00C9465D">
        <w:rPr>
          <w:lang w:val="en-US"/>
        </w:rPr>
        <w:t xml:space="preserve">failure to substantiate the presumed specific effects on the members of Luis Eduardo Guachalá’s family, [… it] asks the Court to reject the claim for non-pecuniary damage set for in the pleadings and motions brief. However, “if the Court should decide that the State should make pecuniary reparation for this concept, it asks that </w:t>
      </w:r>
      <w:r w:rsidR="00283AF9" w:rsidRPr="00C9465D">
        <w:rPr>
          <w:lang w:val="en-US"/>
        </w:rPr>
        <w:t>the Court</w:t>
      </w:r>
      <w:r w:rsidR="0094203A" w:rsidRPr="00C9465D">
        <w:rPr>
          <w:lang w:val="en-US"/>
        </w:rPr>
        <w:t xml:space="preserve"> establish this based on the principle of equity.”</w:t>
      </w:r>
    </w:p>
    <w:p w14:paraId="37232133" w14:textId="2444AE5F" w:rsidR="00D171CA" w:rsidRPr="00C9465D" w:rsidRDefault="0094203A" w:rsidP="00D171CA">
      <w:pPr>
        <w:pStyle w:val="Numberedparagraphs"/>
        <w:tabs>
          <w:tab w:val="num" w:pos="720"/>
        </w:tabs>
        <w:rPr>
          <w:lang w:val="en-US"/>
        </w:rPr>
      </w:pPr>
      <w:bookmarkStart w:id="137" w:name="_Toc44332543"/>
      <w:r w:rsidRPr="00C9465D">
        <w:rPr>
          <w:lang w:val="en-US"/>
        </w:rPr>
        <w:t>In its case law, the</w:t>
      </w:r>
      <w:r w:rsidR="00B71E4D" w:rsidRPr="00C9465D">
        <w:rPr>
          <w:lang w:val="en-US"/>
        </w:rPr>
        <w:t xml:space="preserve"> Court</w:t>
      </w:r>
      <w:r w:rsidR="00D171CA" w:rsidRPr="00C9465D">
        <w:rPr>
          <w:lang w:val="en-US"/>
        </w:rPr>
        <w:t xml:space="preserve"> ha</w:t>
      </w:r>
      <w:r w:rsidRPr="00C9465D">
        <w:rPr>
          <w:lang w:val="en-US"/>
        </w:rPr>
        <w:t>s developed the concept of</w:t>
      </w:r>
      <w:r w:rsidR="00D171CA" w:rsidRPr="00C9465D">
        <w:rPr>
          <w:lang w:val="en-US"/>
        </w:rPr>
        <w:t xml:space="preserve"> </w:t>
      </w:r>
      <w:r w:rsidR="005069F4" w:rsidRPr="00C9465D">
        <w:rPr>
          <w:lang w:val="en-US"/>
        </w:rPr>
        <w:t>non-pecuniary damage</w:t>
      </w:r>
      <w:r w:rsidR="00D171CA" w:rsidRPr="00C9465D">
        <w:rPr>
          <w:lang w:val="en-US"/>
        </w:rPr>
        <w:t>,</w:t>
      </w:r>
      <w:r w:rsidR="00193CBB" w:rsidRPr="00C9465D">
        <w:rPr>
          <w:lang w:val="en-US"/>
        </w:rPr>
        <w:t xml:space="preserve"> and </w:t>
      </w:r>
      <w:r w:rsidR="00D171CA" w:rsidRPr="00C9465D">
        <w:rPr>
          <w:lang w:val="en-US"/>
        </w:rPr>
        <w:t>ha</w:t>
      </w:r>
      <w:r w:rsidRPr="00C9465D">
        <w:rPr>
          <w:lang w:val="en-US"/>
        </w:rPr>
        <w:t xml:space="preserve">s established that this may include both the suffering and afflictions caused to the direct victim and his close family, and the impairment of </w:t>
      </w:r>
      <w:r w:rsidR="00283AF9" w:rsidRPr="00C9465D">
        <w:rPr>
          <w:lang w:val="en-US"/>
        </w:rPr>
        <w:t xml:space="preserve">a </w:t>
      </w:r>
      <w:r w:rsidRPr="00C9465D">
        <w:rPr>
          <w:lang w:val="en-US"/>
        </w:rPr>
        <w:t xml:space="preserve">value of great significance for the individual, as well as alterations of a non-pecuniary nature in the living conditions </w:t>
      </w:r>
      <w:r w:rsidR="00092D8C" w:rsidRPr="00C9465D">
        <w:rPr>
          <w:lang w:val="en-US"/>
        </w:rPr>
        <w:t xml:space="preserve">of the </w:t>
      </w:r>
      <w:r w:rsidR="00577DE0" w:rsidRPr="00C9465D">
        <w:rPr>
          <w:lang w:val="en-US"/>
        </w:rPr>
        <w:t>victim</w:t>
      </w:r>
      <w:r w:rsidR="00D171CA" w:rsidRPr="00C9465D">
        <w:rPr>
          <w:lang w:val="en-US"/>
        </w:rPr>
        <w:t xml:space="preserve"> o</w:t>
      </w:r>
      <w:r w:rsidRPr="00C9465D">
        <w:rPr>
          <w:lang w:val="en-US"/>
        </w:rPr>
        <w:t>r his family.</w:t>
      </w:r>
      <w:r w:rsidR="00D171CA" w:rsidRPr="00C9465D">
        <w:rPr>
          <w:rStyle w:val="FootnoteReference"/>
          <w:lang w:val="en-US"/>
        </w:rPr>
        <w:footnoteReference w:id="379"/>
      </w:r>
      <w:r w:rsidR="00D171CA" w:rsidRPr="00C9465D">
        <w:rPr>
          <w:lang w:val="en-US"/>
        </w:rPr>
        <w:t xml:space="preserve"> </w:t>
      </w:r>
    </w:p>
    <w:p w14:paraId="59BD7E10" w14:textId="111AF252" w:rsidR="00D171CA" w:rsidRPr="00C9465D" w:rsidRDefault="0094203A" w:rsidP="00D171CA">
      <w:pPr>
        <w:pStyle w:val="Numberedparagraphs"/>
        <w:tabs>
          <w:tab w:val="num" w:pos="720"/>
        </w:tabs>
        <w:rPr>
          <w:lang w:val="en-US"/>
        </w:rPr>
      </w:pPr>
      <w:r w:rsidRPr="00C9465D">
        <w:rPr>
          <w:lang w:val="en-US"/>
        </w:rPr>
        <w:t xml:space="preserve">Considering the circumstances of this case, the violations committed, the suffering caused and experienced to different degrees, the time that has passed, the denial of justice, and the change in the living conditions of some family members, the proven violations of the </w:t>
      </w:r>
      <w:r w:rsidR="00D12C0E" w:rsidRPr="00C9465D">
        <w:rPr>
          <w:lang w:val="en-US"/>
        </w:rPr>
        <w:t>personal integrity</w:t>
      </w:r>
      <w:r w:rsidR="00D171CA" w:rsidRPr="00C9465D">
        <w:rPr>
          <w:lang w:val="en-US"/>
        </w:rPr>
        <w:t xml:space="preserve"> </w:t>
      </w:r>
      <w:r w:rsidRPr="00C9465D">
        <w:rPr>
          <w:lang w:val="en-US"/>
        </w:rPr>
        <w:t>of the members of</w:t>
      </w:r>
      <w:r w:rsidR="00092D8C" w:rsidRPr="00C9465D">
        <w:rPr>
          <w:lang w:val="en-US"/>
        </w:rPr>
        <w:t xml:space="preserve"> the </w:t>
      </w:r>
      <w:r w:rsidR="00577DE0" w:rsidRPr="00C9465D">
        <w:rPr>
          <w:lang w:val="en-US"/>
        </w:rPr>
        <w:t>victim</w:t>
      </w:r>
      <w:r w:rsidRPr="00C9465D">
        <w:rPr>
          <w:lang w:val="en-US"/>
        </w:rPr>
        <w:t>’s family and the other non-pecuniary consequences</w:t>
      </w:r>
      <w:r w:rsidR="00193CBB" w:rsidRPr="00C9465D">
        <w:rPr>
          <w:lang w:val="en-US"/>
        </w:rPr>
        <w:t xml:space="preserve"> </w:t>
      </w:r>
      <w:r w:rsidRPr="00C9465D">
        <w:rPr>
          <w:lang w:val="en-US"/>
        </w:rPr>
        <w:t>they suffered, the Court will establish compensation for</w:t>
      </w:r>
      <w:r w:rsidR="00D171CA" w:rsidRPr="00C9465D">
        <w:rPr>
          <w:lang w:val="en-US"/>
        </w:rPr>
        <w:t xml:space="preserve"> </w:t>
      </w:r>
      <w:r w:rsidR="005069F4" w:rsidRPr="00C9465D">
        <w:rPr>
          <w:lang w:val="en-US"/>
        </w:rPr>
        <w:t>non-pecuniary damage</w:t>
      </w:r>
      <w:r w:rsidR="00D171CA" w:rsidRPr="00C9465D">
        <w:rPr>
          <w:lang w:val="en-US"/>
        </w:rPr>
        <w:t xml:space="preserve"> </w:t>
      </w:r>
      <w:r w:rsidRPr="00C9465D">
        <w:rPr>
          <w:lang w:val="en-US"/>
        </w:rPr>
        <w:t xml:space="preserve">in </w:t>
      </w:r>
      <w:r w:rsidR="00D171CA" w:rsidRPr="00C9465D">
        <w:rPr>
          <w:lang w:val="en-US"/>
        </w:rPr>
        <w:t>favor</w:t>
      </w:r>
      <w:r w:rsidR="00092D8C" w:rsidRPr="00C9465D">
        <w:rPr>
          <w:lang w:val="en-US"/>
        </w:rPr>
        <w:t xml:space="preserve"> of the </w:t>
      </w:r>
      <w:r w:rsidR="00577DE0" w:rsidRPr="00C9465D">
        <w:rPr>
          <w:lang w:val="en-US"/>
        </w:rPr>
        <w:t>victims</w:t>
      </w:r>
      <w:r w:rsidR="00D171CA" w:rsidRPr="00C9465D">
        <w:rPr>
          <w:lang w:val="en-US"/>
        </w:rPr>
        <w:t>.</w:t>
      </w:r>
    </w:p>
    <w:p w14:paraId="559A122A" w14:textId="630C880D" w:rsidR="00D171CA" w:rsidRPr="00C9465D" w:rsidRDefault="0094203A" w:rsidP="00D171CA">
      <w:pPr>
        <w:pStyle w:val="Numberedparagraphs"/>
        <w:tabs>
          <w:tab w:val="num" w:pos="720"/>
        </w:tabs>
        <w:rPr>
          <w:lang w:val="en-US"/>
        </w:rPr>
      </w:pPr>
      <w:bookmarkStart w:id="138" w:name="_Ref524880799"/>
      <w:bookmarkStart w:id="139" w:name="_Ref72330530"/>
      <w:r w:rsidRPr="00C9465D">
        <w:rPr>
          <w:lang w:val="en-US"/>
        </w:rPr>
        <w:t>First</w:t>
      </w:r>
      <w:r w:rsidR="00D171CA" w:rsidRPr="00C9465D">
        <w:rPr>
          <w:lang w:val="en-US"/>
        </w:rPr>
        <w:t xml:space="preserve">, </w:t>
      </w:r>
      <w:r w:rsidR="00193CBB" w:rsidRPr="00C9465D">
        <w:rPr>
          <w:lang w:val="en-US"/>
        </w:rPr>
        <w:t>the Court</w:t>
      </w:r>
      <w:r w:rsidR="00D171CA" w:rsidRPr="00C9465D">
        <w:rPr>
          <w:lang w:val="en-US"/>
        </w:rPr>
        <w:t xml:space="preserve"> consider</w:t>
      </w:r>
      <w:r w:rsidRPr="00C9465D">
        <w:rPr>
          <w:lang w:val="en-US"/>
        </w:rPr>
        <w:t>s that the circumstances that surrounded the hospitalization, treatment and disappearance of</w:t>
      </w:r>
      <w:r w:rsidR="00D171CA" w:rsidRPr="00C9465D">
        <w:rPr>
          <w:lang w:val="en-US"/>
        </w:rPr>
        <w:t xml:space="preserve"> Luis Eduardo Guachalá Chimbo</w:t>
      </w:r>
      <w:r w:rsidRPr="00C9465D">
        <w:rPr>
          <w:lang w:val="en-US"/>
        </w:rPr>
        <w:t xml:space="preserve"> caused profound fear and suffering. In light of this criterion, the Court considers that </w:t>
      </w:r>
      <w:r w:rsidR="00D171CA" w:rsidRPr="00C9465D">
        <w:rPr>
          <w:lang w:val="en-US"/>
        </w:rPr>
        <w:t xml:space="preserve">Luis Eduardo Guachalá Chimbo </w:t>
      </w:r>
      <w:r w:rsidRPr="00C9465D">
        <w:rPr>
          <w:lang w:val="en-US"/>
        </w:rPr>
        <w:t xml:space="preserve">should be compensated for </w:t>
      </w:r>
      <w:r w:rsidR="005069F4" w:rsidRPr="00C9465D">
        <w:rPr>
          <w:lang w:val="en-US"/>
        </w:rPr>
        <w:t>non-pecuniary damage</w:t>
      </w:r>
      <w:r w:rsidR="00193CBB" w:rsidRPr="00C9465D">
        <w:rPr>
          <w:lang w:val="en-US"/>
        </w:rPr>
        <w:t xml:space="preserve"> and</w:t>
      </w:r>
      <w:r w:rsidRPr="00C9465D">
        <w:rPr>
          <w:lang w:val="en-US"/>
        </w:rPr>
        <w:t xml:space="preserve"> finds </w:t>
      </w:r>
      <w:r w:rsidR="00D8209E" w:rsidRPr="00C9465D">
        <w:rPr>
          <w:lang w:val="en-US"/>
        </w:rPr>
        <w:t>reasonable</w:t>
      </w:r>
      <w:r w:rsidRPr="00C9465D">
        <w:rPr>
          <w:lang w:val="en-US"/>
        </w:rPr>
        <w:t xml:space="preserve"> the payment of </w:t>
      </w:r>
      <w:r w:rsidR="00D171CA" w:rsidRPr="00C9465D">
        <w:rPr>
          <w:lang w:val="en-US"/>
        </w:rPr>
        <w:t>US$100</w:t>
      </w:r>
      <w:r w:rsidR="005069F4" w:rsidRPr="00C9465D">
        <w:rPr>
          <w:lang w:val="en-US"/>
        </w:rPr>
        <w:t>,000.00</w:t>
      </w:r>
      <w:r w:rsidR="00D171CA" w:rsidRPr="00C9465D">
        <w:rPr>
          <w:lang w:val="en-US"/>
        </w:rPr>
        <w:t xml:space="preserve"> (</w:t>
      </w:r>
      <w:r w:rsidRPr="00C9465D">
        <w:rPr>
          <w:lang w:val="en-US"/>
        </w:rPr>
        <w:t>one hundred</w:t>
      </w:r>
      <w:r w:rsidR="00D171CA" w:rsidRPr="00C9465D">
        <w:rPr>
          <w:lang w:val="en-US"/>
        </w:rPr>
        <w:t xml:space="preserve"> </w:t>
      </w:r>
      <w:r w:rsidR="00787E97" w:rsidRPr="00C9465D">
        <w:rPr>
          <w:lang w:val="en-US"/>
        </w:rPr>
        <w:t>thousand United States dollars</w:t>
      </w:r>
      <w:r w:rsidR="00D171CA" w:rsidRPr="00C9465D">
        <w:rPr>
          <w:lang w:val="en-US"/>
        </w:rPr>
        <w:t xml:space="preserve">). </w:t>
      </w:r>
      <w:r w:rsidRPr="00C9465D">
        <w:rPr>
          <w:lang w:val="en-US"/>
        </w:rPr>
        <w:t xml:space="preserve">This amount </w:t>
      </w:r>
      <w:r w:rsidR="00F72CF9" w:rsidRPr="00C9465D">
        <w:rPr>
          <w:lang w:val="en-US"/>
        </w:rPr>
        <w:t>to</w:t>
      </w:r>
      <w:r w:rsidRPr="00C9465D">
        <w:rPr>
          <w:lang w:val="en-US"/>
        </w:rPr>
        <w:t xml:space="preserve"> be delivered to </w:t>
      </w:r>
      <w:bookmarkEnd w:id="138"/>
      <w:r w:rsidR="00AE28B7" w:rsidRPr="00C9465D">
        <w:rPr>
          <w:lang w:val="en-US"/>
        </w:rPr>
        <w:t>Zoila</w:t>
      </w:r>
      <w:r w:rsidR="00D171CA" w:rsidRPr="00C9465D">
        <w:rPr>
          <w:lang w:val="en-US"/>
        </w:rPr>
        <w:t xml:space="preserve"> Chimbo</w:t>
      </w:r>
      <w:r w:rsidR="00B4122F" w:rsidRPr="00C9465D">
        <w:rPr>
          <w:lang w:val="en-US"/>
        </w:rPr>
        <w:t xml:space="preserve"> Jarro</w:t>
      </w:r>
      <w:r w:rsidR="00D171CA" w:rsidRPr="00C9465D">
        <w:rPr>
          <w:lang w:val="en-US"/>
        </w:rPr>
        <w:t>.</w:t>
      </w:r>
      <w:bookmarkEnd w:id="139"/>
    </w:p>
    <w:p w14:paraId="12B7B3BF" w14:textId="5BB7B368" w:rsidR="00D171CA" w:rsidRPr="00C9465D" w:rsidRDefault="00C1326A" w:rsidP="00D171CA">
      <w:pPr>
        <w:pStyle w:val="Numberedparagraphs"/>
        <w:tabs>
          <w:tab w:val="num" w:pos="720"/>
        </w:tabs>
        <w:rPr>
          <w:lang w:val="en-US"/>
        </w:rPr>
      </w:pPr>
      <w:bookmarkStart w:id="140" w:name="_Ref524880801"/>
      <w:bookmarkStart w:id="141" w:name="_Ref72330540"/>
      <w:r w:rsidRPr="00C9465D">
        <w:rPr>
          <w:lang w:val="en-US"/>
        </w:rPr>
        <w:t xml:space="preserve">Second, </w:t>
      </w:r>
      <w:r w:rsidR="00193CBB" w:rsidRPr="00C9465D">
        <w:rPr>
          <w:lang w:val="en-US"/>
        </w:rPr>
        <w:t>the Court</w:t>
      </w:r>
      <w:r w:rsidR="00D171CA" w:rsidRPr="00C9465D">
        <w:rPr>
          <w:lang w:val="en-US"/>
        </w:rPr>
        <w:t xml:space="preserve"> </w:t>
      </w:r>
      <w:r w:rsidRPr="00C9465D">
        <w:rPr>
          <w:lang w:val="en-US"/>
        </w:rPr>
        <w:t>considers that the</w:t>
      </w:r>
      <w:r w:rsidR="00D12C0E" w:rsidRPr="00C9465D">
        <w:rPr>
          <w:lang w:val="en-US"/>
        </w:rPr>
        <w:t xml:space="preserve"> li</w:t>
      </w:r>
      <w:r w:rsidRPr="00C9465D">
        <w:rPr>
          <w:lang w:val="en-US"/>
        </w:rPr>
        <w:t>v</w:t>
      </w:r>
      <w:r w:rsidR="00D12C0E" w:rsidRPr="00C9465D">
        <w:rPr>
          <w:lang w:val="en-US"/>
        </w:rPr>
        <w:t>e</w:t>
      </w:r>
      <w:r w:rsidR="003D53BB" w:rsidRPr="00C9465D">
        <w:rPr>
          <w:lang w:val="en-US"/>
        </w:rPr>
        <w:t xml:space="preserve">s </w:t>
      </w:r>
      <w:r w:rsidRPr="00C9465D">
        <w:rPr>
          <w:lang w:val="en-US"/>
        </w:rPr>
        <w:t>of</w:t>
      </w:r>
      <w:r w:rsidR="003D53BB" w:rsidRPr="00C9465D">
        <w:rPr>
          <w:lang w:val="en-US"/>
        </w:rPr>
        <w:t xml:space="preserve"> Zoila Chimbo Jarro</w:t>
      </w:r>
      <w:r w:rsidR="00193CBB" w:rsidRPr="00C9465D">
        <w:rPr>
          <w:lang w:val="en-US"/>
        </w:rPr>
        <w:t xml:space="preserve"> and </w:t>
      </w:r>
      <w:r w:rsidR="00D171CA" w:rsidRPr="00C9465D">
        <w:rPr>
          <w:lang w:val="en-US"/>
        </w:rPr>
        <w:t xml:space="preserve">Nancy Guachalá </w:t>
      </w:r>
      <w:r w:rsidRPr="00C9465D">
        <w:rPr>
          <w:lang w:val="en-US"/>
        </w:rPr>
        <w:t xml:space="preserve">were affected as a result of the disappearance of </w:t>
      </w:r>
      <w:r w:rsidR="00D171CA" w:rsidRPr="00C9465D">
        <w:rPr>
          <w:lang w:val="en-US"/>
        </w:rPr>
        <w:t>Luis Eduardo Guachalá Chimbo</w:t>
      </w:r>
      <w:r w:rsidR="00193CBB" w:rsidRPr="00C9465D">
        <w:rPr>
          <w:lang w:val="en-US"/>
        </w:rPr>
        <w:t xml:space="preserve"> and </w:t>
      </w:r>
      <w:r w:rsidRPr="00C9465D">
        <w:rPr>
          <w:lang w:val="en-US"/>
        </w:rPr>
        <w:t>that they have experiences great suffering that has had an impact on the</w:t>
      </w:r>
      <w:r w:rsidR="00F72CF9" w:rsidRPr="00C9465D">
        <w:rPr>
          <w:lang w:val="en-US"/>
        </w:rPr>
        <w:t>ir</w:t>
      </w:r>
      <w:r w:rsidRPr="00C9465D">
        <w:rPr>
          <w:lang w:val="en-US"/>
        </w:rPr>
        <w:t xml:space="preserve"> life projects. Consequently, the Court finds it reasonable to establish the sum of</w:t>
      </w:r>
      <w:r w:rsidR="00D171CA" w:rsidRPr="00C9465D">
        <w:rPr>
          <w:lang w:val="en-US"/>
        </w:rPr>
        <w:t xml:space="preserve"> US$80</w:t>
      </w:r>
      <w:r w:rsidR="005069F4" w:rsidRPr="00C9465D">
        <w:rPr>
          <w:lang w:val="en-US"/>
        </w:rPr>
        <w:t>,000.00</w:t>
      </w:r>
      <w:r w:rsidR="00D171CA" w:rsidRPr="00C9465D">
        <w:rPr>
          <w:lang w:val="en-US"/>
        </w:rPr>
        <w:t xml:space="preserve"> (</w:t>
      </w:r>
      <w:r w:rsidRPr="00C9465D">
        <w:rPr>
          <w:lang w:val="en-US"/>
        </w:rPr>
        <w:t xml:space="preserve">eighty </w:t>
      </w:r>
      <w:r w:rsidR="00787E97" w:rsidRPr="00C9465D">
        <w:rPr>
          <w:lang w:val="en-US"/>
        </w:rPr>
        <w:t>thousand United States dollars</w:t>
      </w:r>
      <w:r w:rsidR="00D171CA" w:rsidRPr="00C9465D">
        <w:rPr>
          <w:lang w:val="en-US"/>
        </w:rPr>
        <w:t xml:space="preserve">) </w:t>
      </w:r>
      <w:r w:rsidRPr="00C9465D">
        <w:rPr>
          <w:lang w:val="en-US"/>
        </w:rPr>
        <w:t>for</w:t>
      </w:r>
      <w:r w:rsidR="00D171CA" w:rsidRPr="00C9465D">
        <w:rPr>
          <w:lang w:val="en-US"/>
        </w:rPr>
        <w:t xml:space="preserve"> </w:t>
      </w:r>
      <w:r w:rsidRPr="00C9465D">
        <w:rPr>
          <w:lang w:val="en-US"/>
        </w:rPr>
        <w:t xml:space="preserve">Zoila Chimbo Jarro, </w:t>
      </w:r>
      <w:r w:rsidR="00D171CA" w:rsidRPr="00C9465D">
        <w:rPr>
          <w:lang w:val="en-US"/>
        </w:rPr>
        <w:t>Luis Eduardo Guachalá Chimbo</w:t>
      </w:r>
      <w:r w:rsidRPr="00C9465D">
        <w:rPr>
          <w:lang w:val="en-US"/>
        </w:rPr>
        <w:t>’s mother</w:t>
      </w:r>
      <w:r w:rsidR="00F72CF9" w:rsidRPr="00C9465D">
        <w:rPr>
          <w:lang w:val="en-US"/>
        </w:rPr>
        <w:t>,</w:t>
      </w:r>
      <w:r w:rsidRPr="00C9465D">
        <w:rPr>
          <w:lang w:val="en-US"/>
        </w:rPr>
        <w:t xml:space="preserve"> </w:t>
      </w:r>
      <w:r w:rsidR="00193CBB" w:rsidRPr="00C9465D">
        <w:rPr>
          <w:lang w:val="en-US"/>
        </w:rPr>
        <w:t xml:space="preserve">and </w:t>
      </w:r>
      <w:r w:rsidR="00D171CA" w:rsidRPr="00C9465D">
        <w:rPr>
          <w:lang w:val="en-US"/>
        </w:rPr>
        <w:t>US$5</w:t>
      </w:r>
      <w:r w:rsidR="005069F4" w:rsidRPr="00C9465D">
        <w:rPr>
          <w:lang w:val="en-US"/>
        </w:rPr>
        <w:t>,000.00</w:t>
      </w:r>
      <w:r w:rsidR="00D171CA" w:rsidRPr="00C9465D">
        <w:rPr>
          <w:lang w:val="en-US"/>
        </w:rPr>
        <w:t xml:space="preserve"> (</w:t>
      </w:r>
      <w:r w:rsidRPr="00C9465D">
        <w:rPr>
          <w:lang w:val="en-US"/>
        </w:rPr>
        <w:t>five</w:t>
      </w:r>
      <w:r w:rsidR="00D171CA" w:rsidRPr="00C9465D">
        <w:rPr>
          <w:lang w:val="en-US"/>
        </w:rPr>
        <w:t xml:space="preserve"> </w:t>
      </w:r>
      <w:r w:rsidR="00787E97" w:rsidRPr="00C9465D">
        <w:rPr>
          <w:lang w:val="en-US"/>
        </w:rPr>
        <w:t>thousand United States dollars</w:t>
      </w:r>
      <w:r w:rsidR="00D171CA" w:rsidRPr="00C9465D">
        <w:rPr>
          <w:lang w:val="en-US"/>
        </w:rPr>
        <w:t xml:space="preserve">) </w:t>
      </w:r>
      <w:r w:rsidRPr="00C9465D">
        <w:rPr>
          <w:lang w:val="en-US"/>
        </w:rPr>
        <w:t>for Nancy Guachalá Chimbo,</w:t>
      </w:r>
      <w:r w:rsidR="00D171CA" w:rsidRPr="00C9465D">
        <w:rPr>
          <w:lang w:val="en-US"/>
        </w:rPr>
        <w:t xml:space="preserve"> Luis Eduardo Guachalá Chimbo</w:t>
      </w:r>
      <w:bookmarkEnd w:id="140"/>
      <w:bookmarkEnd w:id="141"/>
      <w:r w:rsidRPr="00C9465D">
        <w:rPr>
          <w:lang w:val="en-US"/>
        </w:rPr>
        <w:t>’s sister, for non-pecuniary damage.</w:t>
      </w:r>
    </w:p>
    <w:p w14:paraId="7A48A6B4" w14:textId="2F69E2A0" w:rsidR="00632CFA" w:rsidRPr="00C9465D" w:rsidRDefault="00C1326A" w:rsidP="00BB407B">
      <w:pPr>
        <w:pStyle w:val="Heading2"/>
        <w:rPr>
          <w:lang w:val="en-US"/>
        </w:rPr>
      </w:pPr>
      <w:r w:rsidRPr="00C9465D">
        <w:rPr>
          <w:lang w:val="en-US"/>
        </w:rPr>
        <w:t>Other measures requested</w:t>
      </w:r>
      <w:bookmarkEnd w:id="137"/>
    </w:p>
    <w:p w14:paraId="512359C3" w14:textId="5B238C75" w:rsidR="003D53BB" w:rsidRPr="00C9465D" w:rsidRDefault="00193CBB" w:rsidP="008811BD">
      <w:pPr>
        <w:pStyle w:val="Numberedparagraphs"/>
        <w:rPr>
          <w:b/>
          <w:bCs/>
          <w:lang w:val="en-US"/>
        </w:rPr>
      </w:pPr>
      <w:bookmarkStart w:id="142" w:name="_Toc44332544"/>
      <w:r w:rsidRPr="00C9465D">
        <w:rPr>
          <w:lang w:val="en-US"/>
        </w:rPr>
        <w:t xml:space="preserve">The </w:t>
      </w:r>
      <w:r w:rsidRPr="00C9465D">
        <w:rPr>
          <w:b/>
          <w:bCs/>
          <w:i/>
          <w:iCs/>
          <w:lang w:val="en-US"/>
        </w:rPr>
        <w:t>Commission</w:t>
      </w:r>
      <w:r w:rsidR="003D53BB" w:rsidRPr="00C9465D">
        <w:rPr>
          <w:lang w:val="en-US"/>
        </w:rPr>
        <w:t xml:space="preserve"> </w:t>
      </w:r>
      <w:r w:rsidR="00C1326A" w:rsidRPr="00C9465D">
        <w:rPr>
          <w:lang w:val="en-US"/>
        </w:rPr>
        <w:t>asked</w:t>
      </w:r>
      <w:r w:rsidR="003D53BB" w:rsidRPr="00C9465D">
        <w:rPr>
          <w:lang w:val="en-US"/>
        </w:rPr>
        <w:t xml:space="preserve"> </w:t>
      </w:r>
      <w:r w:rsidRPr="00C9465D">
        <w:rPr>
          <w:lang w:val="en-US"/>
        </w:rPr>
        <w:t>the Court</w:t>
      </w:r>
      <w:r w:rsidR="003D53BB" w:rsidRPr="00C9465D">
        <w:rPr>
          <w:lang w:val="en-US"/>
        </w:rPr>
        <w:t xml:space="preserve"> </w:t>
      </w:r>
      <w:r w:rsidR="00C1326A" w:rsidRPr="00C9465D">
        <w:rPr>
          <w:lang w:val="en-US"/>
        </w:rPr>
        <w:t>to order</w:t>
      </w:r>
      <w:r w:rsidR="003D53BB" w:rsidRPr="00C9465D">
        <w:rPr>
          <w:lang w:val="en-US"/>
        </w:rPr>
        <w:t xml:space="preserve"> Ecuador</w:t>
      </w:r>
      <w:r w:rsidR="00C1326A" w:rsidRPr="00C9465D">
        <w:rPr>
          <w:lang w:val="en-US"/>
        </w:rPr>
        <w:t xml:space="preserve"> to</w:t>
      </w:r>
      <w:r w:rsidR="003D53BB" w:rsidRPr="00C9465D">
        <w:rPr>
          <w:lang w:val="en-US"/>
        </w:rPr>
        <w:t xml:space="preserve"> “</w:t>
      </w:r>
      <w:r w:rsidR="00C1326A" w:rsidRPr="00C9465D">
        <w:rPr>
          <w:color w:val="auto"/>
          <w:lang w:val="en-US"/>
        </w:rPr>
        <w:t xml:space="preserve">draw up a comprehensive plan to review the policy of hospitalizing persons in public mental health institutions and tailor it to de-institutionalization,” and “to incorporate the components of the right to mental health in general health strategies and plans, prioritizing </w:t>
      </w:r>
      <w:r w:rsidR="008811BD" w:rsidRPr="00C9465D">
        <w:rPr>
          <w:color w:val="auto"/>
          <w:lang w:val="en-US"/>
        </w:rPr>
        <w:t xml:space="preserve">services of </w:t>
      </w:r>
      <w:r w:rsidR="00C1326A" w:rsidRPr="00C9465D">
        <w:rPr>
          <w:color w:val="auto"/>
          <w:lang w:val="en-US"/>
        </w:rPr>
        <w:t xml:space="preserve">psychosocial and community </w:t>
      </w:r>
      <w:r w:rsidR="008811BD" w:rsidRPr="00C9465D">
        <w:rPr>
          <w:color w:val="auto"/>
          <w:lang w:val="en-US"/>
        </w:rPr>
        <w:t>care</w:t>
      </w:r>
      <w:r w:rsidR="00C1326A" w:rsidRPr="00C9465D">
        <w:rPr>
          <w:color w:val="auto"/>
          <w:lang w:val="en-US"/>
        </w:rPr>
        <w:t>.</w:t>
      </w:r>
      <w:r w:rsidR="008811BD" w:rsidRPr="00C9465D">
        <w:rPr>
          <w:color w:val="auto"/>
          <w:lang w:val="en-US"/>
        </w:rPr>
        <w:t>”</w:t>
      </w:r>
      <w:r w:rsidR="008811BD" w:rsidRPr="00C9465D">
        <w:rPr>
          <w:b/>
          <w:bCs/>
          <w:lang w:val="en-US"/>
        </w:rPr>
        <w:t xml:space="preserve"> </w:t>
      </w:r>
      <w:r w:rsidRPr="00C9465D">
        <w:rPr>
          <w:lang w:val="en-US"/>
        </w:rPr>
        <w:t xml:space="preserve">The </w:t>
      </w:r>
      <w:r w:rsidRPr="00C9465D">
        <w:rPr>
          <w:b/>
          <w:bCs/>
          <w:i/>
          <w:iCs/>
          <w:lang w:val="en-US"/>
        </w:rPr>
        <w:t>representatives</w:t>
      </w:r>
      <w:r w:rsidR="003D53BB" w:rsidRPr="00C9465D">
        <w:rPr>
          <w:b/>
          <w:bCs/>
          <w:i/>
          <w:iCs/>
          <w:lang w:val="en-US"/>
        </w:rPr>
        <w:t xml:space="preserve"> </w:t>
      </w:r>
      <w:r w:rsidR="008811BD" w:rsidRPr="00C9465D">
        <w:rPr>
          <w:lang w:val="en-US"/>
        </w:rPr>
        <w:t>asked that:</w:t>
      </w:r>
      <w:r w:rsidR="003D53BB" w:rsidRPr="00C9465D">
        <w:rPr>
          <w:lang w:val="en-US"/>
        </w:rPr>
        <w:t xml:space="preserve"> </w:t>
      </w:r>
      <w:r w:rsidR="008811BD" w:rsidRPr="00C9465D">
        <w:rPr>
          <w:lang w:val="en-US"/>
        </w:rPr>
        <w:t>(</w:t>
      </w:r>
      <w:r w:rsidR="003D53BB" w:rsidRPr="00C9465D">
        <w:rPr>
          <w:lang w:val="en-US"/>
        </w:rPr>
        <w:t xml:space="preserve">1) </w:t>
      </w:r>
      <w:r w:rsidR="008811BD" w:rsidRPr="00C9465D">
        <w:rPr>
          <w:lang w:val="en-US"/>
        </w:rPr>
        <w:t>the name of the</w:t>
      </w:r>
      <w:r w:rsidR="003D53BB" w:rsidRPr="00C9465D">
        <w:rPr>
          <w:lang w:val="en-US"/>
        </w:rPr>
        <w:t xml:space="preserve"> </w:t>
      </w:r>
      <w:r w:rsidR="002C5740" w:rsidRPr="00C9465D">
        <w:rPr>
          <w:lang w:val="en-US"/>
        </w:rPr>
        <w:t>Julio Endara Psychiatric Hospital</w:t>
      </w:r>
      <w:r w:rsidR="003D53BB" w:rsidRPr="00C9465D">
        <w:rPr>
          <w:lang w:val="en-US"/>
        </w:rPr>
        <w:t xml:space="preserve"> </w:t>
      </w:r>
      <w:r w:rsidR="008811BD" w:rsidRPr="00C9465D">
        <w:rPr>
          <w:lang w:val="en-US"/>
        </w:rPr>
        <w:t>be changed to</w:t>
      </w:r>
      <w:r w:rsidR="003D53BB" w:rsidRPr="00C9465D">
        <w:rPr>
          <w:lang w:val="en-US"/>
        </w:rPr>
        <w:t xml:space="preserve"> “Luis Eduardo Guachalá”; </w:t>
      </w:r>
      <w:r w:rsidR="008811BD" w:rsidRPr="00C9465D">
        <w:rPr>
          <w:lang w:val="en-US"/>
        </w:rPr>
        <w:t>(</w:t>
      </w:r>
      <w:r w:rsidR="003D53BB" w:rsidRPr="00C9465D">
        <w:rPr>
          <w:lang w:val="en-US"/>
        </w:rPr>
        <w:t xml:space="preserve">2) </w:t>
      </w:r>
      <w:r w:rsidR="008811BD" w:rsidRPr="00C9465D">
        <w:rPr>
          <w:lang w:val="en-US"/>
        </w:rPr>
        <w:t xml:space="preserve">the name of a </w:t>
      </w:r>
      <w:r w:rsidR="00F72CF9" w:rsidRPr="00C9465D">
        <w:rPr>
          <w:lang w:val="en-US"/>
        </w:rPr>
        <w:t>s</w:t>
      </w:r>
      <w:r w:rsidR="008811BD" w:rsidRPr="00C9465D">
        <w:rPr>
          <w:lang w:val="en-US"/>
        </w:rPr>
        <w:t>treet in the city be changed to</w:t>
      </w:r>
      <w:r w:rsidR="003D53BB" w:rsidRPr="00C9465D">
        <w:rPr>
          <w:lang w:val="en-US"/>
        </w:rPr>
        <w:t xml:space="preserve"> “Zoila Chimbo”; </w:t>
      </w:r>
      <w:r w:rsidR="008811BD" w:rsidRPr="00C9465D">
        <w:rPr>
          <w:lang w:val="en-US"/>
        </w:rPr>
        <w:t>(</w:t>
      </w:r>
      <w:r w:rsidR="003D53BB" w:rsidRPr="00C9465D">
        <w:rPr>
          <w:lang w:val="en-US"/>
        </w:rPr>
        <w:t xml:space="preserve">3) </w:t>
      </w:r>
      <w:r w:rsidR="008811BD" w:rsidRPr="00C9465D">
        <w:rPr>
          <w:lang w:val="en-US"/>
        </w:rPr>
        <w:t>an audiovisual documentary be made of the facts of the case;</w:t>
      </w:r>
      <w:r w:rsidR="00F72CF9" w:rsidRPr="00C9465D">
        <w:rPr>
          <w:lang w:val="en-US"/>
        </w:rPr>
        <w:t xml:space="preserve"> </w:t>
      </w:r>
      <w:r w:rsidR="008811BD" w:rsidRPr="00C9465D">
        <w:rPr>
          <w:lang w:val="en-US"/>
        </w:rPr>
        <w:t>(4</w:t>
      </w:r>
      <w:r w:rsidR="003D53BB" w:rsidRPr="00C9465D">
        <w:rPr>
          <w:lang w:val="en-US"/>
        </w:rPr>
        <w:t xml:space="preserve">) </w:t>
      </w:r>
      <w:r w:rsidRPr="00C9465D">
        <w:rPr>
          <w:lang w:val="en-US"/>
        </w:rPr>
        <w:t>the State</w:t>
      </w:r>
      <w:r w:rsidR="003D53BB" w:rsidRPr="00C9465D">
        <w:rPr>
          <w:lang w:val="en-US"/>
        </w:rPr>
        <w:t xml:space="preserve"> present,</w:t>
      </w:r>
      <w:r w:rsidR="008811BD" w:rsidRPr="00C9465D">
        <w:rPr>
          <w:lang w:val="en-US"/>
        </w:rPr>
        <w:t xml:space="preserve"> for at least the following five years, “reports to </w:t>
      </w:r>
      <w:r w:rsidRPr="00C9465D">
        <w:rPr>
          <w:lang w:val="en-US"/>
        </w:rPr>
        <w:t>the Inter-American Court</w:t>
      </w:r>
      <w:r w:rsidR="003D53BB" w:rsidRPr="00C9465D">
        <w:rPr>
          <w:lang w:val="en-US"/>
        </w:rPr>
        <w:t xml:space="preserve"> </w:t>
      </w:r>
      <w:r w:rsidR="008811BD" w:rsidRPr="00C9465D">
        <w:rPr>
          <w:lang w:val="en-US"/>
        </w:rPr>
        <w:t xml:space="preserve">on investments and progress in the area of mental health and forced disappearance, with the possibility that the [Commission] and civil society </w:t>
      </w:r>
      <w:r w:rsidR="00F72CF9" w:rsidRPr="00C9465D">
        <w:rPr>
          <w:lang w:val="en-US"/>
        </w:rPr>
        <w:t>may</w:t>
      </w:r>
      <w:r w:rsidR="008811BD" w:rsidRPr="00C9465D">
        <w:rPr>
          <w:lang w:val="en-US"/>
        </w:rPr>
        <w:t xml:space="preserve"> present information contrary to that </w:t>
      </w:r>
      <w:r w:rsidR="008811BD" w:rsidRPr="00C9465D">
        <w:rPr>
          <w:lang w:val="en-US"/>
        </w:rPr>
        <w:lastRenderedPageBreak/>
        <w:t>presented by the State</w:t>
      </w:r>
      <w:r w:rsidR="003D53BB" w:rsidRPr="00C9465D">
        <w:rPr>
          <w:lang w:val="en-US"/>
        </w:rPr>
        <w:t xml:space="preserve"> </w:t>
      </w:r>
      <w:r w:rsidR="00520411" w:rsidRPr="00C9465D">
        <w:rPr>
          <w:lang w:val="en-US"/>
        </w:rPr>
        <w:t>[…]</w:t>
      </w:r>
      <w:r w:rsidR="003D53BB" w:rsidRPr="00C9465D">
        <w:rPr>
          <w:lang w:val="en-US"/>
        </w:rPr>
        <w:t>”;</w:t>
      </w:r>
      <w:r w:rsidR="008811BD" w:rsidRPr="00C9465D">
        <w:rPr>
          <w:lang w:val="en-US"/>
        </w:rPr>
        <w:t xml:space="preserve"> (</w:t>
      </w:r>
      <w:r w:rsidR="003D53BB" w:rsidRPr="00C9465D">
        <w:rPr>
          <w:lang w:val="en-US"/>
        </w:rPr>
        <w:t xml:space="preserve">5) </w:t>
      </w:r>
      <w:r w:rsidR="008811BD" w:rsidRPr="00C9465D">
        <w:rPr>
          <w:lang w:val="en-US"/>
        </w:rPr>
        <w:t xml:space="preserve">a business unit be built for </w:t>
      </w:r>
      <w:r w:rsidR="00A56F98" w:rsidRPr="00C9465D">
        <w:rPr>
          <w:lang w:val="en-US"/>
        </w:rPr>
        <w:t>Mrs. Chimbo</w:t>
      </w:r>
      <w:r w:rsidR="003D53BB" w:rsidRPr="00C9465D">
        <w:rPr>
          <w:lang w:val="en-US"/>
        </w:rPr>
        <w:t xml:space="preserve"> </w:t>
      </w:r>
      <w:r w:rsidR="008811BD" w:rsidRPr="00C9465D">
        <w:rPr>
          <w:lang w:val="en-US"/>
        </w:rPr>
        <w:t>so that she can start a business; (6) the State “amend the laws in force and develop the competences of the relevant institutions for the control and oversite of psychiatric clinics</w:t>
      </w:r>
      <w:r w:rsidR="003D53BB" w:rsidRPr="00C9465D">
        <w:rPr>
          <w:lang w:val="en-US"/>
        </w:rPr>
        <w:t xml:space="preserve"> </w:t>
      </w:r>
      <w:r w:rsidR="00520411" w:rsidRPr="00C9465D">
        <w:rPr>
          <w:lang w:val="en-US"/>
        </w:rPr>
        <w:t>[…]</w:t>
      </w:r>
      <w:r w:rsidR="003D53BB" w:rsidRPr="00C9465D">
        <w:rPr>
          <w:lang w:val="en-US"/>
        </w:rPr>
        <w:t xml:space="preserve">”; </w:t>
      </w:r>
      <w:r w:rsidR="008811BD" w:rsidRPr="00C9465D">
        <w:rPr>
          <w:lang w:val="en-US"/>
        </w:rPr>
        <w:t>(</w:t>
      </w:r>
      <w:r w:rsidR="003D53BB" w:rsidRPr="00C9465D">
        <w:rPr>
          <w:lang w:val="en-US"/>
        </w:rPr>
        <w:t xml:space="preserve">7) </w:t>
      </w:r>
      <w:r w:rsidR="008811BD" w:rsidRPr="00C9465D">
        <w:rPr>
          <w:lang w:val="en-US"/>
        </w:rPr>
        <w:t xml:space="preserve">reparation </w:t>
      </w:r>
      <w:r w:rsidR="00F72CF9" w:rsidRPr="00C9465D">
        <w:rPr>
          <w:lang w:val="en-US"/>
        </w:rPr>
        <w:t>be</w:t>
      </w:r>
      <w:r w:rsidR="008811BD" w:rsidRPr="00C9465D">
        <w:rPr>
          <w:lang w:val="en-US"/>
        </w:rPr>
        <w:t xml:space="preserve"> made for the </w:t>
      </w:r>
      <w:r w:rsidR="005069F4" w:rsidRPr="00C9465D">
        <w:rPr>
          <w:lang w:val="en-US"/>
        </w:rPr>
        <w:t>non-pecuniary damage</w:t>
      </w:r>
      <w:r w:rsidR="003D53BB" w:rsidRPr="00C9465D">
        <w:rPr>
          <w:lang w:val="en-US"/>
        </w:rPr>
        <w:t xml:space="preserve"> caus</w:t>
      </w:r>
      <w:r w:rsidR="008811BD" w:rsidRPr="00C9465D">
        <w:rPr>
          <w:lang w:val="en-US"/>
        </w:rPr>
        <w:t>ed to</w:t>
      </w:r>
      <w:r w:rsidR="003D53BB" w:rsidRPr="00C9465D">
        <w:rPr>
          <w:lang w:val="en-US"/>
        </w:rPr>
        <w:t xml:space="preserve"> Carmen Guachalá Chimbo, Luis Medardo Farinango Chimbo, Leonardo Farinango Chimbo</w:t>
      </w:r>
      <w:r w:rsidRPr="00C9465D">
        <w:rPr>
          <w:lang w:val="en-US"/>
        </w:rPr>
        <w:t xml:space="preserve"> and </w:t>
      </w:r>
      <w:r w:rsidR="003D53BB" w:rsidRPr="00C9465D">
        <w:rPr>
          <w:rFonts w:cs="Times New Roman"/>
          <w:lang w:val="en-US"/>
        </w:rPr>
        <w:t>Diana Farinango,</w:t>
      </w:r>
      <w:r w:rsidRPr="00C9465D">
        <w:rPr>
          <w:rFonts w:cs="Times New Roman"/>
          <w:lang w:val="en-US"/>
        </w:rPr>
        <w:t xml:space="preserve"> and </w:t>
      </w:r>
      <w:r w:rsidR="008811BD" w:rsidRPr="00C9465D">
        <w:rPr>
          <w:rFonts w:cs="Times New Roman"/>
          <w:lang w:val="en-US"/>
        </w:rPr>
        <w:t>(</w:t>
      </w:r>
      <w:r w:rsidR="003D53BB" w:rsidRPr="00C9465D">
        <w:rPr>
          <w:lang w:val="en-US"/>
        </w:rPr>
        <w:t xml:space="preserve">8) </w:t>
      </w:r>
      <w:r w:rsidRPr="00C9465D">
        <w:rPr>
          <w:lang w:val="en-US"/>
        </w:rPr>
        <w:t>the State</w:t>
      </w:r>
      <w:r w:rsidR="003D53BB" w:rsidRPr="00C9465D">
        <w:rPr>
          <w:lang w:val="en-US"/>
        </w:rPr>
        <w:t xml:space="preserve"> </w:t>
      </w:r>
      <w:r w:rsidR="008811BD" w:rsidRPr="00C9465D">
        <w:rPr>
          <w:lang w:val="en-US"/>
        </w:rPr>
        <w:t>build a two-</w:t>
      </w:r>
      <w:r w:rsidR="00D8209E" w:rsidRPr="00C9465D">
        <w:rPr>
          <w:lang w:val="en-US"/>
        </w:rPr>
        <w:t>story</w:t>
      </w:r>
      <w:r w:rsidR="008811BD" w:rsidRPr="00C9465D">
        <w:rPr>
          <w:lang w:val="en-US"/>
        </w:rPr>
        <w:t xml:space="preserve"> house on Zoila</w:t>
      </w:r>
      <w:r w:rsidR="00F72CF9" w:rsidRPr="00C9465D">
        <w:rPr>
          <w:lang w:val="en-US"/>
        </w:rPr>
        <w:t xml:space="preserve"> Chimbo</w:t>
      </w:r>
      <w:r w:rsidR="008811BD" w:rsidRPr="00C9465D">
        <w:rPr>
          <w:lang w:val="en-US"/>
        </w:rPr>
        <w:t>’s land.</w:t>
      </w:r>
      <w:r w:rsidR="003D53BB" w:rsidRPr="00C9465D">
        <w:rPr>
          <w:b/>
          <w:lang w:val="en-US"/>
        </w:rPr>
        <w:t xml:space="preserve"> </w:t>
      </w:r>
    </w:p>
    <w:p w14:paraId="5437771D" w14:textId="63C8001C" w:rsidR="003D53BB" w:rsidRPr="00C9465D" w:rsidRDefault="00193CBB" w:rsidP="003D53BB">
      <w:pPr>
        <w:pStyle w:val="Numberedparagraphs"/>
        <w:rPr>
          <w:b/>
          <w:color w:val="00B0F0"/>
          <w:lang w:val="en-US"/>
        </w:rPr>
      </w:pPr>
      <w:r w:rsidRPr="00C9465D">
        <w:rPr>
          <w:lang w:val="en-US"/>
        </w:rPr>
        <w:t>The Court</w:t>
      </w:r>
      <w:r w:rsidR="003D53BB" w:rsidRPr="00C9465D">
        <w:rPr>
          <w:lang w:val="en-US"/>
        </w:rPr>
        <w:t xml:space="preserve"> </w:t>
      </w:r>
      <w:r w:rsidR="008811BD" w:rsidRPr="00C9465D">
        <w:rPr>
          <w:lang w:val="en-US"/>
        </w:rPr>
        <w:t xml:space="preserve">notes that, regarding the compensation requested for </w:t>
      </w:r>
      <w:r w:rsidR="005069F4" w:rsidRPr="00C9465D">
        <w:rPr>
          <w:lang w:val="en-US"/>
        </w:rPr>
        <w:t>non-pecuniary damage</w:t>
      </w:r>
      <w:r w:rsidR="003D53BB" w:rsidRPr="00C9465D">
        <w:rPr>
          <w:lang w:val="en-US"/>
        </w:rPr>
        <w:t xml:space="preserve"> </w:t>
      </w:r>
      <w:r w:rsidR="008811BD" w:rsidRPr="00C9465D">
        <w:rPr>
          <w:lang w:val="en-US"/>
        </w:rPr>
        <w:t>to</w:t>
      </w:r>
      <w:r w:rsidR="003D53BB" w:rsidRPr="00C9465D">
        <w:rPr>
          <w:b/>
          <w:lang w:val="en-US"/>
        </w:rPr>
        <w:t xml:space="preserve"> </w:t>
      </w:r>
      <w:r w:rsidR="003D53BB" w:rsidRPr="00C9465D">
        <w:rPr>
          <w:lang w:val="en-US"/>
        </w:rPr>
        <w:t>Carmen Guachalá Chimbo, Luis Medardo Farinango Chimbo, Leonardo Farinango Chimbo</w:t>
      </w:r>
      <w:r w:rsidRPr="00C9465D">
        <w:rPr>
          <w:lang w:val="en-US"/>
        </w:rPr>
        <w:t xml:space="preserve"> and </w:t>
      </w:r>
      <w:r w:rsidR="003D53BB" w:rsidRPr="00C9465D">
        <w:rPr>
          <w:rFonts w:cs="Times New Roman"/>
          <w:lang w:val="en-US"/>
        </w:rPr>
        <w:t>Diana Farinango</w:t>
      </w:r>
      <w:r w:rsidR="003D53BB" w:rsidRPr="00C9465D">
        <w:rPr>
          <w:lang w:val="en-US"/>
        </w:rPr>
        <w:t xml:space="preserve">, </w:t>
      </w:r>
      <w:r w:rsidR="008811BD" w:rsidRPr="00C9465D">
        <w:rPr>
          <w:lang w:val="en-US"/>
        </w:rPr>
        <w:t xml:space="preserve">these persons were not considered victims </w:t>
      </w:r>
      <w:r w:rsidR="00F72CF9" w:rsidRPr="00C9465D">
        <w:rPr>
          <w:lang w:val="en-US"/>
        </w:rPr>
        <w:t>in</w:t>
      </w:r>
      <w:r w:rsidR="008811BD" w:rsidRPr="00C9465D">
        <w:rPr>
          <w:lang w:val="en-US"/>
        </w:rPr>
        <w:t xml:space="preserve"> this case</w:t>
      </w:r>
      <w:r w:rsidR="003D53BB" w:rsidRPr="00C9465D">
        <w:rPr>
          <w:lang w:val="en-US"/>
        </w:rPr>
        <w:t xml:space="preserve"> (</w:t>
      </w:r>
      <w:r w:rsidR="003D53BB" w:rsidRPr="00C9465D">
        <w:rPr>
          <w:i/>
          <w:lang w:val="en-US"/>
        </w:rPr>
        <w:t>supra</w:t>
      </w:r>
      <w:r w:rsidR="003D53BB" w:rsidRPr="00C9465D">
        <w:rPr>
          <w:lang w:val="en-US"/>
        </w:rPr>
        <w:t xml:space="preserve"> </w:t>
      </w:r>
      <w:r w:rsidR="00D8466F" w:rsidRPr="00C9465D">
        <w:rPr>
          <w:lang w:val="en-US"/>
        </w:rPr>
        <w:t>para.</w:t>
      </w:r>
      <w:r w:rsidR="005A4459" w:rsidRPr="00C9465D">
        <w:rPr>
          <w:lang w:val="en-US"/>
        </w:rPr>
        <w:t xml:space="preserve"> </w:t>
      </w:r>
      <w:r w:rsidR="005A4459" w:rsidRPr="00C9465D">
        <w:rPr>
          <w:lang w:val="en-US"/>
        </w:rPr>
        <w:fldChar w:fldCharType="begin"/>
      </w:r>
      <w:r w:rsidR="005A4459" w:rsidRPr="00C9465D">
        <w:rPr>
          <w:lang w:val="en-US"/>
        </w:rPr>
        <w:instrText xml:space="preserve"> REF _Ref72159392 \r \h </w:instrText>
      </w:r>
      <w:r w:rsidR="00496133" w:rsidRPr="00C9465D">
        <w:rPr>
          <w:lang w:val="en-US"/>
        </w:rPr>
        <w:instrText xml:space="preserve"> \* MERGEFORMAT </w:instrText>
      </w:r>
      <w:r w:rsidR="005A4459" w:rsidRPr="00C9465D">
        <w:rPr>
          <w:lang w:val="en-US"/>
        </w:rPr>
      </w:r>
      <w:r w:rsidR="005A4459" w:rsidRPr="00C9465D">
        <w:rPr>
          <w:lang w:val="en-US"/>
        </w:rPr>
        <w:fldChar w:fldCharType="separate"/>
      </w:r>
      <w:r w:rsidR="005A4459" w:rsidRPr="00C9465D">
        <w:rPr>
          <w:lang w:val="en-US"/>
        </w:rPr>
        <w:t>25</w:t>
      </w:r>
      <w:r w:rsidR="005A4459" w:rsidRPr="00C9465D">
        <w:rPr>
          <w:lang w:val="en-US"/>
        </w:rPr>
        <w:fldChar w:fldCharType="end"/>
      </w:r>
      <w:r w:rsidR="003D53BB" w:rsidRPr="00C9465D">
        <w:rPr>
          <w:lang w:val="en-US"/>
        </w:rPr>
        <w:t>)</w:t>
      </w:r>
      <w:r w:rsidR="005420C7" w:rsidRPr="00C9465D">
        <w:rPr>
          <w:lang w:val="en-US"/>
        </w:rPr>
        <w:t>; consequently,</w:t>
      </w:r>
      <w:r w:rsidR="008811BD" w:rsidRPr="00C9465D">
        <w:rPr>
          <w:lang w:val="en-US"/>
        </w:rPr>
        <w:t xml:space="preserve"> </w:t>
      </w:r>
      <w:r w:rsidR="005420C7" w:rsidRPr="00C9465D">
        <w:rPr>
          <w:lang w:val="en-US"/>
        </w:rPr>
        <w:t>it is</w:t>
      </w:r>
      <w:r w:rsidR="008811BD" w:rsidRPr="00C9465D">
        <w:rPr>
          <w:lang w:val="en-US"/>
        </w:rPr>
        <w:t xml:space="preserve"> inadmi</w:t>
      </w:r>
      <w:r w:rsidR="005420C7" w:rsidRPr="00C9465D">
        <w:rPr>
          <w:lang w:val="en-US"/>
        </w:rPr>
        <w:t>s</w:t>
      </w:r>
      <w:r w:rsidR="008811BD" w:rsidRPr="00C9465D">
        <w:rPr>
          <w:lang w:val="en-US"/>
        </w:rPr>
        <w:t xml:space="preserve">sible to order reparations in their favor. Regarding the other requests, the Court considers that the delivery </w:t>
      </w:r>
      <w:r w:rsidR="00CF3A9D" w:rsidRPr="00C9465D">
        <w:rPr>
          <w:lang w:val="en-US"/>
        </w:rPr>
        <w:t>of this judgment</w:t>
      </w:r>
      <w:r w:rsidRPr="00C9465D">
        <w:rPr>
          <w:lang w:val="en-US"/>
        </w:rPr>
        <w:t xml:space="preserve"> and</w:t>
      </w:r>
      <w:r w:rsidR="008811BD" w:rsidRPr="00C9465D">
        <w:rPr>
          <w:lang w:val="en-US"/>
        </w:rPr>
        <w:t xml:space="preserve"> the reparations ordered in this chapter are sufficient and adequate to redress the violations suffered by </w:t>
      </w:r>
      <w:r w:rsidR="00577DE0" w:rsidRPr="00C9465D">
        <w:rPr>
          <w:lang w:val="en-US"/>
        </w:rPr>
        <w:t>the victims</w:t>
      </w:r>
      <w:r w:rsidR="003D53BB" w:rsidRPr="00C9465D">
        <w:rPr>
          <w:lang w:val="en-US"/>
        </w:rPr>
        <w:t xml:space="preserve">, </w:t>
      </w:r>
      <w:r w:rsidR="008811BD" w:rsidRPr="00C9465D">
        <w:rPr>
          <w:lang w:val="en-US"/>
        </w:rPr>
        <w:t>and therefore does not find it necessary to order those measures.</w:t>
      </w:r>
    </w:p>
    <w:p w14:paraId="6CD755C0" w14:textId="1E2B8228" w:rsidR="00632CFA" w:rsidRPr="00C9465D" w:rsidRDefault="00CF3A9D" w:rsidP="00BB407B">
      <w:pPr>
        <w:pStyle w:val="Heading2"/>
        <w:rPr>
          <w:lang w:val="en-US"/>
        </w:rPr>
      </w:pPr>
      <w:r w:rsidRPr="00C9465D">
        <w:rPr>
          <w:lang w:val="en-US"/>
        </w:rPr>
        <w:t>Costs and expenses</w:t>
      </w:r>
      <w:bookmarkEnd w:id="142"/>
    </w:p>
    <w:p w14:paraId="306DE0AD" w14:textId="0B959921" w:rsidR="003D53BB" w:rsidRPr="00C9465D" w:rsidRDefault="00193CBB" w:rsidP="005420C7">
      <w:pPr>
        <w:pStyle w:val="Numberedparagraphs"/>
        <w:rPr>
          <w:lang w:val="en-US"/>
        </w:rPr>
      </w:pPr>
      <w:bookmarkStart w:id="143" w:name="_Ref43209309"/>
      <w:bookmarkStart w:id="144" w:name="_Toc36823518"/>
      <w:bookmarkStart w:id="145" w:name="_Toc44332545"/>
      <w:r w:rsidRPr="00C9465D">
        <w:rPr>
          <w:lang w:val="en-US"/>
        </w:rPr>
        <w:t xml:space="preserve">The </w:t>
      </w:r>
      <w:r w:rsidRPr="00C9465D">
        <w:rPr>
          <w:b/>
          <w:bCs/>
          <w:i/>
          <w:iCs/>
          <w:lang w:val="en-US"/>
        </w:rPr>
        <w:t>representatives</w:t>
      </w:r>
      <w:r w:rsidR="003D53BB" w:rsidRPr="00C9465D">
        <w:rPr>
          <w:lang w:val="en-US"/>
        </w:rPr>
        <w:t xml:space="preserve"> indica</w:t>
      </w:r>
      <w:r w:rsidR="005420C7" w:rsidRPr="00C9465D">
        <w:rPr>
          <w:lang w:val="en-US"/>
        </w:rPr>
        <w:t xml:space="preserve">ted that the PUCE Human Rights Center </w:t>
      </w:r>
      <w:r w:rsidRPr="00C9465D">
        <w:rPr>
          <w:lang w:val="en-US"/>
        </w:rPr>
        <w:t xml:space="preserve">and </w:t>
      </w:r>
      <w:r w:rsidR="005420C7" w:rsidRPr="00C9465D">
        <w:rPr>
          <w:lang w:val="en-US"/>
        </w:rPr>
        <w:t>the</w:t>
      </w:r>
      <w:r w:rsidR="003D53BB" w:rsidRPr="00C9465D">
        <w:rPr>
          <w:lang w:val="en-US"/>
        </w:rPr>
        <w:t xml:space="preserve"> Fundación de Asesoría Regional en Derechos Humanos (INREDH) ha</w:t>
      </w:r>
      <w:r w:rsidR="005420C7" w:rsidRPr="00C9465D">
        <w:rPr>
          <w:lang w:val="en-US"/>
        </w:rPr>
        <w:t xml:space="preserve">d defended </w:t>
      </w:r>
      <w:r w:rsidR="003D53BB" w:rsidRPr="00C9465D">
        <w:rPr>
          <w:lang w:val="en-US"/>
        </w:rPr>
        <w:t>Luis Eduardo Guachalá</w:t>
      </w:r>
      <w:r w:rsidRPr="00C9465D">
        <w:rPr>
          <w:lang w:val="en-US"/>
        </w:rPr>
        <w:t xml:space="preserve"> and </w:t>
      </w:r>
      <w:r w:rsidR="005420C7" w:rsidRPr="00C9465D">
        <w:rPr>
          <w:lang w:val="en-US"/>
        </w:rPr>
        <w:t xml:space="preserve">his family before the domestic instances and before the inter-American system since </w:t>
      </w:r>
      <w:r w:rsidR="003D53BB" w:rsidRPr="00C9465D">
        <w:rPr>
          <w:lang w:val="en-US"/>
        </w:rPr>
        <w:t xml:space="preserve">2004. </w:t>
      </w:r>
      <w:r w:rsidR="005420C7" w:rsidRPr="00C9465D">
        <w:rPr>
          <w:lang w:val="en-US"/>
        </w:rPr>
        <w:t>They indicated that the “costs arising from their professional activities, as well as the costs relating to the collection of evidence and the notarization of documents had been covered by the organizations and, in the instant case, th</w:t>
      </w:r>
      <w:r w:rsidR="00C97DDD" w:rsidRPr="00C9465D">
        <w:rPr>
          <w:lang w:val="en-US"/>
        </w:rPr>
        <w:t>is</w:t>
      </w:r>
      <w:r w:rsidR="005420C7" w:rsidRPr="00C9465D">
        <w:rPr>
          <w:lang w:val="en-US"/>
        </w:rPr>
        <w:t xml:space="preserve"> has represented an average of US$</w:t>
      </w:r>
      <w:r w:rsidR="003D53BB" w:rsidRPr="00C9465D">
        <w:rPr>
          <w:lang w:val="en-US"/>
        </w:rPr>
        <w:t>10</w:t>
      </w:r>
      <w:r w:rsidR="005420C7" w:rsidRPr="00C9465D">
        <w:rPr>
          <w:lang w:val="en-US"/>
        </w:rPr>
        <w:t>,</w:t>
      </w:r>
      <w:r w:rsidR="003D53BB" w:rsidRPr="00C9465D">
        <w:rPr>
          <w:lang w:val="en-US"/>
        </w:rPr>
        <w:t xml:space="preserve">000 </w:t>
      </w:r>
      <w:r w:rsidR="005420C7" w:rsidRPr="00C9465D">
        <w:rPr>
          <w:lang w:val="en-US"/>
        </w:rPr>
        <w:t>a year.</w:t>
      </w:r>
      <w:r w:rsidR="003D53BB" w:rsidRPr="00C9465D">
        <w:rPr>
          <w:lang w:val="en-US"/>
        </w:rPr>
        <w:t>”</w:t>
      </w:r>
      <w:r w:rsidR="005420C7" w:rsidRPr="00C9465D">
        <w:rPr>
          <w:lang w:val="en-US"/>
        </w:rPr>
        <w:t xml:space="preserve"> They also asked that the expenses incurred to attend the hearing on merits before</w:t>
      </w:r>
      <w:r w:rsidR="003D53BB" w:rsidRPr="00C9465D">
        <w:rPr>
          <w:lang w:val="en-US"/>
        </w:rPr>
        <w:t xml:space="preserve"> </w:t>
      </w:r>
      <w:r w:rsidRPr="00C9465D">
        <w:rPr>
          <w:lang w:val="en-US"/>
        </w:rPr>
        <w:t>the Inter-American Commission</w:t>
      </w:r>
      <w:r w:rsidR="005420C7" w:rsidRPr="00C9465D">
        <w:rPr>
          <w:lang w:val="en-US"/>
        </w:rPr>
        <w:t xml:space="preserve"> be taken into consideration</w:t>
      </w:r>
      <w:r w:rsidR="00C97DDD" w:rsidRPr="00C9465D">
        <w:rPr>
          <w:lang w:val="en-US"/>
        </w:rPr>
        <w:t>; these</w:t>
      </w:r>
      <w:r w:rsidR="005420C7" w:rsidRPr="00C9465D">
        <w:rPr>
          <w:lang w:val="en-US"/>
        </w:rPr>
        <w:t xml:space="preserve"> included the issue of passports and United States visas for </w:t>
      </w:r>
      <w:r w:rsidR="00A56F98" w:rsidRPr="00C9465D">
        <w:rPr>
          <w:lang w:val="en-US"/>
        </w:rPr>
        <w:t>Mrs. Chimbo</w:t>
      </w:r>
      <w:r w:rsidRPr="00C9465D">
        <w:rPr>
          <w:lang w:val="en-US"/>
        </w:rPr>
        <w:t xml:space="preserve"> and </w:t>
      </w:r>
      <w:r w:rsidR="005420C7" w:rsidRPr="00C9465D">
        <w:rPr>
          <w:lang w:val="en-US"/>
        </w:rPr>
        <w:t>two</w:t>
      </w:r>
      <w:r w:rsidR="003D53BB" w:rsidRPr="00C9465D">
        <w:rPr>
          <w:lang w:val="en-US"/>
        </w:rPr>
        <w:t xml:space="preserve"> INREDH</w:t>
      </w:r>
      <w:r w:rsidR="005420C7" w:rsidRPr="00C9465D">
        <w:rPr>
          <w:lang w:val="en-US"/>
        </w:rPr>
        <w:t xml:space="preserve"> lawyers</w:t>
      </w:r>
      <w:r w:rsidR="003D53BB" w:rsidRPr="00C9465D">
        <w:rPr>
          <w:lang w:val="en-US"/>
        </w:rPr>
        <w:t xml:space="preserve">, </w:t>
      </w:r>
      <w:r w:rsidR="005420C7" w:rsidRPr="00C9465D">
        <w:rPr>
          <w:lang w:val="en-US"/>
        </w:rPr>
        <w:t xml:space="preserve">the airfares, tickets, hotel accommodation, transport and food. They indicated that the participation of </w:t>
      </w:r>
      <w:r w:rsidR="00A56F98" w:rsidRPr="00C9465D">
        <w:rPr>
          <w:lang w:val="en-US"/>
        </w:rPr>
        <w:t>Mrs. Chimbo</w:t>
      </w:r>
      <w:r w:rsidRPr="00C9465D">
        <w:rPr>
          <w:lang w:val="en-US"/>
        </w:rPr>
        <w:t xml:space="preserve"> and </w:t>
      </w:r>
      <w:r w:rsidR="005420C7" w:rsidRPr="00C9465D">
        <w:rPr>
          <w:lang w:val="en-US"/>
        </w:rPr>
        <w:t>the</w:t>
      </w:r>
      <w:r w:rsidR="003D53BB" w:rsidRPr="00C9465D">
        <w:rPr>
          <w:lang w:val="en-US"/>
        </w:rPr>
        <w:t xml:space="preserve"> INREDH</w:t>
      </w:r>
      <w:r w:rsidR="005420C7" w:rsidRPr="00C9465D">
        <w:rPr>
          <w:lang w:val="en-US"/>
        </w:rPr>
        <w:t xml:space="preserve"> lawyers</w:t>
      </w:r>
      <w:r w:rsidR="003D53BB" w:rsidRPr="00C9465D">
        <w:rPr>
          <w:lang w:val="en-US"/>
        </w:rPr>
        <w:t xml:space="preserve"> </w:t>
      </w:r>
      <w:r w:rsidR="005420C7" w:rsidRPr="00C9465D">
        <w:rPr>
          <w:lang w:val="en-US"/>
        </w:rPr>
        <w:t>cost US$</w:t>
      </w:r>
      <w:r w:rsidR="003D53BB" w:rsidRPr="00C9465D">
        <w:rPr>
          <w:lang w:val="en-US"/>
        </w:rPr>
        <w:t>5</w:t>
      </w:r>
      <w:r w:rsidR="005420C7" w:rsidRPr="00C9465D">
        <w:rPr>
          <w:lang w:val="en-US"/>
        </w:rPr>
        <w:t>,</w:t>
      </w:r>
      <w:r w:rsidR="003D53BB" w:rsidRPr="00C9465D">
        <w:rPr>
          <w:lang w:val="en-US"/>
        </w:rPr>
        <w:t>862</w:t>
      </w:r>
      <w:r w:rsidR="005420C7" w:rsidRPr="00C9465D">
        <w:rPr>
          <w:lang w:val="en-US"/>
        </w:rPr>
        <w:t>.</w:t>
      </w:r>
      <w:r w:rsidR="003D53BB" w:rsidRPr="00C9465D">
        <w:rPr>
          <w:lang w:val="en-US"/>
        </w:rPr>
        <w:t xml:space="preserve">44; </w:t>
      </w:r>
      <w:r w:rsidR="005420C7" w:rsidRPr="00C9465D">
        <w:rPr>
          <w:lang w:val="en-US"/>
        </w:rPr>
        <w:t>while the participation of the PUCE Human Rights Center cost</w:t>
      </w:r>
      <w:r w:rsidR="003D53BB" w:rsidRPr="00C9465D">
        <w:rPr>
          <w:lang w:val="en-US"/>
        </w:rPr>
        <w:t xml:space="preserve"> </w:t>
      </w:r>
      <w:r w:rsidR="005420C7" w:rsidRPr="00C9465D">
        <w:rPr>
          <w:lang w:val="en-US"/>
        </w:rPr>
        <w:t>US$</w:t>
      </w:r>
      <w:r w:rsidR="003D53BB" w:rsidRPr="00C9465D">
        <w:rPr>
          <w:lang w:val="en-US"/>
        </w:rPr>
        <w:t>3</w:t>
      </w:r>
      <w:r w:rsidR="005420C7" w:rsidRPr="00C9465D">
        <w:rPr>
          <w:lang w:val="en-US"/>
        </w:rPr>
        <w:t>,</w:t>
      </w:r>
      <w:r w:rsidR="003D53BB" w:rsidRPr="00C9465D">
        <w:rPr>
          <w:lang w:val="en-US"/>
        </w:rPr>
        <w:t>222</w:t>
      </w:r>
      <w:r w:rsidR="005420C7" w:rsidRPr="00C9465D">
        <w:rPr>
          <w:lang w:val="en-US"/>
        </w:rPr>
        <w:t>.</w:t>
      </w:r>
      <w:r w:rsidR="003D53BB" w:rsidRPr="00C9465D">
        <w:rPr>
          <w:lang w:val="en-US"/>
        </w:rPr>
        <w:t xml:space="preserve">07. </w:t>
      </w:r>
    </w:p>
    <w:p w14:paraId="02511622" w14:textId="4D74222C" w:rsidR="003D53BB" w:rsidRPr="00C9465D" w:rsidRDefault="003D53BB" w:rsidP="00EA6E40">
      <w:pPr>
        <w:pStyle w:val="Numberedparagraphs"/>
        <w:rPr>
          <w:lang w:val="en-US"/>
        </w:rPr>
      </w:pPr>
      <w:r w:rsidRPr="00C9465D">
        <w:rPr>
          <w:lang w:val="en-US"/>
        </w:rPr>
        <w:t xml:space="preserve"> </w:t>
      </w:r>
      <w:r w:rsidR="00193CBB" w:rsidRPr="00C9465D">
        <w:rPr>
          <w:lang w:val="en-US"/>
        </w:rPr>
        <w:t xml:space="preserve">The </w:t>
      </w:r>
      <w:r w:rsidR="00193CBB" w:rsidRPr="00C9465D">
        <w:rPr>
          <w:b/>
          <w:bCs/>
          <w:i/>
          <w:iCs/>
          <w:lang w:val="en-US"/>
        </w:rPr>
        <w:t>State</w:t>
      </w:r>
      <w:r w:rsidRPr="00C9465D">
        <w:rPr>
          <w:b/>
          <w:i/>
          <w:lang w:val="en-US"/>
        </w:rPr>
        <w:t xml:space="preserve"> </w:t>
      </w:r>
      <w:r w:rsidR="005420C7" w:rsidRPr="00C9465D">
        <w:rPr>
          <w:lang w:val="en-US"/>
        </w:rPr>
        <w:t>stressed that</w:t>
      </w:r>
      <w:r w:rsidRPr="00C9465D">
        <w:rPr>
          <w:lang w:val="en-US"/>
        </w:rPr>
        <w:t xml:space="preserve"> </w:t>
      </w:r>
      <w:r w:rsidR="00193CBB" w:rsidRPr="00C9465D">
        <w:rPr>
          <w:lang w:val="en-US"/>
        </w:rPr>
        <w:t>the representatives</w:t>
      </w:r>
      <w:r w:rsidRPr="00C9465D">
        <w:rPr>
          <w:lang w:val="en-US"/>
        </w:rPr>
        <w:t xml:space="preserve"> </w:t>
      </w:r>
      <w:r w:rsidR="005420C7" w:rsidRPr="00C9465D">
        <w:rPr>
          <w:lang w:val="en-US"/>
        </w:rPr>
        <w:t>had not set forth</w:t>
      </w:r>
      <w:r w:rsidRPr="00C9465D">
        <w:rPr>
          <w:lang w:val="en-US"/>
        </w:rPr>
        <w:t xml:space="preserve"> “</w:t>
      </w:r>
      <w:r w:rsidR="005420C7" w:rsidRPr="00C9465D">
        <w:rPr>
          <w:lang w:val="en-US"/>
        </w:rPr>
        <w:t>their arguments relating them to vouchers, as the Court requires.” It also indicated that “it is not for the State to assume the exp</w:t>
      </w:r>
      <w:r w:rsidR="00C97DDD" w:rsidRPr="00C9465D">
        <w:rPr>
          <w:lang w:val="en-US"/>
        </w:rPr>
        <w:t>enses</w:t>
      </w:r>
      <w:r w:rsidR="005420C7" w:rsidRPr="00C9465D">
        <w:rPr>
          <w:lang w:val="en-US"/>
        </w:rPr>
        <w:t xml:space="preserve"> corresponding to passport and visa procedures for persons who have a dependent relationship with </w:t>
      </w:r>
      <w:r w:rsidRPr="00C9465D">
        <w:rPr>
          <w:lang w:val="en-US"/>
        </w:rPr>
        <w:t>INREDH</w:t>
      </w:r>
      <w:r w:rsidR="00193CBB" w:rsidRPr="00C9465D">
        <w:rPr>
          <w:lang w:val="en-US"/>
        </w:rPr>
        <w:t xml:space="preserve"> and </w:t>
      </w:r>
      <w:r w:rsidR="00EA6E40" w:rsidRPr="00C9465D">
        <w:rPr>
          <w:lang w:val="en-US"/>
        </w:rPr>
        <w:t xml:space="preserve">the PUCE Human Rights Center, and whose work supposedly carried out in relation to these inter-American proceedings has not been justified.” Lastly, it indicated that five persons attended the hearing before </w:t>
      </w:r>
      <w:r w:rsidR="00193CBB" w:rsidRPr="00C9465D">
        <w:rPr>
          <w:lang w:val="en-US"/>
        </w:rPr>
        <w:t>the Inter-American Commission</w:t>
      </w:r>
      <w:r w:rsidRPr="00C9465D">
        <w:rPr>
          <w:lang w:val="en-US"/>
        </w:rPr>
        <w:t xml:space="preserve"> </w:t>
      </w:r>
      <w:r w:rsidR="00EA6E40" w:rsidRPr="00C9465D">
        <w:rPr>
          <w:lang w:val="en-US"/>
        </w:rPr>
        <w:t xml:space="preserve">to exercise the defense of </w:t>
      </w:r>
      <w:r w:rsidR="00AE28B7" w:rsidRPr="00C9465D">
        <w:rPr>
          <w:lang w:val="en-US"/>
        </w:rPr>
        <w:t>the presumed victim</w:t>
      </w:r>
      <w:r w:rsidRPr="00C9465D">
        <w:rPr>
          <w:lang w:val="en-US"/>
        </w:rPr>
        <w:t xml:space="preserve">, </w:t>
      </w:r>
      <w:r w:rsidR="00EA6E40" w:rsidRPr="00C9465D">
        <w:rPr>
          <w:lang w:val="en-US"/>
        </w:rPr>
        <w:t>without any “evidence of the strict need for the presence of that number of representatives for that particular procedure.”</w:t>
      </w:r>
      <w:bookmarkStart w:id="146" w:name="_Ref532988410"/>
      <w:bookmarkEnd w:id="143"/>
    </w:p>
    <w:p w14:paraId="7BCABC30" w14:textId="41A624B8" w:rsidR="003D53BB" w:rsidRPr="00C9465D" w:rsidRDefault="00193CBB" w:rsidP="00EA6E40">
      <w:pPr>
        <w:pStyle w:val="Numberedparagraphs"/>
        <w:rPr>
          <w:lang w:val="en-US"/>
        </w:rPr>
      </w:pPr>
      <w:r w:rsidRPr="00C9465D">
        <w:rPr>
          <w:lang w:val="en-US"/>
        </w:rPr>
        <w:t>The Court</w:t>
      </w:r>
      <w:r w:rsidR="003D53BB" w:rsidRPr="00C9465D">
        <w:rPr>
          <w:lang w:val="en-US"/>
        </w:rPr>
        <w:t xml:space="preserve"> reitera</w:t>
      </w:r>
      <w:r w:rsidR="00EA6E40" w:rsidRPr="00C9465D">
        <w:rPr>
          <w:lang w:val="en-US"/>
        </w:rPr>
        <w:t>tes that, pursuant to its case law,</w:t>
      </w:r>
      <w:r w:rsidR="003D53BB" w:rsidRPr="00C9465D">
        <w:rPr>
          <w:vertAlign w:val="superscript"/>
          <w:lang w:val="en-US"/>
        </w:rPr>
        <w:footnoteReference w:id="380"/>
      </w:r>
      <w:r w:rsidR="003D53BB" w:rsidRPr="00C9465D">
        <w:rPr>
          <w:lang w:val="en-US"/>
        </w:rPr>
        <w:t xml:space="preserve"> </w:t>
      </w:r>
      <w:r w:rsidR="00CF3A9D" w:rsidRPr="00C9465D">
        <w:rPr>
          <w:lang w:val="en-US"/>
        </w:rPr>
        <w:t>costs and expenses</w:t>
      </w:r>
      <w:r w:rsidR="003D53BB" w:rsidRPr="00C9465D">
        <w:rPr>
          <w:lang w:val="en-US"/>
        </w:rPr>
        <w:t xml:space="preserve"> </w:t>
      </w:r>
      <w:r w:rsidR="00EA6E40" w:rsidRPr="00C9465D">
        <w:rPr>
          <w:lang w:val="en-US"/>
        </w:rPr>
        <w:t>form part of the concept of reparation, because the activities deployed by the victims in order to obtain justice at both the national and the international level entail disbursement that must be compensated when the international responsibility</w:t>
      </w:r>
      <w:r w:rsidR="00C97DDD" w:rsidRPr="00C9465D">
        <w:rPr>
          <w:lang w:val="en-US"/>
        </w:rPr>
        <w:t xml:space="preserve"> of the State</w:t>
      </w:r>
      <w:r w:rsidR="00EA6E40" w:rsidRPr="00C9465D">
        <w:rPr>
          <w:lang w:val="en-US"/>
        </w:rPr>
        <w:t xml:space="preserve"> has been declared in a judgment convicting it. Regarding the reimbursement of costs and expenses, it corresponds to the Court to make a prudent assessment of their scope, which includes the expenses generated before the authorities of the internal jurisdiction, as well as those </w:t>
      </w:r>
      <w:r w:rsidR="00C97DDD" w:rsidRPr="00C9465D">
        <w:rPr>
          <w:lang w:val="en-US"/>
        </w:rPr>
        <w:t>incurred</w:t>
      </w:r>
      <w:r w:rsidR="00EA6E40" w:rsidRPr="00C9465D">
        <w:rPr>
          <w:lang w:val="en-US"/>
        </w:rPr>
        <w:t xml:space="preserve"> during the proceedings before the inter-American system, taking into account the circumstances of the specific case and the nature of the international jurisdiction for the protection of human </w:t>
      </w:r>
      <w:r w:rsidR="00EA6E40" w:rsidRPr="00C9465D">
        <w:rPr>
          <w:lang w:val="en-US"/>
        </w:rPr>
        <w:lastRenderedPageBreak/>
        <w:t xml:space="preserve">rights. This assessment may be made based on the equity principle and taking into account the expenses indicated by the parties, provided their </w:t>
      </w:r>
      <w:r w:rsidR="003D53BB" w:rsidRPr="00C9465D">
        <w:rPr>
          <w:rFonts w:cs="Verdana"/>
          <w:i/>
          <w:iCs/>
          <w:lang w:val="en-US"/>
        </w:rPr>
        <w:t>quantum</w:t>
      </w:r>
      <w:r w:rsidR="003D53BB" w:rsidRPr="00C9465D">
        <w:rPr>
          <w:rFonts w:cs="Verdana"/>
          <w:iCs/>
          <w:lang w:val="en-US"/>
        </w:rPr>
        <w:t xml:space="preserve"> </w:t>
      </w:r>
      <w:r w:rsidR="00EA6E40" w:rsidRPr="00C9465D">
        <w:rPr>
          <w:rFonts w:cs="Verdana"/>
          <w:lang w:val="en-US"/>
        </w:rPr>
        <w:t>is reasonable.</w:t>
      </w:r>
      <w:r w:rsidR="003D53BB" w:rsidRPr="00C9465D">
        <w:rPr>
          <w:vertAlign w:val="superscript"/>
          <w:lang w:val="en-US"/>
        </w:rPr>
        <w:footnoteReference w:id="381"/>
      </w:r>
      <w:bookmarkEnd w:id="146"/>
    </w:p>
    <w:p w14:paraId="2BA2733B" w14:textId="7CA25F8A" w:rsidR="003D53BB" w:rsidRPr="00C9465D" w:rsidRDefault="00B71E4D" w:rsidP="003D53BB">
      <w:pPr>
        <w:pStyle w:val="Numberedparagraphs"/>
        <w:rPr>
          <w:lang w:val="en-US"/>
        </w:rPr>
      </w:pPr>
      <w:r w:rsidRPr="00C9465D">
        <w:rPr>
          <w:lang w:val="en-US"/>
        </w:rPr>
        <w:t>Th</w:t>
      </w:r>
      <w:r w:rsidR="00B77D7E" w:rsidRPr="00C9465D">
        <w:rPr>
          <w:lang w:val="en-US"/>
        </w:rPr>
        <w:t>e</w:t>
      </w:r>
      <w:r w:rsidRPr="00C9465D">
        <w:rPr>
          <w:lang w:val="en-US"/>
        </w:rPr>
        <w:t xml:space="preserve"> Court</w:t>
      </w:r>
      <w:r w:rsidR="003D53BB" w:rsidRPr="00C9465D">
        <w:rPr>
          <w:lang w:val="en-US"/>
        </w:rPr>
        <w:t xml:space="preserve"> ha</w:t>
      </w:r>
      <w:r w:rsidR="00B77D7E" w:rsidRPr="00C9465D">
        <w:rPr>
          <w:lang w:val="en-US"/>
        </w:rPr>
        <w:t xml:space="preserve">s indicated that “the claims </w:t>
      </w:r>
      <w:r w:rsidR="00092D8C" w:rsidRPr="00C9465D">
        <w:rPr>
          <w:lang w:val="en-US"/>
        </w:rPr>
        <w:t xml:space="preserve">of the </w:t>
      </w:r>
      <w:r w:rsidR="00577DE0" w:rsidRPr="00C9465D">
        <w:rPr>
          <w:lang w:val="en-US"/>
        </w:rPr>
        <w:t>victims</w:t>
      </w:r>
      <w:r w:rsidR="003D53BB" w:rsidRPr="00C9465D">
        <w:rPr>
          <w:lang w:val="en-US"/>
        </w:rPr>
        <w:t xml:space="preserve"> o</w:t>
      </w:r>
      <w:r w:rsidR="00B77D7E" w:rsidRPr="00C9465D">
        <w:rPr>
          <w:lang w:val="en-US"/>
        </w:rPr>
        <w:t xml:space="preserve">r their representatives for </w:t>
      </w:r>
      <w:r w:rsidR="00CF3A9D" w:rsidRPr="00C9465D">
        <w:rPr>
          <w:lang w:val="en-US"/>
        </w:rPr>
        <w:t>costs and expenses</w:t>
      </w:r>
      <w:r w:rsidR="003D53BB" w:rsidRPr="00C9465D">
        <w:rPr>
          <w:lang w:val="en-US"/>
        </w:rPr>
        <w:t>,</w:t>
      </w:r>
      <w:r w:rsidR="00193CBB" w:rsidRPr="00C9465D">
        <w:rPr>
          <w:lang w:val="en-US"/>
        </w:rPr>
        <w:t xml:space="preserve"> and</w:t>
      </w:r>
      <w:r w:rsidR="00B77D7E" w:rsidRPr="00C9465D">
        <w:rPr>
          <w:lang w:val="en-US"/>
        </w:rPr>
        <w:t xml:space="preserve"> the evidence that support the</w:t>
      </w:r>
      <w:r w:rsidR="00C97DDD" w:rsidRPr="00C9465D">
        <w:rPr>
          <w:lang w:val="en-US"/>
        </w:rPr>
        <w:t>se claims</w:t>
      </w:r>
      <w:r w:rsidR="00B77D7E" w:rsidRPr="00C9465D">
        <w:rPr>
          <w:lang w:val="en-US"/>
        </w:rPr>
        <w:t xml:space="preserve"> should be submitted to the Court at the first procedural moment granted to them – that is, in the </w:t>
      </w:r>
      <w:r w:rsidR="00CF3A9D" w:rsidRPr="00C9465D">
        <w:rPr>
          <w:lang w:val="en-US"/>
        </w:rPr>
        <w:t>pleadings and motions brief</w:t>
      </w:r>
      <w:r w:rsidR="00B77D7E" w:rsidRPr="00C9465D">
        <w:rPr>
          <w:lang w:val="en-US"/>
        </w:rPr>
        <w:t xml:space="preserve"> – without prejudice to those claims being updated subsequently, </w:t>
      </w:r>
      <w:r w:rsidR="00C97DDD" w:rsidRPr="00C9465D">
        <w:rPr>
          <w:lang w:val="en-US"/>
        </w:rPr>
        <w:t>based on</w:t>
      </w:r>
      <w:r w:rsidR="00B77D7E" w:rsidRPr="00C9465D">
        <w:rPr>
          <w:lang w:val="en-US"/>
        </w:rPr>
        <w:t xml:space="preserve"> the new</w:t>
      </w:r>
      <w:r w:rsidR="003D53BB" w:rsidRPr="00C9465D">
        <w:rPr>
          <w:lang w:val="en-US"/>
        </w:rPr>
        <w:t xml:space="preserve"> </w:t>
      </w:r>
      <w:r w:rsidR="00CF3A9D" w:rsidRPr="00C9465D">
        <w:rPr>
          <w:lang w:val="en-US"/>
        </w:rPr>
        <w:t>costs and expenses</w:t>
      </w:r>
      <w:r w:rsidR="003D53BB" w:rsidRPr="00C9465D">
        <w:rPr>
          <w:lang w:val="en-US"/>
        </w:rPr>
        <w:t xml:space="preserve"> </w:t>
      </w:r>
      <w:r w:rsidR="00B77D7E" w:rsidRPr="00C9465D">
        <w:rPr>
          <w:lang w:val="en-US"/>
        </w:rPr>
        <w:t xml:space="preserve">incurred as a result of the proceedings before </w:t>
      </w:r>
      <w:r w:rsidR="00183C22" w:rsidRPr="00C9465D">
        <w:rPr>
          <w:lang w:val="en-US"/>
        </w:rPr>
        <w:t>this Court</w:t>
      </w:r>
      <w:r w:rsidR="00B77D7E" w:rsidRPr="00C9465D">
        <w:rPr>
          <w:lang w:val="en-US"/>
        </w:rPr>
        <w:t>.</w:t>
      </w:r>
      <w:r w:rsidR="003D53BB" w:rsidRPr="00C9465D">
        <w:rPr>
          <w:lang w:val="en-US"/>
        </w:rPr>
        <w:t>”</w:t>
      </w:r>
      <w:r w:rsidR="003D53BB" w:rsidRPr="00C9465D">
        <w:rPr>
          <w:vertAlign w:val="superscript"/>
          <w:lang w:val="en-US"/>
        </w:rPr>
        <w:footnoteReference w:id="382"/>
      </w:r>
      <w:r w:rsidR="00B77D7E" w:rsidRPr="00C9465D">
        <w:rPr>
          <w:lang w:val="en-US"/>
        </w:rPr>
        <w:t xml:space="preserve"> In addition,</w:t>
      </w:r>
      <w:r w:rsidR="003D53BB" w:rsidRPr="00C9465D">
        <w:rPr>
          <w:lang w:val="en-US"/>
        </w:rPr>
        <w:t xml:space="preserve"> </w:t>
      </w:r>
      <w:r w:rsidR="00193CBB" w:rsidRPr="00C9465D">
        <w:rPr>
          <w:lang w:val="en-US"/>
        </w:rPr>
        <w:t>the Court</w:t>
      </w:r>
      <w:r w:rsidR="003D53BB" w:rsidRPr="00C9465D">
        <w:rPr>
          <w:lang w:val="en-US"/>
        </w:rPr>
        <w:t xml:space="preserve"> reitera</w:t>
      </w:r>
      <w:r w:rsidR="00B77D7E" w:rsidRPr="00C9465D">
        <w:rPr>
          <w:lang w:val="en-US"/>
        </w:rPr>
        <w:t>tes that it is not sufficient to merely forward evidentiary documents; rather, the parties are required to include arguments that relate the evidence to the fact that it is considered to represent and that, in the case of financial disbursements, the items and their justification is clearly established.</w:t>
      </w:r>
      <w:r w:rsidR="003D53BB" w:rsidRPr="00C9465D">
        <w:rPr>
          <w:vertAlign w:val="superscript"/>
          <w:lang w:val="en-US"/>
        </w:rPr>
        <w:footnoteReference w:id="383"/>
      </w:r>
      <w:bookmarkStart w:id="147" w:name="_Ref33110670"/>
      <w:bookmarkStart w:id="148" w:name="_Ref36651082"/>
    </w:p>
    <w:p w14:paraId="122B574F" w14:textId="5271586D" w:rsidR="003D53BB" w:rsidRPr="00C9465D" w:rsidRDefault="003D53BB" w:rsidP="002562FC">
      <w:pPr>
        <w:pStyle w:val="Numberedparagraphs"/>
        <w:rPr>
          <w:lang w:val="en-US"/>
        </w:rPr>
      </w:pPr>
      <w:bookmarkStart w:id="149" w:name="_Ref72330582"/>
      <w:bookmarkEnd w:id="147"/>
      <w:bookmarkEnd w:id="148"/>
      <w:r w:rsidRPr="00C9465D">
        <w:rPr>
          <w:lang w:val="en-US"/>
        </w:rPr>
        <w:t>T</w:t>
      </w:r>
      <w:r w:rsidR="00B77D7E" w:rsidRPr="00C9465D">
        <w:rPr>
          <w:lang w:val="en-US"/>
        </w:rPr>
        <w:t>aking into the account the sum requested by the</w:t>
      </w:r>
      <w:r w:rsidRPr="00C9465D">
        <w:rPr>
          <w:lang w:val="en-US"/>
        </w:rPr>
        <w:t xml:space="preserve"> Fundación de Asesoría Regional en Derechos Humanos </w:t>
      </w:r>
      <w:r w:rsidR="00C97DDD" w:rsidRPr="00C9465D">
        <w:rPr>
          <w:lang w:val="en-US"/>
        </w:rPr>
        <w:t>(</w:t>
      </w:r>
      <w:r w:rsidRPr="00C9465D">
        <w:rPr>
          <w:lang w:val="en-US"/>
        </w:rPr>
        <w:t>INREDH</w:t>
      </w:r>
      <w:r w:rsidR="00C97DDD" w:rsidRPr="00C9465D">
        <w:rPr>
          <w:lang w:val="en-US"/>
        </w:rPr>
        <w:t>)</w:t>
      </w:r>
      <w:r w:rsidR="00193CBB" w:rsidRPr="00C9465D">
        <w:rPr>
          <w:lang w:val="en-US"/>
        </w:rPr>
        <w:t xml:space="preserve"> and </w:t>
      </w:r>
      <w:r w:rsidR="00B77D7E" w:rsidRPr="00C9465D">
        <w:rPr>
          <w:lang w:val="en-US"/>
        </w:rPr>
        <w:t>the expense vouchers presented, the Court decides to establish, in equity, the payment of a total of US</w:t>
      </w:r>
      <w:r w:rsidRPr="00C9465D">
        <w:rPr>
          <w:lang w:val="en-US"/>
        </w:rPr>
        <w:t>$10</w:t>
      </w:r>
      <w:r w:rsidR="005069F4" w:rsidRPr="00C9465D">
        <w:rPr>
          <w:lang w:val="en-US"/>
        </w:rPr>
        <w:t>,000.00</w:t>
      </w:r>
      <w:r w:rsidRPr="00C9465D">
        <w:rPr>
          <w:lang w:val="en-US"/>
        </w:rPr>
        <w:t xml:space="preserve"> (</w:t>
      </w:r>
      <w:r w:rsidR="00B77D7E" w:rsidRPr="00C9465D">
        <w:rPr>
          <w:lang w:val="en-US"/>
        </w:rPr>
        <w:t>ten</w:t>
      </w:r>
      <w:r w:rsidRPr="00C9465D">
        <w:rPr>
          <w:lang w:val="en-US"/>
        </w:rPr>
        <w:t xml:space="preserve"> </w:t>
      </w:r>
      <w:r w:rsidR="00787E97" w:rsidRPr="00C9465D">
        <w:rPr>
          <w:lang w:val="en-US"/>
        </w:rPr>
        <w:t>thousand United States dollars</w:t>
      </w:r>
      <w:r w:rsidRPr="00C9465D">
        <w:rPr>
          <w:lang w:val="en-US"/>
        </w:rPr>
        <w:t xml:space="preserve">) </w:t>
      </w:r>
      <w:r w:rsidR="00B77D7E" w:rsidRPr="00C9465D">
        <w:rPr>
          <w:lang w:val="en-US"/>
        </w:rPr>
        <w:t>for</w:t>
      </w:r>
      <w:r w:rsidRPr="00C9465D">
        <w:rPr>
          <w:lang w:val="en-US"/>
        </w:rPr>
        <w:t xml:space="preserve"> </w:t>
      </w:r>
      <w:r w:rsidR="00CF3A9D" w:rsidRPr="00C9465D">
        <w:rPr>
          <w:lang w:val="en-US"/>
        </w:rPr>
        <w:t>costs and expenses</w:t>
      </w:r>
      <w:r w:rsidRPr="00C9465D">
        <w:rPr>
          <w:lang w:val="en-US"/>
        </w:rPr>
        <w:t xml:space="preserve"> </w:t>
      </w:r>
      <w:r w:rsidR="00B77D7E" w:rsidRPr="00C9465D">
        <w:rPr>
          <w:lang w:val="en-US"/>
        </w:rPr>
        <w:t>in f</w:t>
      </w:r>
      <w:r w:rsidR="002562FC" w:rsidRPr="00C9465D">
        <w:rPr>
          <w:lang w:val="en-US"/>
        </w:rPr>
        <w:t>a</w:t>
      </w:r>
      <w:r w:rsidR="00B77D7E" w:rsidRPr="00C9465D">
        <w:rPr>
          <w:lang w:val="en-US"/>
        </w:rPr>
        <w:t>vor of the</w:t>
      </w:r>
      <w:r w:rsidRPr="00C9465D">
        <w:rPr>
          <w:lang w:val="en-US"/>
        </w:rPr>
        <w:t xml:space="preserve"> Fundación de Asesoría Regional en Derechos Humanos </w:t>
      </w:r>
      <w:r w:rsidR="00C97DDD" w:rsidRPr="00C9465D">
        <w:rPr>
          <w:lang w:val="en-US"/>
        </w:rPr>
        <w:t>(</w:t>
      </w:r>
      <w:r w:rsidRPr="00C9465D">
        <w:rPr>
          <w:lang w:val="en-US"/>
        </w:rPr>
        <w:t>INREDH</w:t>
      </w:r>
      <w:r w:rsidR="00C97DDD" w:rsidRPr="00C9465D">
        <w:rPr>
          <w:lang w:val="en-US"/>
        </w:rPr>
        <w:t>)</w:t>
      </w:r>
      <w:r w:rsidRPr="00C9465D">
        <w:rPr>
          <w:lang w:val="en-US"/>
        </w:rPr>
        <w:t xml:space="preserve">. </w:t>
      </w:r>
      <w:r w:rsidR="00B77D7E" w:rsidRPr="00C9465D">
        <w:rPr>
          <w:lang w:val="en-US"/>
        </w:rPr>
        <w:t xml:space="preserve">In </w:t>
      </w:r>
      <w:r w:rsidR="002562FC" w:rsidRPr="00C9465D">
        <w:rPr>
          <w:lang w:val="en-US"/>
        </w:rPr>
        <w:t>a</w:t>
      </w:r>
      <w:r w:rsidR="00B77D7E" w:rsidRPr="00C9465D">
        <w:rPr>
          <w:lang w:val="en-US"/>
        </w:rPr>
        <w:t>ddition</w:t>
      </w:r>
      <w:r w:rsidR="002562FC" w:rsidRPr="00C9465D">
        <w:rPr>
          <w:lang w:val="en-US"/>
        </w:rPr>
        <w:t>,</w:t>
      </w:r>
      <w:r w:rsidR="00B77D7E" w:rsidRPr="00C9465D">
        <w:rPr>
          <w:lang w:val="en-US"/>
        </w:rPr>
        <w:t xml:space="preserve"> the</w:t>
      </w:r>
      <w:r w:rsidR="00C33A2D" w:rsidRPr="00C9465D">
        <w:rPr>
          <w:lang w:val="en-US"/>
        </w:rPr>
        <w:t xml:space="preserve"> Court notes th</w:t>
      </w:r>
      <w:r w:rsidR="002562FC" w:rsidRPr="00C9465D">
        <w:rPr>
          <w:lang w:val="en-US"/>
        </w:rPr>
        <w:t>a</w:t>
      </w:r>
      <w:r w:rsidR="00C33A2D" w:rsidRPr="00C9465D">
        <w:rPr>
          <w:lang w:val="en-US"/>
        </w:rPr>
        <w:t>t</w:t>
      </w:r>
      <w:r w:rsidR="002562FC" w:rsidRPr="00C9465D">
        <w:rPr>
          <w:lang w:val="en-US"/>
        </w:rPr>
        <w:t xml:space="preserve"> the PUCE Human Rights Center merely presented financial reports from the Budgets Department, without vouchers for the amounts established in the said financial reports. Nevertheless, it is reasonable to presume that the victims and their representatives also incurred </w:t>
      </w:r>
      <w:r w:rsidR="00C97DDD" w:rsidRPr="00C9465D">
        <w:rPr>
          <w:lang w:val="en-US"/>
        </w:rPr>
        <w:t xml:space="preserve">expenses </w:t>
      </w:r>
      <w:r w:rsidR="002562FC" w:rsidRPr="00C9465D">
        <w:rPr>
          <w:lang w:val="en-US"/>
        </w:rPr>
        <w:t>during the processing of the case before the Commission</w:t>
      </w:r>
      <w:r w:rsidR="00C97DDD" w:rsidRPr="00C9465D">
        <w:rPr>
          <w:lang w:val="en-US"/>
        </w:rPr>
        <w:t xml:space="preserve">; therefore, </w:t>
      </w:r>
      <w:r w:rsidR="002562FC" w:rsidRPr="00C9465D">
        <w:rPr>
          <w:lang w:val="en-US"/>
        </w:rPr>
        <w:t>the Court finds it pertinent to reimburse reasonable litigation expenses,</w:t>
      </w:r>
      <w:r w:rsidRPr="00C9465D">
        <w:rPr>
          <w:rStyle w:val="FootnoteReference"/>
          <w:lang w:val="en-US"/>
        </w:rPr>
        <w:footnoteReference w:id="384"/>
      </w:r>
      <w:r w:rsidR="002562FC" w:rsidRPr="00C9465D">
        <w:rPr>
          <w:lang w:val="en-US"/>
        </w:rPr>
        <w:t xml:space="preserve"> which it establishes, in equity, in the sum of US</w:t>
      </w:r>
      <w:r w:rsidRPr="00C9465D">
        <w:rPr>
          <w:lang w:val="en-US"/>
        </w:rPr>
        <w:t>$10</w:t>
      </w:r>
      <w:r w:rsidR="005069F4" w:rsidRPr="00C9465D">
        <w:rPr>
          <w:lang w:val="en-US"/>
        </w:rPr>
        <w:t>,000.00</w:t>
      </w:r>
      <w:r w:rsidRPr="00C9465D">
        <w:rPr>
          <w:lang w:val="en-US"/>
        </w:rPr>
        <w:t xml:space="preserve"> (</w:t>
      </w:r>
      <w:r w:rsidR="002562FC" w:rsidRPr="00C9465D">
        <w:rPr>
          <w:lang w:val="en-US"/>
        </w:rPr>
        <w:t xml:space="preserve">ten </w:t>
      </w:r>
      <w:r w:rsidR="00787E97" w:rsidRPr="00C9465D">
        <w:rPr>
          <w:lang w:val="en-US"/>
        </w:rPr>
        <w:t>thousand United States dollars</w:t>
      </w:r>
      <w:r w:rsidRPr="00C9465D">
        <w:rPr>
          <w:lang w:val="en-US"/>
        </w:rPr>
        <w:t xml:space="preserve">) </w:t>
      </w:r>
      <w:r w:rsidR="002562FC" w:rsidRPr="00C9465D">
        <w:rPr>
          <w:lang w:val="en-US"/>
        </w:rPr>
        <w:t>for</w:t>
      </w:r>
      <w:r w:rsidRPr="00C9465D">
        <w:rPr>
          <w:lang w:val="en-US"/>
        </w:rPr>
        <w:t xml:space="preserve"> </w:t>
      </w:r>
      <w:r w:rsidR="00CF3A9D" w:rsidRPr="00C9465D">
        <w:rPr>
          <w:lang w:val="en-US"/>
        </w:rPr>
        <w:t>costs and expenses</w:t>
      </w:r>
      <w:r w:rsidRPr="00C9465D">
        <w:rPr>
          <w:lang w:val="en-US"/>
        </w:rPr>
        <w:t xml:space="preserve"> </w:t>
      </w:r>
      <w:r w:rsidR="002562FC" w:rsidRPr="00C9465D">
        <w:rPr>
          <w:lang w:val="en-US"/>
        </w:rPr>
        <w:t>in favor of the</w:t>
      </w:r>
      <w:r w:rsidRPr="00C9465D">
        <w:rPr>
          <w:lang w:val="en-US"/>
        </w:rPr>
        <w:t xml:space="preserve"> </w:t>
      </w:r>
      <w:r w:rsidR="002562FC" w:rsidRPr="00C9465D">
        <w:rPr>
          <w:lang w:val="en-US"/>
        </w:rPr>
        <w:t xml:space="preserve">PUCE Human Rights Center. These sums must be delivered directly to the said organizations. At the stage of monitoring compliance with </w:t>
      </w:r>
      <w:r w:rsidR="00CF3A9D" w:rsidRPr="00C9465D">
        <w:rPr>
          <w:rFonts w:cs="Verdana"/>
          <w:lang w:val="en-US"/>
        </w:rPr>
        <w:t>this judgment</w:t>
      </w:r>
      <w:r w:rsidRPr="00C9465D">
        <w:rPr>
          <w:rFonts w:cs="Verdana"/>
          <w:lang w:val="en-US"/>
        </w:rPr>
        <w:t xml:space="preserve">, </w:t>
      </w:r>
      <w:r w:rsidR="00193CBB" w:rsidRPr="00C9465D">
        <w:rPr>
          <w:rFonts w:cs="Verdana"/>
          <w:lang w:val="en-US"/>
        </w:rPr>
        <w:t>the Court</w:t>
      </w:r>
      <w:r w:rsidRPr="00C9465D">
        <w:rPr>
          <w:rFonts w:cs="Verdana"/>
          <w:lang w:val="en-US"/>
        </w:rPr>
        <w:t xml:space="preserve"> </w:t>
      </w:r>
      <w:r w:rsidR="002562FC" w:rsidRPr="00C9465D">
        <w:rPr>
          <w:rFonts w:cs="Verdana"/>
          <w:lang w:val="en-US"/>
        </w:rPr>
        <w:t xml:space="preserve">may order the State to reimburse the </w:t>
      </w:r>
      <w:r w:rsidR="00577DE0" w:rsidRPr="00C9465D">
        <w:rPr>
          <w:rFonts w:cs="Verdana"/>
          <w:lang w:val="en-US"/>
        </w:rPr>
        <w:t>victims</w:t>
      </w:r>
      <w:r w:rsidRPr="00C9465D">
        <w:rPr>
          <w:rFonts w:cs="Verdana"/>
          <w:lang w:val="en-US"/>
        </w:rPr>
        <w:t xml:space="preserve"> o</w:t>
      </w:r>
      <w:r w:rsidR="002562FC" w:rsidRPr="00C9465D">
        <w:rPr>
          <w:rFonts w:cs="Verdana"/>
          <w:lang w:val="en-US"/>
        </w:rPr>
        <w:t>r their representatives any reasonable expenses they incur at that procedural stage.</w:t>
      </w:r>
      <w:r w:rsidRPr="00C9465D">
        <w:rPr>
          <w:rStyle w:val="FootnoteReference"/>
          <w:lang w:val="en-US"/>
        </w:rPr>
        <w:footnoteReference w:id="385"/>
      </w:r>
      <w:bookmarkEnd w:id="149"/>
    </w:p>
    <w:p w14:paraId="4679D747" w14:textId="3336C0EE" w:rsidR="00632CFA" w:rsidRPr="00C9465D" w:rsidRDefault="002562FC" w:rsidP="00A13817">
      <w:pPr>
        <w:pStyle w:val="Heading2"/>
        <w:rPr>
          <w:lang w:val="en-US"/>
        </w:rPr>
      </w:pPr>
      <w:bookmarkStart w:id="150" w:name="_Toc74298489"/>
      <w:r w:rsidRPr="00C9465D">
        <w:rPr>
          <w:lang w:val="en-US"/>
        </w:rPr>
        <w:t>Reimbursement of expenses to the</w:t>
      </w:r>
      <w:r w:rsidR="00632CFA" w:rsidRPr="00C9465D">
        <w:rPr>
          <w:lang w:val="en-US"/>
        </w:rPr>
        <w:t xml:space="preserve"> </w:t>
      </w:r>
      <w:r w:rsidR="00F42E0C" w:rsidRPr="00C9465D">
        <w:rPr>
          <w:lang w:val="en-US"/>
        </w:rPr>
        <w:t>Victims’ Legal Assistance Fund</w:t>
      </w:r>
      <w:bookmarkEnd w:id="144"/>
      <w:bookmarkEnd w:id="145"/>
      <w:bookmarkEnd w:id="150"/>
    </w:p>
    <w:p w14:paraId="32DA2387" w14:textId="0254BA94" w:rsidR="00E854B7" w:rsidRPr="00C9465D" w:rsidRDefault="002562FC" w:rsidP="00E854B7">
      <w:pPr>
        <w:pStyle w:val="Numberedparagraphs"/>
        <w:rPr>
          <w:b/>
          <w:color w:val="auto"/>
          <w:lang w:val="en-US"/>
        </w:rPr>
      </w:pPr>
      <w:bookmarkStart w:id="151" w:name="_Ref524881073"/>
      <w:r w:rsidRPr="00C9465D">
        <w:rPr>
          <w:color w:val="auto"/>
          <w:lang w:val="en-US"/>
        </w:rPr>
        <w:t xml:space="preserve">In the instant case, in a note of March 3, 2020, the President </w:t>
      </w:r>
      <w:r w:rsidR="00193CBB" w:rsidRPr="00C9465D">
        <w:rPr>
          <w:color w:val="auto"/>
          <w:lang w:val="en-US"/>
        </w:rPr>
        <w:t>of the Court</w:t>
      </w:r>
      <w:r w:rsidR="00E854B7" w:rsidRPr="00C9465D">
        <w:rPr>
          <w:color w:val="auto"/>
          <w:lang w:val="en-US"/>
        </w:rPr>
        <w:t xml:space="preserve"> decla</w:t>
      </w:r>
      <w:r w:rsidRPr="00C9465D">
        <w:rPr>
          <w:color w:val="auto"/>
          <w:lang w:val="en-US"/>
        </w:rPr>
        <w:t xml:space="preserve">red admissible the request presented by the presumed victims’ family, through their representatives, to access the Legal Assistance Fund. The order of </w:t>
      </w:r>
      <w:r w:rsidR="00092D8C" w:rsidRPr="00C9465D">
        <w:rPr>
          <w:color w:val="auto"/>
          <w:lang w:val="en-US"/>
        </w:rPr>
        <w:t xml:space="preserve">the </w:t>
      </w:r>
      <w:r w:rsidR="00CF3A9D" w:rsidRPr="00C9465D">
        <w:rPr>
          <w:color w:val="auto"/>
          <w:lang w:val="en-US"/>
        </w:rPr>
        <w:t>President</w:t>
      </w:r>
      <w:r w:rsidRPr="00C9465D">
        <w:rPr>
          <w:color w:val="auto"/>
          <w:lang w:val="en-US"/>
        </w:rPr>
        <w:t xml:space="preserve"> of October 9,</w:t>
      </w:r>
      <w:r w:rsidR="00E854B7" w:rsidRPr="00C9465D">
        <w:rPr>
          <w:color w:val="auto"/>
          <w:lang w:val="en-US"/>
        </w:rPr>
        <w:t xml:space="preserve"> 2020, </w:t>
      </w:r>
      <w:r w:rsidRPr="00C9465D">
        <w:rPr>
          <w:color w:val="auto"/>
          <w:lang w:val="en-US"/>
        </w:rPr>
        <w:t xml:space="preserve">granted the necessary financial assistance “to cover the expenses of the notarizing the written statements of </w:t>
      </w:r>
      <w:r w:rsidR="00E854B7" w:rsidRPr="00C9465D">
        <w:rPr>
          <w:color w:val="auto"/>
          <w:lang w:val="en-US"/>
        </w:rPr>
        <w:t>Nancy Guachalá, Francisco Hurtado Caicedo</w:t>
      </w:r>
      <w:r w:rsidR="00193CBB" w:rsidRPr="00C9465D">
        <w:rPr>
          <w:color w:val="auto"/>
          <w:lang w:val="en-US"/>
        </w:rPr>
        <w:t xml:space="preserve"> and </w:t>
      </w:r>
      <w:r w:rsidR="00E854B7" w:rsidRPr="00C9465D">
        <w:rPr>
          <w:color w:val="auto"/>
          <w:lang w:val="en-US"/>
        </w:rPr>
        <w:t>Elena Palacio van Isschot</w:t>
      </w:r>
      <w:r w:rsidRPr="00C9465D">
        <w:rPr>
          <w:color w:val="auto"/>
          <w:lang w:val="en-US"/>
        </w:rPr>
        <w:t>.</w:t>
      </w:r>
      <w:r w:rsidR="00E854B7" w:rsidRPr="00C9465D">
        <w:rPr>
          <w:color w:val="auto"/>
          <w:lang w:val="en-US"/>
        </w:rPr>
        <w:t xml:space="preserve">” </w:t>
      </w:r>
    </w:p>
    <w:p w14:paraId="7591AEF5" w14:textId="5B6E1C6F" w:rsidR="00E854B7" w:rsidRPr="00C9465D" w:rsidRDefault="002562FC" w:rsidP="00E854B7">
      <w:pPr>
        <w:pStyle w:val="Numberedparagraphs"/>
        <w:rPr>
          <w:b/>
          <w:color w:val="auto"/>
          <w:lang w:val="en-US"/>
        </w:rPr>
      </w:pPr>
      <w:r w:rsidRPr="00C9465D">
        <w:rPr>
          <w:color w:val="auto"/>
          <w:lang w:val="en-US"/>
        </w:rPr>
        <w:t>On March 2,</w:t>
      </w:r>
      <w:r w:rsidR="00E854B7" w:rsidRPr="00C9465D">
        <w:rPr>
          <w:color w:val="auto"/>
          <w:lang w:val="en-US"/>
        </w:rPr>
        <w:t xml:space="preserve"> 2021</w:t>
      </w:r>
      <w:r w:rsidRPr="00C9465D">
        <w:rPr>
          <w:color w:val="auto"/>
          <w:lang w:val="en-US"/>
        </w:rPr>
        <w:t>,</w:t>
      </w:r>
      <w:r w:rsidR="00E854B7" w:rsidRPr="00C9465D">
        <w:rPr>
          <w:color w:val="auto"/>
          <w:lang w:val="en-US"/>
        </w:rPr>
        <w:t xml:space="preserve"> </w:t>
      </w:r>
      <w:r w:rsidRPr="00C9465D">
        <w:rPr>
          <w:color w:val="auto"/>
          <w:lang w:val="en-US"/>
        </w:rPr>
        <w:t>the disbursement report was sent to the State as established in</w:t>
      </w:r>
      <w:r w:rsidR="00E854B7" w:rsidRPr="00C9465D">
        <w:rPr>
          <w:color w:val="auto"/>
          <w:lang w:val="en-US"/>
        </w:rPr>
        <w:t xml:space="preserve"> </w:t>
      </w:r>
      <w:r w:rsidR="00193CBB" w:rsidRPr="00C9465D">
        <w:rPr>
          <w:color w:val="auto"/>
          <w:lang w:val="en-US"/>
        </w:rPr>
        <w:t>Article</w:t>
      </w:r>
      <w:r w:rsidR="00E854B7" w:rsidRPr="00C9465D">
        <w:rPr>
          <w:color w:val="auto"/>
          <w:lang w:val="en-US"/>
        </w:rPr>
        <w:t xml:space="preserve"> 5</w:t>
      </w:r>
      <w:r w:rsidR="00193CBB" w:rsidRPr="00C9465D">
        <w:rPr>
          <w:color w:val="auto"/>
          <w:lang w:val="en-US"/>
        </w:rPr>
        <w:t xml:space="preserve"> of the Rules </w:t>
      </w:r>
      <w:r w:rsidRPr="00C9465D">
        <w:rPr>
          <w:color w:val="auto"/>
          <w:lang w:val="en-US"/>
        </w:rPr>
        <w:t>for the Operation of the said Fund. In this way, the State had the opportunity to present its</w:t>
      </w:r>
      <w:r w:rsidR="00193CBB" w:rsidRPr="00C9465D">
        <w:rPr>
          <w:color w:val="auto"/>
          <w:lang w:val="en-US"/>
        </w:rPr>
        <w:t xml:space="preserve"> </w:t>
      </w:r>
      <w:r w:rsidR="00936B63" w:rsidRPr="00C9465D">
        <w:rPr>
          <w:color w:val="auto"/>
          <w:lang w:val="en-US"/>
        </w:rPr>
        <w:t>observations</w:t>
      </w:r>
      <w:r w:rsidR="00E854B7" w:rsidRPr="00C9465D">
        <w:rPr>
          <w:color w:val="auto"/>
          <w:lang w:val="en-US"/>
        </w:rPr>
        <w:t xml:space="preserve"> </w:t>
      </w:r>
      <w:r w:rsidRPr="00C9465D">
        <w:rPr>
          <w:color w:val="auto"/>
          <w:lang w:val="en-US"/>
        </w:rPr>
        <w:t>on the disbursements made in this case, which amounted to</w:t>
      </w:r>
      <w:r w:rsidR="00E854B7" w:rsidRPr="00C9465D">
        <w:rPr>
          <w:color w:val="auto"/>
          <w:lang w:val="en-US"/>
        </w:rPr>
        <w:t xml:space="preserve"> </w:t>
      </w:r>
      <w:r w:rsidR="00B32A87" w:rsidRPr="00C9465D">
        <w:rPr>
          <w:color w:val="auto"/>
          <w:lang w:val="en-US"/>
        </w:rPr>
        <w:t>US</w:t>
      </w:r>
      <w:r w:rsidR="00E854B7" w:rsidRPr="00C9465D">
        <w:rPr>
          <w:color w:val="auto"/>
          <w:lang w:val="en-US"/>
        </w:rPr>
        <w:t>$60.74 (</w:t>
      </w:r>
      <w:r w:rsidR="00B32A87" w:rsidRPr="00C9465D">
        <w:rPr>
          <w:color w:val="auto"/>
          <w:lang w:val="en-US"/>
        </w:rPr>
        <w:t>sixty</w:t>
      </w:r>
      <w:r w:rsidR="00E854B7" w:rsidRPr="00C9465D">
        <w:rPr>
          <w:color w:val="auto"/>
          <w:lang w:val="en-US"/>
        </w:rPr>
        <w:t xml:space="preserve"> </w:t>
      </w:r>
      <w:r w:rsidR="00787E97" w:rsidRPr="00C9465D">
        <w:rPr>
          <w:color w:val="auto"/>
          <w:lang w:val="en-US"/>
        </w:rPr>
        <w:t>United States dollars</w:t>
      </w:r>
      <w:r w:rsidR="00193CBB" w:rsidRPr="00C9465D">
        <w:rPr>
          <w:color w:val="auto"/>
          <w:lang w:val="en-US"/>
        </w:rPr>
        <w:t xml:space="preserve"> and </w:t>
      </w:r>
      <w:r w:rsidR="00B32A87" w:rsidRPr="00C9465D">
        <w:rPr>
          <w:color w:val="auto"/>
          <w:lang w:val="en-US"/>
        </w:rPr>
        <w:t>seventy</w:t>
      </w:r>
      <w:r w:rsidR="00C97DDD" w:rsidRPr="00C9465D">
        <w:rPr>
          <w:color w:val="auto"/>
          <w:lang w:val="en-US"/>
        </w:rPr>
        <w:t>-</w:t>
      </w:r>
      <w:r w:rsidR="00B32A87" w:rsidRPr="00C9465D">
        <w:rPr>
          <w:color w:val="auto"/>
          <w:lang w:val="en-US"/>
        </w:rPr>
        <w:t>four cents</w:t>
      </w:r>
      <w:r w:rsidR="00E854B7" w:rsidRPr="00C9465D">
        <w:rPr>
          <w:color w:val="auto"/>
          <w:lang w:val="en-US"/>
        </w:rPr>
        <w:t xml:space="preserve">). </w:t>
      </w:r>
    </w:p>
    <w:p w14:paraId="70F1E0B1" w14:textId="0CD537F4" w:rsidR="00E854B7" w:rsidRPr="00C9465D" w:rsidRDefault="00193CBB" w:rsidP="00E854B7">
      <w:pPr>
        <w:pStyle w:val="Numberedparagraphs"/>
        <w:rPr>
          <w:b/>
          <w:color w:val="auto"/>
          <w:lang w:val="en-US"/>
        </w:rPr>
      </w:pPr>
      <w:r w:rsidRPr="00C9465D">
        <w:rPr>
          <w:color w:val="auto"/>
          <w:lang w:val="en-US"/>
        </w:rPr>
        <w:lastRenderedPageBreak/>
        <w:t>The State</w:t>
      </w:r>
      <w:r w:rsidR="00E854B7" w:rsidRPr="00C9465D">
        <w:rPr>
          <w:color w:val="auto"/>
          <w:lang w:val="en-US"/>
        </w:rPr>
        <w:t xml:space="preserve"> </w:t>
      </w:r>
      <w:r w:rsidR="00B32A87" w:rsidRPr="00C9465D">
        <w:rPr>
          <w:color w:val="auto"/>
          <w:lang w:val="en-US"/>
        </w:rPr>
        <w:t>indicated that it had no comments to make in this regard</w:t>
      </w:r>
      <w:r w:rsidR="00E854B7" w:rsidRPr="00C9465D">
        <w:rPr>
          <w:color w:val="auto"/>
          <w:lang w:val="en-US"/>
        </w:rPr>
        <w:t>.</w:t>
      </w:r>
    </w:p>
    <w:p w14:paraId="71D82134" w14:textId="50A11EC7" w:rsidR="00632CFA" w:rsidRPr="00C9465D" w:rsidRDefault="00B32A87" w:rsidP="00E854B7">
      <w:pPr>
        <w:pStyle w:val="Numberedparagraphs"/>
        <w:rPr>
          <w:b/>
          <w:color w:val="auto"/>
          <w:lang w:val="en-US"/>
        </w:rPr>
      </w:pPr>
      <w:bookmarkStart w:id="152" w:name="_Ref72330812"/>
      <w:r w:rsidRPr="00C9465D">
        <w:rPr>
          <w:color w:val="auto"/>
          <w:lang w:val="en-US"/>
        </w:rPr>
        <w:t xml:space="preserve">Based on the violations declared in this judgment, </w:t>
      </w:r>
      <w:r w:rsidR="00193CBB" w:rsidRPr="00C9465D">
        <w:rPr>
          <w:color w:val="auto"/>
          <w:lang w:val="en-US"/>
        </w:rPr>
        <w:t>the Court</w:t>
      </w:r>
      <w:r w:rsidR="00E854B7" w:rsidRPr="00C9465D">
        <w:rPr>
          <w:color w:val="auto"/>
          <w:lang w:val="en-US"/>
        </w:rPr>
        <w:t xml:space="preserve"> orde</w:t>
      </w:r>
      <w:r w:rsidRPr="00C9465D">
        <w:rPr>
          <w:color w:val="auto"/>
          <w:lang w:val="en-US"/>
        </w:rPr>
        <w:t>rs</w:t>
      </w:r>
      <w:r w:rsidR="00577DE0" w:rsidRPr="00C9465D">
        <w:rPr>
          <w:color w:val="auto"/>
          <w:lang w:val="en-US"/>
        </w:rPr>
        <w:t xml:space="preserve"> the State</w:t>
      </w:r>
      <w:r w:rsidR="00E854B7" w:rsidRPr="00C9465D">
        <w:rPr>
          <w:color w:val="auto"/>
          <w:lang w:val="en-US"/>
        </w:rPr>
        <w:t xml:space="preserve"> </w:t>
      </w:r>
      <w:r w:rsidRPr="00C9465D">
        <w:rPr>
          <w:color w:val="auto"/>
          <w:lang w:val="en-US"/>
        </w:rPr>
        <w:t>to reimburse the Fund the sum of US</w:t>
      </w:r>
      <w:r w:rsidR="00E854B7" w:rsidRPr="00C9465D">
        <w:rPr>
          <w:color w:val="auto"/>
          <w:lang w:val="en-US"/>
        </w:rPr>
        <w:t>$60.74 (</w:t>
      </w:r>
      <w:r w:rsidRPr="00C9465D">
        <w:rPr>
          <w:color w:val="auto"/>
          <w:lang w:val="en-US"/>
        </w:rPr>
        <w:t>sixty United States dollars and seventy</w:t>
      </w:r>
      <w:r w:rsidR="00C97DDD" w:rsidRPr="00C9465D">
        <w:rPr>
          <w:color w:val="auto"/>
          <w:lang w:val="en-US"/>
        </w:rPr>
        <w:t>-</w:t>
      </w:r>
      <w:r w:rsidRPr="00C9465D">
        <w:rPr>
          <w:color w:val="auto"/>
          <w:lang w:val="en-US"/>
        </w:rPr>
        <w:t>four cents</w:t>
      </w:r>
      <w:r w:rsidR="00E854B7" w:rsidRPr="00C9465D">
        <w:rPr>
          <w:color w:val="auto"/>
          <w:lang w:val="en-US"/>
        </w:rPr>
        <w:t xml:space="preserve">). </w:t>
      </w:r>
      <w:r w:rsidRPr="00C9465D">
        <w:rPr>
          <w:color w:val="auto"/>
          <w:lang w:val="en-US"/>
        </w:rPr>
        <w:t>This sum must be reimbursed within six months of notification of this judgment.</w:t>
      </w:r>
      <w:bookmarkEnd w:id="151"/>
      <w:bookmarkEnd w:id="152"/>
    </w:p>
    <w:p w14:paraId="0B7EC9D2" w14:textId="6C21A1FA" w:rsidR="00632CFA" w:rsidRPr="00C9465D" w:rsidRDefault="00B32A87" w:rsidP="00A13817">
      <w:pPr>
        <w:pStyle w:val="Heading2"/>
        <w:rPr>
          <w:lang w:val="en-US"/>
        </w:rPr>
      </w:pPr>
      <w:r w:rsidRPr="00C9465D">
        <w:rPr>
          <w:lang w:val="en-US"/>
        </w:rPr>
        <w:t>Method of compliance with the payments ordered</w:t>
      </w:r>
      <w:bookmarkStart w:id="153" w:name="_Ref469940428"/>
    </w:p>
    <w:p w14:paraId="01EA0796" w14:textId="3D230CF9" w:rsidR="00A13817" w:rsidRPr="00C9465D" w:rsidRDefault="00193CBB" w:rsidP="00AA3C22">
      <w:pPr>
        <w:pStyle w:val="Numberedparagraphs"/>
        <w:rPr>
          <w:rFonts w:cs="Times"/>
          <w:lang w:val="en-US" w:eastAsia="es-CR"/>
        </w:rPr>
      </w:pPr>
      <w:bookmarkStart w:id="154" w:name="_Ref43209330"/>
      <w:bookmarkEnd w:id="153"/>
      <w:r w:rsidRPr="00C9465D">
        <w:rPr>
          <w:lang w:val="en-US"/>
        </w:rPr>
        <w:t>The State</w:t>
      </w:r>
      <w:r w:rsidR="00632CFA" w:rsidRPr="00C9465D">
        <w:rPr>
          <w:lang w:val="en-US"/>
        </w:rPr>
        <w:t xml:space="preserve"> </w:t>
      </w:r>
      <w:r w:rsidR="00B32A87" w:rsidRPr="00C9465D">
        <w:rPr>
          <w:lang w:val="en-US"/>
        </w:rPr>
        <w:t xml:space="preserve">shall make the payments of compensation for rehabilitation, </w:t>
      </w:r>
      <w:r w:rsidR="005069F4" w:rsidRPr="00C9465D">
        <w:rPr>
          <w:lang w:val="en-US"/>
        </w:rPr>
        <w:t xml:space="preserve">pecuniary </w:t>
      </w:r>
      <w:r w:rsidR="00B32A87" w:rsidRPr="00C9465D">
        <w:rPr>
          <w:lang w:val="en-US"/>
        </w:rPr>
        <w:t xml:space="preserve">and non-pecuniary </w:t>
      </w:r>
      <w:r w:rsidR="005069F4" w:rsidRPr="00C9465D">
        <w:rPr>
          <w:lang w:val="en-US"/>
        </w:rPr>
        <w:t>damage</w:t>
      </w:r>
      <w:r w:rsidR="00A13817" w:rsidRPr="00C9465D">
        <w:rPr>
          <w:lang w:val="en-US"/>
        </w:rPr>
        <w:t>,</w:t>
      </w:r>
      <w:r w:rsidR="00B32A87" w:rsidRPr="00C9465D">
        <w:rPr>
          <w:lang w:val="en-US"/>
        </w:rPr>
        <w:t xml:space="preserve"> and to reimburse </w:t>
      </w:r>
      <w:r w:rsidR="00CF3A9D" w:rsidRPr="00C9465D">
        <w:rPr>
          <w:lang w:val="en-US"/>
        </w:rPr>
        <w:t>costs and expenses</w:t>
      </w:r>
      <w:r w:rsidR="00632CFA" w:rsidRPr="00C9465D">
        <w:rPr>
          <w:lang w:val="en-US"/>
        </w:rPr>
        <w:t xml:space="preserve"> establ</w:t>
      </w:r>
      <w:r w:rsidR="00B32A87" w:rsidRPr="00C9465D">
        <w:rPr>
          <w:lang w:val="en-US"/>
        </w:rPr>
        <w:t xml:space="preserve">ished in this judgment directly to the </w:t>
      </w:r>
      <w:r w:rsidR="00D8209E" w:rsidRPr="00C9465D">
        <w:rPr>
          <w:lang w:val="en-US"/>
        </w:rPr>
        <w:t>persons</w:t>
      </w:r>
      <w:r w:rsidR="00B32A87" w:rsidRPr="00C9465D">
        <w:rPr>
          <w:lang w:val="en-US"/>
        </w:rPr>
        <w:t xml:space="preserve"> and organizations indicated herein within one year of notification </w:t>
      </w:r>
      <w:r w:rsidR="00CF3A9D" w:rsidRPr="00C9465D">
        <w:rPr>
          <w:lang w:val="en-US"/>
        </w:rPr>
        <w:t>of this judgment</w:t>
      </w:r>
      <w:r w:rsidR="00632CFA" w:rsidRPr="00C9465D">
        <w:rPr>
          <w:lang w:val="en-US"/>
        </w:rPr>
        <w:t>,</w:t>
      </w:r>
      <w:r w:rsidR="00B32A87" w:rsidRPr="00C9465D">
        <w:rPr>
          <w:lang w:val="en-US"/>
        </w:rPr>
        <w:t xml:space="preserve"> without prejudice to making the complete payment before this, </w:t>
      </w:r>
      <w:r w:rsidR="008F17CD" w:rsidRPr="00C9465D">
        <w:rPr>
          <w:lang w:val="en-US"/>
        </w:rPr>
        <w:t>pursuant to</w:t>
      </w:r>
      <w:r w:rsidR="00632CFA" w:rsidRPr="00C9465D">
        <w:rPr>
          <w:lang w:val="en-US"/>
        </w:rPr>
        <w:t xml:space="preserve"> </w:t>
      </w:r>
      <w:r w:rsidR="00B32A87" w:rsidRPr="00C9465D">
        <w:rPr>
          <w:lang w:val="en-US"/>
        </w:rPr>
        <w:t>the following paragraphs.</w:t>
      </w:r>
      <w:bookmarkEnd w:id="154"/>
    </w:p>
    <w:p w14:paraId="6D113193" w14:textId="7B2906F2" w:rsidR="00A13817" w:rsidRPr="00C9465D" w:rsidRDefault="00B32A87" w:rsidP="00AA3C22">
      <w:pPr>
        <w:pStyle w:val="Numberedparagraphs"/>
        <w:rPr>
          <w:rFonts w:cs="Times"/>
          <w:lang w:val="en-US" w:eastAsia="es-CR"/>
        </w:rPr>
      </w:pPr>
      <w:r w:rsidRPr="00C9465D">
        <w:rPr>
          <w:lang w:val="en-US"/>
        </w:rPr>
        <w:t xml:space="preserve">If the beneficiaries are deceased or die before they receive the respective amount, this </w:t>
      </w:r>
      <w:r w:rsidR="00C97DDD" w:rsidRPr="00C9465D">
        <w:rPr>
          <w:lang w:val="en-US"/>
        </w:rPr>
        <w:t>shall</w:t>
      </w:r>
      <w:r w:rsidRPr="00C9465D">
        <w:rPr>
          <w:lang w:val="en-US"/>
        </w:rPr>
        <w:t xml:space="preserve"> be delivered directly to their heirs, pursuant to the applicable domestic law.</w:t>
      </w:r>
    </w:p>
    <w:p w14:paraId="16C439E0" w14:textId="0A372837" w:rsidR="007576BE" w:rsidRPr="00C9465D" w:rsidRDefault="00193CBB" w:rsidP="00AA3C22">
      <w:pPr>
        <w:pStyle w:val="Numberedparagraphs"/>
        <w:rPr>
          <w:rFonts w:cs="Times"/>
          <w:lang w:val="en-US" w:eastAsia="es-CR"/>
        </w:rPr>
      </w:pPr>
      <w:r w:rsidRPr="00C9465D">
        <w:rPr>
          <w:lang w:val="en-US"/>
        </w:rPr>
        <w:t>The State</w:t>
      </w:r>
      <w:r w:rsidR="007576BE" w:rsidRPr="00C9465D">
        <w:rPr>
          <w:lang w:val="en-US"/>
        </w:rPr>
        <w:t xml:space="preserve"> </w:t>
      </w:r>
      <w:r w:rsidR="00B32A87" w:rsidRPr="00C9465D">
        <w:rPr>
          <w:lang w:val="en-US"/>
        </w:rPr>
        <w:t>shall comply with the monetary obligations by payment in</w:t>
      </w:r>
      <w:r w:rsidR="007576BE" w:rsidRPr="00C9465D">
        <w:rPr>
          <w:lang w:val="en-US"/>
        </w:rPr>
        <w:t xml:space="preserve"> </w:t>
      </w:r>
      <w:r w:rsidR="00787E97" w:rsidRPr="00C9465D">
        <w:rPr>
          <w:lang w:val="en-US"/>
        </w:rPr>
        <w:t>United States dollars</w:t>
      </w:r>
      <w:r w:rsidR="007576BE" w:rsidRPr="00C9465D">
        <w:rPr>
          <w:lang w:val="en-US"/>
        </w:rPr>
        <w:t>.</w:t>
      </w:r>
    </w:p>
    <w:p w14:paraId="54361BBC" w14:textId="6FFC659A" w:rsidR="00A13817" w:rsidRPr="00C9465D" w:rsidRDefault="00B32A87" w:rsidP="00AA3C22">
      <w:pPr>
        <w:pStyle w:val="Numberedparagraphs"/>
        <w:rPr>
          <w:rFonts w:cs="Times"/>
          <w:lang w:val="en-US" w:eastAsia="es-CR"/>
        </w:rPr>
      </w:pPr>
      <w:r w:rsidRPr="00C9465D">
        <w:rPr>
          <w:lang w:val="en-US"/>
        </w:rPr>
        <w:t xml:space="preserve">If, for causes that can be attributed to the beneficiaries it is not possible to pay the amount established within the indicated time frame, the State shall deposit the said amount in their favor in a deposit certificate or account in a solvent Ecuadorian financial institution, in </w:t>
      </w:r>
      <w:r w:rsidR="00787E97" w:rsidRPr="00C9465D">
        <w:rPr>
          <w:lang w:val="en-US"/>
        </w:rPr>
        <w:t>United States dollars</w:t>
      </w:r>
      <w:r w:rsidR="00632CFA" w:rsidRPr="00C9465D">
        <w:rPr>
          <w:lang w:val="en-US"/>
        </w:rPr>
        <w:t>,</w:t>
      </w:r>
      <w:r w:rsidR="00193CBB" w:rsidRPr="00C9465D">
        <w:rPr>
          <w:lang w:val="en-US"/>
        </w:rPr>
        <w:t xml:space="preserve"> and </w:t>
      </w:r>
      <w:r w:rsidRPr="00C9465D">
        <w:rPr>
          <w:lang w:val="en-US"/>
        </w:rPr>
        <w:t>in the most favorable financial conditions permitted by banking law and practice. If the corresponding amount is not claimed, after ten years the amounts shall be returned to the State with the interest accrued.</w:t>
      </w:r>
    </w:p>
    <w:p w14:paraId="7B0645CB" w14:textId="4CA6DBA0" w:rsidR="00A13817" w:rsidRPr="00C9465D" w:rsidRDefault="00B32A87" w:rsidP="00AA3C22">
      <w:pPr>
        <w:pStyle w:val="Numberedparagraphs"/>
        <w:rPr>
          <w:rFonts w:cs="Times"/>
          <w:lang w:val="en-US" w:eastAsia="es-CR"/>
        </w:rPr>
      </w:pPr>
      <w:r w:rsidRPr="00C9465D">
        <w:rPr>
          <w:lang w:val="en-US"/>
        </w:rPr>
        <w:t xml:space="preserve">The sums allocated in this judgment as </w:t>
      </w:r>
      <w:r w:rsidR="00CF3A9D" w:rsidRPr="00C9465D">
        <w:rPr>
          <w:lang w:val="en-US"/>
        </w:rPr>
        <w:t>measures of reparation</w:t>
      </w:r>
      <w:r w:rsidR="00632CFA" w:rsidRPr="00C9465D">
        <w:rPr>
          <w:lang w:val="en-US"/>
        </w:rPr>
        <w:t xml:space="preserve"> </w:t>
      </w:r>
      <w:r w:rsidRPr="00C9465D">
        <w:rPr>
          <w:lang w:val="en-US"/>
        </w:rPr>
        <w:t xml:space="preserve">for damage and to reimburse </w:t>
      </w:r>
      <w:r w:rsidR="00CF3A9D" w:rsidRPr="00C9465D">
        <w:rPr>
          <w:lang w:val="en-US"/>
        </w:rPr>
        <w:t>costs and expenses</w:t>
      </w:r>
      <w:r w:rsidR="00632CFA" w:rsidRPr="00C9465D">
        <w:rPr>
          <w:lang w:val="en-US"/>
        </w:rPr>
        <w:t xml:space="preserve"> </w:t>
      </w:r>
      <w:r w:rsidRPr="00C9465D">
        <w:rPr>
          <w:lang w:val="en-US"/>
        </w:rPr>
        <w:t xml:space="preserve">must be delivered in full, without any deductions arising from possible taxes or charges. </w:t>
      </w:r>
      <w:bookmarkStart w:id="155" w:name="_Ref43209332"/>
    </w:p>
    <w:p w14:paraId="5F0CD29D" w14:textId="190A8649" w:rsidR="000F02A7" w:rsidRPr="00C9465D" w:rsidRDefault="00606B6C" w:rsidP="009B7F8E">
      <w:pPr>
        <w:pStyle w:val="Numberedparagraphs"/>
        <w:rPr>
          <w:rFonts w:cs="Times"/>
          <w:lang w:val="en-US" w:eastAsia="es-CR"/>
        </w:rPr>
      </w:pPr>
      <w:bookmarkStart w:id="156" w:name="_Ref72330608"/>
      <w:r w:rsidRPr="00C9465D">
        <w:rPr>
          <w:lang w:val="en-US"/>
        </w:rPr>
        <w:t xml:space="preserve">If the State should fall in arrears, including in the </w:t>
      </w:r>
      <w:r w:rsidR="002562FC" w:rsidRPr="00C9465D">
        <w:rPr>
          <w:lang w:val="en-US"/>
        </w:rPr>
        <w:t>reimbursement of expenses to the</w:t>
      </w:r>
      <w:r w:rsidR="00632CFA" w:rsidRPr="00C9465D">
        <w:rPr>
          <w:lang w:val="en-US"/>
        </w:rPr>
        <w:t xml:space="preserve"> </w:t>
      </w:r>
      <w:r w:rsidR="00F42E0C" w:rsidRPr="00C9465D">
        <w:rPr>
          <w:lang w:val="en-US"/>
        </w:rPr>
        <w:t>Victims’ Legal Assistance Fund</w:t>
      </w:r>
      <w:r w:rsidR="00632CFA" w:rsidRPr="00C9465D">
        <w:rPr>
          <w:lang w:val="en-US"/>
        </w:rPr>
        <w:t xml:space="preserve">, </w:t>
      </w:r>
      <w:r w:rsidRPr="00C9465D">
        <w:rPr>
          <w:lang w:val="en-US"/>
        </w:rPr>
        <w:t xml:space="preserve">it shall pay interest on the amount owed corresponding to banking interest on arrears in </w:t>
      </w:r>
      <w:r w:rsidR="00E2299F" w:rsidRPr="00C9465D">
        <w:rPr>
          <w:lang w:val="en-US"/>
        </w:rPr>
        <w:t>the Republic of</w:t>
      </w:r>
      <w:r w:rsidR="000658F0" w:rsidRPr="00C9465D">
        <w:rPr>
          <w:lang w:val="en-US"/>
        </w:rPr>
        <w:t xml:space="preserve"> Ecuador</w:t>
      </w:r>
      <w:r w:rsidR="00632CFA" w:rsidRPr="00C9465D">
        <w:rPr>
          <w:lang w:val="en-US"/>
        </w:rPr>
        <w:t>.</w:t>
      </w:r>
      <w:bookmarkEnd w:id="155"/>
      <w:bookmarkEnd w:id="156"/>
      <w:r w:rsidR="00632CFA" w:rsidRPr="00C9465D">
        <w:rPr>
          <w:lang w:val="en-US"/>
        </w:rPr>
        <w:t xml:space="preserve"> </w:t>
      </w:r>
    </w:p>
    <w:p w14:paraId="1F29309D" w14:textId="74872D27" w:rsidR="00EE3AA6" w:rsidRPr="00C9465D" w:rsidRDefault="00855BD6" w:rsidP="00F42E0C">
      <w:pPr>
        <w:pStyle w:val="Heading1"/>
        <w:rPr>
          <w:lang w:val="en-US"/>
        </w:rPr>
      </w:pPr>
      <w:bookmarkStart w:id="157" w:name="_Toc74298491"/>
      <w:r w:rsidRPr="00C9465D">
        <w:rPr>
          <w:w w:val="99"/>
          <w:lang w:val="en-US"/>
        </w:rPr>
        <w:t>I</w:t>
      </w:r>
      <w:r w:rsidR="00EE3AA6" w:rsidRPr="00C9465D">
        <w:rPr>
          <w:w w:val="99"/>
          <w:lang w:val="en-US"/>
        </w:rPr>
        <w:t>X</w:t>
      </w:r>
      <w:r w:rsidR="00CC2101" w:rsidRPr="00C9465D">
        <w:rPr>
          <w:w w:val="99"/>
          <w:lang w:val="en-US"/>
        </w:rPr>
        <w:br/>
      </w:r>
      <w:r w:rsidR="00E2299F" w:rsidRPr="00C9465D">
        <w:rPr>
          <w:lang w:val="en-US"/>
        </w:rPr>
        <w:t>OPERATIVE PARAGRAPHS</w:t>
      </w:r>
      <w:bookmarkEnd w:id="157"/>
    </w:p>
    <w:p w14:paraId="373E9A69" w14:textId="3A5AD504" w:rsidR="00EE3AA6" w:rsidRPr="00C9465D" w:rsidRDefault="00F42E0C" w:rsidP="00EE3AA6">
      <w:pPr>
        <w:pStyle w:val="Numberedparagraphs"/>
        <w:spacing w:before="0" w:after="0"/>
        <w:rPr>
          <w:lang w:val="en-US"/>
        </w:rPr>
      </w:pPr>
      <w:r w:rsidRPr="00C9465D">
        <w:rPr>
          <w:lang w:val="en-US"/>
        </w:rPr>
        <w:t>Therefore</w:t>
      </w:r>
      <w:r w:rsidR="00EE3AA6" w:rsidRPr="00C9465D">
        <w:rPr>
          <w:lang w:val="en-US"/>
        </w:rPr>
        <w:t xml:space="preserve">, </w:t>
      </w:r>
    </w:p>
    <w:p w14:paraId="12B75B25" w14:textId="77777777" w:rsidR="00EE3AA6" w:rsidRPr="00C9465D" w:rsidRDefault="00EE3AA6" w:rsidP="00EE3AA6">
      <w:pPr>
        <w:pStyle w:val="Numberedparagraphs"/>
        <w:numPr>
          <w:ilvl w:val="0"/>
          <w:numId w:val="0"/>
        </w:numPr>
        <w:spacing w:before="0" w:after="0"/>
        <w:rPr>
          <w:lang w:val="en-US"/>
        </w:rPr>
      </w:pPr>
    </w:p>
    <w:p w14:paraId="417CC80E" w14:textId="7A4D54D6" w:rsidR="00EE3AA6" w:rsidRPr="00C9465D" w:rsidRDefault="00193CBB" w:rsidP="00CC2101">
      <w:pPr>
        <w:pStyle w:val="Numberedparagraphs"/>
        <w:numPr>
          <w:ilvl w:val="0"/>
          <w:numId w:val="0"/>
        </w:numPr>
        <w:spacing w:before="0" w:after="0"/>
        <w:rPr>
          <w:b/>
          <w:lang w:val="en-US"/>
        </w:rPr>
      </w:pPr>
      <w:r w:rsidRPr="00C9465D">
        <w:rPr>
          <w:b/>
          <w:lang w:val="en-US"/>
        </w:rPr>
        <w:t>THE COURT</w:t>
      </w:r>
    </w:p>
    <w:p w14:paraId="322559B8" w14:textId="77777777" w:rsidR="00EE3AA6" w:rsidRPr="00C9465D" w:rsidRDefault="00EE3AA6" w:rsidP="00EE3AA6">
      <w:pPr>
        <w:pStyle w:val="Numberedparagraphs"/>
        <w:numPr>
          <w:ilvl w:val="0"/>
          <w:numId w:val="0"/>
        </w:numPr>
        <w:spacing w:before="0" w:after="0"/>
        <w:rPr>
          <w:b/>
          <w:lang w:val="en-US"/>
        </w:rPr>
      </w:pPr>
    </w:p>
    <w:p w14:paraId="48D634E1" w14:textId="26867DA8" w:rsidR="00EF6E75" w:rsidRPr="00C9465D" w:rsidRDefault="00EE3AA6" w:rsidP="00BD62BB">
      <w:pPr>
        <w:rPr>
          <w:rFonts w:ascii="Verdana" w:hAnsi="Verdana"/>
          <w:b/>
          <w:sz w:val="20"/>
          <w:szCs w:val="20"/>
          <w:lang w:val="en-US"/>
        </w:rPr>
      </w:pPr>
      <w:r w:rsidRPr="00C9465D">
        <w:rPr>
          <w:rFonts w:ascii="Verdana" w:hAnsi="Verdana"/>
          <w:b/>
          <w:sz w:val="20"/>
          <w:szCs w:val="20"/>
          <w:lang w:val="en-US"/>
        </w:rPr>
        <w:t>DECLAR</w:t>
      </w:r>
      <w:r w:rsidR="00F42E0C" w:rsidRPr="00C9465D">
        <w:rPr>
          <w:rFonts w:ascii="Verdana" w:hAnsi="Verdana"/>
          <w:b/>
          <w:sz w:val="20"/>
          <w:szCs w:val="20"/>
          <w:lang w:val="en-US"/>
        </w:rPr>
        <w:t>ES</w:t>
      </w:r>
      <w:r w:rsidRPr="00C9465D">
        <w:rPr>
          <w:rFonts w:ascii="Verdana" w:hAnsi="Verdana"/>
          <w:b/>
          <w:sz w:val="20"/>
          <w:szCs w:val="20"/>
          <w:lang w:val="en-US"/>
        </w:rPr>
        <w:t>,</w:t>
      </w:r>
    </w:p>
    <w:p w14:paraId="302728FE" w14:textId="77777777" w:rsidR="00EF6E75" w:rsidRPr="00C9465D" w:rsidRDefault="00EF6E75" w:rsidP="00EE3AA6">
      <w:pPr>
        <w:pStyle w:val="BodyText"/>
        <w:spacing w:after="0" w:line="240" w:lineRule="auto"/>
        <w:rPr>
          <w:rFonts w:ascii="Verdana" w:hAnsi="Verdana"/>
          <w:sz w:val="20"/>
          <w:szCs w:val="20"/>
          <w:lang w:val="en-US"/>
        </w:rPr>
      </w:pPr>
    </w:p>
    <w:p w14:paraId="5E7B2BEB" w14:textId="58489BA0" w:rsidR="00EE3AA6" w:rsidRPr="00C9465D" w:rsidRDefault="00F42E0C" w:rsidP="00EE3AA6">
      <w:pPr>
        <w:pStyle w:val="BodyText"/>
        <w:spacing w:after="0" w:line="240" w:lineRule="auto"/>
        <w:rPr>
          <w:rFonts w:ascii="Verdana" w:hAnsi="Verdana"/>
          <w:sz w:val="20"/>
          <w:szCs w:val="20"/>
          <w:lang w:val="en-US"/>
        </w:rPr>
      </w:pPr>
      <w:r w:rsidRPr="00C9465D">
        <w:rPr>
          <w:rFonts w:ascii="Verdana" w:hAnsi="Verdana"/>
          <w:sz w:val="20"/>
          <w:szCs w:val="20"/>
          <w:lang w:val="en-US"/>
        </w:rPr>
        <w:t>By five votes to one that</w:t>
      </w:r>
      <w:r w:rsidR="006D7633" w:rsidRPr="00C9465D">
        <w:rPr>
          <w:rFonts w:ascii="Verdana" w:hAnsi="Verdana"/>
          <w:sz w:val="20"/>
          <w:szCs w:val="20"/>
          <w:lang w:val="en-US"/>
        </w:rPr>
        <w:t>:</w:t>
      </w:r>
    </w:p>
    <w:p w14:paraId="49A15CE8" w14:textId="026CDE89" w:rsidR="00BF493C" w:rsidRPr="00C9465D" w:rsidRDefault="00193CBB" w:rsidP="00D47F8D">
      <w:pPr>
        <w:pStyle w:val="Numberedparagraphs"/>
        <w:numPr>
          <w:ilvl w:val="0"/>
          <w:numId w:val="13"/>
        </w:numPr>
        <w:tabs>
          <w:tab w:val="left" w:pos="567"/>
        </w:tabs>
        <w:ind w:left="0" w:firstLine="0"/>
        <w:rPr>
          <w:lang w:val="en-US" w:eastAsia="es-MX"/>
        </w:rPr>
      </w:pPr>
      <w:r w:rsidRPr="00C9465D">
        <w:rPr>
          <w:lang w:val="en-US"/>
        </w:rPr>
        <w:t>The State</w:t>
      </w:r>
      <w:r w:rsidR="00EE3AA6" w:rsidRPr="00C9465D">
        <w:rPr>
          <w:lang w:val="en-US"/>
        </w:rPr>
        <w:t xml:space="preserve"> </w:t>
      </w:r>
      <w:r w:rsidR="00F42E0C" w:rsidRPr="00C9465D">
        <w:rPr>
          <w:lang w:val="en-US"/>
        </w:rPr>
        <w:t>is responsible for the violation of the rights to</w:t>
      </w:r>
      <w:r w:rsidR="00026931" w:rsidRPr="00C9465D">
        <w:rPr>
          <w:lang w:val="en-US"/>
        </w:rPr>
        <w:t xml:space="preserve"> </w:t>
      </w:r>
      <w:r w:rsidR="00D12C0E" w:rsidRPr="00C9465D">
        <w:rPr>
          <w:lang w:val="en-US"/>
        </w:rPr>
        <w:t>recognition of juridical personality</w:t>
      </w:r>
      <w:r w:rsidR="00CB59E2" w:rsidRPr="00C9465D">
        <w:rPr>
          <w:lang w:val="en-US"/>
        </w:rPr>
        <w:t>,</w:t>
      </w:r>
      <w:r w:rsidR="00D12C0E" w:rsidRPr="00C9465D">
        <w:rPr>
          <w:lang w:val="en-US"/>
        </w:rPr>
        <w:t xml:space="preserve"> life</w:t>
      </w:r>
      <w:r w:rsidR="00BF493C" w:rsidRPr="00C9465D">
        <w:rPr>
          <w:lang w:val="en-US"/>
        </w:rPr>
        <w:t xml:space="preserve">, </w:t>
      </w:r>
      <w:r w:rsidR="007B78F0" w:rsidRPr="00C9465D">
        <w:rPr>
          <w:lang w:val="en-US"/>
        </w:rPr>
        <w:t>personal integrity</w:t>
      </w:r>
      <w:r w:rsidR="00BF493C" w:rsidRPr="00C9465D">
        <w:rPr>
          <w:lang w:val="en-US"/>
        </w:rPr>
        <w:t xml:space="preserve">, </w:t>
      </w:r>
      <w:r w:rsidR="00D12C0E" w:rsidRPr="00C9465D">
        <w:rPr>
          <w:lang w:val="en-US"/>
        </w:rPr>
        <w:t>personal liberty</w:t>
      </w:r>
      <w:r w:rsidR="00CB59E2" w:rsidRPr="00C9465D">
        <w:rPr>
          <w:lang w:val="en-US"/>
        </w:rPr>
        <w:t xml:space="preserve">, </w:t>
      </w:r>
      <w:r w:rsidR="00D12C0E" w:rsidRPr="00C9465D">
        <w:rPr>
          <w:lang w:val="en-US"/>
        </w:rPr>
        <w:t>dignity</w:t>
      </w:r>
      <w:r w:rsidRPr="00C9465D">
        <w:rPr>
          <w:lang w:val="en-US"/>
        </w:rPr>
        <w:t xml:space="preserve"> and </w:t>
      </w:r>
      <w:r w:rsidR="00D12C0E" w:rsidRPr="00C9465D">
        <w:rPr>
          <w:lang w:val="en-US"/>
        </w:rPr>
        <w:t>privacy</w:t>
      </w:r>
      <w:r w:rsidR="00CB59E2" w:rsidRPr="00C9465D">
        <w:rPr>
          <w:lang w:val="en-US"/>
        </w:rPr>
        <w:t xml:space="preserve">, </w:t>
      </w:r>
      <w:r w:rsidR="00D12C0E" w:rsidRPr="00C9465D">
        <w:rPr>
          <w:lang w:val="en-US"/>
        </w:rPr>
        <w:t>access to information</w:t>
      </w:r>
      <w:r w:rsidR="00CB59E2" w:rsidRPr="00C9465D">
        <w:rPr>
          <w:lang w:val="en-US"/>
        </w:rPr>
        <w:t xml:space="preserve">, </w:t>
      </w:r>
      <w:r w:rsidR="00F42E0C" w:rsidRPr="00C9465D">
        <w:rPr>
          <w:lang w:val="en-US"/>
        </w:rPr>
        <w:t>equality before the law</w:t>
      </w:r>
      <w:r w:rsidRPr="00C9465D">
        <w:rPr>
          <w:lang w:val="en-US"/>
        </w:rPr>
        <w:t xml:space="preserve"> and </w:t>
      </w:r>
      <w:r w:rsidR="00D12C0E" w:rsidRPr="00C9465D">
        <w:rPr>
          <w:lang w:val="en-US"/>
        </w:rPr>
        <w:t>health</w:t>
      </w:r>
      <w:r w:rsidR="00CB59E2" w:rsidRPr="00C9465D">
        <w:rPr>
          <w:lang w:val="en-US"/>
        </w:rPr>
        <w:t xml:space="preserve">, </w:t>
      </w:r>
      <w:r w:rsidR="00F42E0C" w:rsidRPr="00C9465D">
        <w:rPr>
          <w:lang w:val="en-US"/>
        </w:rPr>
        <w:t>in accordance with</w:t>
      </w:r>
      <w:r w:rsidR="00CB59E2" w:rsidRPr="00C9465D">
        <w:rPr>
          <w:lang w:val="en-US"/>
        </w:rPr>
        <w:t xml:space="preserve"> </w:t>
      </w:r>
      <w:r w:rsidRPr="00C9465D">
        <w:rPr>
          <w:lang w:val="en-US"/>
        </w:rPr>
        <w:t>Articles</w:t>
      </w:r>
      <w:r w:rsidR="00CB59E2" w:rsidRPr="00C9465D">
        <w:rPr>
          <w:lang w:val="en-US"/>
        </w:rPr>
        <w:t xml:space="preserve"> 3, </w:t>
      </w:r>
      <w:r w:rsidR="00BF493C" w:rsidRPr="00C9465D">
        <w:rPr>
          <w:lang w:val="en-US"/>
        </w:rPr>
        <w:t xml:space="preserve">4, 5, </w:t>
      </w:r>
      <w:r w:rsidR="00CB59E2" w:rsidRPr="00C9465D">
        <w:rPr>
          <w:lang w:val="en-US"/>
        </w:rPr>
        <w:t>7, 11, 13, 24</w:t>
      </w:r>
      <w:r w:rsidRPr="00C9465D">
        <w:rPr>
          <w:lang w:val="en-US"/>
        </w:rPr>
        <w:t xml:space="preserve"> and </w:t>
      </w:r>
      <w:r w:rsidR="00CB59E2" w:rsidRPr="00C9465D">
        <w:rPr>
          <w:lang w:val="en-US"/>
        </w:rPr>
        <w:t>26</w:t>
      </w:r>
      <w:r w:rsidRPr="00C9465D">
        <w:rPr>
          <w:lang w:val="en-US"/>
        </w:rPr>
        <w:t xml:space="preserve"> of the American Convention on Human Rights</w:t>
      </w:r>
      <w:r w:rsidR="00CB59E2" w:rsidRPr="00C9465D">
        <w:rPr>
          <w:lang w:val="en-US"/>
        </w:rPr>
        <w:t>,</w:t>
      </w:r>
      <w:r w:rsidR="00F42E0C" w:rsidRPr="00C9465D">
        <w:rPr>
          <w:lang w:val="en-US"/>
        </w:rPr>
        <w:t xml:space="preserve"> in relation to the obligation to respect and to ensure the rights without discrimination and the </w:t>
      </w:r>
      <w:r w:rsidR="00C97DDD" w:rsidRPr="00C9465D">
        <w:rPr>
          <w:lang w:val="en-US"/>
        </w:rPr>
        <w:t>duty</w:t>
      </w:r>
      <w:r w:rsidR="00F42E0C" w:rsidRPr="00C9465D">
        <w:rPr>
          <w:lang w:val="en-US"/>
        </w:rPr>
        <w:t xml:space="preserve"> to adopt domestic legal provisions</w:t>
      </w:r>
      <w:r w:rsidR="00CB59E2" w:rsidRPr="00C9465D">
        <w:rPr>
          <w:lang w:val="en-US"/>
        </w:rPr>
        <w:t xml:space="preserve"> </w:t>
      </w:r>
      <w:r w:rsidR="00F42E0C" w:rsidRPr="00C9465D">
        <w:rPr>
          <w:lang w:val="en-US"/>
        </w:rPr>
        <w:t>established in Article</w:t>
      </w:r>
      <w:r w:rsidR="00577DE0" w:rsidRPr="00C9465D">
        <w:rPr>
          <w:lang w:val="en-US"/>
        </w:rPr>
        <w:t>s 1(1)</w:t>
      </w:r>
      <w:r w:rsidRPr="00C9465D">
        <w:rPr>
          <w:lang w:val="en-US"/>
        </w:rPr>
        <w:t xml:space="preserve"> and </w:t>
      </w:r>
      <w:r w:rsidR="00CB59E2" w:rsidRPr="00C9465D">
        <w:rPr>
          <w:lang w:val="en-US"/>
        </w:rPr>
        <w:t xml:space="preserve">2 </w:t>
      </w:r>
      <w:r w:rsidR="00577DE0" w:rsidRPr="00C9465D">
        <w:rPr>
          <w:lang w:val="en-US"/>
        </w:rPr>
        <w:t>of this instrument</w:t>
      </w:r>
      <w:r w:rsidR="00CB59E2" w:rsidRPr="00C9465D">
        <w:rPr>
          <w:lang w:val="en-US"/>
        </w:rPr>
        <w:t xml:space="preserve">, </w:t>
      </w:r>
      <w:r w:rsidR="00577DE0" w:rsidRPr="00C9465D">
        <w:rPr>
          <w:lang w:val="en-US"/>
        </w:rPr>
        <w:t xml:space="preserve">to the detriment </w:t>
      </w:r>
      <w:r w:rsidR="00F42E0C" w:rsidRPr="00C9465D">
        <w:rPr>
          <w:lang w:val="en-US"/>
        </w:rPr>
        <w:t xml:space="preserve">of </w:t>
      </w:r>
      <w:r w:rsidR="00CB59E2" w:rsidRPr="00C9465D">
        <w:rPr>
          <w:lang w:val="en-US"/>
        </w:rPr>
        <w:t>Luis Eduardo Guachalá</w:t>
      </w:r>
      <w:r w:rsidR="00026931" w:rsidRPr="00C9465D">
        <w:rPr>
          <w:lang w:val="en-US"/>
        </w:rPr>
        <w:t xml:space="preserve"> Chimbo</w:t>
      </w:r>
      <w:r w:rsidR="00EE3AA6" w:rsidRPr="00C9465D">
        <w:rPr>
          <w:lang w:val="en-US"/>
        </w:rPr>
        <w:t xml:space="preserve">, </w:t>
      </w:r>
      <w:r w:rsidR="008F17CD" w:rsidRPr="00C9465D">
        <w:rPr>
          <w:lang w:val="en-US"/>
        </w:rPr>
        <w:t>pursuant to</w:t>
      </w:r>
      <w:r w:rsidR="00EE3AA6" w:rsidRPr="00C9465D">
        <w:rPr>
          <w:lang w:val="en-US"/>
        </w:rPr>
        <w:t xml:space="preserve"> </w:t>
      </w:r>
      <w:r w:rsidR="008F17CD" w:rsidRPr="00C9465D">
        <w:rPr>
          <w:lang w:val="en-US"/>
        </w:rPr>
        <w:t>paragraphs</w:t>
      </w:r>
      <w:r w:rsidR="00EE3AA6" w:rsidRPr="00C9465D">
        <w:rPr>
          <w:lang w:val="en-US"/>
        </w:rPr>
        <w:t xml:space="preserve"> </w:t>
      </w:r>
      <w:r w:rsidR="00C45015" w:rsidRPr="00C9465D">
        <w:rPr>
          <w:lang w:val="en-US"/>
        </w:rPr>
        <w:fldChar w:fldCharType="begin"/>
      </w:r>
      <w:r w:rsidR="00C45015" w:rsidRPr="00C9465D">
        <w:rPr>
          <w:lang w:val="en-US"/>
        </w:rPr>
        <w:instrText xml:space="preserve"> REF _Ref72330012 \r \h </w:instrText>
      </w:r>
      <w:r w:rsidR="00496133" w:rsidRPr="00C9465D">
        <w:rPr>
          <w:lang w:val="en-US"/>
        </w:rPr>
        <w:instrText xml:space="preserve"> \* MERGEFORMAT </w:instrText>
      </w:r>
      <w:r w:rsidR="00C45015" w:rsidRPr="00C9465D">
        <w:rPr>
          <w:lang w:val="en-US"/>
        </w:rPr>
      </w:r>
      <w:r w:rsidR="00C45015" w:rsidRPr="00C9465D">
        <w:rPr>
          <w:lang w:val="en-US"/>
        </w:rPr>
        <w:fldChar w:fldCharType="separate"/>
      </w:r>
      <w:r w:rsidR="00C45015" w:rsidRPr="00C9465D">
        <w:rPr>
          <w:lang w:val="en-US"/>
        </w:rPr>
        <w:t>96</w:t>
      </w:r>
      <w:r w:rsidR="00C45015" w:rsidRPr="00C9465D">
        <w:rPr>
          <w:lang w:val="en-US"/>
        </w:rPr>
        <w:fldChar w:fldCharType="end"/>
      </w:r>
      <w:r w:rsidR="00C45015" w:rsidRPr="00C9465D">
        <w:rPr>
          <w:lang w:val="en-US"/>
        </w:rPr>
        <w:t xml:space="preserve"> </w:t>
      </w:r>
      <w:r w:rsidR="00F42E0C" w:rsidRPr="00C9465D">
        <w:rPr>
          <w:lang w:val="en-US"/>
        </w:rPr>
        <w:t>to</w:t>
      </w:r>
      <w:r w:rsidR="00C45015" w:rsidRPr="00C9465D">
        <w:rPr>
          <w:lang w:val="en-US"/>
        </w:rPr>
        <w:t xml:space="preserve"> </w:t>
      </w:r>
      <w:r w:rsidR="00C45015" w:rsidRPr="00C9465D">
        <w:rPr>
          <w:lang w:val="en-US"/>
        </w:rPr>
        <w:fldChar w:fldCharType="begin"/>
      </w:r>
      <w:r w:rsidR="00C45015" w:rsidRPr="00C9465D">
        <w:rPr>
          <w:lang w:val="en-US"/>
        </w:rPr>
        <w:instrText xml:space="preserve"> REF _Ref72330016 \r \h </w:instrText>
      </w:r>
      <w:r w:rsidR="00496133" w:rsidRPr="00C9465D">
        <w:rPr>
          <w:lang w:val="en-US"/>
        </w:rPr>
        <w:instrText xml:space="preserve"> \* MERGEFORMAT </w:instrText>
      </w:r>
      <w:r w:rsidR="00C45015" w:rsidRPr="00C9465D">
        <w:rPr>
          <w:lang w:val="en-US"/>
        </w:rPr>
      </w:r>
      <w:r w:rsidR="00C45015" w:rsidRPr="00C9465D">
        <w:rPr>
          <w:lang w:val="en-US"/>
        </w:rPr>
        <w:fldChar w:fldCharType="separate"/>
      </w:r>
      <w:r w:rsidR="00C45015" w:rsidRPr="00C9465D">
        <w:rPr>
          <w:lang w:val="en-US"/>
        </w:rPr>
        <w:t>180</w:t>
      </w:r>
      <w:r w:rsidR="00C45015" w:rsidRPr="00C9465D">
        <w:rPr>
          <w:lang w:val="en-US"/>
        </w:rPr>
        <w:fldChar w:fldCharType="end"/>
      </w:r>
      <w:r w:rsidR="00C45015" w:rsidRPr="00C9465D">
        <w:rPr>
          <w:lang w:val="en-US"/>
        </w:rPr>
        <w:t xml:space="preserve"> </w:t>
      </w:r>
      <w:r w:rsidR="00CF3A9D" w:rsidRPr="00C9465D">
        <w:rPr>
          <w:lang w:val="en-US"/>
        </w:rPr>
        <w:t>of this judgment</w:t>
      </w:r>
      <w:r w:rsidR="006D7633" w:rsidRPr="00C9465D">
        <w:rPr>
          <w:lang w:val="en-US"/>
        </w:rPr>
        <w:t>.</w:t>
      </w:r>
    </w:p>
    <w:p w14:paraId="73BF1624" w14:textId="59C63EB7" w:rsidR="006D7633" w:rsidRPr="00C9465D" w:rsidRDefault="008F17CD" w:rsidP="006D7633">
      <w:pPr>
        <w:pStyle w:val="Numberedparagraphs"/>
        <w:numPr>
          <w:ilvl w:val="0"/>
          <w:numId w:val="0"/>
        </w:numPr>
        <w:tabs>
          <w:tab w:val="left" w:pos="567"/>
        </w:tabs>
        <w:rPr>
          <w:lang w:val="en-US"/>
        </w:rPr>
      </w:pPr>
      <w:r w:rsidRPr="00C9465D">
        <w:rPr>
          <w:lang w:val="en-US"/>
        </w:rPr>
        <w:t>Dissenting</w:t>
      </w:r>
      <w:r w:rsidR="006D7633" w:rsidRPr="00C9465D">
        <w:rPr>
          <w:lang w:val="en-US"/>
        </w:rPr>
        <w:t xml:space="preserve"> </w:t>
      </w:r>
      <w:r w:rsidR="00193CBB" w:rsidRPr="00C9465D">
        <w:rPr>
          <w:lang w:val="en-US"/>
        </w:rPr>
        <w:t>Judge</w:t>
      </w:r>
      <w:r w:rsidR="006D7633" w:rsidRPr="00C9465D">
        <w:rPr>
          <w:lang w:val="en-US"/>
        </w:rPr>
        <w:t xml:space="preserve"> Eduardo Vio Grossi.</w:t>
      </w:r>
    </w:p>
    <w:p w14:paraId="6433CED5" w14:textId="0F50BE8B" w:rsidR="006D7633" w:rsidRPr="00C9465D" w:rsidRDefault="008F17CD" w:rsidP="006D7633">
      <w:pPr>
        <w:pStyle w:val="Numberedparagraphs"/>
        <w:numPr>
          <w:ilvl w:val="0"/>
          <w:numId w:val="0"/>
        </w:numPr>
        <w:tabs>
          <w:tab w:val="left" w:pos="567"/>
        </w:tabs>
        <w:rPr>
          <w:lang w:val="en-US" w:eastAsia="es-MX"/>
        </w:rPr>
      </w:pPr>
      <w:r w:rsidRPr="00C9465D">
        <w:rPr>
          <w:lang w:val="en-US"/>
        </w:rPr>
        <w:t>Unanimously, that</w:t>
      </w:r>
      <w:r w:rsidR="006D7633" w:rsidRPr="00C9465D">
        <w:rPr>
          <w:lang w:val="en-US"/>
        </w:rPr>
        <w:t>:</w:t>
      </w:r>
    </w:p>
    <w:p w14:paraId="456192B4" w14:textId="52E3EE39" w:rsidR="00A71273" w:rsidRPr="00C9465D" w:rsidRDefault="00193CBB" w:rsidP="00D47F8D">
      <w:pPr>
        <w:pStyle w:val="Numberedparagraphs"/>
        <w:numPr>
          <w:ilvl w:val="0"/>
          <w:numId w:val="13"/>
        </w:numPr>
        <w:tabs>
          <w:tab w:val="left" w:pos="567"/>
        </w:tabs>
        <w:ind w:left="0" w:firstLine="0"/>
        <w:rPr>
          <w:lang w:val="en-US" w:eastAsia="es-MX"/>
        </w:rPr>
      </w:pPr>
      <w:r w:rsidRPr="00C9465D">
        <w:rPr>
          <w:lang w:val="en-US"/>
        </w:rPr>
        <w:lastRenderedPageBreak/>
        <w:t>The State</w:t>
      </w:r>
      <w:r w:rsidR="00A71273" w:rsidRPr="00C9465D">
        <w:rPr>
          <w:lang w:val="en-US"/>
        </w:rPr>
        <w:t xml:space="preserve"> </w:t>
      </w:r>
      <w:r w:rsidR="00F42E0C" w:rsidRPr="00C9465D">
        <w:rPr>
          <w:lang w:val="en-US"/>
        </w:rPr>
        <w:t>is responsible for the violation of the rights to</w:t>
      </w:r>
      <w:r w:rsidR="00BA1431" w:rsidRPr="00C9465D">
        <w:rPr>
          <w:lang w:val="en-US"/>
        </w:rPr>
        <w:t xml:space="preserve"> </w:t>
      </w:r>
      <w:r w:rsidR="00F42E0C" w:rsidRPr="00C9465D">
        <w:rPr>
          <w:lang w:val="en-US"/>
        </w:rPr>
        <w:t>an effective remedy</w:t>
      </w:r>
      <w:r w:rsidR="00BA1431" w:rsidRPr="00C9465D">
        <w:rPr>
          <w:lang w:val="en-US"/>
        </w:rPr>
        <w:t xml:space="preserve">, </w:t>
      </w:r>
      <w:r w:rsidR="00D12C0E" w:rsidRPr="00C9465D">
        <w:rPr>
          <w:lang w:val="en-US"/>
        </w:rPr>
        <w:t>judicial guarantees</w:t>
      </w:r>
      <w:r w:rsidRPr="00C9465D">
        <w:rPr>
          <w:lang w:val="en-US"/>
        </w:rPr>
        <w:t xml:space="preserve"> and</w:t>
      </w:r>
      <w:r w:rsidR="00BA1431" w:rsidRPr="00C9465D">
        <w:rPr>
          <w:lang w:val="en-US"/>
        </w:rPr>
        <w:t xml:space="preserve"> </w:t>
      </w:r>
      <w:r w:rsidR="00D12C0E" w:rsidRPr="00C9465D">
        <w:rPr>
          <w:lang w:val="en-US"/>
        </w:rPr>
        <w:t>judicial protection</w:t>
      </w:r>
      <w:r w:rsidR="00BA1431" w:rsidRPr="00C9465D">
        <w:rPr>
          <w:lang w:val="en-US"/>
        </w:rPr>
        <w:t xml:space="preserve">, </w:t>
      </w:r>
      <w:r w:rsidR="00F42E0C" w:rsidRPr="00C9465D">
        <w:rPr>
          <w:lang w:val="en-US"/>
        </w:rPr>
        <w:t>recognized in</w:t>
      </w:r>
      <w:r w:rsidR="00BA1431" w:rsidRPr="00C9465D">
        <w:rPr>
          <w:lang w:val="en-US"/>
        </w:rPr>
        <w:t xml:space="preserve"> </w:t>
      </w:r>
      <w:r w:rsidRPr="00C9465D">
        <w:rPr>
          <w:lang w:val="en-US"/>
        </w:rPr>
        <w:t>Articles</w:t>
      </w:r>
      <w:r w:rsidR="00BA1431" w:rsidRPr="00C9465D">
        <w:rPr>
          <w:lang w:val="en-US"/>
        </w:rPr>
        <w:t xml:space="preserve"> </w:t>
      </w:r>
      <w:r w:rsidR="009D1A53" w:rsidRPr="00C9465D">
        <w:rPr>
          <w:lang w:val="en-US"/>
        </w:rPr>
        <w:t>7</w:t>
      </w:r>
      <w:r w:rsidR="00F42E0C" w:rsidRPr="00C9465D">
        <w:rPr>
          <w:lang w:val="en-US"/>
        </w:rPr>
        <w:t>(</w:t>
      </w:r>
      <w:r w:rsidR="009D1A53" w:rsidRPr="00C9465D">
        <w:rPr>
          <w:lang w:val="en-US"/>
        </w:rPr>
        <w:t>6</w:t>
      </w:r>
      <w:r w:rsidR="00F42E0C" w:rsidRPr="00C9465D">
        <w:rPr>
          <w:lang w:val="en-US"/>
        </w:rPr>
        <w:t>)</w:t>
      </w:r>
      <w:r w:rsidR="009D1A53" w:rsidRPr="00C9465D">
        <w:rPr>
          <w:lang w:val="en-US"/>
        </w:rPr>
        <w:t xml:space="preserve">, </w:t>
      </w:r>
      <w:r w:rsidR="00577DE0" w:rsidRPr="00C9465D">
        <w:rPr>
          <w:lang w:val="en-US"/>
        </w:rPr>
        <w:t>8(1)</w:t>
      </w:r>
      <w:r w:rsidRPr="00C9465D">
        <w:rPr>
          <w:lang w:val="en-US"/>
        </w:rPr>
        <w:t xml:space="preserve"> and </w:t>
      </w:r>
      <w:r w:rsidR="00A71273" w:rsidRPr="00C9465D">
        <w:rPr>
          <w:lang w:val="en-US"/>
        </w:rPr>
        <w:t>2</w:t>
      </w:r>
      <w:r w:rsidR="00577DE0" w:rsidRPr="00C9465D">
        <w:rPr>
          <w:lang w:val="en-US"/>
        </w:rPr>
        <w:t>5(1)</w:t>
      </w:r>
      <w:r w:rsidRPr="00C9465D">
        <w:rPr>
          <w:lang w:val="en-US"/>
        </w:rPr>
        <w:t xml:space="preserve"> of the American Convention on Human Rights</w:t>
      </w:r>
      <w:r w:rsidR="00A71273" w:rsidRPr="00C9465D">
        <w:rPr>
          <w:lang w:val="en-US"/>
        </w:rPr>
        <w:t xml:space="preserve">, </w:t>
      </w:r>
      <w:r w:rsidR="00F42E0C" w:rsidRPr="00C9465D">
        <w:rPr>
          <w:lang w:val="en-US"/>
        </w:rPr>
        <w:t>in relation to Article</w:t>
      </w:r>
      <w:r w:rsidR="00577DE0" w:rsidRPr="00C9465D">
        <w:rPr>
          <w:lang w:val="en-US"/>
        </w:rPr>
        <w:t xml:space="preserve"> 1(1)</w:t>
      </w:r>
      <w:r w:rsidR="00BF493C" w:rsidRPr="00C9465D">
        <w:rPr>
          <w:lang w:val="en-US"/>
        </w:rPr>
        <w:t xml:space="preserve"> </w:t>
      </w:r>
      <w:r w:rsidR="00577DE0" w:rsidRPr="00C9465D">
        <w:rPr>
          <w:lang w:val="en-US"/>
        </w:rPr>
        <w:t>of this instrument</w:t>
      </w:r>
      <w:r w:rsidR="00BF493C" w:rsidRPr="00C9465D">
        <w:rPr>
          <w:lang w:val="en-US"/>
        </w:rPr>
        <w:t>,</w:t>
      </w:r>
      <w:r w:rsidR="00A71273" w:rsidRPr="00C9465D">
        <w:rPr>
          <w:lang w:val="en-US"/>
        </w:rPr>
        <w:t xml:space="preserve"> </w:t>
      </w:r>
      <w:r w:rsidR="00577DE0" w:rsidRPr="00C9465D">
        <w:rPr>
          <w:lang w:val="en-US"/>
        </w:rPr>
        <w:t xml:space="preserve">to the detriment </w:t>
      </w:r>
      <w:r w:rsidR="00F42E0C" w:rsidRPr="00C9465D">
        <w:rPr>
          <w:lang w:val="en-US"/>
        </w:rPr>
        <w:t xml:space="preserve">of </w:t>
      </w:r>
      <w:r w:rsidR="00A71273" w:rsidRPr="00C9465D">
        <w:rPr>
          <w:lang w:val="en-US"/>
        </w:rPr>
        <w:t>Luis Eduardo Guachalá Chimbo</w:t>
      </w:r>
      <w:r w:rsidRPr="00C9465D">
        <w:rPr>
          <w:lang w:val="en-US"/>
        </w:rPr>
        <w:t xml:space="preserve"> and </w:t>
      </w:r>
      <w:r w:rsidR="00F42E0C" w:rsidRPr="00C9465D">
        <w:rPr>
          <w:lang w:val="en-US"/>
        </w:rPr>
        <w:t>his next of kin</w:t>
      </w:r>
      <w:r w:rsidR="00643B02" w:rsidRPr="00C9465D">
        <w:rPr>
          <w:lang w:val="en-US"/>
        </w:rPr>
        <w:t>, Zoila Chimbo Jarro</w:t>
      </w:r>
      <w:r w:rsidRPr="00C9465D">
        <w:rPr>
          <w:lang w:val="en-US"/>
        </w:rPr>
        <w:t xml:space="preserve"> and </w:t>
      </w:r>
      <w:r w:rsidR="00A71273" w:rsidRPr="00C9465D">
        <w:rPr>
          <w:lang w:val="en-US"/>
        </w:rPr>
        <w:t xml:space="preserve">Nancy Guachalá Chimbo. </w:t>
      </w:r>
      <w:r w:rsidR="00F42E0C" w:rsidRPr="00C9465D">
        <w:rPr>
          <w:lang w:val="en-US"/>
        </w:rPr>
        <w:t>In addition</w:t>
      </w:r>
      <w:r w:rsidR="00A71273" w:rsidRPr="00C9465D">
        <w:rPr>
          <w:lang w:val="en-US"/>
        </w:rPr>
        <w:t xml:space="preserve">, </w:t>
      </w:r>
      <w:r w:rsidRPr="00C9465D">
        <w:rPr>
          <w:lang w:val="en-US"/>
        </w:rPr>
        <w:t>the State</w:t>
      </w:r>
      <w:r w:rsidR="00A71273" w:rsidRPr="00C9465D">
        <w:rPr>
          <w:lang w:val="en-US"/>
        </w:rPr>
        <w:t xml:space="preserve"> </w:t>
      </w:r>
      <w:r w:rsidR="00F42E0C" w:rsidRPr="00C9465D">
        <w:rPr>
          <w:lang w:val="en-US"/>
        </w:rPr>
        <w:t>violated the right to know the truth of these family members of the disappeared victim. All of this</w:t>
      </w:r>
      <w:r w:rsidR="00A71273" w:rsidRPr="00C9465D">
        <w:rPr>
          <w:lang w:val="en-US"/>
        </w:rPr>
        <w:t xml:space="preserve"> </w:t>
      </w:r>
      <w:r w:rsidR="008F17CD" w:rsidRPr="00C9465D">
        <w:rPr>
          <w:lang w:val="en-US"/>
        </w:rPr>
        <w:t>pursuant to</w:t>
      </w:r>
      <w:r w:rsidR="00A71273" w:rsidRPr="00C9465D">
        <w:rPr>
          <w:lang w:val="en-US"/>
        </w:rPr>
        <w:t xml:space="preserve"> </w:t>
      </w:r>
      <w:r w:rsidR="008F17CD" w:rsidRPr="00C9465D">
        <w:rPr>
          <w:lang w:val="en-US"/>
        </w:rPr>
        <w:t>paragraphs</w:t>
      </w:r>
      <w:r w:rsidR="00A71273" w:rsidRPr="00C9465D">
        <w:rPr>
          <w:lang w:val="en-US"/>
        </w:rPr>
        <w:t xml:space="preserve"> </w:t>
      </w:r>
      <w:r w:rsidR="00C45015" w:rsidRPr="00C9465D">
        <w:rPr>
          <w:lang w:val="en-US"/>
        </w:rPr>
        <w:fldChar w:fldCharType="begin"/>
      </w:r>
      <w:r w:rsidR="00C45015" w:rsidRPr="00C9465D">
        <w:rPr>
          <w:lang w:val="en-US"/>
        </w:rPr>
        <w:instrText xml:space="preserve"> REF _Ref72330063 \r \h </w:instrText>
      </w:r>
      <w:r w:rsidR="00496133" w:rsidRPr="00C9465D">
        <w:rPr>
          <w:lang w:val="en-US"/>
        </w:rPr>
        <w:instrText xml:space="preserve"> \* MERGEFORMAT </w:instrText>
      </w:r>
      <w:r w:rsidR="00C45015" w:rsidRPr="00C9465D">
        <w:rPr>
          <w:lang w:val="en-US"/>
        </w:rPr>
      </w:r>
      <w:r w:rsidR="00C45015" w:rsidRPr="00C9465D">
        <w:rPr>
          <w:lang w:val="en-US"/>
        </w:rPr>
        <w:fldChar w:fldCharType="separate"/>
      </w:r>
      <w:r w:rsidR="00C45015" w:rsidRPr="00C9465D">
        <w:rPr>
          <w:lang w:val="en-US"/>
        </w:rPr>
        <w:t>184</w:t>
      </w:r>
      <w:r w:rsidR="00C45015" w:rsidRPr="00C9465D">
        <w:rPr>
          <w:lang w:val="en-US"/>
        </w:rPr>
        <w:fldChar w:fldCharType="end"/>
      </w:r>
      <w:r w:rsidR="00C45015" w:rsidRPr="00C9465D">
        <w:rPr>
          <w:lang w:val="en-US"/>
        </w:rPr>
        <w:t xml:space="preserve"> </w:t>
      </w:r>
      <w:r w:rsidR="00F42E0C" w:rsidRPr="00C9465D">
        <w:rPr>
          <w:lang w:val="en-US"/>
        </w:rPr>
        <w:t>to</w:t>
      </w:r>
      <w:r w:rsidR="00C45015" w:rsidRPr="00C9465D">
        <w:rPr>
          <w:lang w:val="en-US"/>
        </w:rPr>
        <w:t xml:space="preserve"> </w:t>
      </w:r>
      <w:r w:rsidR="00C45015" w:rsidRPr="00C9465D">
        <w:rPr>
          <w:lang w:val="en-US"/>
        </w:rPr>
        <w:fldChar w:fldCharType="begin"/>
      </w:r>
      <w:r w:rsidR="00C45015" w:rsidRPr="00C9465D">
        <w:rPr>
          <w:lang w:val="en-US"/>
        </w:rPr>
        <w:instrText xml:space="preserve"> REF _Ref72330068 \r \h </w:instrText>
      </w:r>
      <w:r w:rsidR="00496133" w:rsidRPr="00C9465D">
        <w:rPr>
          <w:lang w:val="en-US"/>
        </w:rPr>
        <w:instrText xml:space="preserve"> \* MERGEFORMAT </w:instrText>
      </w:r>
      <w:r w:rsidR="00C45015" w:rsidRPr="00C9465D">
        <w:rPr>
          <w:lang w:val="en-US"/>
        </w:rPr>
      </w:r>
      <w:r w:rsidR="00C45015" w:rsidRPr="00C9465D">
        <w:rPr>
          <w:lang w:val="en-US"/>
        </w:rPr>
        <w:fldChar w:fldCharType="separate"/>
      </w:r>
      <w:r w:rsidR="00C45015" w:rsidRPr="00C9465D">
        <w:rPr>
          <w:lang w:val="en-US"/>
        </w:rPr>
        <w:t>215</w:t>
      </w:r>
      <w:r w:rsidR="00C45015" w:rsidRPr="00C9465D">
        <w:rPr>
          <w:lang w:val="en-US"/>
        </w:rPr>
        <w:fldChar w:fldCharType="end"/>
      </w:r>
      <w:r w:rsidR="00A71273" w:rsidRPr="00C9465D">
        <w:rPr>
          <w:lang w:val="en-US"/>
        </w:rPr>
        <w:t xml:space="preserve"> </w:t>
      </w:r>
      <w:r w:rsidR="00CF3A9D" w:rsidRPr="00C9465D">
        <w:rPr>
          <w:lang w:val="en-US"/>
        </w:rPr>
        <w:t>of this judgment</w:t>
      </w:r>
      <w:r w:rsidR="00A71273" w:rsidRPr="00C9465D">
        <w:rPr>
          <w:lang w:val="en-US"/>
        </w:rPr>
        <w:t>.</w:t>
      </w:r>
    </w:p>
    <w:p w14:paraId="0A4E4858" w14:textId="54DEBD96" w:rsidR="006D7633" w:rsidRPr="00C9465D" w:rsidRDefault="008F17CD" w:rsidP="006D7633">
      <w:pPr>
        <w:pStyle w:val="Numberedparagraphs"/>
        <w:numPr>
          <w:ilvl w:val="0"/>
          <w:numId w:val="0"/>
        </w:numPr>
        <w:tabs>
          <w:tab w:val="left" w:pos="567"/>
        </w:tabs>
        <w:rPr>
          <w:lang w:val="en-US" w:eastAsia="es-MX"/>
        </w:rPr>
      </w:pPr>
      <w:r w:rsidRPr="00C9465D">
        <w:rPr>
          <w:lang w:val="en-US"/>
        </w:rPr>
        <w:t>Unanimously, that</w:t>
      </w:r>
      <w:r w:rsidR="006D7633" w:rsidRPr="00C9465D">
        <w:rPr>
          <w:lang w:val="en-US"/>
        </w:rPr>
        <w:t>:</w:t>
      </w:r>
    </w:p>
    <w:p w14:paraId="31773D08" w14:textId="04409144" w:rsidR="00EE3AA6" w:rsidRPr="00C9465D" w:rsidRDefault="00193CBB" w:rsidP="00D47F8D">
      <w:pPr>
        <w:pStyle w:val="ListParagraph"/>
        <w:widowControl w:val="0"/>
        <w:numPr>
          <w:ilvl w:val="0"/>
          <w:numId w:val="13"/>
        </w:numPr>
        <w:tabs>
          <w:tab w:val="left" w:pos="567"/>
          <w:tab w:val="left" w:pos="684"/>
        </w:tabs>
        <w:autoSpaceDE w:val="0"/>
        <w:autoSpaceDN w:val="0"/>
        <w:spacing w:line="240" w:lineRule="auto"/>
        <w:ind w:left="0" w:right="117" w:firstLine="0"/>
        <w:contextualSpacing w:val="0"/>
        <w:rPr>
          <w:lang w:val="en-US"/>
        </w:rPr>
      </w:pPr>
      <w:r w:rsidRPr="00C9465D">
        <w:rPr>
          <w:lang w:val="en-US"/>
        </w:rPr>
        <w:t>The State</w:t>
      </w:r>
      <w:r w:rsidR="00A71273" w:rsidRPr="00C9465D">
        <w:rPr>
          <w:lang w:val="en-US"/>
        </w:rPr>
        <w:t xml:space="preserve"> </w:t>
      </w:r>
      <w:r w:rsidR="00F42E0C" w:rsidRPr="00C9465D">
        <w:rPr>
          <w:lang w:val="en-US"/>
        </w:rPr>
        <w:t>is responsible for the violation of the right to</w:t>
      </w:r>
      <w:r w:rsidR="00A71273" w:rsidRPr="00C9465D">
        <w:rPr>
          <w:lang w:val="en-US"/>
        </w:rPr>
        <w:t xml:space="preserve"> </w:t>
      </w:r>
      <w:r w:rsidR="00D12C0E" w:rsidRPr="00C9465D">
        <w:rPr>
          <w:lang w:val="en-US"/>
        </w:rPr>
        <w:t>personal integrity</w:t>
      </w:r>
      <w:r w:rsidR="00A71273" w:rsidRPr="00C9465D">
        <w:rPr>
          <w:lang w:val="en-US"/>
        </w:rPr>
        <w:t xml:space="preserve">, </w:t>
      </w:r>
      <w:r w:rsidR="00D8209E" w:rsidRPr="00C9465D">
        <w:rPr>
          <w:lang w:val="en-US"/>
        </w:rPr>
        <w:t>recognized</w:t>
      </w:r>
      <w:r w:rsidR="00F42E0C" w:rsidRPr="00C9465D">
        <w:rPr>
          <w:lang w:val="en-US"/>
        </w:rPr>
        <w:t xml:space="preserve"> in</w:t>
      </w:r>
      <w:r w:rsidR="00A71273" w:rsidRPr="00C9465D">
        <w:rPr>
          <w:lang w:val="en-US"/>
        </w:rPr>
        <w:t xml:space="preserve"> </w:t>
      </w:r>
      <w:r w:rsidRPr="00C9465D">
        <w:rPr>
          <w:lang w:val="en-US"/>
        </w:rPr>
        <w:t>Article</w:t>
      </w:r>
      <w:r w:rsidR="00A71273" w:rsidRPr="00C9465D">
        <w:rPr>
          <w:lang w:val="en-US"/>
        </w:rPr>
        <w:t xml:space="preserve"> </w:t>
      </w:r>
      <w:r w:rsidR="00577DE0" w:rsidRPr="00C9465D">
        <w:rPr>
          <w:lang w:val="en-US"/>
        </w:rPr>
        <w:t>5(1)</w:t>
      </w:r>
      <w:r w:rsidRPr="00C9465D">
        <w:rPr>
          <w:lang w:val="en-US"/>
        </w:rPr>
        <w:t xml:space="preserve"> of the American Convention on Human Rights</w:t>
      </w:r>
      <w:r w:rsidR="00A71273" w:rsidRPr="00C9465D">
        <w:rPr>
          <w:lang w:val="en-US"/>
        </w:rPr>
        <w:t xml:space="preserve">, </w:t>
      </w:r>
      <w:r w:rsidR="00F42E0C" w:rsidRPr="00C9465D">
        <w:rPr>
          <w:lang w:val="en-US"/>
        </w:rPr>
        <w:t>in relation to Article</w:t>
      </w:r>
      <w:r w:rsidR="00577DE0" w:rsidRPr="00C9465D">
        <w:rPr>
          <w:lang w:val="en-US"/>
        </w:rPr>
        <w:t xml:space="preserve"> 1(1)</w:t>
      </w:r>
      <w:r w:rsidR="00A71273" w:rsidRPr="00C9465D">
        <w:rPr>
          <w:lang w:val="en-US"/>
        </w:rPr>
        <w:t xml:space="preserve"> </w:t>
      </w:r>
      <w:r w:rsidR="00577DE0" w:rsidRPr="00C9465D">
        <w:rPr>
          <w:lang w:val="en-US"/>
        </w:rPr>
        <w:t>of this instrument</w:t>
      </w:r>
      <w:r w:rsidR="00A71273" w:rsidRPr="00C9465D">
        <w:rPr>
          <w:lang w:val="en-US"/>
        </w:rPr>
        <w:t xml:space="preserve">, </w:t>
      </w:r>
      <w:r w:rsidR="00577DE0" w:rsidRPr="00C9465D">
        <w:rPr>
          <w:lang w:val="en-US"/>
        </w:rPr>
        <w:t>to the detriment of</w:t>
      </w:r>
      <w:r w:rsidR="00C45015" w:rsidRPr="00C9465D">
        <w:rPr>
          <w:lang w:val="en-US"/>
        </w:rPr>
        <w:t xml:space="preserve"> Zoila Chimbo Jarro</w:t>
      </w:r>
      <w:r w:rsidRPr="00C9465D">
        <w:rPr>
          <w:lang w:val="en-US"/>
        </w:rPr>
        <w:t xml:space="preserve"> and </w:t>
      </w:r>
      <w:r w:rsidR="00A71273" w:rsidRPr="00C9465D">
        <w:rPr>
          <w:lang w:val="en-US"/>
        </w:rPr>
        <w:t>Nancy Guachalá Chimbo</w:t>
      </w:r>
      <w:r w:rsidR="00AC5BB1" w:rsidRPr="00C9465D">
        <w:rPr>
          <w:lang w:val="en-US"/>
        </w:rPr>
        <w:t>,</w:t>
      </w:r>
      <w:r w:rsidR="00A71273" w:rsidRPr="00C9465D">
        <w:rPr>
          <w:lang w:val="en-US"/>
        </w:rPr>
        <w:t xml:space="preserve"> </w:t>
      </w:r>
      <w:r w:rsidR="008F17CD" w:rsidRPr="00C9465D">
        <w:rPr>
          <w:lang w:val="en-US"/>
        </w:rPr>
        <w:t>pursuant to</w:t>
      </w:r>
      <w:r w:rsidR="00A71273" w:rsidRPr="00C9465D">
        <w:rPr>
          <w:lang w:val="en-US"/>
        </w:rPr>
        <w:t xml:space="preserve"> </w:t>
      </w:r>
      <w:r w:rsidR="008F17CD" w:rsidRPr="00C9465D">
        <w:rPr>
          <w:lang w:val="en-US"/>
        </w:rPr>
        <w:t>paragraphs</w:t>
      </w:r>
      <w:r w:rsidR="00A71273" w:rsidRPr="00C9465D">
        <w:rPr>
          <w:lang w:val="en-US"/>
        </w:rPr>
        <w:t xml:space="preserve"> </w:t>
      </w:r>
      <w:r w:rsidR="00C45015" w:rsidRPr="00C9465D">
        <w:rPr>
          <w:lang w:val="en-US"/>
        </w:rPr>
        <w:fldChar w:fldCharType="begin"/>
      </w:r>
      <w:r w:rsidR="00C45015" w:rsidRPr="00C9465D">
        <w:rPr>
          <w:lang w:val="en-US"/>
        </w:rPr>
        <w:instrText xml:space="preserve"> REF _Ref72330116 \r \h </w:instrText>
      </w:r>
      <w:r w:rsidR="00496133" w:rsidRPr="00C9465D">
        <w:rPr>
          <w:lang w:val="en-US"/>
        </w:rPr>
        <w:instrText xml:space="preserve"> \* MERGEFORMAT </w:instrText>
      </w:r>
      <w:r w:rsidR="00C45015" w:rsidRPr="00C9465D">
        <w:rPr>
          <w:lang w:val="en-US"/>
        </w:rPr>
      </w:r>
      <w:r w:rsidR="00C45015" w:rsidRPr="00C9465D">
        <w:rPr>
          <w:lang w:val="en-US"/>
        </w:rPr>
        <w:fldChar w:fldCharType="separate"/>
      </w:r>
      <w:r w:rsidR="00C45015" w:rsidRPr="00C9465D">
        <w:rPr>
          <w:lang w:val="en-US"/>
        </w:rPr>
        <w:t>217</w:t>
      </w:r>
      <w:r w:rsidR="00C45015" w:rsidRPr="00C9465D">
        <w:rPr>
          <w:lang w:val="en-US"/>
        </w:rPr>
        <w:fldChar w:fldCharType="end"/>
      </w:r>
      <w:r w:rsidR="00C45015" w:rsidRPr="00C9465D">
        <w:rPr>
          <w:lang w:val="en-US"/>
        </w:rPr>
        <w:t xml:space="preserve"> </w:t>
      </w:r>
      <w:r w:rsidR="00F42E0C" w:rsidRPr="00C9465D">
        <w:rPr>
          <w:lang w:val="en-US"/>
        </w:rPr>
        <w:t>to</w:t>
      </w:r>
      <w:r w:rsidR="00C45015" w:rsidRPr="00C9465D">
        <w:rPr>
          <w:lang w:val="en-US"/>
        </w:rPr>
        <w:t xml:space="preserve"> </w:t>
      </w:r>
      <w:r w:rsidR="00C45015" w:rsidRPr="00C9465D">
        <w:rPr>
          <w:lang w:val="en-US"/>
        </w:rPr>
        <w:fldChar w:fldCharType="begin"/>
      </w:r>
      <w:r w:rsidR="00C45015" w:rsidRPr="00C9465D">
        <w:rPr>
          <w:lang w:val="en-US"/>
        </w:rPr>
        <w:instrText xml:space="preserve"> REF _Ref72330118 \r \h </w:instrText>
      </w:r>
      <w:r w:rsidR="00496133" w:rsidRPr="00C9465D">
        <w:rPr>
          <w:lang w:val="en-US"/>
        </w:rPr>
        <w:instrText xml:space="preserve"> \* MERGEFORMAT </w:instrText>
      </w:r>
      <w:r w:rsidR="00C45015" w:rsidRPr="00C9465D">
        <w:rPr>
          <w:lang w:val="en-US"/>
        </w:rPr>
      </w:r>
      <w:r w:rsidR="00C45015" w:rsidRPr="00C9465D">
        <w:rPr>
          <w:lang w:val="en-US"/>
        </w:rPr>
        <w:fldChar w:fldCharType="separate"/>
      </w:r>
      <w:r w:rsidR="00C45015" w:rsidRPr="00C9465D">
        <w:rPr>
          <w:lang w:val="en-US"/>
        </w:rPr>
        <w:t>221</w:t>
      </w:r>
      <w:r w:rsidR="00C45015" w:rsidRPr="00C9465D">
        <w:rPr>
          <w:lang w:val="en-US"/>
        </w:rPr>
        <w:fldChar w:fldCharType="end"/>
      </w:r>
      <w:r w:rsidR="00C45015" w:rsidRPr="00C9465D">
        <w:rPr>
          <w:lang w:val="en-US"/>
        </w:rPr>
        <w:t xml:space="preserve"> </w:t>
      </w:r>
      <w:r w:rsidR="00CF3A9D" w:rsidRPr="00C9465D">
        <w:rPr>
          <w:lang w:val="en-US"/>
        </w:rPr>
        <w:t>of this judgment</w:t>
      </w:r>
      <w:r w:rsidR="00A71273" w:rsidRPr="00C9465D">
        <w:rPr>
          <w:lang w:val="en-US"/>
        </w:rPr>
        <w:t>.</w:t>
      </w:r>
    </w:p>
    <w:p w14:paraId="681C9178" w14:textId="0B29DC13" w:rsidR="00A71273" w:rsidRPr="00C9465D" w:rsidRDefault="00A71273" w:rsidP="00A71273">
      <w:pPr>
        <w:pStyle w:val="ListParagraph"/>
        <w:widowControl w:val="0"/>
        <w:tabs>
          <w:tab w:val="left" w:pos="567"/>
          <w:tab w:val="left" w:pos="684"/>
        </w:tabs>
        <w:autoSpaceDE w:val="0"/>
        <w:autoSpaceDN w:val="0"/>
        <w:spacing w:line="240" w:lineRule="auto"/>
        <w:ind w:left="0" w:right="117"/>
        <w:contextualSpacing w:val="0"/>
        <w:rPr>
          <w:lang w:val="en-US"/>
        </w:rPr>
      </w:pPr>
    </w:p>
    <w:p w14:paraId="62444524" w14:textId="676160CA" w:rsidR="00EE3AA6" w:rsidRPr="00C9465D" w:rsidRDefault="008F17CD" w:rsidP="00F42E0C">
      <w:pPr>
        <w:rPr>
          <w:rFonts w:ascii="Verdana" w:hAnsi="Verdana"/>
          <w:b/>
          <w:sz w:val="20"/>
          <w:szCs w:val="20"/>
          <w:lang w:val="en-US"/>
        </w:rPr>
      </w:pPr>
      <w:r w:rsidRPr="00C9465D">
        <w:rPr>
          <w:rFonts w:ascii="Verdana" w:hAnsi="Verdana"/>
          <w:b/>
          <w:sz w:val="20"/>
          <w:szCs w:val="20"/>
          <w:lang w:val="en-US"/>
        </w:rPr>
        <w:t>AND ESTABLISHES</w:t>
      </w:r>
      <w:r w:rsidR="00623B2A" w:rsidRPr="00C9465D">
        <w:rPr>
          <w:rFonts w:ascii="Verdana" w:hAnsi="Verdana"/>
          <w:b/>
          <w:sz w:val="20"/>
          <w:szCs w:val="20"/>
          <w:lang w:val="en-US"/>
        </w:rPr>
        <w:t>:</w:t>
      </w:r>
    </w:p>
    <w:p w14:paraId="31F9C03D" w14:textId="4FA3582A" w:rsidR="00EE3AA6" w:rsidRPr="00C9465D" w:rsidRDefault="008F17CD" w:rsidP="00AC0EB3">
      <w:pPr>
        <w:pStyle w:val="BodyText"/>
        <w:spacing w:after="0" w:line="240" w:lineRule="auto"/>
        <w:jc w:val="both"/>
        <w:rPr>
          <w:rFonts w:ascii="Verdana" w:hAnsi="Verdana"/>
          <w:sz w:val="20"/>
          <w:szCs w:val="20"/>
          <w:lang w:val="en-US"/>
        </w:rPr>
      </w:pPr>
      <w:r w:rsidRPr="00C9465D">
        <w:rPr>
          <w:rFonts w:ascii="Verdana" w:hAnsi="Verdana"/>
          <w:sz w:val="20"/>
          <w:szCs w:val="20"/>
          <w:lang w:val="en-US"/>
        </w:rPr>
        <w:t>Unanimously, that</w:t>
      </w:r>
      <w:r w:rsidR="006D7633" w:rsidRPr="00C9465D">
        <w:rPr>
          <w:rFonts w:ascii="Verdana" w:hAnsi="Verdana"/>
          <w:sz w:val="20"/>
          <w:szCs w:val="20"/>
          <w:lang w:val="en-US"/>
        </w:rPr>
        <w:t>:</w:t>
      </w:r>
    </w:p>
    <w:p w14:paraId="37988150" w14:textId="77777777" w:rsidR="006D7633" w:rsidRPr="00C9465D" w:rsidRDefault="006D7633" w:rsidP="00AC0EB3">
      <w:pPr>
        <w:pStyle w:val="BodyText"/>
        <w:spacing w:after="0" w:line="240" w:lineRule="auto"/>
        <w:jc w:val="both"/>
        <w:rPr>
          <w:rFonts w:ascii="Verdana" w:hAnsi="Verdana"/>
          <w:sz w:val="20"/>
          <w:szCs w:val="20"/>
          <w:lang w:val="en-US"/>
        </w:rPr>
      </w:pPr>
    </w:p>
    <w:p w14:paraId="48A2FAFF" w14:textId="1C8E8CF5" w:rsidR="00AC0EB3" w:rsidRPr="00C9465D" w:rsidRDefault="008F17CD" w:rsidP="00D47F8D">
      <w:pPr>
        <w:pStyle w:val="ListParagraph"/>
        <w:widowControl w:val="0"/>
        <w:numPr>
          <w:ilvl w:val="0"/>
          <w:numId w:val="13"/>
        </w:numPr>
        <w:tabs>
          <w:tab w:val="left" w:pos="567"/>
        </w:tabs>
        <w:autoSpaceDE w:val="0"/>
        <w:autoSpaceDN w:val="0"/>
        <w:spacing w:line="240" w:lineRule="auto"/>
        <w:ind w:left="0" w:right="115" w:firstLine="0"/>
        <w:rPr>
          <w:lang w:val="en-US"/>
        </w:rPr>
      </w:pPr>
      <w:r w:rsidRPr="00C9465D">
        <w:rPr>
          <w:lang w:val="en-US"/>
        </w:rPr>
        <w:t xml:space="preserve">This judgment constitutes, </w:t>
      </w:r>
      <w:r w:rsidRPr="00C9465D">
        <w:rPr>
          <w:i/>
          <w:iCs/>
          <w:lang w:val="en-US"/>
        </w:rPr>
        <w:t>per se</w:t>
      </w:r>
      <w:r w:rsidRPr="00C9465D">
        <w:rPr>
          <w:lang w:val="en-US"/>
        </w:rPr>
        <w:t>, a form of reparation.</w:t>
      </w:r>
    </w:p>
    <w:p w14:paraId="4A94744D" w14:textId="77777777" w:rsidR="00AC0EB3" w:rsidRPr="00C9465D" w:rsidRDefault="00AC0EB3" w:rsidP="00AC0EB3">
      <w:pPr>
        <w:pStyle w:val="ListParagraph"/>
        <w:widowControl w:val="0"/>
        <w:tabs>
          <w:tab w:val="left" w:pos="567"/>
        </w:tabs>
        <w:autoSpaceDE w:val="0"/>
        <w:autoSpaceDN w:val="0"/>
        <w:spacing w:line="240" w:lineRule="auto"/>
        <w:ind w:left="0" w:right="115"/>
        <w:rPr>
          <w:lang w:val="en-US"/>
        </w:rPr>
      </w:pPr>
    </w:p>
    <w:p w14:paraId="366AD69E" w14:textId="1B043D38" w:rsidR="0055286B" w:rsidRPr="00C9465D" w:rsidRDefault="00193CBB" w:rsidP="00D47F8D">
      <w:pPr>
        <w:pStyle w:val="ListParagraph"/>
        <w:widowControl w:val="0"/>
        <w:numPr>
          <w:ilvl w:val="0"/>
          <w:numId w:val="13"/>
        </w:numPr>
        <w:tabs>
          <w:tab w:val="left" w:pos="567"/>
        </w:tabs>
        <w:autoSpaceDE w:val="0"/>
        <w:autoSpaceDN w:val="0"/>
        <w:spacing w:line="240" w:lineRule="auto"/>
        <w:ind w:left="0" w:right="115" w:firstLine="0"/>
        <w:rPr>
          <w:lang w:val="en-US"/>
        </w:rPr>
      </w:pPr>
      <w:r w:rsidRPr="00C9465D">
        <w:rPr>
          <w:lang w:val="en-US"/>
        </w:rPr>
        <w:t>The State</w:t>
      </w:r>
      <w:r w:rsidR="00F42E0C" w:rsidRPr="00C9465D">
        <w:rPr>
          <w:lang w:val="en-US"/>
        </w:rPr>
        <w:t xml:space="preserve"> shall continue or conduct, within a reasonable time and with the greatest diligence, all necessary investigations to determine what happened to</w:t>
      </w:r>
      <w:r w:rsidR="0055286B" w:rsidRPr="00C9465D">
        <w:rPr>
          <w:lang w:val="en-US"/>
        </w:rPr>
        <w:t xml:space="preserve"> </w:t>
      </w:r>
      <w:r w:rsidR="00FF43F9" w:rsidRPr="00C9465D">
        <w:rPr>
          <w:lang w:val="en-US"/>
        </w:rPr>
        <w:t xml:space="preserve">Luis Eduardo Guachalá Chimbo </w:t>
      </w:r>
      <w:r w:rsidR="00F42E0C" w:rsidRPr="00C9465D">
        <w:rPr>
          <w:lang w:val="en-US"/>
        </w:rPr>
        <w:t xml:space="preserve">in order to identify, prosecute and punish, as appropriate, those responsible, </w:t>
      </w:r>
      <w:r w:rsidR="004E22C3" w:rsidRPr="00C9465D">
        <w:rPr>
          <w:lang w:val="en-US"/>
        </w:rPr>
        <w:t xml:space="preserve"> </w:t>
      </w:r>
      <w:r w:rsidR="008F17CD" w:rsidRPr="00C9465D">
        <w:rPr>
          <w:lang w:val="en-US"/>
        </w:rPr>
        <w:t>pursuant to</w:t>
      </w:r>
      <w:r w:rsidR="0055286B" w:rsidRPr="00C9465D">
        <w:rPr>
          <w:lang w:val="en-US"/>
        </w:rPr>
        <w:t xml:space="preserve"> </w:t>
      </w:r>
      <w:r w:rsidR="00F42E0C" w:rsidRPr="00C9465D">
        <w:rPr>
          <w:lang w:val="en-US"/>
        </w:rPr>
        <w:t>the provisions of</w:t>
      </w:r>
      <w:r w:rsidR="0055286B" w:rsidRPr="00C9465D">
        <w:rPr>
          <w:lang w:val="en-US"/>
        </w:rPr>
        <w:t xml:space="preserve"> </w:t>
      </w:r>
      <w:r w:rsidR="008F17CD" w:rsidRPr="00C9465D">
        <w:rPr>
          <w:lang w:val="en-US"/>
        </w:rPr>
        <w:t>paragraph</w:t>
      </w:r>
      <w:r w:rsidR="0055286B" w:rsidRPr="00C9465D">
        <w:rPr>
          <w:lang w:val="en-US"/>
        </w:rPr>
        <w:t xml:space="preserve"> </w:t>
      </w:r>
      <w:r w:rsidR="00C45015" w:rsidRPr="00C9465D">
        <w:rPr>
          <w:lang w:val="en-US"/>
        </w:rPr>
        <w:fldChar w:fldCharType="begin"/>
      </w:r>
      <w:r w:rsidR="00C45015" w:rsidRPr="00C9465D">
        <w:rPr>
          <w:lang w:val="en-US"/>
        </w:rPr>
        <w:instrText xml:space="preserve"> REF _Ref524880604 \r \h </w:instrText>
      </w:r>
      <w:r w:rsidR="00496133" w:rsidRPr="00C9465D">
        <w:rPr>
          <w:lang w:val="en-US"/>
        </w:rPr>
        <w:instrText xml:space="preserve"> \* MERGEFORMAT </w:instrText>
      </w:r>
      <w:r w:rsidR="00C45015" w:rsidRPr="00C9465D">
        <w:rPr>
          <w:lang w:val="en-US"/>
        </w:rPr>
      </w:r>
      <w:r w:rsidR="00C45015" w:rsidRPr="00C9465D">
        <w:rPr>
          <w:lang w:val="en-US"/>
        </w:rPr>
        <w:fldChar w:fldCharType="separate"/>
      </w:r>
      <w:r w:rsidR="00C45015" w:rsidRPr="00C9465D">
        <w:rPr>
          <w:lang w:val="en-US"/>
        </w:rPr>
        <w:t>226</w:t>
      </w:r>
      <w:r w:rsidR="00C45015" w:rsidRPr="00C9465D">
        <w:rPr>
          <w:lang w:val="en-US"/>
        </w:rPr>
        <w:fldChar w:fldCharType="end"/>
      </w:r>
      <w:r w:rsidR="00C45015" w:rsidRPr="00C9465D">
        <w:rPr>
          <w:lang w:val="en-US"/>
        </w:rPr>
        <w:t>.</w:t>
      </w:r>
    </w:p>
    <w:p w14:paraId="3BB844CA" w14:textId="77777777" w:rsidR="0055286B" w:rsidRPr="00C9465D" w:rsidRDefault="0055286B" w:rsidP="0055286B">
      <w:pPr>
        <w:pStyle w:val="ListParagraph"/>
        <w:rPr>
          <w:lang w:val="en-US"/>
        </w:rPr>
      </w:pPr>
    </w:p>
    <w:p w14:paraId="1CA27F4F" w14:textId="7249FC40" w:rsidR="0055286B" w:rsidRPr="00C9465D" w:rsidRDefault="00193CBB" w:rsidP="00D47F8D">
      <w:pPr>
        <w:pStyle w:val="ListParagraph"/>
        <w:widowControl w:val="0"/>
        <w:numPr>
          <w:ilvl w:val="0"/>
          <w:numId w:val="13"/>
        </w:numPr>
        <w:tabs>
          <w:tab w:val="left" w:pos="567"/>
        </w:tabs>
        <w:autoSpaceDE w:val="0"/>
        <w:autoSpaceDN w:val="0"/>
        <w:spacing w:line="240" w:lineRule="auto"/>
        <w:ind w:left="0" w:right="115" w:firstLine="0"/>
        <w:rPr>
          <w:lang w:val="en-US"/>
        </w:rPr>
      </w:pPr>
      <w:r w:rsidRPr="00C9465D">
        <w:rPr>
          <w:lang w:val="en-US"/>
        </w:rPr>
        <w:t>The State</w:t>
      </w:r>
      <w:r w:rsidR="0055286B" w:rsidRPr="00C9465D">
        <w:rPr>
          <w:lang w:val="en-US"/>
        </w:rPr>
        <w:t xml:space="preserve"> </w:t>
      </w:r>
      <w:r w:rsidR="00F42E0C" w:rsidRPr="00C9465D">
        <w:rPr>
          <w:lang w:val="en-US"/>
        </w:rPr>
        <w:t xml:space="preserve">shall conduct, as soon as possible, a rigorous and systematic search with adequate human, technical and financial resources, during which it makes every effort to determine the whereabouts of </w:t>
      </w:r>
      <w:r w:rsidR="0055286B" w:rsidRPr="00C9465D">
        <w:rPr>
          <w:lang w:val="en-US"/>
        </w:rPr>
        <w:t xml:space="preserve">Luis Eduardo Guachalá Chimbo, </w:t>
      </w:r>
      <w:r w:rsidR="00F42E0C" w:rsidRPr="00C9465D">
        <w:rPr>
          <w:lang w:val="en-US"/>
        </w:rPr>
        <w:t>all of this</w:t>
      </w:r>
      <w:r w:rsidR="0055286B" w:rsidRPr="00C9465D">
        <w:rPr>
          <w:lang w:val="en-US"/>
        </w:rPr>
        <w:t xml:space="preserve"> </w:t>
      </w:r>
      <w:r w:rsidR="008F17CD" w:rsidRPr="00C9465D">
        <w:rPr>
          <w:lang w:val="en-US"/>
        </w:rPr>
        <w:t>pursuant to</w:t>
      </w:r>
      <w:r w:rsidR="0055286B" w:rsidRPr="00C9465D">
        <w:rPr>
          <w:lang w:val="en-US"/>
        </w:rPr>
        <w:t xml:space="preserve"> </w:t>
      </w:r>
      <w:r w:rsidR="008F17CD" w:rsidRPr="00C9465D">
        <w:rPr>
          <w:lang w:val="en-US"/>
        </w:rPr>
        <w:t>paragraphs</w:t>
      </w:r>
      <w:r w:rsidR="0055286B" w:rsidRPr="00C9465D">
        <w:rPr>
          <w:lang w:val="en-US"/>
        </w:rPr>
        <w:t xml:space="preserve"> </w:t>
      </w:r>
      <w:r w:rsidR="00A70868" w:rsidRPr="00C9465D">
        <w:rPr>
          <w:lang w:val="en-US"/>
        </w:rPr>
        <w:fldChar w:fldCharType="begin"/>
      </w:r>
      <w:r w:rsidR="00A70868" w:rsidRPr="00C9465D">
        <w:rPr>
          <w:lang w:val="en-US"/>
        </w:rPr>
        <w:instrText xml:space="preserve"> REF _Ref72330231 \r \h </w:instrText>
      </w:r>
      <w:r w:rsidR="00496133" w:rsidRPr="00C9465D">
        <w:rPr>
          <w:lang w:val="en-US"/>
        </w:rPr>
        <w:instrText xml:space="preserve"> \* MERGEFORMAT </w:instrText>
      </w:r>
      <w:r w:rsidR="00A70868" w:rsidRPr="00C9465D">
        <w:rPr>
          <w:lang w:val="en-US"/>
        </w:rPr>
      </w:r>
      <w:r w:rsidR="00A70868" w:rsidRPr="00C9465D">
        <w:rPr>
          <w:lang w:val="en-US"/>
        </w:rPr>
        <w:fldChar w:fldCharType="separate"/>
      </w:r>
      <w:r w:rsidR="00A70868" w:rsidRPr="00C9465D">
        <w:rPr>
          <w:lang w:val="en-US"/>
        </w:rPr>
        <w:t>228</w:t>
      </w:r>
      <w:r w:rsidR="00A70868" w:rsidRPr="00C9465D">
        <w:rPr>
          <w:lang w:val="en-US"/>
        </w:rPr>
        <w:fldChar w:fldCharType="end"/>
      </w:r>
      <w:r w:rsidR="00A70868" w:rsidRPr="00C9465D">
        <w:rPr>
          <w:lang w:val="en-US"/>
        </w:rPr>
        <w:t xml:space="preserve"> </w:t>
      </w:r>
      <w:r w:rsidR="008F17CD" w:rsidRPr="00C9465D">
        <w:rPr>
          <w:lang w:val="en-US"/>
        </w:rPr>
        <w:t>to</w:t>
      </w:r>
      <w:r w:rsidR="00A70868" w:rsidRPr="00C9465D">
        <w:rPr>
          <w:lang w:val="en-US"/>
        </w:rPr>
        <w:t xml:space="preserve"> </w:t>
      </w:r>
      <w:r w:rsidR="00A70868" w:rsidRPr="00C9465D">
        <w:rPr>
          <w:lang w:val="en-US"/>
        </w:rPr>
        <w:fldChar w:fldCharType="begin"/>
      </w:r>
      <w:r w:rsidR="00A70868" w:rsidRPr="00C9465D">
        <w:rPr>
          <w:lang w:val="en-US"/>
        </w:rPr>
        <w:instrText xml:space="preserve"> REF _Ref72330232 \r \h </w:instrText>
      </w:r>
      <w:r w:rsidR="00496133" w:rsidRPr="00C9465D">
        <w:rPr>
          <w:lang w:val="en-US"/>
        </w:rPr>
        <w:instrText xml:space="preserve"> \* MERGEFORMAT </w:instrText>
      </w:r>
      <w:r w:rsidR="00A70868" w:rsidRPr="00C9465D">
        <w:rPr>
          <w:lang w:val="en-US"/>
        </w:rPr>
      </w:r>
      <w:r w:rsidR="00A70868" w:rsidRPr="00C9465D">
        <w:rPr>
          <w:lang w:val="en-US"/>
        </w:rPr>
        <w:fldChar w:fldCharType="separate"/>
      </w:r>
      <w:r w:rsidR="00A70868" w:rsidRPr="00C9465D">
        <w:rPr>
          <w:lang w:val="en-US"/>
        </w:rPr>
        <w:t>231</w:t>
      </w:r>
      <w:r w:rsidR="00A70868" w:rsidRPr="00C9465D">
        <w:rPr>
          <w:lang w:val="en-US"/>
        </w:rPr>
        <w:fldChar w:fldCharType="end"/>
      </w:r>
      <w:r w:rsidR="0055286B" w:rsidRPr="00C9465D">
        <w:rPr>
          <w:lang w:val="en-US"/>
        </w:rPr>
        <w:t>.</w:t>
      </w:r>
    </w:p>
    <w:p w14:paraId="20FAB7E4" w14:textId="77777777" w:rsidR="0055286B" w:rsidRPr="00C9465D" w:rsidRDefault="0055286B" w:rsidP="0055286B">
      <w:pPr>
        <w:pStyle w:val="ListParagraph"/>
        <w:rPr>
          <w:lang w:val="en-US"/>
        </w:rPr>
      </w:pPr>
    </w:p>
    <w:p w14:paraId="105A7C36" w14:textId="661C4F71" w:rsidR="0055286B" w:rsidRPr="00C9465D" w:rsidRDefault="00193CBB" w:rsidP="00D47F8D">
      <w:pPr>
        <w:pStyle w:val="ListParagraph"/>
        <w:widowControl w:val="0"/>
        <w:numPr>
          <w:ilvl w:val="0"/>
          <w:numId w:val="13"/>
        </w:numPr>
        <w:tabs>
          <w:tab w:val="left" w:pos="567"/>
        </w:tabs>
        <w:autoSpaceDE w:val="0"/>
        <w:autoSpaceDN w:val="0"/>
        <w:spacing w:line="240" w:lineRule="auto"/>
        <w:ind w:left="0" w:right="115" w:firstLine="0"/>
        <w:rPr>
          <w:lang w:val="en-US"/>
        </w:rPr>
      </w:pPr>
      <w:r w:rsidRPr="00C9465D">
        <w:rPr>
          <w:lang w:val="en-US"/>
        </w:rPr>
        <w:t>The State</w:t>
      </w:r>
      <w:r w:rsidR="0055286B" w:rsidRPr="00C9465D">
        <w:rPr>
          <w:lang w:val="en-US"/>
        </w:rPr>
        <w:t xml:space="preserve"> </w:t>
      </w:r>
      <w:r w:rsidR="00F42E0C" w:rsidRPr="00C9465D">
        <w:rPr>
          <w:lang w:val="en-US"/>
        </w:rPr>
        <w:t>shall grant</w:t>
      </w:r>
      <w:r w:rsidR="00AC5BB1" w:rsidRPr="00C9465D">
        <w:rPr>
          <w:lang w:val="en-US"/>
        </w:rPr>
        <w:t xml:space="preserve"> Zoila Chimbo Jarro</w:t>
      </w:r>
      <w:r w:rsidRPr="00C9465D">
        <w:rPr>
          <w:lang w:val="en-US"/>
        </w:rPr>
        <w:t xml:space="preserve"> and </w:t>
      </w:r>
      <w:r w:rsidR="0055286B" w:rsidRPr="00C9465D">
        <w:rPr>
          <w:lang w:val="en-US"/>
        </w:rPr>
        <w:t xml:space="preserve">Nancy Guachalá Chimbo, </w:t>
      </w:r>
      <w:r w:rsidR="00F42E0C" w:rsidRPr="00C9465D">
        <w:rPr>
          <w:lang w:val="en-US"/>
        </w:rPr>
        <w:t>once, the sum established in</w:t>
      </w:r>
      <w:r w:rsidR="0055286B" w:rsidRPr="00C9465D">
        <w:rPr>
          <w:lang w:val="en-US"/>
        </w:rPr>
        <w:t xml:space="preserve"> </w:t>
      </w:r>
      <w:r w:rsidR="008F17CD" w:rsidRPr="00C9465D">
        <w:rPr>
          <w:lang w:val="en-US"/>
        </w:rPr>
        <w:t>paragraph</w:t>
      </w:r>
      <w:r w:rsidR="0055286B" w:rsidRPr="00C9465D">
        <w:rPr>
          <w:lang w:val="en-US"/>
        </w:rPr>
        <w:t xml:space="preserve"> </w:t>
      </w:r>
      <w:r w:rsidR="00A70868" w:rsidRPr="00C9465D">
        <w:rPr>
          <w:lang w:val="en-US"/>
        </w:rPr>
        <w:fldChar w:fldCharType="begin"/>
      </w:r>
      <w:r w:rsidR="00A70868" w:rsidRPr="00C9465D">
        <w:rPr>
          <w:lang w:val="en-US"/>
        </w:rPr>
        <w:instrText xml:space="preserve"> REF _Ref72326305 \r \h </w:instrText>
      </w:r>
      <w:r w:rsidR="00496133" w:rsidRPr="00C9465D">
        <w:rPr>
          <w:lang w:val="en-US"/>
        </w:rPr>
        <w:instrText xml:space="preserve"> \* MERGEFORMAT </w:instrText>
      </w:r>
      <w:r w:rsidR="00A70868" w:rsidRPr="00C9465D">
        <w:rPr>
          <w:lang w:val="en-US"/>
        </w:rPr>
      </w:r>
      <w:r w:rsidR="00A70868" w:rsidRPr="00C9465D">
        <w:rPr>
          <w:lang w:val="en-US"/>
        </w:rPr>
        <w:fldChar w:fldCharType="separate"/>
      </w:r>
      <w:r w:rsidR="00A70868" w:rsidRPr="00C9465D">
        <w:rPr>
          <w:lang w:val="en-US"/>
        </w:rPr>
        <w:t>233</w:t>
      </w:r>
      <w:r w:rsidR="00A70868" w:rsidRPr="00C9465D">
        <w:rPr>
          <w:lang w:val="en-US"/>
        </w:rPr>
        <w:fldChar w:fldCharType="end"/>
      </w:r>
      <w:r w:rsidR="0055286B" w:rsidRPr="00C9465D">
        <w:rPr>
          <w:lang w:val="en-US"/>
        </w:rPr>
        <w:t xml:space="preserve"> </w:t>
      </w:r>
      <w:r w:rsidR="008F17CD" w:rsidRPr="00C9465D">
        <w:rPr>
          <w:lang w:val="en-US"/>
        </w:rPr>
        <w:t>of the judgment</w:t>
      </w:r>
      <w:r w:rsidR="0055286B" w:rsidRPr="00C9465D">
        <w:rPr>
          <w:lang w:val="en-US"/>
        </w:rPr>
        <w:t xml:space="preserve">, </w:t>
      </w:r>
      <w:r w:rsidR="00F42E0C" w:rsidRPr="00C9465D">
        <w:rPr>
          <w:lang w:val="en-US"/>
        </w:rPr>
        <w:t>for the expenses of psychological and/or psychiatric treatment.</w:t>
      </w:r>
    </w:p>
    <w:p w14:paraId="5CE91EE0" w14:textId="1811B51A" w:rsidR="00CC734E" w:rsidRPr="00C9465D" w:rsidRDefault="00CC734E" w:rsidP="00CC734E">
      <w:pPr>
        <w:pStyle w:val="ListParagraph"/>
        <w:widowControl w:val="0"/>
        <w:tabs>
          <w:tab w:val="left" w:pos="567"/>
        </w:tabs>
        <w:autoSpaceDE w:val="0"/>
        <w:autoSpaceDN w:val="0"/>
        <w:spacing w:line="240" w:lineRule="auto"/>
        <w:ind w:left="0" w:right="115"/>
        <w:rPr>
          <w:lang w:val="en-US"/>
        </w:rPr>
      </w:pPr>
    </w:p>
    <w:p w14:paraId="76655FBE" w14:textId="7AAC6587" w:rsidR="00CC3E64" w:rsidRPr="00C9465D" w:rsidRDefault="00193CBB" w:rsidP="00D47F8D">
      <w:pPr>
        <w:pStyle w:val="ListParagraph"/>
        <w:widowControl w:val="0"/>
        <w:numPr>
          <w:ilvl w:val="0"/>
          <w:numId w:val="13"/>
        </w:numPr>
        <w:tabs>
          <w:tab w:val="left" w:pos="567"/>
        </w:tabs>
        <w:autoSpaceDE w:val="0"/>
        <w:autoSpaceDN w:val="0"/>
        <w:spacing w:line="240" w:lineRule="auto"/>
        <w:ind w:left="0" w:right="115" w:firstLine="0"/>
        <w:rPr>
          <w:lang w:val="en-US"/>
        </w:rPr>
      </w:pPr>
      <w:r w:rsidRPr="00C9465D">
        <w:rPr>
          <w:lang w:val="en-US"/>
        </w:rPr>
        <w:t>The State</w:t>
      </w:r>
      <w:r w:rsidR="00CC3E64" w:rsidRPr="00C9465D">
        <w:rPr>
          <w:lang w:val="en-US"/>
        </w:rPr>
        <w:t xml:space="preserve">, </w:t>
      </w:r>
      <w:r w:rsidR="008F17CD" w:rsidRPr="00C9465D">
        <w:rPr>
          <w:lang w:val="en-US"/>
        </w:rPr>
        <w:t>if</w:t>
      </w:r>
      <w:r w:rsidR="00CC3E64" w:rsidRPr="00C9465D">
        <w:rPr>
          <w:lang w:val="en-US"/>
        </w:rPr>
        <w:t xml:space="preserve"> </w:t>
      </w:r>
      <w:r w:rsidR="002F3237" w:rsidRPr="00C9465D">
        <w:rPr>
          <w:lang w:val="en-US"/>
        </w:rPr>
        <w:t>Mr. Guachalá</w:t>
      </w:r>
      <w:r w:rsidR="00CC3E64" w:rsidRPr="00C9465D">
        <w:rPr>
          <w:lang w:val="en-US"/>
        </w:rPr>
        <w:t xml:space="preserve"> Chimbo </w:t>
      </w:r>
      <w:r w:rsidR="008F17CD" w:rsidRPr="00C9465D">
        <w:rPr>
          <w:lang w:val="en-US"/>
        </w:rPr>
        <w:t>is found alive, shall provide Luis Eduardo Guachalá Chimbo with medical and psychological and/or psychiatric treatment, free of charge and immediately, opportunely, adequately and effectively</w:t>
      </w:r>
      <w:r w:rsidR="00CC3E64" w:rsidRPr="00C9465D">
        <w:rPr>
          <w:lang w:val="en-US"/>
        </w:rPr>
        <w:t xml:space="preserve">, </w:t>
      </w:r>
      <w:r w:rsidR="008F17CD" w:rsidRPr="00C9465D">
        <w:rPr>
          <w:lang w:val="en-US"/>
        </w:rPr>
        <w:t>pursuant to</w:t>
      </w:r>
      <w:r w:rsidR="00CC3E64" w:rsidRPr="00C9465D">
        <w:rPr>
          <w:lang w:val="en-US"/>
        </w:rPr>
        <w:t xml:space="preserve"> </w:t>
      </w:r>
      <w:r w:rsidR="008F17CD" w:rsidRPr="00C9465D">
        <w:rPr>
          <w:lang w:val="en-US"/>
        </w:rPr>
        <w:t>paragraph</w:t>
      </w:r>
      <w:r w:rsidR="00CC3E64" w:rsidRPr="00C9465D">
        <w:rPr>
          <w:lang w:val="en-US"/>
        </w:rPr>
        <w:t xml:space="preserve"> </w:t>
      </w:r>
      <w:r w:rsidR="00A70868" w:rsidRPr="00C9465D">
        <w:rPr>
          <w:lang w:val="en-US"/>
        </w:rPr>
        <w:fldChar w:fldCharType="begin"/>
      </w:r>
      <w:r w:rsidR="00A70868" w:rsidRPr="00C9465D">
        <w:rPr>
          <w:lang w:val="en-US"/>
        </w:rPr>
        <w:instrText xml:space="preserve"> REF _Ref72330276 \r \h </w:instrText>
      </w:r>
      <w:r w:rsidR="00496133" w:rsidRPr="00C9465D">
        <w:rPr>
          <w:lang w:val="en-US"/>
        </w:rPr>
        <w:instrText xml:space="preserve"> \* MERGEFORMAT </w:instrText>
      </w:r>
      <w:r w:rsidR="00A70868" w:rsidRPr="00C9465D">
        <w:rPr>
          <w:lang w:val="en-US"/>
        </w:rPr>
      </w:r>
      <w:r w:rsidR="00A70868" w:rsidRPr="00C9465D">
        <w:rPr>
          <w:lang w:val="en-US"/>
        </w:rPr>
        <w:fldChar w:fldCharType="separate"/>
      </w:r>
      <w:r w:rsidR="00A70868" w:rsidRPr="00C9465D">
        <w:rPr>
          <w:lang w:val="en-US"/>
        </w:rPr>
        <w:t>234</w:t>
      </w:r>
      <w:r w:rsidR="00A70868" w:rsidRPr="00C9465D">
        <w:rPr>
          <w:lang w:val="en-US"/>
        </w:rPr>
        <w:fldChar w:fldCharType="end"/>
      </w:r>
      <w:r w:rsidR="00CC3E64" w:rsidRPr="00C9465D">
        <w:rPr>
          <w:lang w:val="en-US"/>
        </w:rPr>
        <w:t xml:space="preserve"> </w:t>
      </w:r>
      <w:r w:rsidR="008F17CD" w:rsidRPr="00C9465D">
        <w:rPr>
          <w:lang w:val="en-US"/>
        </w:rPr>
        <w:t>of this judgment</w:t>
      </w:r>
      <w:r w:rsidR="00CC3E64" w:rsidRPr="00C9465D">
        <w:rPr>
          <w:lang w:val="en-US"/>
        </w:rPr>
        <w:t xml:space="preserve"> </w:t>
      </w:r>
    </w:p>
    <w:p w14:paraId="2A1700F3" w14:textId="77777777" w:rsidR="00CC3E64" w:rsidRPr="00C9465D" w:rsidRDefault="00CC3E64" w:rsidP="00CC3E64">
      <w:pPr>
        <w:pStyle w:val="ListParagraph"/>
        <w:rPr>
          <w:lang w:val="en-US"/>
        </w:rPr>
      </w:pPr>
    </w:p>
    <w:p w14:paraId="5E274850" w14:textId="2B48960C" w:rsidR="00AC0EB3" w:rsidRPr="00C9465D" w:rsidRDefault="00193CBB" w:rsidP="00D47F8D">
      <w:pPr>
        <w:pStyle w:val="ListParagraph"/>
        <w:widowControl w:val="0"/>
        <w:numPr>
          <w:ilvl w:val="0"/>
          <w:numId w:val="13"/>
        </w:numPr>
        <w:tabs>
          <w:tab w:val="left" w:pos="567"/>
        </w:tabs>
        <w:autoSpaceDE w:val="0"/>
        <w:autoSpaceDN w:val="0"/>
        <w:spacing w:line="240" w:lineRule="auto"/>
        <w:ind w:left="0" w:right="115" w:firstLine="0"/>
        <w:rPr>
          <w:lang w:val="en-US"/>
        </w:rPr>
      </w:pPr>
      <w:r w:rsidRPr="00C9465D">
        <w:rPr>
          <w:lang w:val="en-US"/>
        </w:rPr>
        <w:t>The State</w:t>
      </w:r>
      <w:r w:rsidR="00AC0EB3" w:rsidRPr="00C9465D">
        <w:rPr>
          <w:lang w:val="en-US"/>
        </w:rPr>
        <w:t xml:space="preserve"> </w:t>
      </w:r>
      <w:r w:rsidR="00F42E0C" w:rsidRPr="00C9465D">
        <w:rPr>
          <w:lang w:val="en-US"/>
        </w:rPr>
        <w:t>shall make the publications indicated in</w:t>
      </w:r>
      <w:r w:rsidR="00AC0EB3" w:rsidRPr="00C9465D">
        <w:rPr>
          <w:lang w:val="en-US"/>
        </w:rPr>
        <w:t xml:space="preserve"> </w:t>
      </w:r>
      <w:r w:rsidR="008F17CD" w:rsidRPr="00C9465D">
        <w:rPr>
          <w:lang w:val="en-US"/>
        </w:rPr>
        <w:t>paragraph</w:t>
      </w:r>
      <w:r w:rsidR="00AC0EB3" w:rsidRPr="00C9465D">
        <w:rPr>
          <w:lang w:val="en-US"/>
        </w:rPr>
        <w:t xml:space="preserve"> </w:t>
      </w:r>
      <w:r w:rsidR="00A70868" w:rsidRPr="00C9465D">
        <w:rPr>
          <w:lang w:val="en-US"/>
        </w:rPr>
        <w:fldChar w:fldCharType="begin"/>
      </w:r>
      <w:r w:rsidR="00A70868" w:rsidRPr="00C9465D">
        <w:rPr>
          <w:lang w:val="en-US"/>
        </w:rPr>
        <w:instrText xml:space="preserve"> REF _Ref521518604 \r \h </w:instrText>
      </w:r>
      <w:r w:rsidR="00496133" w:rsidRPr="00C9465D">
        <w:rPr>
          <w:lang w:val="en-US"/>
        </w:rPr>
        <w:instrText xml:space="preserve"> \* MERGEFORMAT </w:instrText>
      </w:r>
      <w:r w:rsidR="00A70868" w:rsidRPr="00C9465D">
        <w:rPr>
          <w:lang w:val="en-US"/>
        </w:rPr>
      </w:r>
      <w:r w:rsidR="00A70868" w:rsidRPr="00C9465D">
        <w:rPr>
          <w:lang w:val="en-US"/>
        </w:rPr>
        <w:fldChar w:fldCharType="separate"/>
      </w:r>
      <w:r w:rsidR="00A70868" w:rsidRPr="00C9465D">
        <w:rPr>
          <w:lang w:val="en-US"/>
        </w:rPr>
        <w:t>236</w:t>
      </w:r>
      <w:r w:rsidR="00A70868" w:rsidRPr="00C9465D">
        <w:rPr>
          <w:lang w:val="en-US"/>
        </w:rPr>
        <w:fldChar w:fldCharType="end"/>
      </w:r>
      <w:r w:rsidR="00AC0EB3" w:rsidRPr="00C9465D">
        <w:rPr>
          <w:lang w:val="en-US"/>
        </w:rPr>
        <w:t xml:space="preserve"> </w:t>
      </w:r>
      <w:r w:rsidR="00CF3A9D" w:rsidRPr="00C9465D">
        <w:rPr>
          <w:lang w:val="en-US"/>
        </w:rPr>
        <w:t>of this judgment</w:t>
      </w:r>
      <w:r w:rsidR="00AC0EB3" w:rsidRPr="00C9465D">
        <w:rPr>
          <w:lang w:val="en-US"/>
        </w:rPr>
        <w:t>.</w:t>
      </w:r>
    </w:p>
    <w:p w14:paraId="06A6F8C4" w14:textId="75A7D315" w:rsidR="00AC0EB3" w:rsidRPr="00C9465D" w:rsidRDefault="00AC0EB3" w:rsidP="00AC0EB3">
      <w:pPr>
        <w:pStyle w:val="ListParagraph"/>
        <w:widowControl w:val="0"/>
        <w:tabs>
          <w:tab w:val="left" w:pos="567"/>
        </w:tabs>
        <w:autoSpaceDE w:val="0"/>
        <w:autoSpaceDN w:val="0"/>
        <w:spacing w:line="240" w:lineRule="auto"/>
        <w:ind w:left="0" w:right="115"/>
        <w:rPr>
          <w:lang w:val="en-US"/>
        </w:rPr>
      </w:pPr>
    </w:p>
    <w:p w14:paraId="26EC954C" w14:textId="3BC9D953" w:rsidR="00CC734E" w:rsidRPr="00C9465D" w:rsidRDefault="00193CBB" w:rsidP="00D47F8D">
      <w:pPr>
        <w:pStyle w:val="ListParagraph"/>
        <w:widowControl w:val="0"/>
        <w:numPr>
          <w:ilvl w:val="0"/>
          <w:numId w:val="13"/>
        </w:numPr>
        <w:tabs>
          <w:tab w:val="left" w:pos="567"/>
        </w:tabs>
        <w:autoSpaceDE w:val="0"/>
        <w:autoSpaceDN w:val="0"/>
        <w:spacing w:line="240" w:lineRule="auto"/>
        <w:ind w:left="0" w:right="115" w:firstLine="0"/>
        <w:rPr>
          <w:lang w:val="en-US"/>
        </w:rPr>
      </w:pPr>
      <w:r w:rsidRPr="00C9465D">
        <w:rPr>
          <w:lang w:val="en-US"/>
        </w:rPr>
        <w:t>The State</w:t>
      </w:r>
      <w:r w:rsidR="00CC734E" w:rsidRPr="00C9465D">
        <w:rPr>
          <w:lang w:val="en-US"/>
        </w:rPr>
        <w:t xml:space="preserve"> </w:t>
      </w:r>
      <w:r w:rsidR="00F42E0C" w:rsidRPr="00C9465D">
        <w:rPr>
          <w:lang w:val="en-US"/>
        </w:rPr>
        <w:t xml:space="preserve">shall hold a public act to acknowledge its international responsibility, as indicated in </w:t>
      </w:r>
      <w:r w:rsidR="008F17CD" w:rsidRPr="00C9465D">
        <w:rPr>
          <w:lang w:val="en-US"/>
        </w:rPr>
        <w:t>paragraphs</w:t>
      </w:r>
      <w:r w:rsidR="00CC734E" w:rsidRPr="00C9465D">
        <w:rPr>
          <w:lang w:val="en-US"/>
        </w:rPr>
        <w:t xml:space="preserve"> </w:t>
      </w:r>
      <w:r w:rsidR="00A70868" w:rsidRPr="00C9465D">
        <w:rPr>
          <w:lang w:val="en-US"/>
        </w:rPr>
        <w:fldChar w:fldCharType="begin"/>
      </w:r>
      <w:r w:rsidR="00A70868" w:rsidRPr="00C9465D">
        <w:rPr>
          <w:lang w:val="en-US"/>
        </w:rPr>
        <w:instrText xml:space="preserve"> REF _Ref446682213 \r \h </w:instrText>
      </w:r>
      <w:r w:rsidR="00496133" w:rsidRPr="00C9465D">
        <w:rPr>
          <w:lang w:val="en-US"/>
        </w:rPr>
        <w:instrText xml:space="preserve"> \* MERGEFORMAT </w:instrText>
      </w:r>
      <w:r w:rsidR="00A70868" w:rsidRPr="00C9465D">
        <w:rPr>
          <w:lang w:val="en-US"/>
        </w:rPr>
      </w:r>
      <w:r w:rsidR="00A70868" w:rsidRPr="00C9465D">
        <w:rPr>
          <w:lang w:val="en-US"/>
        </w:rPr>
        <w:fldChar w:fldCharType="separate"/>
      </w:r>
      <w:r w:rsidR="00A70868" w:rsidRPr="00C9465D">
        <w:rPr>
          <w:lang w:val="en-US"/>
        </w:rPr>
        <w:t>239</w:t>
      </w:r>
      <w:r w:rsidR="00A70868" w:rsidRPr="00C9465D">
        <w:rPr>
          <w:lang w:val="en-US"/>
        </w:rPr>
        <w:fldChar w:fldCharType="end"/>
      </w:r>
      <w:r w:rsidR="00A70868" w:rsidRPr="00C9465D">
        <w:rPr>
          <w:lang w:val="en-US"/>
        </w:rPr>
        <w:t xml:space="preserve"> a</w:t>
      </w:r>
      <w:r w:rsidR="008F17CD" w:rsidRPr="00C9465D">
        <w:rPr>
          <w:lang w:val="en-US"/>
        </w:rPr>
        <w:t>nd</w:t>
      </w:r>
      <w:r w:rsidR="00A70868" w:rsidRPr="00C9465D">
        <w:rPr>
          <w:lang w:val="en-US"/>
        </w:rPr>
        <w:t xml:space="preserve"> </w:t>
      </w:r>
      <w:r w:rsidR="00A70868" w:rsidRPr="00C9465D">
        <w:rPr>
          <w:lang w:val="en-US"/>
        </w:rPr>
        <w:fldChar w:fldCharType="begin"/>
      </w:r>
      <w:r w:rsidR="00A70868" w:rsidRPr="00C9465D">
        <w:rPr>
          <w:lang w:val="en-US"/>
        </w:rPr>
        <w:instrText xml:space="preserve"> REF _Ref72330304 \r \h </w:instrText>
      </w:r>
      <w:r w:rsidR="00496133" w:rsidRPr="00C9465D">
        <w:rPr>
          <w:lang w:val="en-US"/>
        </w:rPr>
        <w:instrText xml:space="preserve"> \* MERGEFORMAT </w:instrText>
      </w:r>
      <w:r w:rsidR="00A70868" w:rsidRPr="00C9465D">
        <w:rPr>
          <w:lang w:val="en-US"/>
        </w:rPr>
      </w:r>
      <w:r w:rsidR="00A70868" w:rsidRPr="00C9465D">
        <w:rPr>
          <w:lang w:val="en-US"/>
        </w:rPr>
        <w:fldChar w:fldCharType="separate"/>
      </w:r>
      <w:r w:rsidR="00A70868" w:rsidRPr="00C9465D">
        <w:rPr>
          <w:lang w:val="en-US"/>
        </w:rPr>
        <w:t>240</w:t>
      </w:r>
      <w:r w:rsidR="00A70868" w:rsidRPr="00C9465D">
        <w:rPr>
          <w:lang w:val="en-US"/>
        </w:rPr>
        <w:fldChar w:fldCharType="end"/>
      </w:r>
      <w:r w:rsidR="00CC734E" w:rsidRPr="00C9465D">
        <w:rPr>
          <w:lang w:val="en-US"/>
        </w:rPr>
        <w:t xml:space="preserve"> </w:t>
      </w:r>
      <w:r w:rsidR="008F17CD" w:rsidRPr="00C9465D">
        <w:rPr>
          <w:lang w:val="en-US"/>
        </w:rPr>
        <w:t>of this judgment</w:t>
      </w:r>
      <w:r w:rsidR="00CC734E" w:rsidRPr="00C9465D">
        <w:rPr>
          <w:lang w:val="en-US"/>
        </w:rPr>
        <w:t xml:space="preserve">. </w:t>
      </w:r>
    </w:p>
    <w:p w14:paraId="5CDF5782" w14:textId="3F491F05" w:rsidR="00983417" w:rsidRPr="00C9465D" w:rsidRDefault="00983417" w:rsidP="00983417">
      <w:pPr>
        <w:pStyle w:val="ListParagraph"/>
        <w:widowControl w:val="0"/>
        <w:tabs>
          <w:tab w:val="left" w:pos="567"/>
        </w:tabs>
        <w:autoSpaceDE w:val="0"/>
        <w:autoSpaceDN w:val="0"/>
        <w:spacing w:line="240" w:lineRule="auto"/>
        <w:ind w:left="0" w:right="115"/>
        <w:rPr>
          <w:lang w:val="en-US"/>
        </w:rPr>
      </w:pPr>
    </w:p>
    <w:p w14:paraId="447842BB" w14:textId="648B7C88" w:rsidR="00AC0EB3" w:rsidRPr="00C9465D" w:rsidRDefault="00193CBB" w:rsidP="00D47F8D">
      <w:pPr>
        <w:pStyle w:val="ListParagraph"/>
        <w:widowControl w:val="0"/>
        <w:numPr>
          <w:ilvl w:val="0"/>
          <w:numId w:val="13"/>
        </w:numPr>
        <w:tabs>
          <w:tab w:val="left" w:pos="567"/>
        </w:tabs>
        <w:autoSpaceDE w:val="0"/>
        <w:autoSpaceDN w:val="0"/>
        <w:spacing w:line="240" w:lineRule="auto"/>
        <w:ind w:left="0" w:right="115" w:firstLine="0"/>
        <w:rPr>
          <w:lang w:val="en-US"/>
        </w:rPr>
      </w:pPr>
      <w:r w:rsidRPr="00C9465D">
        <w:rPr>
          <w:lang w:val="en-US"/>
        </w:rPr>
        <w:t>The State</w:t>
      </w:r>
      <w:r w:rsidR="00CC734E" w:rsidRPr="00C9465D">
        <w:rPr>
          <w:lang w:val="en-US"/>
        </w:rPr>
        <w:t xml:space="preserve"> </w:t>
      </w:r>
      <w:r w:rsidR="00F42E0C" w:rsidRPr="00C9465D">
        <w:rPr>
          <w:lang w:val="en-US"/>
        </w:rPr>
        <w:t>shall regulate the international obligation to provide support to</w:t>
      </w:r>
      <w:r w:rsidR="00616EB3" w:rsidRPr="00C9465D">
        <w:rPr>
          <w:lang w:val="en-US"/>
        </w:rPr>
        <w:t xml:space="preserve"> </w:t>
      </w:r>
      <w:r w:rsidR="00D85850" w:rsidRPr="00C9465D">
        <w:rPr>
          <w:lang w:val="en-US"/>
        </w:rPr>
        <w:t>persons with disabilities</w:t>
      </w:r>
      <w:r w:rsidR="00616EB3" w:rsidRPr="00C9465D">
        <w:rPr>
          <w:lang w:val="en-US"/>
        </w:rPr>
        <w:t xml:space="preserve"> </w:t>
      </w:r>
      <w:r w:rsidR="00F42E0C" w:rsidRPr="00C9465D">
        <w:rPr>
          <w:lang w:val="en-US"/>
        </w:rPr>
        <w:t xml:space="preserve">so that they are able to give their </w:t>
      </w:r>
      <w:r w:rsidR="005B7EE9" w:rsidRPr="00C9465D">
        <w:rPr>
          <w:lang w:val="en-US"/>
        </w:rPr>
        <w:t>informed consent</w:t>
      </w:r>
      <w:r w:rsidR="00CC734E" w:rsidRPr="00C9465D">
        <w:rPr>
          <w:lang w:val="en-US"/>
        </w:rPr>
        <w:t xml:space="preserve"> </w:t>
      </w:r>
      <w:r w:rsidR="00F42E0C" w:rsidRPr="00C9465D">
        <w:rPr>
          <w:lang w:val="en-US"/>
        </w:rPr>
        <w:t xml:space="preserve">to medical treatments, </w:t>
      </w:r>
      <w:r w:rsidR="00D8209E" w:rsidRPr="00C9465D">
        <w:rPr>
          <w:lang w:val="en-US"/>
        </w:rPr>
        <w:t>pursuant</w:t>
      </w:r>
      <w:r w:rsidR="00F42E0C" w:rsidRPr="00C9465D">
        <w:rPr>
          <w:lang w:val="en-US"/>
        </w:rPr>
        <w:t xml:space="preserve"> to </w:t>
      </w:r>
      <w:r w:rsidR="008F17CD" w:rsidRPr="00C9465D">
        <w:rPr>
          <w:lang w:val="en-US"/>
        </w:rPr>
        <w:t>paragraph</w:t>
      </w:r>
      <w:r w:rsidR="00AC0EB3" w:rsidRPr="00C9465D">
        <w:rPr>
          <w:lang w:val="en-US"/>
        </w:rPr>
        <w:t xml:space="preserve"> </w:t>
      </w:r>
      <w:r w:rsidR="00A70868" w:rsidRPr="00C9465D">
        <w:rPr>
          <w:lang w:val="en-US"/>
        </w:rPr>
        <w:fldChar w:fldCharType="begin"/>
      </w:r>
      <w:r w:rsidR="00A70868" w:rsidRPr="00C9465D">
        <w:rPr>
          <w:lang w:val="en-US"/>
        </w:rPr>
        <w:instrText xml:space="preserve"> REF _Ref72330380 \r \h </w:instrText>
      </w:r>
      <w:r w:rsidR="00496133" w:rsidRPr="00C9465D">
        <w:rPr>
          <w:lang w:val="en-US"/>
        </w:rPr>
        <w:instrText xml:space="preserve"> \* MERGEFORMAT </w:instrText>
      </w:r>
      <w:r w:rsidR="00A70868" w:rsidRPr="00C9465D">
        <w:rPr>
          <w:lang w:val="en-US"/>
        </w:rPr>
      </w:r>
      <w:r w:rsidR="00A70868" w:rsidRPr="00C9465D">
        <w:rPr>
          <w:lang w:val="en-US"/>
        </w:rPr>
        <w:fldChar w:fldCharType="separate"/>
      </w:r>
      <w:r w:rsidR="00A70868" w:rsidRPr="00C9465D">
        <w:rPr>
          <w:lang w:val="en-US"/>
        </w:rPr>
        <w:t>245</w:t>
      </w:r>
      <w:r w:rsidR="00A70868" w:rsidRPr="00C9465D">
        <w:rPr>
          <w:lang w:val="en-US"/>
        </w:rPr>
        <w:fldChar w:fldCharType="end"/>
      </w:r>
      <w:r w:rsidR="00CC734E" w:rsidRPr="00C9465D">
        <w:rPr>
          <w:lang w:val="en-US"/>
        </w:rPr>
        <w:t xml:space="preserve"> </w:t>
      </w:r>
      <w:r w:rsidR="008F17CD" w:rsidRPr="00C9465D">
        <w:rPr>
          <w:lang w:val="en-US"/>
        </w:rPr>
        <w:t>of this judgment</w:t>
      </w:r>
      <w:r w:rsidR="00CC734E" w:rsidRPr="00C9465D">
        <w:rPr>
          <w:lang w:val="en-US"/>
        </w:rPr>
        <w:t>.</w:t>
      </w:r>
    </w:p>
    <w:p w14:paraId="062B8623" w14:textId="0973038E" w:rsidR="00AC0EB3" w:rsidRPr="00C9465D" w:rsidRDefault="00AC0EB3" w:rsidP="00AC0EB3">
      <w:pPr>
        <w:pStyle w:val="ListParagraph"/>
        <w:widowControl w:val="0"/>
        <w:tabs>
          <w:tab w:val="left" w:pos="567"/>
        </w:tabs>
        <w:autoSpaceDE w:val="0"/>
        <w:autoSpaceDN w:val="0"/>
        <w:spacing w:line="240" w:lineRule="auto"/>
        <w:ind w:left="0" w:right="115"/>
        <w:rPr>
          <w:lang w:val="en-US"/>
        </w:rPr>
      </w:pPr>
    </w:p>
    <w:p w14:paraId="686049B4" w14:textId="2803D188" w:rsidR="00811460" w:rsidRPr="00C9465D" w:rsidRDefault="00193CBB" w:rsidP="00D47F8D">
      <w:pPr>
        <w:pStyle w:val="ListParagraph"/>
        <w:widowControl w:val="0"/>
        <w:numPr>
          <w:ilvl w:val="0"/>
          <w:numId w:val="13"/>
        </w:numPr>
        <w:tabs>
          <w:tab w:val="left" w:pos="567"/>
        </w:tabs>
        <w:autoSpaceDE w:val="0"/>
        <w:autoSpaceDN w:val="0"/>
        <w:spacing w:line="240" w:lineRule="auto"/>
        <w:ind w:left="0" w:right="115" w:firstLine="0"/>
        <w:rPr>
          <w:lang w:val="en-US"/>
        </w:rPr>
      </w:pPr>
      <w:r w:rsidRPr="00C9465D">
        <w:rPr>
          <w:lang w:val="en-US"/>
        </w:rPr>
        <w:t>The State</w:t>
      </w:r>
      <w:r w:rsidR="00F42E0C" w:rsidRPr="00C9465D">
        <w:rPr>
          <w:lang w:val="en-US"/>
        </w:rPr>
        <w:t xml:space="preserve"> shall design and implement a training course on</w:t>
      </w:r>
      <w:r w:rsidR="00811460" w:rsidRPr="00C9465D">
        <w:rPr>
          <w:lang w:val="en-US"/>
        </w:rPr>
        <w:t xml:space="preserve"> </w:t>
      </w:r>
      <w:r w:rsidR="00183C22" w:rsidRPr="00C9465D">
        <w:rPr>
          <w:lang w:val="en-US"/>
        </w:rPr>
        <w:t>informed consent</w:t>
      </w:r>
      <w:r w:rsidRPr="00C9465D">
        <w:rPr>
          <w:lang w:val="en-US"/>
        </w:rPr>
        <w:t xml:space="preserve"> and</w:t>
      </w:r>
      <w:r w:rsidR="00F42E0C" w:rsidRPr="00C9465D">
        <w:rPr>
          <w:lang w:val="en-US"/>
        </w:rPr>
        <w:t xml:space="preserve"> the obligation to provide support to </w:t>
      </w:r>
      <w:r w:rsidR="00D85850" w:rsidRPr="00C9465D">
        <w:rPr>
          <w:lang w:val="en-US"/>
        </w:rPr>
        <w:t>persons with disabilities</w:t>
      </w:r>
      <w:r w:rsidR="00F42E0C" w:rsidRPr="00C9465D">
        <w:rPr>
          <w:lang w:val="en-US"/>
        </w:rPr>
        <w:t xml:space="preserve"> for the medical and nursing staff of the</w:t>
      </w:r>
      <w:r w:rsidR="00811460" w:rsidRPr="00C9465D">
        <w:rPr>
          <w:lang w:val="en-US"/>
        </w:rPr>
        <w:t xml:space="preserve"> </w:t>
      </w:r>
      <w:r w:rsidR="001F65A3" w:rsidRPr="00C9465D">
        <w:rPr>
          <w:lang w:val="en-US"/>
        </w:rPr>
        <w:t>Julio Endara Hospital</w:t>
      </w:r>
      <w:r w:rsidR="00811460" w:rsidRPr="00C9465D">
        <w:rPr>
          <w:lang w:val="en-US"/>
        </w:rPr>
        <w:t xml:space="preserve">, </w:t>
      </w:r>
      <w:r w:rsidR="008F17CD" w:rsidRPr="00C9465D">
        <w:rPr>
          <w:lang w:val="en-US"/>
        </w:rPr>
        <w:t>pursuant to</w:t>
      </w:r>
      <w:r w:rsidR="00811460" w:rsidRPr="00C9465D">
        <w:rPr>
          <w:lang w:val="en-US"/>
        </w:rPr>
        <w:t xml:space="preserve"> </w:t>
      </w:r>
      <w:r w:rsidR="008F17CD" w:rsidRPr="00C9465D">
        <w:rPr>
          <w:lang w:val="en-US"/>
        </w:rPr>
        <w:t>paragraph</w:t>
      </w:r>
      <w:r w:rsidR="00811460" w:rsidRPr="00C9465D">
        <w:rPr>
          <w:lang w:val="en-US"/>
        </w:rPr>
        <w:t xml:space="preserve"> </w:t>
      </w:r>
      <w:r w:rsidR="00A70868" w:rsidRPr="00C9465D">
        <w:rPr>
          <w:lang w:val="en-US"/>
        </w:rPr>
        <w:fldChar w:fldCharType="begin"/>
      </w:r>
      <w:r w:rsidR="00A70868" w:rsidRPr="00C9465D">
        <w:rPr>
          <w:lang w:val="en-US"/>
        </w:rPr>
        <w:instrText xml:space="preserve"> REF _Ref72330407 \r \h </w:instrText>
      </w:r>
      <w:r w:rsidR="00496133" w:rsidRPr="00C9465D">
        <w:rPr>
          <w:lang w:val="en-US"/>
        </w:rPr>
        <w:instrText xml:space="preserve"> \* MERGEFORMAT </w:instrText>
      </w:r>
      <w:r w:rsidR="00A70868" w:rsidRPr="00C9465D">
        <w:rPr>
          <w:lang w:val="en-US"/>
        </w:rPr>
      </w:r>
      <w:r w:rsidR="00A70868" w:rsidRPr="00C9465D">
        <w:rPr>
          <w:lang w:val="en-US"/>
        </w:rPr>
        <w:fldChar w:fldCharType="separate"/>
      </w:r>
      <w:r w:rsidR="00A70868" w:rsidRPr="00C9465D">
        <w:rPr>
          <w:lang w:val="en-US"/>
        </w:rPr>
        <w:t>250</w:t>
      </w:r>
      <w:r w:rsidR="00A70868" w:rsidRPr="00C9465D">
        <w:rPr>
          <w:lang w:val="en-US"/>
        </w:rPr>
        <w:fldChar w:fldCharType="end"/>
      </w:r>
      <w:r w:rsidR="00811460" w:rsidRPr="00C9465D">
        <w:rPr>
          <w:lang w:val="en-US"/>
        </w:rPr>
        <w:t xml:space="preserve"> </w:t>
      </w:r>
      <w:r w:rsidR="008F17CD" w:rsidRPr="00C9465D">
        <w:rPr>
          <w:lang w:val="en-US"/>
        </w:rPr>
        <w:t>of this judgment</w:t>
      </w:r>
      <w:r w:rsidR="00811460" w:rsidRPr="00C9465D">
        <w:rPr>
          <w:lang w:val="en-US"/>
        </w:rPr>
        <w:t>.</w:t>
      </w:r>
    </w:p>
    <w:p w14:paraId="64253671" w14:textId="77777777" w:rsidR="00811460" w:rsidRPr="00C9465D" w:rsidRDefault="00811460" w:rsidP="00811460">
      <w:pPr>
        <w:pStyle w:val="ListParagraph"/>
        <w:rPr>
          <w:lang w:val="en-US"/>
        </w:rPr>
      </w:pPr>
    </w:p>
    <w:p w14:paraId="3825C12D" w14:textId="235C5285" w:rsidR="00CC734E" w:rsidRPr="00C9465D" w:rsidRDefault="00193CBB" w:rsidP="00F42E0C">
      <w:pPr>
        <w:pStyle w:val="ListParagraph"/>
        <w:widowControl w:val="0"/>
        <w:numPr>
          <w:ilvl w:val="0"/>
          <w:numId w:val="13"/>
        </w:numPr>
        <w:tabs>
          <w:tab w:val="left" w:pos="567"/>
        </w:tabs>
        <w:autoSpaceDE w:val="0"/>
        <w:autoSpaceDN w:val="0"/>
        <w:spacing w:line="240" w:lineRule="auto"/>
        <w:ind w:left="0" w:right="115" w:firstLine="0"/>
        <w:rPr>
          <w:lang w:val="en-US"/>
        </w:rPr>
      </w:pPr>
      <w:r w:rsidRPr="00C9465D">
        <w:rPr>
          <w:lang w:val="en-US"/>
        </w:rPr>
        <w:t>The State</w:t>
      </w:r>
      <w:r w:rsidR="00CC734E" w:rsidRPr="00C9465D">
        <w:rPr>
          <w:lang w:val="en-US"/>
        </w:rPr>
        <w:t xml:space="preserve"> </w:t>
      </w:r>
      <w:r w:rsidR="00F42E0C" w:rsidRPr="00C9465D">
        <w:rPr>
          <w:lang w:val="en-US"/>
        </w:rPr>
        <w:t xml:space="preserve">shall design a publication or leaflet that outlines in a clear, accessible and reader-friendly way the right of persons with disabilities to receive medical care, which should </w:t>
      </w:r>
      <w:r w:rsidR="00F42E0C" w:rsidRPr="00C9465D">
        <w:rPr>
          <w:lang w:val="en-US"/>
        </w:rPr>
        <w:lastRenderedPageBreak/>
        <w:t xml:space="preserve">specifically mention prior, free, full and informed consent and the obligation to provide the necessary support to </w:t>
      </w:r>
      <w:r w:rsidR="00D85850" w:rsidRPr="00C9465D">
        <w:rPr>
          <w:lang w:val="en-US"/>
        </w:rPr>
        <w:t>persons with disabilities</w:t>
      </w:r>
      <w:r w:rsidR="00CC734E" w:rsidRPr="00C9465D">
        <w:rPr>
          <w:lang w:val="en-US"/>
        </w:rPr>
        <w:t xml:space="preserve">, </w:t>
      </w:r>
      <w:r w:rsidR="008F17CD" w:rsidRPr="00C9465D">
        <w:rPr>
          <w:lang w:val="en-US"/>
        </w:rPr>
        <w:t>pursuant to</w:t>
      </w:r>
      <w:r w:rsidR="00CC734E" w:rsidRPr="00C9465D">
        <w:rPr>
          <w:lang w:val="en-US"/>
        </w:rPr>
        <w:t xml:space="preserve"> </w:t>
      </w:r>
      <w:r w:rsidR="008F17CD" w:rsidRPr="00C9465D">
        <w:rPr>
          <w:lang w:val="en-US"/>
        </w:rPr>
        <w:t>paragraph</w:t>
      </w:r>
      <w:r w:rsidR="00CC734E" w:rsidRPr="00C9465D">
        <w:rPr>
          <w:lang w:val="en-US"/>
        </w:rPr>
        <w:t xml:space="preserve"> </w:t>
      </w:r>
      <w:r w:rsidR="00A70868" w:rsidRPr="00C9465D">
        <w:rPr>
          <w:lang w:val="en-US"/>
        </w:rPr>
        <w:fldChar w:fldCharType="begin"/>
      </w:r>
      <w:r w:rsidR="00A70868" w:rsidRPr="00C9465D">
        <w:rPr>
          <w:lang w:val="en-US"/>
        </w:rPr>
        <w:instrText xml:space="preserve"> REF _Ref72330427 \r \h </w:instrText>
      </w:r>
      <w:r w:rsidR="00496133" w:rsidRPr="00C9465D">
        <w:rPr>
          <w:lang w:val="en-US"/>
        </w:rPr>
        <w:instrText xml:space="preserve"> \* MERGEFORMAT </w:instrText>
      </w:r>
      <w:r w:rsidR="00A70868" w:rsidRPr="00C9465D">
        <w:rPr>
          <w:lang w:val="en-US"/>
        </w:rPr>
      </w:r>
      <w:r w:rsidR="00A70868" w:rsidRPr="00C9465D">
        <w:rPr>
          <w:lang w:val="en-US"/>
        </w:rPr>
        <w:fldChar w:fldCharType="separate"/>
      </w:r>
      <w:r w:rsidR="00A70868" w:rsidRPr="00C9465D">
        <w:rPr>
          <w:lang w:val="en-US"/>
        </w:rPr>
        <w:t>251</w:t>
      </w:r>
      <w:r w:rsidR="00A70868" w:rsidRPr="00C9465D">
        <w:rPr>
          <w:lang w:val="en-US"/>
        </w:rPr>
        <w:fldChar w:fldCharType="end"/>
      </w:r>
      <w:r w:rsidR="00CC734E" w:rsidRPr="00C9465D">
        <w:rPr>
          <w:lang w:val="en-US"/>
        </w:rPr>
        <w:t xml:space="preserve"> </w:t>
      </w:r>
      <w:r w:rsidR="008F17CD" w:rsidRPr="00C9465D">
        <w:rPr>
          <w:lang w:val="en-US"/>
        </w:rPr>
        <w:t>of this judgment</w:t>
      </w:r>
      <w:r w:rsidR="00CC734E" w:rsidRPr="00C9465D">
        <w:rPr>
          <w:lang w:val="en-US"/>
        </w:rPr>
        <w:t xml:space="preserve">. </w:t>
      </w:r>
    </w:p>
    <w:p w14:paraId="1B70B6EA" w14:textId="77777777" w:rsidR="00CC734E" w:rsidRPr="00C9465D" w:rsidRDefault="00CC734E" w:rsidP="00CC734E">
      <w:pPr>
        <w:pStyle w:val="ListParagraph"/>
        <w:rPr>
          <w:lang w:val="en-US"/>
        </w:rPr>
      </w:pPr>
    </w:p>
    <w:p w14:paraId="423D13D9" w14:textId="215845CB" w:rsidR="00811460" w:rsidRPr="00C9465D" w:rsidRDefault="00193CBB" w:rsidP="00F42E0C">
      <w:pPr>
        <w:pStyle w:val="ListParagraph"/>
        <w:widowControl w:val="0"/>
        <w:numPr>
          <w:ilvl w:val="0"/>
          <w:numId w:val="13"/>
        </w:numPr>
        <w:tabs>
          <w:tab w:val="left" w:pos="567"/>
        </w:tabs>
        <w:autoSpaceDE w:val="0"/>
        <w:autoSpaceDN w:val="0"/>
        <w:spacing w:line="240" w:lineRule="auto"/>
        <w:ind w:left="0" w:right="115" w:firstLine="0"/>
        <w:rPr>
          <w:lang w:val="en-US"/>
        </w:rPr>
      </w:pPr>
      <w:r w:rsidRPr="00C9465D">
        <w:rPr>
          <w:lang w:val="en-US"/>
        </w:rPr>
        <w:t>The State</w:t>
      </w:r>
      <w:r w:rsidR="00811460" w:rsidRPr="00C9465D">
        <w:rPr>
          <w:lang w:val="en-US"/>
        </w:rPr>
        <w:t xml:space="preserve"> </w:t>
      </w:r>
      <w:r w:rsidR="00F42E0C" w:rsidRPr="00C9465D">
        <w:rPr>
          <w:lang w:val="en-US"/>
        </w:rPr>
        <w:t>shall make an informati</w:t>
      </w:r>
      <w:r w:rsidR="000B48C6" w:rsidRPr="00C9465D">
        <w:rPr>
          <w:lang w:val="en-US"/>
        </w:rPr>
        <w:t>onal</w:t>
      </w:r>
      <w:r w:rsidR="00F42E0C" w:rsidRPr="00C9465D">
        <w:rPr>
          <w:lang w:val="en-US"/>
        </w:rPr>
        <w:t xml:space="preserve"> video on the rights of </w:t>
      </w:r>
      <w:r w:rsidR="00D85850" w:rsidRPr="00C9465D">
        <w:rPr>
          <w:lang w:val="en-US"/>
        </w:rPr>
        <w:t>persons with disabilities</w:t>
      </w:r>
      <w:r w:rsidR="00811460" w:rsidRPr="00C9465D">
        <w:rPr>
          <w:lang w:val="en-US"/>
        </w:rPr>
        <w:t xml:space="preserve"> </w:t>
      </w:r>
      <w:r w:rsidR="00F42E0C" w:rsidRPr="00C9465D">
        <w:rPr>
          <w:lang w:val="en-US"/>
        </w:rPr>
        <w:t xml:space="preserve">to receive medical care, as well as the obligations of the medical professionals to provide care to </w:t>
      </w:r>
      <w:r w:rsidR="00D85850" w:rsidRPr="00C9465D">
        <w:rPr>
          <w:lang w:val="en-US"/>
        </w:rPr>
        <w:t>persons with disabilities</w:t>
      </w:r>
      <w:r w:rsidR="00811460" w:rsidRPr="00C9465D">
        <w:rPr>
          <w:lang w:val="en-US"/>
        </w:rPr>
        <w:t xml:space="preserve">, </w:t>
      </w:r>
      <w:r w:rsidR="00F42E0C" w:rsidRPr="00C9465D">
        <w:rPr>
          <w:lang w:val="en-US"/>
        </w:rPr>
        <w:t>and which specifically mentions prior, free, full and informed consent and the obligation to provide the necessary support to persons with disabilities</w:t>
      </w:r>
      <w:r w:rsidR="00811460" w:rsidRPr="00C9465D">
        <w:rPr>
          <w:lang w:val="en-US"/>
        </w:rPr>
        <w:t xml:space="preserve">, </w:t>
      </w:r>
      <w:r w:rsidR="008F17CD" w:rsidRPr="00C9465D">
        <w:rPr>
          <w:lang w:val="en-US"/>
        </w:rPr>
        <w:t>pursuant to</w:t>
      </w:r>
      <w:r w:rsidR="00811460" w:rsidRPr="00C9465D">
        <w:rPr>
          <w:lang w:val="en-US"/>
        </w:rPr>
        <w:t xml:space="preserve"> </w:t>
      </w:r>
      <w:r w:rsidR="008F17CD" w:rsidRPr="00C9465D">
        <w:rPr>
          <w:lang w:val="en-US"/>
        </w:rPr>
        <w:t>paragraph</w:t>
      </w:r>
      <w:r w:rsidR="00811460" w:rsidRPr="00C9465D">
        <w:rPr>
          <w:lang w:val="en-US"/>
        </w:rPr>
        <w:t xml:space="preserve"> </w:t>
      </w:r>
      <w:r w:rsidR="00A70868" w:rsidRPr="00C9465D">
        <w:rPr>
          <w:lang w:val="en-US"/>
        </w:rPr>
        <w:fldChar w:fldCharType="begin"/>
      </w:r>
      <w:r w:rsidR="00A70868" w:rsidRPr="00C9465D">
        <w:rPr>
          <w:lang w:val="en-US"/>
        </w:rPr>
        <w:instrText xml:space="preserve"> REF _Ref72330427 \r \h </w:instrText>
      </w:r>
      <w:r w:rsidR="00496133" w:rsidRPr="00C9465D">
        <w:rPr>
          <w:lang w:val="en-US"/>
        </w:rPr>
        <w:instrText xml:space="preserve"> \* MERGEFORMAT </w:instrText>
      </w:r>
      <w:r w:rsidR="00A70868" w:rsidRPr="00C9465D">
        <w:rPr>
          <w:lang w:val="en-US"/>
        </w:rPr>
      </w:r>
      <w:r w:rsidR="00A70868" w:rsidRPr="00C9465D">
        <w:rPr>
          <w:lang w:val="en-US"/>
        </w:rPr>
        <w:fldChar w:fldCharType="separate"/>
      </w:r>
      <w:r w:rsidR="00A70868" w:rsidRPr="00C9465D">
        <w:rPr>
          <w:lang w:val="en-US"/>
        </w:rPr>
        <w:t>251</w:t>
      </w:r>
      <w:r w:rsidR="00A70868" w:rsidRPr="00C9465D">
        <w:rPr>
          <w:lang w:val="en-US"/>
        </w:rPr>
        <w:fldChar w:fldCharType="end"/>
      </w:r>
      <w:r w:rsidR="00811460" w:rsidRPr="00C9465D">
        <w:rPr>
          <w:lang w:val="en-US"/>
        </w:rPr>
        <w:t xml:space="preserve"> </w:t>
      </w:r>
      <w:r w:rsidR="008F17CD" w:rsidRPr="00C9465D">
        <w:rPr>
          <w:lang w:val="en-US"/>
        </w:rPr>
        <w:t>of this judgment</w:t>
      </w:r>
      <w:r w:rsidR="00811460" w:rsidRPr="00C9465D">
        <w:rPr>
          <w:lang w:val="en-US"/>
        </w:rPr>
        <w:t>.</w:t>
      </w:r>
    </w:p>
    <w:p w14:paraId="14165E2D" w14:textId="77777777" w:rsidR="00811460" w:rsidRPr="00C9465D" w:rsidRDefault="00811460" w:rsidP="00811460">
      <w:pPr>
        <w:pStyle w:val="ListParagraph"/>
        <w:rPr>
          <w:lang w:val="en-US"/>
        </w:rPr>
      </w:pPr>
    </w:p>
    <w:p w14:paraId="3A569D81" w14:textId="741D034D" w:rsidR="00CC734E" w:rsidRPr="00C9465D" w:rsidRDefault="00193CBB" w:rsidP="00D47F8D">
      <w:pPr>
        <w:pStyle w:val="ListParagraph"/>
        <w:widowControl w:val="0"/>
        <w:numPr>
          <w:ilvl w:val="0"/>
          <w:numId w:val="13"/>
        </w:numPr>
        <w:tabs>
          <w:tab w:val="left" w:pos="567"/>
        </w:tabs>
        <w:autoSpaceDE w:val="0"/>
        <w:autoSpaceDN w:val="0"/>
        <w:spacing w:line="240" w:lineRule="auto"/>
        <w:ind w:left="0" w:right="115" w:firstLine="0"/>
        <w:rPr>
          <w:lang w:val="en-US"/>
        </w:rPr>
      </w:pPr>
      <w:r w:rsidRPr="00C9465D">
        <w:rPr>
          <w:lang w:val="en-US"/>
        </w:rPr>
        <w:t>The State</w:t>
      </w:r>
      <w:r w:rsidR="00CC734E" w:rsidRPr="00C9465D">
        <w:rPr>
          <w:lang w:val="en-US"/>
        </w:rPr>
        <w:t xml:space="preserve"> </w:t>
      </w:r>
      <w:r w:rsidR="00F42E0C" w:rsidRPr="00C9465D">
        <w:rPr>
          <w:lang w:val="en-US"/>
        </w:rPr>
        <w:t>shall develop an action protocol for cases of the disappearance of persons hospitalized in public health centers</w:t>
      </w:r>
      <w:r w:rsidR="00CC734E" w:rsidRPr="00C9465D">
        <w:rPr>
          <w:lang w:val="en-US"/>
        </w:rPr>
        <w:t xml:space="preserve">, </w:t>
      </w:r>
      <w:r w:rsidR="008F17CD" w:rsidRPr="00C9465D">
        <w:rPr>
          <w:lang w:val="en-US"/>
        </w:rPr>
        <w:t>pursuant to</w:t>
      </w:r>
      <w:r w:rsidR="00CC734E" w:rsidRPr="00C9465D">
        <w:rPr>
          <w:lang w:val="en-US"/>
        </w:rPr>
        <w:t xml:space="preserve"> </w:t>
      </w:r>
      <w:r w:rsidR="008F17CD" w:rsidRPr="00C9465D">
        <w:rPr>
          <w:lang w:val="en-US"/>
        </w:rPr>
        <w:t>paragraph</w:t>
      </w:r>
      <w:r w:rsidR="00CC734E" w:rsidRPr="00C9465D">
        <w:rPr>
          <w:lang w:val="en-US"/>
        </w:rPr>
        <w:t xml:space="preserve"> </w:t>
      </w:r>
      <w:r w:rsidR="00A70868" w:rsidRPr="00C9465D">
        <w:rPr>
          <w:lang w:val="en-US"/>
        </w:rPr>
        <w:fldChar w:fldCharType="begin"/>
      </w:r>
      <w:r w:rsidR="00A70868" w:rsidRPr="00C9465D">
        <w:rPr>
          <w:lang w:val="en-US"/>
        </w:rPr>
        <w:instrText xml:space="preserve"> REF _Ref72330472 \r \h </w:instrText>
      </w:r>
      <w:r w:rsidR="00496133" w:rsidRPr="00C9465D">
        <w:rPr>
          <w:lang w:val="en-US"/>
        </w:rPr>
        <w:instrText xml:space="preserve"> \* MERGEFORMAT </w:instrText>
      </w:r>
      <w:r w:rsidR="00A70868" w:rsidRPr="00C9465D">
        <w:rPr>
          <w:lang w:val="en-US"/>
        </w:rPr>
      </w:r>
      <w:r w:rsidR="00A70868" w:rsidRPr="00C9465D">
        <w:rPr>
          <w:lang w:val="en-US"/>
        </w:rPr>
        <w:fldChar w:fldCharType="separate"/>
      </w:r>
      <w:r w:rsidR="00A70868" w:rsidRPr="00C9465D">
        <w:rPr>
          <w:lang w:val="en-US"/>
        </w:rPr>
        <w:t>253</w:t>
      </w:r>
      <w:r w:rsidR="00A70868" w:rsidRPr="00C9465D">
        <w:rPr>
          <w:lang w:val="en-US"/>
        </w:rPr>
        <w:fldChar w:fldCharType="end"/>
      </w:r>
      <w:r w:rsidR="00A70868" w:rsidRPr="00C9465D">
        <w:rPr>
          <w:lang w:val="en-US"/>
        </w:rPr>
        <w:t xml:space="preserve"> </w:t>
      </w:r>
      <w:r w:rsidR="008F17CD" w:rsidRPr="00C9465D">
        <w:rPr>
          <w:lang w:val="en-US"/>
        </w:rPr>
        <w:t>of this judgment</w:t>
      </w:r>
      <w:r w:rsidR="00CC734E" w:rsidRPr="00C9465D">
        <w:rPr>
          <w:lang w:val="en-US"/>
        </w:rPr>
        <w:t>.</w:t>
      </w:r>
    </w:p>
    <w:p w14:paraId="27E54172" w14:textId="77777777" w:rsidR="00CC734E" w:rsidRPr="00C9465D" w:rsidRDefault="00CC734E" w:rsidP="00CC734E">
      <w:pPr>
        <w:pStyle w:val="ListParagraph"/>
        <w:rPr>
          <w:lang w:val="en-US"/>
        </w:rPr>
      </w:pPr>
    </w:p>
    <w:p w14:paraId="5A7B1412" w14:textId="1708B9E2" w:rsidR="00AC0EB3" w:rsidRPr="00C9465D" w:rsidRDefault="00193CBB" w:rsidP="00D47F8D">
      <w:pPr>
        <w:pStyle w:val="ListParagraph"/>
        <w:widowControl w:val="0"/>
        <w:numPr>
          <w:ilvl w:val="0"/>
          <w:numId w:val="13"/>
        </w:numPr>
        <w:tabs>
          <w:tab w:val="left" w:pos="567"/>
        </w:tabs>
        <w:autoSpaceDE w:val="0"/>
        <w:autoSpaceDN w:val="0"/>
        <w:spacing w:line="240" w:lineRule="auto"/>
        <w:ind w:left="0" w:right="115" w:firstLine="0"/>
        <w:rPr>
          <w:lang w:val="en-US"/>
        </w:rPr>
      </w:pPr>
      <w:r w:rsidRPr="00C9465D">
        <w:rPr>
          <w:lang w:val="en-US"/>
        </w:rPr>
        <w:t>The State</w:t>
      </w:r>
      <w:r w:rsidR="00AC0EB3" w:rsidRPr="00C9465D">
        <w:rPr>
          <w:lang w:val="en-US"/>
        </w:rPr>
        <w:t xml:space="preserve"> </w:t>
      </w:r>
      <w:r w:rsidR="00F42E0C" w:rsidRPr="00C9465D">
        <w:rPr>
          <w:lang w:val="en-US"/>
        </w:rPr>
        <w:t xml:space="preserve">shall pay the sums established in </w:t>
      </w:r>
      <w:r w:rsidR="008F17CD" w:rsidRPr="00C9465D">
        <w:rPr>
          <w:lang w:val="en-US"/>
        </w:rPr>
        <w:t>paragraphs</w:t>
      </w:r>
      <w:r w:rsidR="00AC0EB3" w:rsidRPr="00C9465D">
        <w:rPr>
          <w:lang w:val="en-US"/>
        </w:rPr>
        <w:t xml:space="preserve"> </w:t>
      </w:r>
      <w:r w:rsidR="00A70868" w:rsidRPr="00C9465D">
        <w:rPr>
          <w:lang w:val="en-US"/>
        </w:rPr>
        <w:fldChar w:fldCharType="begin"/>
      </w:r>
      <w:r w:rsidR="00A70868" w:rsidRPr="00C9465D">
        <w:rPr>
          <w:lang w:val="en-US"/>
        </w:rPr>
        <w:instrText xml:space="preserve"> REF _Ref72330517 \r \h </w:instrText>
      </w:r>
      <w:r w:rsidR="00496133" w:rsidRPr="00C9465D">
        <w:rPr>
          <w:lang w:val="en-US"/>
        </w:rPr>
        <w:instrText xml:space="preserve"> \* MERGEFORMAT </w:instrText>
      </w:r>
      <w:r w:rsidR="00A70868" w:rsidRPr="00C9465D">
        <w:rPr>
          <w:lang w:val="en-US"/>
        </w:rPr>
      </w:r>
      <w:r w:rsidR="00A70868" w:rsidRPr="00C9465D">
        <w:rPr>
          <w:lang w:val="en-US"/>
        </w:rPr>
        <w:fldChar w:fldCharType="separate"/>
      </w:r>
      <w:r w:rsidR="00A70868" w:rsidRPr="00C9465D">
        <w:rPr>
          <w:lang w:val="en-US"/>
        </w:rPr>
        <w:t>258</w:t>
      </w:r>
      <w:r w:rsidR="00A70868" w:rsidRPr="00C9465D">
        <w:rPr>
          <w:lang w:val="en-US"/>
        </w:rPr>
        <w:fldChar w:fldCharType="end"/>
      </w:r>
      <w:r w:rsidR="00A70868" w:rsidRPr="00C9465D">
        <w:rPr>
          <w:lang w:val="en-US"/>
        </w:rPr>
        <w:t xml:space="preserve">, </w:t>
      </w:r>
      <w:r w:rsidR="00A70868" w:rsidRPr="00C9465D">
        <w:rPr>
          <w:lang w:val="en-US"/>
        </w:rPr>
        <w:fldChar w:fldCharType="begin"/>
      </w:r>
      <w:r w:rsidR="00A70868" w:rsidRPr="00C9465D">
        <w:rPr>
          <w:lang w:val="en-US"/>
        </w:rPr>
        <w:instrText xml:space="preserve"> REF _Ref72330530 \r \h </w:instrText>
      </w:r>
      <w:r w:rsidR="00496133" w:rsidRPr="00C9465D">
        <w:rPr>
          <w:lang w:val="en-US"/>
        </w:rPr>
        <w:instrText xml:space="preserve"> \* MERGEFORMAT </w:instrText>
      </w:r>
      <w:r w:rsidR="00A70868" w:rsidRPr="00C9465D">
        <w:rPr>
          <w:lang w:val="en-US"/>
        </w:rPr>
      </w:r>
      <w:r w:rsidR="00A70868" w:rsidRPr="00C9465D">
        <w:rPr>
          <w:lang w:val="en-US"/>
        </w:rPr>
        <w:fldChar w:fldCharType="separate"/>
      </w:r>
      <w:r w:rsidR="00A70868" w:rsidRPr="00C9465D">
        <w:rPr>
          <w:lang w:val="en-US"/>
        </w:rPr>
        <w:t>263</w:t>
      </w:r>
      <w:r w:rsidR="00A70868" w:rsidRPr="00C9465D">
        <w:rPr>
          <w:lang w:val="en-US"/>
        </w:rPr>
        <w:fldChar w:fldCharType="end"/>
      </w:r>
      <w:r w:rsidR="00A70868" w:rsidRPr="00C9465D">
        <w:rPr>
          <w:lang w:val="en-US"/>
        </w:rPr>
        <w:t xml:space="preserve">, </w:t>
      </w:r>
      <w:r w:rsidR="00A70868" w:rsidRPr="00C9465D">
        <w:rPr>
          <w:lang w:val="en-US"/>
        </w:rPr>
        <w:fldChar w:fldCharType="begin"/>
      </w:r>
      <w:r w:rsidR="00A70868" w:rsidRPr="00C9465D">
        <w:rPr>
          <w:lang w:val="en-US"/>
        </w:rPr>
        <w:instrText xml:space="preserve"> REF _Ref72330540 \r \h </w:instrText>
      </w:r>
      <w:r w:rsidR="00496133" w:rsidRPr="00C9465D">
        <w:rPr>
          <w:lang w:val="en-US"/>
        </w:rPr>
        <w:instrText xml:space="preserve"> \* MERGEFORMAT </w:instrText>
      </w:r>
      <w:r w:rsidR="00A70868" w:rsidRPr="00C9465D">
        <w:rPr>
          <w:lang w:val="en-US"/>
        </w:rPr>
      </w:r>
      <w:r w:rsidR="00A70868" w:rsidRPr="00C9465D">
        <w:rPr>
          <w:lang w:val="en-US"/>
        </w:rPr>
        <w:fldChar w:fldCharType="separate"/>
      </w:r>
      <w:r w:rsidR="00A70868" w:rsidRPr="00C9465D">
        <w:rPr>
          <w:lang w:val="en-US"/>
        </w:rPr>
        <w:t>264</w:t>
      </w:r>
      <w:r w:rsidR="00A70868" w:rsidRPr="00C9465D">
        <w:rPr>
          <w:lang w:val="en-US"/>
        </w:rPr>
        <w:fldChar w:fldCharType="end"/>
      </w:r>
      <w:r w:rsidRPr="00C9465D">
        <w:rPr>
          <w:lang w:val="en-US"/>
        </w:rPr>
        <w:t xml:space="preserve"> and </w:t>
      </w:r>
      <w:r w:rsidR="00A70868" w:rsidRPr="00C9465D">
        <w:rPr>
          <w:lang w:val="en-US"/>
        </w:rPr>
        <w:fldChar w:fldCharType="begin"/>
      </w:r>
      <w:r w:rsidR="00A70868" w:rsidRPr="00C9465D">
        <w:rPr>
          <w:lang w:val="en-US"/>
        </w:rPr>
        <w:instrText xml:space="preserve"> REF _Ref72330582 \r \h </w:instrText>
      </w:r>
      <w:r w:rsidR="00496133" w:rsidRPr="00C9465D">
        <w:rPr>
          <w:lang w:val="en-US"/>
        </w:rPr>
        <w:instrText xml:space="preserve"> \* MERGEFORMAT </w:instrText>
      </w:r>
      <w:r w:rsidR="00A70868" w:rsidRPr="00C9465D">
        <w:rPr>
          <w:lang w:val="en-US"/>
        </w:rPr>
      </w:r>
      <w:r w:rsidR="00A70868" w:rsidRPr="00C9465D">
        <w:rPr>
          <w:lang w:val="en-US"/>
        </w:rPr>
        <w:fldChar w:fldCharType="separate"/>
      </w:r>
      <w:r w:rsidR="00A70868" w:rsidRPr="00C9465D">
        <w:rPr>
          <w:lang w:val="en-US"/>
        </w:rPr>
        <w:t>271</w:t>
      </w:r>
      <w:r w:rsidR="00A70868" w:rsidRPr="00C9465D">
        <w:rPr>
          <w:lang w:val="en-US"/>
        </w:rPr>
        <w:fldChar w:fldCharType="end"/>
      </w:r>
      <w:r w:rsidR="001C65B7" w:rsidRPr="00C9465D">
        <w:rPr>
          <w:lang w:val="en-US"/>
        </w:rPr>
        <w:t xml:space="preserve"> </w:t>
      </w:r>
      <w:r w:rsidR="00CF3A9D" w:rsidRPr="00C9465D">
        <w:rPr>
          <w:lang w:val="en-US"/>
        </w:rPr>
        <w:t>of this judgment</w:t>
      </w:r>
      <w:r w:rsidR="00AC0EB3" w:rsidRPr="00C9465D">
        <w:rPr>
          <w:lang w:val="en-US"/>
        </w:rPr>
        <w:t xml:space="preserve"> </w:t>
      </w:r>
      <w:r w:rsidR="00F42E0C" w:rsidRPr="00C9465D">
        <w:rPr>
          <w:lang w:val="en-US"/>
        </w:rPr>
        <w:t xml:space="preserve">as compensation for pecuniary and non-pecuniary damage, and to reimburse </w:t>
      </w:r>
      <w:r w:rsidR="00CF3A9D" w:rsidRPr="00C9465D">
        <w:rPr>
          <w:lang w:val="en-US"/>
        </w:rPr>
        <w:t>costs and expenses</w:t>
      </w:r>
      <w:r w:rsidR="00AC0EB3" w:rsidRPr="00C9465D">
        <w:rPr>
          <w:lang w:val="en-US"/>
        </w:rPr>
        <w:t xml:space="preserve">, </w:t>
      </w:r>
      <w:r w:rsidR="008F17CD" w:rsidRPr="00C9465D">
        <w:rPr>
          <w:lang w:val="en-US"/>
        </w:rPr>
        <w:t>pursuant to</w:t>
      </w:r>
      <w:r w:rsidR="00AC0EB3" w:rsidRPr="00C9465D">
        <w:rPr>
          <w:lang w:val="en-US"/>
        </w:rPr>
        <w:t xml:space="preserve"> </w:t>
      </w:r>
      <w:r w:rsidR="008F17CD" w:rsidRPr="00C9465D">
        <w:rPr>
          <w:lang w:val="en-US"/>
        </w:rPr>
        <w:t>paragraphs</w:t>
      </w:r>
      <w:r w:rsidR="00A70868" w:rsidRPr="00C9465D">
        <w:rPr>
          <w:lang w:val="en-US"/>
        </w:rPr>
        <w:t xml:space="preserve"> </w:t>
      </w:r>
      <w:r w:rsidR="00A70868" w:rsidRPr="00C9465D">
        <w:rPr>
          <w:lang w:val="en-US"/>
        </w:rPr>
        <w:fldChar w:fldCharType="begin"/>
      </w:r>
      <w:r w:rsidR="00A70868" w:rsidRPr="00C9465D">
        <w:rPr>
          <w:lang w:val="en-US"/>
        </w:rPr>
        <w:instrText xml:space="preserve"> REF _Ref43209330 \r \h </w:instrText>
      </w:r>
      <w:r w:rsidR="00496133" w:rsidRPr="00C9465D">
        <w:rPr>
          <w:lang w:val="en-US"/>
        </w:rPr>
        <w:instrText xml:space="preserve"> \* MERGEFORMAT </w:instrText>
      </w:r>
      <w:r w:rsidR="00A70868" w:rsidRPr="00C9465D">
        <w:rPr>
          <w:lang w:val="en-US"/>
        </w:rPr>
      </w:r>
      <w:r w:rsidR="00A70868" w:rsidRPr="00C9465D">
        <w:rPr>
          <w:lang w:val="en-US"/>
        </w:rPr>
        <w:fldChar w:fldCharType="separate"/>
      </w:r>
      <w:r w:rsidR="00A70868" w:rsidRPr="00C9465D">
        <w:rPr>
          <w:lang w:val="en-US"/>
        </w:rPr>
        <w:t>276</w:t>
      </w:r>
      <w:r w:rsidR="00A70868" w:rsidRPr="00C9465D">
        <w:rPr>
          <w:lang w:val="en-US"/>
        </w:rPr>
        <w:fldChar w:fldCharType="end"/>
      </w:r>
      <w:r w:rsidR="00A70868" w:rsidRPr="00C9465D">
        <w:rPr>
          <w:lang w:val="en-US"/>
        </w:rPr>
        <w:t xml:space="preserve"> </w:t>
      </w:r>
      <w:r w:rsidR="008F17CD" w:rsidRPr="00C9465D">
        <w:rPr>
          <w:lang w:val="en-US"/>
        </w:rPr>
        <w:t>to</w:t>
      </w:r>
      <w:r w:rsidR="00A70868" w:rsidRPr="00C9465D">
        <w:rPr>
          <w:lang w:val="en-US"/>
        </w:rPr>
        <w:t xml:space="preserve"> </w:t>
      </w:r>
      <w:r w:rsidR="00A70868" w:rsidRPr="00C9465D">
        <w:rPr>
          <w:lang w:val="en-US"/>
        </w:rPr>
        <w:fldChar w:fldCharType="begin"/>
      </w:r>
      <w:r w:rsidR="00A70868" w:rsidRPr="00C9465D">
        <w:rPr>
          <w:lang w:val="en-US"/>
        </w:rPr>
        <w:instrText xml:space="preserve"> REF _Ref72330608 \r \h </w:instrText>
      </w:r>
      <w:r w:rsidR="00496133" w:rsidRPr="00C9465D">
        <w:rPr>
          <w:lang w:val="en-US"/>
        </w:rPr>
        <w:instrText xml:space="preserve"> \* MERGEFORMAT </w:instrText>
      </w:r>
      <w:r w:rsidR="00A70868" w:rsidRPr="00C9465D">
        <w:rPr>
          <w:lang w:val="en-US"/>
        </w:rPr>
      </w:r>
      <w:r w:rsidR="00A70868" w:rsidRPr="00C9465D">
        <w:rPr>
          <w:lang w:val="en-US"/>
        </w:rPr>
        <w:fldChar w:fldCharType="separate"/>
      </w:r>
      <w:r w:rsidR="00A70868" w:rsidRPr="00C9465D">
        <w:rPr>
          <w:lang w:val="en-US"/>
        </w:rPr>
        <w:t>281</w:t>
      </w:r>
      <w:r w:rsidR="00A70868" w:rsidRPr="00C9465D">
        <w:rPr>
          <w:lang w:val="en-US"/>
        </w:rPr>
        <w:fldChar w:fldCharType="end"/>
      </w:r>
      <w:r w:rsidR="00AC0EB3" w:rsidRPr="00C9465D">
        <w:rPr>
          <w:lang w:val="en-US"/>
        </w:rPr>
        <w:t xml:space="preserve"> </w:t>
      </w:r>
      <w:r w:rsidR="00F42E0C" w:rsidRPr="00C9465D">
        <w:rPr>
          <w:lang w:val="en-US"/>
        </w:rPr>
        <w:t>of the judgment.</w:t>
      </w:r>
    </w:p>
    <w:p w14:paraId="20CCA73F" w14:textId="77777777" w:rsidR="00237966" w:rsidRPr="00C9465D" w:rsidRDefault="00237966" w:rsidP="00237966">
      <w:pPr>
        <w:pStyle w:val="ListParagraph"/>
        <w:rPr>
          <w:lang w:val="en-US"/>
        </w:rPr>
      </w:pPr>
    </w:p>
    <w:p w14:paraId="48E30942" w14:textId="1016FF7C" w:rsidR="00A70868" w:rsidRPr="00C9465D" w:rsidRDefault="00193CBB" w:rsidP="00D47F8D">
      <w:pPr>
        <w:pStyle w:val="ListParagraph"/>
        <w:widowControl w:val="0"/>
        <w:numPr>
          <w:ilvl w:val="0"/>
          <w:numId w:val="13"/>
        </w:numPr>
        <w:tabs>
          <w:tab w:val="left" w:pos="567"/>
        </w:tabs>
        <w:autoSpaceDE w:val="0"/>
        <w:autoSpaceDN w:val="0"/>
        <w:spacing w:line="240" w:lineRule="auto"/>
        <w:ind w:left="0" w:right="115" w:firstLine="0"/>
        <w:rPr>
          <w:lang w:val="en-US"/>
        </w:rPr>
      </w:pPr>
      <w:r w:rsidRPr="00C9465D">
        <w:rPr>
          <w:lang w:val="en-US"/>
        </w:rPr>
        <w:t>The State</w:t>
      </w:r>
      <w:r w:rsidR="00F42E0C" w:rsidRPr="00C9465D">
        <w:rPr>
          <w:lang w:val="en-US"/>
        </w:rPr>
        <w:t xml:space="preserve"> shall reimburse the Victims’ Legal Assistance Fund</w:t>
      </w:r>
      <w:r w:rsidRPr="00C9465D">
        <w:rPr>
          <w:lang w:val="en-US"/>
        </w:rPr>
        <w:t xml:space="preserve"> of the Inter-American Court of Human Rights</w:t>
      </w:r>
      <w:r w:rsidR="00F42E0C" w:rsidRPr="00C9465D">
        <w:rPr>
          <w:lang w:val="en-US"/>
        </w:rPr>
        <w:t xml:space="preserve"> the sum disbursed during the processing of this case, </w:t>
      </w:r>
      <w:r w:rsidR="008F17CD" w:rsidRPr="00C9465D">
        <w:rPr>
          <w:lang w:val="en-US"/>
        </w:rPr>
        <w:t>pursuant to paragraph</w:t>
      </w:r>
      <w:r w:rsidR="00237966" w:rsidRPr="00C9465D">
        <w:rPr>
          <w:lang w:val="en-US"/>
        </w:rPr>
        <w:t xml:space="preserve"> </w:t>
      </w:r>
      <w:r w:rsidR="00237966" w:rsidRPr="00C9465D">
        <w:rPr>
          <w:lang w:val="en-US"/>
        </w:rPr>
        <w:fldChar w:fldCharType="begin"/>
      </w:r>
      <w:r w:rsidR="00237966" w:rsidRPr="00C9465D">
        <w:rPr>
          <w:lang w:val="en-US"/>
        </w:rPr>
        <w:instrText xml:space="preserve"> REF _Ref72330812 \r \h  \* MERGEFORMAT </w:instrText>
      </w:r>
      <w:r w:rsidR="00237966" w:rsidRPr="00C9465D">
        <w:rPr>
          <w:lang w:val="en-US"/>
        </w:rPr>
      </w:r>
      <w:r w:rsidR="00237966" w:rsidRPr="00C9465D">
        <w:rPr>
          <w:lang w:val="en-US"/>
        </w:rPr>
        <w:fldChar w:fldCharType="separate"/>
      </w:r>
      <w:r w:rsidR="00237966" w:rsidRPr="00C9465D">
        <w:rPr>
          <w:lang w:val="en-US"/>
        </w:rPr>
        <w:t>275</w:t>
      </w:r>
      <w:r w:rsidR="00237966" w:rsidRPr="00C9465D">
        <w:rPr>
          <w:lang w:val="en-US"/>
        </w:rPr>
        <w:fldChar w:fldCharType="end"/>
      </w:r>
      <w:r w:rsidR="00237966" w:rsidRPr="00C9465D">
        <w:rPr>
          <w:lang w:val="en-US"/>
        </w:rPr>
        <w:t xml:space="preserve"> </w:t>
      </w:r>
      <w:r w:rsidR="008F17CD" w:rsidRPr="00C9465D">
        <w:rPr>
          <w:lang w:val="en-US"/>
        </w:rPr>
        <w:t>of this judgment</w:t>
      </w:r>
      <w:r w:rsidR="00237966" w:rsidRPr="00C9465D">
        <w:rPr>
          <w:lang w:val="en-US"/>
        </w:rPr>
        <w:t>.</w:t>
      </w:r>
      <w:r w:rsidR="00A70868" w:rsidRPr="00C9465D">
        <w:rPr>
          <w:lang w:val="en-US"/>
        </w:rPr>
        <w:t xml:space="preserve"> </w:t>
      </w:r>
    </w:p>
    <w:p w14:paraId="624733CF" w14:textId="77777777" w:rsidR="00A70868" w:rsidRPr="00C9465D" w:rsidRDefault="00A70868" w:rsidP="00A70868">
      <w:pPr>
        <w:pStyle w:val="ListParagraph"/>
        <w:rPr>
          <w:lang w:val="en-US"/>
        </w:rPr>
      </w:pPr>
    </w:p>
    <w:p w14:paraId="0DCB12FF" w14:textId="25E3F2AA" w:rsidR="00AC0EB3" w:rsidRPr="00C9465D" w:rsidRDefault="00193CBB" w:rsidP="00D47F8D">
      <w:pPr>
        <w:pStyle w:val="ListParagraph"/>
        <w:widowControl w:val="0"/>
        <w:numPr>
          <w:ilvl w:val="0"/>
          <w:numId w:val="13"/>
        </w:numPr>
        <w:tabs>
          <w:tab w:val="left" w:pos="567"/>
        </w:tabs>
        <w:autoSpaceDE w:val="0"/>
        <w:autoSpaceDN w:val="0"/>
        <w:spacing w:line="240" w:lineRule="auto"/>
        <w:ind w:left="0" w:right="115" w:firstLine="0"/>
        <w:rPr>
          <w:lang w:val="en-US"/>
        </w:rPr>
      </w:pPr>
      <w:r w:rsidRPr="00C9465D">
        <w:rPr>
          <w:lang w:val="en-US"/>
        </w:rPr>
        <w:t>The State</w:t>
      </w:r>
      <w:r w:rsidR="00AC0EB3" w:rsidRPr="00C9465D">
        <w:rPr>
          <w:lang w:val="en-US"/>
        </w:rPr>
        <w:t xml:space="preserve">, </w:t>
      </w:r>
      <w:r w:rsidR="00F42E0C" w:rsidRPr="00C9465D">
        <w:rPr>
          <w:lang w:val="en-US"/>
        </w:rPr>
        <w:t xml:space="preserve">within one year of notification </w:t>
      </w:r>
      <w:r w:rsidR="008F17CD" w:rsidRPr="00C9465D">
        <w:rPr>
          <w:lang w:val="en-US"/>
        </w:rPr>
        <w:t>of this judgment</w:t>
      </w:r>
      <w:r w:rsidR="00AC0EB3" w:rsidRPr="00C9465D">
        <w:rPr>
          <w:lang w:val="en-US"/>
        </w:rPr>
        <w:t xml:space="preserve">, </w:t>
      </w:r>
      <w:r w:rsidR="00F42E0C" w:rsidRPr="00C9465D">
        <w:rPr>
          <w:lang w:val="en-US"/>
        </w:rPr>
        <w:t xml:space="preserve">shall provide the Court with a report on the measures adopted to comply with it, without prejudice to the provisions of </w:t>
      </w:r>
      <w:r w:rsidR="008F17CD" w:rsidRPr="00C9465D">
        <w:rPr>
          <w:lang w:val="en-US"/>
        </w:rPr>
        <w:t>paragraph</w:t>
      </w:r>
      <w:hyperlink w:anchor="_bookmark177" w:history="1">
        <w:r w:rsidR="00A70868" w:rsidRPr="00C9465D">
          <w:rPr>
            <w:lang w:val="en-US"/>
          </w:rPr>
          <w:t xml:space="preserve"> </w:t>
        </w:r>
        <w:r w:rsidR="00A70868" w:rsidRPr="00C9465D">
          <w:rPr>
            <w:lang w:val="en-US"/>
          </w:rPr>
          <w:fldChar w:fldCharType="begin"/>
        </w:r>
        <w:r w:rsidR="00A70868" w:rsidRPr="00C9465D">
          <w:rPr>
            <w:lang w:val="en-US"/>
          </w:rPr>
          <w:instrText xml:space="preserve"> REF _Ref521518604 \r \h </w:instrText>
        </w:r>
        <w:r w:rsidR="00496133" w:rsidRPr="00C9465D">
          <w:rPr>
            <w:lang w:val="en-US"/>
          </w:rPr>
          <w:instrText xml:space="preserve"> \* MERGEFORMAT </w:instrText>
        </w:r>
        <w:r w:rsidR="00A70868" w:rsidRPr="00C9465D">
          <w:rPr>
            <w:lang w:val="en-US"/>
          </w:rPr>
        </w:r>
        <w:r w:rsidR="00A70868" w:rsidRPr="00C9465D">
          <w:rPr>
            <w:lang w:val="en-US"/>
          </w:rPr>
          <w:fldChar w:fldCharType="separate"/>
        </w:r>
        <w:r w:rsidR="00A70868" w:rsidRPr="00C9465D">
          <w:rPr>
            <w:lang w:val="en-US"/>
          </w:rPr>
          <w:t>236</w:t>
        </w:r>
        <w:r w:rsidR="00A70868" w:rsidRPr="00C9465D">
          <w:rPr>
            <w:lang w:val="en-US"/>
          </w:rPr>
          <w:fldChar w:fldCharType="end"/>
        </w:r>
        <w:r w:rsidR="00AC0EB3" w:rsidRPr="00C9465D">
          <w:rPr>
            <w:lang w:val="en-US"/>
          </w:rPr>
          <w:t xml:space="preserve"> </w:t>
        </w:r>
      </w:hyperlink>
      <w:r w:rsidR="00CF3A9D" w:rsidRPr="00C9465D">
        <w:rPr>
          <w:lang w:val="en-US"/>
        </w:rPr>
        <w:t>of this judgment</w:t>
      </w:r>
      <w:r w:rsidR="00AC0EB3" w:rsidRPr="00C9465D">
        <w:rPr>
          <w:lang w:val="en-US"/>
        </w:rPr>
        <w:t>.</w:t>
      </w:r>
    </w:p>
    <w:p w14:paraId="35C6267E" w14:textId="11A2C9F9" w:rsidR="00AC0EB3" w:rsidRPr="00C9465D" w:rsidRDefault="00AC0EB3" w:rsidP="00AC0EB3">
      <w:pPr>
        <w:pStyle w:val="ListParagraph"/>
        <w:widowControl w:val="0"/>
        <w:tabs>
          <w:tab w:val="left" w:pos="567"/>
        </w:tabs>
        <w:autoSpaceDE w:val="0"/>
        <w:autoSpaceDN w:val="0"/>
        <w:spacing w:line="240" w:lineRule="auto"/>
        <w:ind w:left="0" w:right="115"/>
        <w:rPr>
          <w:lang w:val="en-US"/>
        </w:rPr>
      </w:pPr>
    </w:p>
    <w:p w14:paraId="2162FB62" w14:textId="397958D0" w:rsidR="00AC0EB3" w:rsidRPr="00C9465D" w:rsidRDefault="00193CBB" w:rsidP="00D47F8D">
      <w:pPr>
        <w:pStyle w:val="ListParagraph"/>
        <w:widowControl w:val="0"/>
        <w:numPr>
          <w:ilvl w:val="0"/>
          <w:numId w:val="13"/>
        </w:numPr>
        <w:tabs>
          <w:tab w:val="left" w:pos="567"/>
        </w:tabs>
        <w:autoSpaceDE w:val="0"/>
        <w:autoSpaceDN w:val="0"/>
        <w:spacing w:line="240" w:lineRule="auto"/>
        <w:ind w:left="0" w:right="115" w:firstLine="0"/>
        <w:rPr>
          <w:lang w:val="en-US"/>
        </w:rPr>
      </w:pPr>
      <w:r w:rsidRPr="00C9465D">
        <w:rPr>
          <w:lang w:val="en-US"/>
        </w:rPr>
        <w:t>The Court</w:t>
      </w:r>
      <w:r w:rsidR="00AC0EB3" w:rsidRPr="00C9465D">
        <w:rPr>
          <w:lang w:val="en-US"/>
        </w:rPr>
        <w:t xml:space="preserve"> </w:t>
      </w:r>
      <w:r w:rsidR="00F42E0C" w:rsidRPr="00C9465D">
        <w:rPr>
          <w:lang w:val="en-US"/>
        </w:rPr>
        <w:t xml:space="preserve">will monitor full compliance with </w:t>
      </w:r>
      <w:r w:rsidR="008F17CD" w:rsidRPr="00C9465D">
        <w:rPr>
          <w:lang w:val="en-US"/>
        </w:rPr>
        <w:t>this judgment</w:t>
      </w:r>
      <w:r w:rsidR="00AC0EB3" w:rsidRPr="00C9465D">
        <w:rPr>
          <w:lang w:val="en-US"/>
        </w:rPr>
        <w:t xml:space="preserve">, </w:t>
      </w:r>
      <w:r w:rsidR="00F42E0C" w:rsidRPr="00C9465D">
        <w:rPr>
          <w:lang w:val="en-US"/>
        </w:rPr>
        <w:t xml:space="preserve">in exercise of its authority and in fulfillment of its obligations under </w:t>
      </w:r>
      <w:r w:rsidRPr="00C9465D">
        <w:rPr>
          <w:lang w:val="en-US"/>
        </w:rPr>
        <w:t>the American Convention on Human Rights</w:t>
      </w:r>
      <w:r w:rsidR="00AC0EB3" w:rsidRPr="00C9465D">
        <w:rPr>
          <w:lang w:val="en-US"/>
        </w:rPr>
        <w:t>,</w:t>
      </w:r>
      <w:r w:rsidRPr="00C9465D">
        <w:rPr>
          <w:lang w:val="en-US"/>
        </w:rPr>
        <w:t xml:space="preserve"> and </w:t>
      </w:r>
      <w:r w:rsidR="00F42E0C" w:rsidRPr="00C9465D">
        <w:rPr>
          <w:lang w:val="en-US"/>
        </w:rPr>
        <w:t>will consider this case closed when the State has complied fully with its provisions.</w:t>
      </w:r>
    </w:p>
    <w:p w14:paraId="6D52B3DE" w14:textId="77777777" w:rsidR="00AC0EB3" w:rsidRPr="00C9465D" w:rsidRDefault="00AC0EB3" w:rsidP="00AC0EB3">
      <w:pPr>
        <w:pStyle w:val="BodyText"/>
        <w:rPr>
          <w:rFonts w:ascii="Verdana" w:hAnsi="Verdana"/>
          <w:sz w:val="20"/>
          <w:szCs w:val="20"/>
          <w:lang w:val="en-US"/>
        </w:rPr>
      </w:pPr>
    </w:p>
    <w:p w14:paraId="18CB409D" w14:textId="5745732D" w:rsidR="00AC0EB3" w:rsidRPr="00C9465D" w:rsidRDefault="002F03AA" w:rsidP="000B48C6">
      <w:pPr>
        <w:pStyle w:val="BodyText"/>
        <w:spacing w:line="240" w:lineRule="auto"/>
        <w:jc w:val="both"/>
        <w:rPr>
          <w:rFonts w:ascii="Verdana" w:hAnsi="Verdana"/>
          <w:sz w:val="20"/>
          <w:szCs w:val="20"/>
          <w:lang w:val="en-US"/>
        </w:rPr>
      </w:pPr>
      <w:r w:rsidRPr="00C9465D">
        <w:rPr>
          <w:rFonts w:ascii="Verdana" w:hAnsi="Verdana"/>
          <w:sz w:val="20"/>
          <w:szCs w:val="20"/>
          <w:lang w:val="en-US"/>
        </w:rPr>
        <w:t>Judges</w:t>
      </w:r>
      <w:r w:rsidR="006D7633" w:rsidRPr="00C9465D">
        <w:rPr>
          <w:rFonts w:ascii="Verdana" w:hAnsi="Verdana"/>
          <w:sz w:val="20"/>
          <w:szCs w:val="20"/>
          <w:lang w:val="en-US"/>
        </w:rPr>
        <w:t xml:space="preserve"> Eugenio Raúl Zaffaroni</w:t>
      </w:r>
      <w:r w:rsidR="00193CBB" w:rsidRPr="00C9465D">
        <w:rPr>
          <w:rFonts w:ascii="Verdana" w:hAnsi="Verdana"/>
          <w:sz w:val="20"/>
          <w:szCs w:val="20"/>
          <w:lang w:val="en-US"/>
        </w:rPr>
        <w:t xml:space="preserve"> and </w:t>
      </w:r>
      <w:r w:rsidR="006D7633" w:rsidRPr="00C9465D">
        <w:rPr>
          <w:rFonts w:ascii="Verdana" w:hAnsi="Verdana"/>
          <w:sz w:val="20"/>
          <w:szCs w:val="20"/>
          <w:lang w:val="en-US"/>
        </w:rPr>
        <w:t xml:space="preserve">Ricardo Pérez Manrique </w:t>
      </w:r>
      <w:r w:rsidRPr="00C9465D">
        <w:rPr>
          <w:rFonts w:ascii="Verdana" w:hAnsi="Verdana"/>
          <w:sz w:val="20"/>
          <w:szCs w:val="20"/>
          <w:lang w:val="en-US"/>
        </w:rPr>
        <w:t xml:space="preserve">advised the Court of their concurring opinions. </w:t>
      </w:r>
      <w:r w:rsidR="00193CBB" w:rsidRPr="00C9465D">
        <w:rPr>
          <w:rFonts w:ascii="Verdana" w:hAnsi="Verdana"/>
          <w:sz w:val="20"/>
          <w:szCs w:val="20"/>
          <w:lang w:val="en-US"/>
        </w:rPr>
        <w:t>Judge</w:t>
      </w:r>
      <w:r w:rsidR="00F3461F" w:rsidRPr="00C9465D">
        <w:rPr>
          <w:rFonts w:ascii="Verdana" w:hAnsi="Verdana"/>
          <w:sz w:val="20"/>
          <w:szCs w:val="20"/>
          <w:lang w:val="en-US"/>
        </w:rPr>
        <w:t xml:space="preserve"> </w:t>
      </w:r>
      <w:r w:rsidR="006D7633" w:rsidRPr="00C9465D">
        <w:rPr>
          <w:rFonts w:ascii="Verdana" w:hAnsi="Verdana"/>
          <w:sz w:val="20"/>
          <w:szCs w:val="20"/>
          <w:lang w:val="en-US"/>
        </w:rPr>
        <w:t xml:space="preserve">Eduardo Vio Grossi </w:t>
      </w:r>
      <w:r w:rsidRPr="00C9465D">
        <w:rPr>
          <w:rFonts w:ascii="Verdana" w:hAnsi="Verdana"/>
          <w:sz w:val="20"/>
          <w:szCs w:val="20"/>
          <w:lang w:val="en-US"/>
        </w:rPr>
        <w:t xml:space="preserve">advised the Court of his partially dissenting opinion and </w:t>
      </w:r>
      <w:r w:rsidR="00193CBB" w:rsidRPr="00C9465D">
        <w:rPr>
          <w:rFonts w:ascii="Verdana" w:hAnsi="Verdana"/>
          <w:sz w:val="20"/>
          <w:szCs w:val="20"/>
          <w:lang w:val="en-US"/>
        </w:rPr>
        <w:t>Judge</w:t>
      </w:r>
      <w:r w:rsidR="00F3461F" w:rsidRPr="00C9465D">
        <w:rPr>
          <w:rFonts w:ascii="Verdana" w:hAnsi="Verdana"/>
          <w:sz w:val="20"/>
          <w:szCs w:val="20"/>
          <w:lang w:val="en-US"/>
        </w:rPr>
        <w:t xml:space="preserve"> Humberto Sierra Porto </w:t>
      </w:r>
      <w:r w:rsidRPr="00C9465D">
        <w:rPr>
          <w:rFonts w:ascii="Verdana" w:hAnsi="Verdana"/>
          <w:sz w:val="20"/>
          <w:szCs w:val="20"/>
          <w:lang w:val="en-US"/>
        </w:rPr>
        <w:t xml:space="preserve">informed the Court of his concurring and </w:t>
      </w:r>
      <w:r w:rsidR="00D8209E" w:rsidRPr="00C9465D">
        <w:rPr>
          <w:rFonts w:ascii="Verdana" w:hAnsi="Verdana"/>
          <w:sz w:val="20"/>
          <w:szCs w:val="20"/>
          <w:lang w:val="en-US"/>
        </w:rPr>
        <w:t>partially</w:t>
      </w:r>
      <w:r w:rsidRPr="00C9465D">
        <w:rPr>
          <w:rFonts w:ascii="Verdana" w:hAnsi="Verdana"/>
          <w:sz w:val="20"/>
          <w:szCs w:val="20"/>
          <w:lang w:val="en-US"/>
        </w:rPr>
        <w:t xml:space="preserve"> dissenting opinion. </w:t>
      </w:r>
    </w:p>
    <w:p w14:paraId="18680D59" w14:textId="54F25E81" w:rsidR="00632CFA" w:rsidRPr="00C9465D" w:rsidRDefault="002F03AA" w:rsidP="000B48C6">
      <w:pPr>
        <w:pStyle w:val="BodyText"/>
        <w:spacing w:before="1" w:line="240" w:lineRule="auto"/>
        <w:jc w:val="both"/>
        <w:rPr>
          <w:rFonts w:ascii="Verdana" w:hAnsi="Verdana"/>
          <w:sz w:val="20"/>
          <w:szCs w:val="20"/>
          <w:lang w:val="en-US"/>
        </w:rPr>
      </w:pPr>
      <w:r w:rsidRPr="00C9465D">
        <w:rPr>
          <w:rFonts w:ascii="Verdana" w:hAnsi="Verdana"/>
          <w:sz w:val="20"/>
          <w:szCs w:val="20"/>
          <w:lang w:val="en-US"/>
        </w:rPr>
        <w:t xml:space="preserve">DONE, at </w:t>
      </w:r>
      <w:r w:rsidR="00AC0EB3" w:rsidRPr="00C9465D">
        <w:rPr>
          <w:rFonts w:ascii="Verdana" w:hAnsi="Verdana"/>
          <w:sz w:val="20"/>
          <w:szCs w:val="20"/>
          <w:lang w:val="en-US"/>
        </w:rPr>
        <w:t>San José, Costa Rica</w:t>
      </w:r>
      <w:r w:rsidRPr="00C9465D">
        <w:rPr>
          <w:rFonts w:ascii="Verdana" w:hAnsi="Verdana"/>
          <w:sz w:val="20"/>
          <w:szCs w:val="20"/>
          <w:lang w:val="en-US"/>
        </w:rPr>
        <w:t>, in a virtual session, on March 26, 2021, in the Spanish language.</w:t>
      </w:r>
    </w:p>
    <w:p w14:paraId="2CB54386" w14:textId="77777777" w:rsidR="002F03AA" w:rsidRPr="00C9465D" w:rsidRDefault="002F03AA">
      <w:pPr>
        <w:rPr>
          <w:rFonts w:ascii="Verdana" w:eastAsia="Times New Roman" w:hAnsi="Verdana" w:cs="Courier New"/>
          <w:noProof/>
          <w:sz w:val="20"/>
          <w:szCs w:val="20"/>
          <w:lang w:val="en-US"/>
        </w:rPr>
      </w:pPr>
      <w:r w:rsidRPr="00C9465D">
        <w:rPr>
          <w:rFonts w:ascii="Verdana" w:eastAsia="Times New Roman" w:hAnsi="Verdana" w:cs="Courier New"/>
          <w:noProof/>
          <w:sz w:val="20"/>
          <w:szCs w:val="20"/>
          <w:lang w:val="en-US"/>
        </w:rPr>
        <w:br w:type="page"/>
      </w:r>
    </w:p>
    <w:p w14:paraId="73CD272A" w14:textId="256D8596" w:rsidR="00AD1EDB" w:rsidRPr="00C9465D" w:rsidRDefault="002F03AA" w:rsidP="00AD1EDB">
      <w:pPr>
        <w:keepNext/>
        <w:spacing w:after="0" w:line="240" w:lineRule="auto"/>
        <w:outlineLvl w:val="0"/>
        <w:rPr>
          <w:rFonts w:ascii="Verdana" w:eastAsia="Calibri" w:hAnsi="Verdana" w:cs="Arial"/>
          <w:sz w:val="20"/>
          <w:szCs w:val="20"/>
          <w:lang w:val="en-US"/>
        </w:rPr>
      </w:pPr>
      <w:r w:rsidRPr="00C9465D">
        <w:rPr>
          <w:rFonts w:ascii="Verdana" w:eastAsia="Times New Roman" w:hAnsi="Verdana" w:cs="Courier New"/>
          <w:noProof/>
          <w:sz w:val="20"/>
          <w:szCs w:val="20"/>
          <w:lang w:val="en-US"/>
        </w:rPr>
        <w:lastRenderedPageBreak/>
        <w:t>I/A Court HR</w:t>
      </w:r>
      <w:r w:rsidR="00AD1EDB" w:rsidRPr="00C9465D">
        <w:rPr>
          <w:rFonts w:ascii="Verdana" w:eastAsia="Times New Roman" w:hAnsi="Verdana" w:cs="Courier New"/>
          <w:noProof/>
          <w:sz w:val="20"/>
          <w:szCs w:val="20"/>
          <w:lang w:val="en-US"/>
        </w:rPr>
        <w:t xml:space="preserve">. </w:t>
      </w:r>
      <w:r w:rsidR="00AD1EDB" w:rsidRPr="00C9465D">
        <w:rPr>
          <w:rFonts w:ascii="Verdana" w:eastAsia="Times New Roman" w:hAnsi="Verdana" w:cs="Times New Roman"/>
          <w:bCs/>
          <w:i/>
          <w:sz w:val="20"/>
          <w:szCs w:val="20"/>
          <w:lang w:val="en-US"/>
        </w:rPr>
        <w:t>Cas</w:t>
      </w:r>
      <w:r w:rsidRPr="00C9465D">
        <w:rPr>
          <w:rFonts w:ascii="Verdana" w:eastAsia="Times New Roman" w:hAnsi="Verdana" w:cs="Times New Roman"/>
          <w:bCs/>
          <w:i/>
          <w:sz w:val="20"/>
          <w:szCs w:val="20"/>
          <w:lang w:val="en-US"/>
        </w:rPr>
        <w:t xml:space="preserve">e of </w:t>
      </w:r>
      <w:r w:rsidR="00AD1EDB" w:rsidRPr="00C9465D">
        <w:rPr>
          <w:rFonts w:ascii="Verdana" w:eastAsia="Times New Roman" w:hAnsi="Verdana" w:cs="Times New Roman"/>
          <w:bCs/>
          <w:i/>
          <w:sz w:val="20"/>
          <w:szCs w:val="20"/>
          <w:lang w:val="en-US"/>
        </w:rPr>
        <w:t xml:space="preserve">Guachalá </w:t>
      </w:r>
      <w:r w:rsidR="00193CBB" w:rsidRPr="00C9465D">
        <w:rPr>
          <w:rFonts w:ascii="Verdana" w:eastAsia="Times New Roman" w:hAnsi="Verdana" w:cs="Times New Roman"/>
          <w:bCs/>
          <w:i/>
          <w:sz w:val="20"/>
          <w:szCs w:val="20"/>
          <w:lang w:val="en-US"/>
        </w:rPr>
        <w:t>Chimbo et al.</w:t>
      </w:r>
      <w:r w:rsidR="00AD1EDB" w:rsidRPr="00C9465D">
        <w:rPr>
          <w:rFonts w:ascii="Verdana" w:eastAsia="Times New Roman" w:hAnsi="Verdana" w:cs="Times New Roman"/>
          <w:bCs/>
          <w:i/>
          <w:sz w:val="20"/>
          <w:szCs w:val="20"/>
          <w:lang w:val="en-US"/>
        </w:rPr>
        <w:t xml:space="preserve"> </w:t>
      </w:r>
      <w:r w:rsidR="00193CBB" w:rsidRPr="00C9465D">
        <w:rPr>
          <w:rFonts w:ascii="Verdana" w:eastAsia="Times New Roman" w:hAnsi="Verdana" w:cs="Times New Roman"/>
          <w:bCs/>
          <w:i/>
          <w:sz w:val="20"/>
          <w:szCs w:val="20"/>
          <w:lang w:val="en-US"/>
        </w:rPr>
        <w:t>v.</w:t>
      </w:r>
      <w:r w:rsidR="00AD1EDB" w:rsidRPr="00C9465D">
        <w:rPr>
          <w:rFonts w:ascii="Verdana" w:eastAsia="Times New Roman" w:hAnsi="Verdana" w:cs="Times New Roman"/>
          <w:bCs/>
          <w:i/>
          <w:sz w:val="20"/>
          <w:szCs w:val="20"/>
          <w:lang w:val="en-US"/>
        </w:rPr>
        <w:t xml:space="preserve"> Ecuador.</w:t>
      </w:r>
      <w:r w:rsidR="00AD1EDB" w:rsidRPr="00C9465D">
        <w:rPr>
          <w:rFonts w:ascii="Verdana" w:eastAsia="Times New Roman" w:hAnsi="Verdana" w:cs="Arial"/>
          <w:sz w:val="20"/>
          <w:szCs w:val="20"/>
          <w:lang w:val="en-US"/>
        </w:rPr>
        <w:t xml:space="preserve"> </w:t>
      </w:r>
      <w:r w:rsidR="00193CBB" w:rsidRPr="00C9465D">
        <w:rPr>
          <w:rFonts w:ascii="Verdana" w:eastAsia="Calibri" w:hAnsi="Verdana" w:cs="Arial"/>
          <w:sz w:val="20"/>
          <w:szCs w:val="20"/>
          <w:lang w:val="en-US"/>
        </w:rPr>
        <w:t>Merits, reparations and costs</w:t>
      </w:r>
      <w:r w:rsidR="00AD1EDB" w:rsidRPr="00C9465D">
        <w:rPr>
          <w:rFonts w:ascii="Verdana" w:eastAsia="Calibri" w:hAnsi="Verdana" w:cs="Arial"/>
          <w:sz w:val="20"/>
          <w:szCs w:val="20"/>
          <w:lang w:val="en-US"/>
        </w:rPr>
        <w:t xml:space="preserve">. </w:t>
      </w:r>
      <w:r w:rsidRPr="00C9465D">
        <w:rPr>
          <w:rFonts w:ascii="Verdana" w:eastAsia="Calibri" w:hAnsi="Verdana" w:cs="Arial"/>
          <w:sz w:val="20"/>
          <w:szCs w:val="20"/>
          <w:lang w:val="en-US"/>
        </w:rPr>
        <w:t>Judgment of March 26,</w:t>
      </w:r>
      <w:r w:rsidR="00AD1EDB" w:rsidRPr="00C9465D">
        <w:rPr>
          <w:rFonts w:ascii="Verdana" w:eastAsia="Calibri" w:hAnsi="Verdana" w:cs="Arial"/>
          <w:sz w:val="20"/>
          <w:szCs w:val="20"/>
          <w:lang w:val="en-US"/>
        </w:rPr>
        <w:t xml:space="preserve"> 2021. </w:t>
      </w:r>
      <w:r w:rsidRPr="00C9465D">
        <w:rPr>
          <w:rFonts w:ascii="Verdana" w:eastAsia="Calibri" w:hAnsi="Verdana" w:cs="Arial"/>
          <w:sz w:val="20"/>
          <w:szCs w:val="20"/>
          <w:lang w:val="en-US"/>
        </w:rPr>
        <w:t>Judgment adopted virtually at</w:t>
      </w:r>
      <w:r w:rsidR="00AD1EDB" w:rsidRPr="00C9465D">
        <w:rPr>
          <w:rFonts w:ascii="Verdana" w:eastAsia="Calibri" w:hAnsi="Verdana" w:cs="Arial"/>
          <w:sz w:val="20"/>
          <w:szCs w:val="20"/>
          <w:lang w:val="en-US"/>
        </w:rPr>
        <w:t xml:space="preserve"> San José, Costa Rica</w:t>
      </w:r>
      <w:r w:rsidRPr="00C9465D">
        <w:rPr>
          <w:rFonts w:ascii="Verdana" w:eastAsia="Calibri" w:hAnsi="Verdana" w:cs="Arial"/>
          <w:sz w:val="20"/>
          <w:szCs w:val="20"/>
          <w:lang w:val="en-US"/>
        </w:rPr>
        <w:t>.</w:t>
      </w:r>
    </w:p>
    <w:p w14:paraId="20645EC9" w14:textId="431F4F65" w:rsidR="00AD1EDB" w:rsidRPr="00C9465D" w:rsidRDefault="00AD1EDB" w:rsidP="00AD1EDB">
      <w:pPr>
        <w:keepNext/>
        <w:spacing w:after="0" w:line="240" w:lineRule="auto"/>
        <w:jc w:val="both"/>
        <w:outlineLvl w:val="0"/>
        <w:rPr>
          <w:rFonts w:ascii="Verdana" w:eastAsia="Times New Roman" w:hAnsi="Verdana" w:cs="Times New Roman"/>
          <w:sz w:val="20"/>
          <w:szCs w:val="20"/>
          <w:lang w:val="en-US"/>
        </w:rPr>
      </w:pPr>
    </w:p>
    <w:p w14:paraId="4595077B" w14:textId="77777777" w:rsidR="00AD1EDB" w:rsidRPr="00C9465D" w:rsidRDefault="00AD1EDB" w:rsidP="00AD1EDB">
      <w:pPr>
        <w:spacing w:after="0" w:line="240" w:lineRule="auto"/>
        <w:rPr>
          <w:rFonts w:ascii="Verdana" w:eastAsia="Times New Roman" w:hAnsi="Verdana" w:cs="Times New Roman"/>
          <w:sz w:val="20"/>
          <w:szCs w:val="20"/>
          <w:lang w:val="en-US"/>
        </w:rPr>
      </w:pPr>
    </w:p>
    <w:p w14:paraId="7C0525B8" w14:textId="77777777" w:rsidR="00AD1EDB" w:rsidRPr="00C9465D" w:rsidRDefault="00AD1EDB" w:rsidP="00AD1EDB">
      <w:pPr>
        <w:spacing w:after="0" w:line="240" w:lineRule="auto"/>
        <w:rPr>
          <w:rFonts w:ascii="Verdana" w:eastAsia="Times New Roman" w:hAnsi="Verdana" w:cs="Times New Roman"/>
          <w:sz w:val="20"/>
          <w:szCs w:val="20"/>
          <w:lang w:val="en-US"/>
        </w:rPr>
      </w:pPr>
    </w:p>
    <w:p w14:paraId="6C84F6A2" w14:textId="77777777" w:rsidR="00AD1EDB" w:rsidRPr="00C9465D" w:rsidRDefault="00AD1EDB" w:rsidP="00AD1EDB">
      <w:pPr>
        <w:spacing w:after="0" w:line="240" w:lineRule="auto"/>
        <w:rPr>
          <w:rFonts w:ascii="Verdana" w:eastAsia="Times New Roman" w:hAnsi="Verdana" w:cs="Times New Roman"/>
          <w:sz w:val="20"/>
          <w:szCs w:val="20"/>
          <w:lang w:val="en-US"/>
        </w:rPr>
      </w:pPr>
    </w:p>
    <w:p w14:paraId="43F694B8" w14:textId="77777777" w:rsidR="00AD1EDB" w:rsidRPr="00C9465D" w:rsidRDefault="00AD1EDB" w:rsidP="00AD1EDB">
      <w:pPr>
        <w:spacing w:after="0" w:line="240" w:lineRule="auto"/>
        <w:jc w:val="center"/>
        <w:rPr>
          <w:rFonts w:ascii="Verdana" w:eastAsia="Times New Roman" w:hAnsi="Verdana" w:cs="Times New Roman"/>
          <w:sz w:val="20"/>
          <w:szCs w:val="20"/>
          <w:lang w:val="en-US"/>
        </w:rPr>
      </w:pPr>
      <w:r w:rsidRPr="00C9465D">
        <w:rPr>
          <w:rFonts w:ascii="Verdana" w:eastAsia="Times New Roman" w:hAnsi="Verdana" w:cs="Times New Roman"/>
          <w:sz w:val="20"/>
          <w:szCs w:val="20"/>
          <w:lang w:val="en-US"/>
        </w:rPr>
        <w:t>Elizabeth Odio Benito</w:t>
      </w:r>
    </w:p>
    <w:p w14:paraId="65B43806" w14:textId="75AAA315" w:rsidR="00AD1EDB" w:rsidRPr="00C9465D" w:rsidRDefault="00AD1EDB" w:rsidP="00AD1EDB">
      <w:pPr>
        <w:spacing w:after="0" w:line="240" w:lineRule="auto"/>
        <w:ind w:left="3540" w:firstLine="708"/>
        <w:rPr>
          <w:rFonts w:ascii="Verdana" w:eastAsia="Times New Roman" w:hAnsi="Verdana" w:cs="Times New Roman"/>
          <w:sz w:val="20"/>
          <w:szCs w:val="20"/>
        </w:rPr>
      </w:pPr>
      <w:proofErr w:type="spellStart"/>
      <w:r w:rsidRPr="00C9465D">
        <w:rPr>
          <w:rFonts w:ascii="Verdana" w:eastAsia="Times New Roman" w:hAnsi="Verdana" w:cs="Times New Roman"/>
          <w:sz w:val="20"/>
          <w:szCs w:val="20"/>
        </w:rPr>
        <w:t>President</w:t>
      </w:r>
      <w:proofErr w:type="spellEnd"/>
    </w:p>
    <w:p w14:paraId="4DD62E92" w14:textId="77777777" w:rsidR="00AD1EDB" w:rsidRPr="00C9465D" w:rsidRDefault="00AD1EDB" w:rsidP="00AD1EDB">
      <w:pPr>
        <w:spacing w:after="0" w:line="240" w:lineRule="auto"/>
        <w:jc w:val="both"/>
        <w:rPr>
          <w:rFonts w:ascii="Verdana" w:eastAsia="Times New Roman" w:hAnsi="Verdana" w:cs="Times New Roman"/>
          <w:sz w:val="20"/>
          <w:szCs w:val="20"/>
        </w:rPr>
      </w:pPr>
    </w:p>
    <w:p w14:paraId="2CC58290" w14:textId="77777777" w:rsidR="00AD1EDB" w:rsidRPr="00C9465D" w:rsidRDefault="00AD1EDB" w:rsidP="00AD1EDB">
      <w:pPr>
        <w:spacing w:after="0" w:line="240" w:lineRule="auto"/>
        <w:jc w:val="both"/>
        <w:rPr>
          <w:rFonts w:ascii="Verdana" w:eastAsia="Times New Roman" w:hAnsi="Verdana" w:cs="Times New Roman"/>
          <w:sz w:val="20"/>
          <w:szCs w:val="20"/>
        </w:rPr>
      </w:pPr>
    </w:p>
    <w:p w14:paraId="06F8E8BC" w14:textId="77777777" w:rsidR="00AD1EDB" w:rsidRPr="00C9465D" w:rsidRDefault="00AD1EDB" w:rsidP="00AD1EDB">
      <w:pPr>
        <w:spacing w:after="0" w:line="240" w:lineRule="auto"/>
        <w:jc w:val="both"/>
        <w:rPr>
          <w:rFonts w:ascii="Verdana" w:eastAsia="Times New Roman" w:hAnsi="Verdana" w:cs="Times New Roman"/>
          <w:sz w:val="20"/>
          <w:szCs w:val="20"/>
        </w:rPr>
      </w:pPr>
    </w:p>
    <w:p w14:paraId="160527DA" w14:textId="77777777" w:rsidR="00AD1EDB" w:rsidRPr="00C9465D" w:rsidRDefault="00AD1EDB" w:rsidP="00AD1EDB">
      <w:pPr>
        <w:spacing w:after="0" w:line="240" w:lineRule="auto"/>
        <w:jc w:val="both"/>
        <w:rPr>
          <w:rFonts w:ascii="Verdana" w:eastAsia="Times New Roman" w:hAnsi="Verdana" w:cs="Times New Roman"/>
          <w:sz w:val="20"/>
          <w:szCs w:val="20"/>
        </w:rPr>
      </w:pPr>
    </w:p>
    <w:p w14:paraId="5ED68878" w14:textId="312031D4" w:rsidR="00AD1EDB" w:rsidRPr="00C9465D" w:rsidRDefault="00AD1EDB" w:rsidP="00AD1EDB">
      <w:pPr>
        <w:spacing w:after="0" w:line="240" w:lineRule="auto"/>
        <w:rPr>
          <w:rFonts w:ascii="Verdana" w:eastAsia="Times New Roman" w:hAnsi="Verdana" w:cs="Times New Roman"/>
          <w:sz w:val="20"/>
          <w:szCs w:val="20"/>
        </w:rPr>
      </w:pPr>
      <w:r w:rsidRPr="00C9465D">
        <w:rPr>
          <w:rFonts w:ascii="Verdana" w:eastAsia="Times New Roman" w:hAnsi="Verdana" w:cs="Times New Roman"/>
          <w:sz w:val="20"/>
          <w:szCs w:val="20"/>
        </w:rPr>
        <w:t>Eduardo Vio Grossi</w:t>
      </w:r>
      <w:r w:rsidRPr="00C9465D">
        <w:rPr>
          <w:rFonts w:ascii="Verdana" w:eastAsia="Times New Roman" w:hAnsi="Verdana" w:cs="Times New Roman"/>
          <w:sz w:val="20"/>
          <w:szCs w:val="20"/>
        </w:rPr>
        <w:tab/>
      </w:r>
      <w:r w:rsidRPr="00C9465D">
        <w:rPr>
          <w:rFonts w:ascii="Verdana" w:eastAsia="Times New Roman" w:hAnsi="Verdana" w:cs="Times New Roman"/>
          <w:sz w:val="20"/>
          <w:szCs w:val="20"/>
        </w:rPr>
        <w:tab/>
      </w:r>
      <w:r w:rsidRPr="00C9465D">
        <w:rPr>
          <w:rFonts w:ascii="Verdana" w:eastAsia="Times New Roman" w:hAnsi="Verdana" w:cs="Times New Roman"/>
          <w:sz w:val="20"/>
          <w:szCs w:val="20"/>
        </w:rPr>
        <w:tab/>
      </w:r>
      <w:r w:rsidRPr="00C9465D">
        <w:rPr>
          <w:rFonts w:ascii="Verdana" w:eastAsia="Times New Roman" w:hAnsi="Verdana" w:cs="Times New Roman"/>
          <w:sz w:val="20"/>
          <w:szCs w:val="20"/>
        </w:rPr>
        <w:tab/>
      </w:r>
      <w:r w:rsidRPr="00C9465D">
        <w:rPr>
          <w:rFonts w:ascii="Verdana" w:eastAsia="Times New Roman" w:hAnsi="Verdana" w:cs="Times New Roman"/>
          <w:sz w:val="20"/>
          <w:szCs w:val="20"/>
        </w:rPr>
        <w:tab/>
      </w:r>
      <w:r w:rsidRPr="00C9465D">
        <w:rPr>
          <w:rFonts w:ascii="Verdana" w:eastAsia="Times New Roman" w:hAnsi="Verdana" w:cs="Times New Roman"/>
          <w:sz w:val="20"/>
          <w:szCs w:val="20"/>
        </w:rPr>
        <w:tab/>
        <w:t xml:space="preserve">         Humberto Antonio Sierra Porto</w:t>
      </w:r>
    </w:p>
    <w:p w14:paraId="673E5F39" w14:textId="1C31AF8B" w:rsidR="00AD1EDB" w:rsidRPr="00C9465D" w:rsidRDefault="00AD1EDB" w:rsidP="00AD1EDB">
      <w:pPr>
        <w:spacing w:after="0" w:line="240" w:lineRule="auto"/>
        <w:rPr>
          <w:rFonts w:ascii="Verdana" w:eastAsia="Times New Roman" w:hAnsi="Verdana" w:cs="Times New Roman"/>
          <w:sz w:val="20"/>
          <w:szCs w:val="20"/>
        </w:rPr>
      </w:pPr>
    </w:p>
    <w:p w14:paraId="5ED802AB" w14:textId="77777777" w:rsidR="00AD1EDB" w:rsidRPr="00C9465D" w:rsidRDefault="00AD1EDB" w:rsidP="00AD1EDB">
      <w:pPr>
        <w:spacing w:after="0" w:line="240" w:lineRule="auto"/>
        <w:rPr>
          <w:rFonts w:ascii="Verdana" w:eastAsia="Times New Roman" w:hAnsi="Verdana" w:cs="Times New Roman"/>
          <w:sz w:val="20"/>
          <w:szCs w:val="20"/>
        </w:rPr>
      </w:pPr>
    </w:p>
    <w:p w14:paraId="1FEB48B8" w14:textId="77777777" w:rsidR="00AD1EDB" w:rsidRPr="00C9465D" w:rsidRDefault="00AD1EDB" w:rsidP="00AD1EDB">
      <w:pPr>
        <w:spacing w:after="0" w:line="240" w:lineRule="auto"/>
        <w:rPr>
          <w:rFonts w:ascii="Verdana" w:eastAsia="Times New Roman" w:hAnsi="Verdana" w:cs="Times New Roman"/>
          <w:sz w:val="20"/>
          <w:szCs w:val="20"/>
        </w:rPr>
      </w:pPr>
    </w:p>
    <w:p w14:paraId="20517238" w14:textId="77777777" w:rsidR="00AD1EDB" w:rsidRPr="00C9465D" w:rsidRDefault="00AD1EDB" w:rsidP="00AD1EDB">
      <w:pPr>
        <w:spacing w:after="0" w:line="240" w:lineRule="auto"/>
        <w:rPr>
          <w:rFonts w:ascii="Verdana" w:eastAsia="Times New Roman" w:hAnsi="Verdana" w:cs="Times New Roman"/>
          <w:sz w:val="20"/>
          <w:szCs w:val="20"/>
        </w:rPr>
      </w:pPr>
    </w:p>
    <w:p w14:paraId="6F978ABC" w14:textId="77777777" w:rsidR="00AD1EDB" w:rsidRPr="00C9465D" w:rsidRDefault="00AD1EDB" w:rsidP="00AD1EDB">
      <w:pPr>
        <w:spacing w:after="0" w:line="240" w:lineRule="auto"/>
        <w:jc w:val="both"/>
        <w:rPr>
          <w:rFonts w:ascii="Verdana" w:eastAsia="Times New Roman" w:hAnsi="Verdana" w:cs="Times New Roman"/>
          <w:sz w:val="20"/>
          <w:szCs w:val="20"/>
        </w:rPr>
      </w:pPr>
    </w:p>
    <w:p w14:paraId="23B23793" w14:textId="77777777" w:rsidR="00AD1EDB" w:rsidRPr="00C9465D" w:rsidRDefault="00AD1EDB" w:rsidP="00AD1EDB">
      <w:pPr>
        <w:spacing w:after="0" w:line="240" w:lineRule="auto"/>
        <w:rPr>
          <w:rFonts w:ascii="Verdana" w:eastAsia="Times New Roman" w:hAnsi="Verdana" w:cs="Times New Roman"/>
          <w:sz w:val="20"/>
          <w:szCs w:val="20"/>
        </w:rPr>
      </w:pPr>
      <w:r w:rsidRPr="00C9465D">
        <w:rPr>
          <w:rFonts w:ascii="Verdana" w:eastAsia="Times New Roman" w:hAnsi="Verdana" w:cs="Times New Roman"/>
          <w:sz w:val="20"/>
          <w:szCs w:val="20"/>
        </w:rPr>
        <w:t>Eduardo Ferrer Mac-</w:t>
      </w:r>
      <w:proofErr w:type="spellStart"/>
      <w:r w:rsidRPr="00C9465D">
        <w:rPr>
          <w:rFonts w:ascii="Verdana" w:eastAsia="Times New Roman" w:hAnsi="Verdana" w:cs="Times New Roman"/>
          <w:sz w:val="20"/>
          <w:szCs w:val="20"/>
        </w:rPr>
        <w:t>Gregor</w:t>
      </w:r>
      <w:proofErr w:type="spellEnd"/>
      <w:r w:rsidRPr="00C9465D">
        <w:rPr>
          <w:rFonts w:ascii="Verdana" w:eastAsia="Times New Roman" w:hAnsi="Verdana" w:cs="Times New Roman"/>
          <w:sz w:val="20"/>
          <w:szCs w:val="20"/>
        </w:rPr>
        <w:t xml:space="preserve"> </w:t>
      </w:r>
      <w:proofErr w:type="spellStart"/>
      <w:r w:rsidRPr="00C9465D">
        <w:rPr>
          <w:rFonts w:ascii="Verdana" w:eastAsia="Times New Roman" w:hAnsi="Verdana" w:cs="Times New Roman"/>
          <w:sz w:val="20"/>
          <w:szCs w:val="20"/>
        </w:rPr>
        <w:t>Poisot</w:t>
      </w:r>
      <w:proofErr w:type="spellEnd"/>
      <w:r w:rsidRPr="00C9465D">
        <w:rPr>
          <w:rFonts w:ascii="Verdana" w:eastAsia="Times New Roman" w:hAnsi="Verdana" w:cs="Times New Roman"/>
          <w:sz w:val="20"/>
          <w:szCs w:val="20"/>
        </w:rPr>
        <w:tab/>
      </w:r>
      <w:r w:rsidRPr="00C9465D">
        <w:rPr>
          <w:rFonts w:ascii="Verdana" w:eastAsia="Times New Roman" w:hAnsi="Verdana" w:cs="Times New Roman"/>
          <w:sz w:val="20"/>
          <w:szCs w:val="20"/>
        </w:rPr>
        <w:tab/>
      </w:r>
      <w:r w:rsidRPr="00C9465D">
        <w:rPr>
          <w:rFonts w:ascii="Verdana" w:eastAsia="Times New Roman" w:hAnsi="Verdana" w:cs="Times New Roman"/>
          <w:sz w:val="20"/>
          <w:szCs w:val="20"/>
        </w:rPr>
        <w:tab/>
      </w:r>
      <w:r w:rsidRPr="00C9465D">
        <w:rPr>
          <w:rFonts w:ascii="Verdana" w:eastAsia="Times New Roman" w:hAnsi="Verdana" w:cs="Times New Roman"/>
          <w:sz w:val="20"/>
          <w:szCs w:val="20"/>
        </w:rPr>
        <w:tab/>
      </w:r>
      <w:r w:rsidRPr="00C9465D">
        <w:rPr>
          <w:rFonts w:ascii="Verdana" w:eastAsia="Times New Roman" w:hAnsi="Verdana" w:cs="Times New Roman"/>
          <w:sz w:val="20"/>
          <w:szCs w:val="20"/>
        </w:rPr>
        <w:tab/>
        <w:t xml:space="preserve">         Eugenio Raúl Zaffaroni</w:t>
      </w:r>
    </w:p>
    <w:p w14:paraId="070ABDD3" w14:textId="77777777" w:rsidR="00AD1EDB" w:rsidRPr="00C9465D" w:rsidRDefault="00AD1EDB" w:rsidP="00AD1EDB">
      <w:pPr>
        <w:spacing w:after="0" w:line="240" w:lineRule="auto"/>
        <w:rPr>
          <w:rFonts w:ascii="Verdana" w:eastAsia="Times New Roman" w:hAnsi="Verdana" w:cs="Times New Roman"/>
          <w:sz w:val="20"/>
          <w:szCs w:val="20"/>
        </w:rPr>
      </w:pPr>
    </w:p>
    <w:p w14:paraId="4220FCB4" w14:textId="77777777" w:rsidR="00AD1EDB" w:rsidRPr="00C9465D" w:rsidRDefault="00AD1EDB" w:rsidP="00AD1EDB">
      <w:pPr>
        <w:spacing w:after="0" w:line="240" w:lineRule="auto"/>
        <w:rPr>
          <w:rFonts w:ascii="Verdana" w:eastAsia="Times New Roman" w:hAnsi="Verdana" w:cs="Times New Roman"/>
          <w:sz w:val="20"/>
          <w:szCs w:val="20"/>
        </w:rPr>
      </w:pPr>
    </w:p>
    <w:p w14:paraId="068B4FF3" w14:textId="164B1EAF" w:rsidR="00AD1EDB" w:rsidRPr="00C9465D" w:rsidRDefault="00AD1EDB" w:rsidP="00AD1EDB">
      <w:pPr>
        <w:spacing w:after="0" w:line="240" w:lineRule="auto"/>
        <w:rPr>
          <w:rFonts w:ascii="Verdana" w:eastAsia="Times New Roman" w:hAnsi="Verdana" w:cs="Times New Roman"/>
          <w:sz w:val="20"/>
          <w:szCs w:val="20"/>
        </w:rPr>
      </w:pPr>
    </w:p>
    <w:p w14:paraId="2986C67D" w14:textId="1EDDDF68" w:rsidR="00AD1EDB" w:rsidRPr="00C9465D" w:rsidRDefault="00AD1EDB" w:rsidP="00AD1EDB">
      <w:pPr>
        <w:spacing w:after="0" w:line="240" w:lineRule="auto"/>
        <w:rPr>
          <w:rFonts w:ascii="Verdana" w:eastAsia="Times New Roman" w:hAnsi="Verdana" w:cs="Times New Roman"/>
          <w:sz w:val="20"/>
          <w:szCs w:val="20"/>
        </w:rPr>
      </w:pPr>
    </w:p>
    <w:p w14:paraId="32797F81" w14:textId="77777777" w:rsidR="00AD1EDB" w:rsidRPr="00C9465D" w:rsidRDefault="00AD1EDB" w:rsidP="00AD1EDB">
      <w:pPr>
        <w:spacing w:after="0" w:line="240" w:lineRule="auto"/>
        <w:rPr>
          <w:rFonts w:ascii="Verdana" w:eastAsia="Times New Roman" w:hAnsi="Verdana" w:cs="Times New Roman"/>
          <w:sz w:val="20"/>
          <w:szCs w:val="20"/>
        </w:rPr>
      </w:pPr>
    </w:p>
    <w:p w14:paraId="7A1D4663" w14:textId="77777777" w:rsidR="00AD1EDB" w:rsidRPr="00C9465D" w:rsidRDefault="00AD1EDB" w:rsidP="00AD1EDB">
      <w:pPr>
        <w:spacing w:after="0" w:line="240" w:lineRule="auto"/>
        <w:jc w:val="center"/>
        <w:rPr>
          <w:rFonts w:ascii="Verdana" w:eastAsia="Times New Roman" w:hAnsi="Verdana" w:cs="Times New Roman"/>
          <w:sz w:val="20"/>
          <w:szCs w:val="20"/>
        </w:rPr>
      </w:pPr>
      <w:r w:rsidRPr="00C9465D">
        <w:rPr>
          <w:rFonts w:ascii="Verdana" w:eastAsia="Times New Roman" w:hAnsi="Verdana" w:cs="Times New Roman"/>
          <w:sz w:val="20"/>
          <w:szCs w:val="20"/>
        </w:rPr>
        <w:t>Ricardo C. Pérez Manrique</w:t>
      </w:r>
    </w:p>
    <w:p w14:paraId="50222B97" w14:textId="77777777" w:rsidR="00AD1EDB" w:rsidRPr="00C9465D" w:rsidRDefault="00AD1EDB" w:rsidP="00AD1EDB">
      <w:pPr>
        <w:spacing w:after="0" w:line="240" w:lineRule="auto"/>
        <w:jc w:val="both"/>
        <w:rPr>
          <w:rFonts w:ascii="Verdana" w:eastAsia="Times New Roman" w:hAnsi="Verdana" w:cs="Times New Roman"/>
          <w:sz w:val="20"/>
          <w:szCs w:val="20"/>
        </w:rPr>
      </w:pPr>
    </w:p>
    <w:p w14:paraId="49EF21C9" w14:textId="77777777" w:rsidR="00AD1EDB" w:rsidRPr="00C9465D" w:rsidRDefault="00AD1EDB" w:rsidP="00AD1EDB">
      <w:pPr>
        <w:spacing w:after="0" w:line="240" w:lineRule="auto"/>
        <w:jc w:val="both"/>
        <w:rPr>
          <w:rFonts w:ascii="Verdana" w:eastAsia="Times New Roman" w:hAnsi="Verdana" w:cs="Times New Roman"/>
          <w:sz w:val="20"/>
          <w:szCs w:val="20"/>
        </w:rPr>
      </w:pPr>
    </w:p>
    <w:p w14:paraId="75F0055E" w14:textId="77777777" w:rsidR="00AD1EDB" w:rsidRPr="00C9465D" w:rsidRDefault="00AD1EDB" w:rsidP="00AD1EDB">
      <w:pPr>
        <w:spacing w:after="0" w:line="240" w:lineRule="auto"/>
        <w:jc w:val="both"/>
        <w:rPr>
          <w:rFonts w:ascii="Verdana" w:eastAsia="Times New Roman" w:hAnsi="Verdana" w:cs="Times New Roman"/>
          <w:sz w:val="20"/>
          <w:szCs w:val="20"/>
        </w:rPr>
      </w:pPr>
    </w:p>
    <w:p w14:paraId="140ACFD4" w14:textId="77777777" w:rsidR="00AD1EDB" w:rsidRPr="00C9465D" w:rsidRDefault="00AD1EDB" w:rsidP="00AD1EDB">
      <w:pPr>
        <w:spacing w:after="0" w:line="240" w:lineRule="auto"/>
        <w:jc w:val="both"/>
        <w:rPr>
          <w:rFonts w:ascii="Verdana" w:eastAsia="Times New Roman" w:hAnsi="Verdana" w:cs="Times New Roman"/>
          <w:sz w:val="20"/>
          <w:szCs w:val="20"/>
        </w:rPr>
      </w:pPr>
    </w:p>
    <w:p w14:paraId="7DD3A20C" w14:textId="77777777" w:rsidR="00AD1EDB" w:rsidRPr="00C9465D" w:rsidRDefault="00AD1EDB" w:rsidP="00AD1EDB">
      <w:pPr>
        <w:spacing w:after="0" w:line="240" w:lineRule="auto"/>
        <w:jc w:val="both"/>
        <w:rPr>
          <w:rFonts w:ascii="Verdana" w:eastAsia="Times New Roman" w:hAnsi="Verdana" w:cs="Times New Roman"/>
          <w:sz w:val="20"/>
          <w:szCs w:val="20"/>
        </w:rPr>
      </w:pPr>
    </w:p>
    <w:p w14:paraId="3AFCA2BE" w14:textId="77777777" w:rsidR="00AD1EDB" w:rsidRPr="00C9465D" w:rsidRDefault="00AD1EDB" w:rsidP="00AD1EDB">
      <w:pPr>
        <w:spacing w:after="0" w:line="240" w:lineRule="auto"/>
        <w:jc w:val="center"/>
        <w:rPr>
          <w:rFonts w:ascii="Verdana" w:eastAsia="Times New Roman" w:hAnsi="Verdana" w:cs="Times New Roman"/>
          <w:sz w:val="20"/>
          <w:szCs w:val="20"/>
        </w:rPr>
      </w:pPr>
      <w:r w:rsidRPr="00C9465D">
        <w:rPr>
          <w:rFonts w:ascii="Verdana" w:eastAsia="Times New Roman" w:hAnsi="Verdana" w:cs="Times New Roman"/>
          <w:sz w:val="20"/>
          <w:szCs w:val="20"/>
        </w:rPr>
        <w:t>Pablo Saavedra Alessandri</w:t>
      </w:r>
    </w:p>
    <w:p w14:paraId="08FC1A95" w14:textId="542C3A49" w:rsidR="00AD1EDB" w:rsidRPr="00C9465D" w:rsidRDefault="002F03AA" w:rsidP="00AD1EDB">
      <w:pPr>
        <w:spacing w:after="0" w:line="240" w:lineRule="auto"/>
        <w:jc w:val="center"/>
        <w:rPr>
          <w:rFonts w:ascii="Verdana" w:eastAsia="Times New Roman" w:hAnsi="Verdana" w:cs="Times New Roman"/>
          <w:sz w:val="20"/>
          <w:szCs w:val="20"/>
          <w:lang w:val="en-US"/>
        </w:rPr>
      </w:pPr>
      <w:r w:rsidRPr="00C9465D">
        <w:rPr>
          <w:rFonts w:ascii="Verdana" w:eastAsia="Times New Roman" w:hAnsi="Verdana" w:cs="Times New Roman"/>
          <w:sz w:val="20"/>
          <w:szCs w:val="20"/>
          <w:lang w:val="en-US"/>
        </w:rPr>
        <w:t>Secretary</w:t>
      </w:r>
    </w:p>
    <w:p w14:paraId="3FB90212" w14:textId="77777777" w:rsidR="00AD1EDB" w:rsidRPr="00C9465D" w:rsidRDefault="00AD1EDB" w:rsidP="00AD1EDB">
      <w:pPr>
        <w:spacing w:after="0" w:line="240" w:lineRule="auto"/>
        <w:rPr>
          <w:rFonts w:ascii="Verdana" w:eastAsia="Times New Roman" w:hAnsi="Verdana" w:cs="Times New Roman"/>
          <w:sz w:val="20"/>
          <w:szCs w:val="20"/>
          <w:lang w:val="en-US"/>
        </w:rPr>
      </w:pPr>
    </w:p>
    <w:p w14:paraId="37915271" w14:textId="77777777" w:rsidR="00AD1EDB" w:rsidRPr="00C9465D" w:rsidRDefault="00AD1EDB" w:rsidP="00AD1EDB">
      <w:pPr>
        <w:spacing w:after="0" w:line="240" w:lineRule="auto"/>
        <w:rPr>
          <w:rFonts w:ascii="Verdana" w:eastAsia="Times New Roman" w:hAnsi="Verdana" w:cs="Times New Roman"/>
          <w:sz w:val="20"/>
          <w:szCs w:val="20"/>
          <w:lang w:val="en-US"/>
        </w:rPr>
      </w:pPr>
    </w:p>
    <w:p w14:paraId="5D149416" w14:textId="77777777" w:rsidR="00AD1EDB" w:rsidRPr="00C9465D" w:rsidRDefault="00AD1EDB" w:rsidP="00AD1EDB">
      <w:pPr>
        <w:spacing w:after="0" w:line="240" w:lineRule="auto"/>
        <w:rPr>
          <w:rFonts w:ascii="Verdana" w:eastAsia="Times New Roman" w:hAnsi="Verdana" w:cs="Times New Roman"/>
          <w:sz w:val="20"/>
          <w:szCs w:val="20"/>
          <w:lang w:val="en-US"/>
        </w:rPr>
      </w:pPr>
    </w:p>
    <w:p w14:paraId="7982046D" w14:textId="6DE1B0F9" w:rsidR="00AD1EDB" w:rsidRPr="00C9465D" w:rsidRDefault="002F03AA" w:rsidP="00AD1EDB">
      <w:pPr>
        <w:spacing w:after="0" w:line="240" w:lineRule="auto"/>
        <w:jc w:val="both"/>
        <w:rPr>
          <w:rFonts w:ascii="Verdana" w:eastAsia="Times New Roman" w:hAnsi="Verdana" w:cs="Times New Roman"/>
          <w:sz w:val="20"/>
          <w:szCs w:val="20"/>
          <w:lang w:val="en-US"/>
        </w:rPr>
      </w:pPr>
      <w:r w:rsidRPr="00C9465D">
        <w:rPr>
          <w:rFonts w:ascii="Verdana" w:eastAsia="Times New Roman" w:hAnsi="Verdana" w:cs="Times New Roman"/>
          <w:sz w:val="20"/>
          <w:szCs w:val="20"/>
          <w:lang w:val="en-US"/>
        </w:rPr>
        <w:t>So ordered</w:t>
      </w:r>
      <w:r w:rsidR="00AD1EDB" w:rsidRPr="00C9465D">
        <w:rPr>
          <w:rFonts w:ascii="Verdana" w:eastAsia="Times New Roman" w:hAnsi="Verdana" w:cs="Times New Roman"/>
          <w:sz w:val="20"/>
          <w:szCs w:val="20"/>
          <w:lang w:val="en-US"/>
        </w:rPr>
        <w:t>,</w:t>
      </w:r>
    </w:p>
    <w:p w14:paraId="0BF0D425" w14:textId="77777777" w:rsidR="00AD1EDB" w:rsidRPr="00C9465D" w:rsidRDefault="00AD1EDB" w:rsidP="00AD1EDB">
      <w:pPr>
        <w:spacing w:after="0" w:line="240" w:lineRule="auto"/>
        <w:jc w:val="both"/>
        <w:rPr>
          <w:rFonts w:ascii="Verdana" w:eastAsia="Times New Roman" w:hAnsi="Verdana" w:cs="Times New Roman"/>
          <w:sz w:val="20"/>
          <w:szCs w:val="20"/>
          <w:lang w:val="en-US"/>
        </w:rPr>
      </w:pPr>
    </w:p>
    <w:p w14:paraId="31073D60" w14:textId="77777777" w:rsidR="00AD1EDB" w:rsidRPr="00C9465D" w:rsidRDefault="00AD1EDB" w:rsidP="00AD1EDB">
      <w:pPr>
        <w:spacing w:after="0" w:line="240" w:lineRule="auto"/>
        <w:jc w:val="both"/>
        <w:rPr>
          <w:rFonts w:ascii="Verdana" w:eastAsia="Times New Roman" w:hAnsi="Verdana" w:cs="Times New Roman"/>
          <w:sz w:val="20"/>
          <w:szCs w:val="20"/>
          <w:lang w:val="en-US"/>
        </w:rPr>
      </w:pPr>
    </w:p>
    <w:p w14:paraId="54E9FA7A" w14:textId="77777777" w:rsidR="00AD1EDB" w:rsidRPr="00C9465D" w:rsidRDefault="00AD1EDB" w:rsidP="00AD1EDB">
      <w:pPr>
        <w:spacing w:after="0" w:line="240" w:lineRule="auto"/>
        <w:jc w:val="both"/>
        <w:rPr>
          <w:rFonts w:ascii="Verdana" w:eastAsia="Times New Roman" w:hAnsi="Verdana" w:cs="Times New Roman"/>
          <w:sz w:val="20"/>
          <w:szCs w:val="20"/>
          <w:lang w:val="en-US"/>
        </w:rPr>
      </w:pPr>
    </w:p>
    <w:p w14:paraId="2F3AF343" w14:textId="77777777" w:rsidR="00AD1EDB" w:rsidRPr="00C9465D" w:rsidRDefault="00AD1EDB" w:rsidP="00AD1EDB">
      <w:pPr>
        <w:spacing w:after="0" w:line="240" w:lineRule="auto"/>
        <w:ind w:left="5664"/>
        <w:jc w:val="center"/>
        <w:rPr>
          <w:rFonts w:ascii="Verdana" w:eastAsia="Times New Roman" w:hAnsi="Verdana" w:cs="Times New Roman"/>
          <w:sz w:val="20"/>
          <w:szCs w:val="20"/>
          <w:lang w:val="en-US"/>
        </w:rPr>
      </w:pPr>
      <w:r w:rsidRPr="00C9465D">
        <w:rPr>
          <w:rFonts w:ascii="Verdana" w:eastAsia="Times New Roman" w:hAnsi="Verdana" w:cs="Times New Roman"/>
          <w:sz w:val="20"/>
          <w:szCs w:val="20"/>
          <w:lang w:val="en-US"/>
        </w:rPr>
        <w:t>Elizabeth Odio Benito</w:t>
      </w:r>
    </w:p>
    <w:p w14:paraId="03931C1F" w14:textId="11BAC2AA" w:rsidR="00AD1EDB" w:rsidRPr="00C9465D" w:rsidRDefault="00AD1EDB" w:rsidP="00AD1EDB">
      <w:pPr>
        <w:spacing w:after="0" w:line="240" w:lineRule="auto"/>
        <w:ind w:left="5664"/>
        <w:jc w:val="center"/>
        <w:rPr>
          <w:rFonts w:ascii="Verdana" w:eastAsia="Times New Roman" w:hAnsi="Verdana" w:cs="Times New Roman"/>
          <w:sz w:val="20"/>
          <w:szCs w:val="20"/>
          <w:lang w:val="en-US"/>
        </w:rPr>
      </w:pPr>
      <w:r w:rsidRPr="00C9465D">
        <w:rPr>
          <w:rFonts w:ascii="Verdana" w:eastAsia="Times New Roman" w:hAnsi="Verdana" w:cs="Times New Roman"/>
          <w:sz w:val="20"/>
          <w:szCs w:val="20"/>
          <w:lang w:val="en-US"/>
        </w:rPr>
        <w:t>President</w:t>
      </w:r>
    </w:p>
    <w:p w14:paraId="3DAA8F61" w14:textId="77777777" w:rsidR="00AD1EDB" w:rsidRPr="00C9465D" w:rsidRDefault="00AD1EDB" w:rsidP="00AD1EDB">
      <w:pPr>
        <w:spacing w:after="0" w:line="240" w:lineRule="auto"/>
        <w:jc w:val="both"/>
        <w:rPr>
          <w:rFonts w:ascii="Verdana" w:eastAsia="Times New Roman" w:hAnsi="Verdana" w:cs="Times New Roman"/>
          <w:sz w:val="20"/>
          <w:szCs w:val="20"/>
          <w:lang w:val="en-US"/>
        </w:rPr>
      </w:pPr>
    </w:p>
    <w:p w14:paraId="09C80ABF" w14:textId="77777777" w:rsidR="00AD1EDB" w:rsidRPr="00C9465D" w:rsidRDefault="00AD1EDB" w:rsidP="00AD1EDB">
      <w:pPr>
        <w:spacing w:after="0" w:line="240" w:lineRule="auto"/>
        <w:jc w:val="both"/>
        <w:rPr>
          <w:rFonts w:ascii="Verdana" w:eastAsia="Times New Roman" w:hAnsi="Verdana" w:cs="Times New Roman"/>
          <w:sz w:val="20"/>
          <w:szCs w:val="20"/>
          <w:lang w:val="en-US"/>
        </w:rPr>
      </w:pPr>
    </w:p>
    <w:p w14:paraId="5A50F815" w14:textId="77777777" w:rsidR="00AD1EDB" w:rsidRPr="00C9465D" w:rsidRDefault="00AD1EDB" w:rsidP="00AD1EDB">
      <w:pPr>
        <w:spacing w:after="0" w:line="240" w:lineRule="auto"/>
        <w:jc w:val="both"/>
        <w:rPr>
          <w:rFonts w:ascii="Verdana" w:eastAsia="Times New Roman" w:hAnsi="Verdana" w:cs="Times New Roman"/>
          <w:sz w:val="20"/>
          <w:szCs w:val="20"/>
          <w:lang w:val="en-US"/>
        </w:rPr>
      </w:pPr>
    </w:p>
    <w:p w14:paraId="6F4A2E65" w14:textId="77777777" w:rsidR="00AD1EDB" w:rsidRPr="00C9465D" w:rsidRDefault="00AD1EDB" w:rsidP="00AD1EDB">
      <w:pPr>
        <w:spacing w:after="0" w:line="240" w:lineRule="auto"/>
        <w:jc w:val="both"/>
        <w:rPr>
          <w:rFonts w:ascii="Verdana" w:eastAsia="Times New Roman" w:hAnsi="Verdana" w:cs="Times New Roman"/>
          <w:sz w:val="20"/>
          <w:szCs w:val="20"/>
          <w:lang w:val="en-US"/>
        </w:rPr>
      </w:pPr>
    </w:p>
    <w:p w14:paraId="0BE2C0B2" w14:textId="77777777" w:rsidR="00AD1EDB" w:rsidRPr="00C9465D" w:rsidRDefault="00AD1EDB" w:rsidP="00AD1EDB">
      <w:pPr>
        <w:spacing w:after="0" w:line="240" w:lineRule="auto"/>
        <w:jc w:val="both"/>
        <w:rPr>
          <w:rFonts w:ascii="Verdana" w:eastAsia="Times New Roman" w:hAnsi="Verdana" w:cs="Times New Roman"/>
          <w:sz w:val="20"/>
          <w:szCs w:val="20"/>
          <w:lang w:val="en-US"/>
        </w:rPr>
      </w:pPr>
      <w:r w:rsidRPr="00C9465D">
        <w:rPr>
          <w:rFonts w:ascii="Verdana" w:eastAsia="Times New Roman" w:hAnsi="Verdana" w:cs="Times New Roman"/>
          <w:sz w:val="20"/>
          <w:szCs w:val="20"/>
          <w:lang w:val="en-US"/>
        </w:rPr>
        <w:t>Pablo Saavedra Alessandri</w:t>
      </w:r>
    </w:p>
    <w:p w14:paraId="38878257" w14:textId="29DACE12" w:rsidR="000A7745" w:rsidRPr="00C9465D" w:rsidRDefault="00AD1EDB" w:rsidP="00AD1EDB">
      <w:pPr>
        <w:spacing w:after="0" w:line="240" w:lineRule="auto"/>
        <w:rPr>
          <w:rFonts w:ascii="Verdana" w:eastAsia="Times New Roman" w:hAnsi="Verdana" w:cs="Times New Roman"/>
          <w:sz w:val="20"/>
          <w:szCs w:val="20"/>
          <w:lang w:val="en-US"/>
        </w:rPr>
        <w:sectPr w:rsidR="000A7745" w:rsidRPr="00C9465D" w:rsidSect="00924875">
          <w:footerReference w:type="default" r:id="rId8"/>
          <w:pgSz w:w="12240" w:h="15840"/>
          <w:pgMar w:top="1418" w:right="1418" w:bottom="1418" w:left="1418" w:header="709" w:footer="737" w:gutter="0"/>
          <w:cols w:space="708"/>
          <w:docGrid w:linePitch="360"/>
        </w:sectPr>
      </w:pPr>
      <w:r w:rsidRPr="00C9465D">
        <w:rPr>
          <w:rFonts w:ascii="Verdana" w:eastAsia="Times New Roman" w:hAnsi="Verdana" w:cs="Times New Roman"/>
          <w:sz w:val="20"/>
          <w:szCs w:val="20"/>
          <w:lang w:val="en-US"/>
        </w:rPr>
        <w:tab/>
      </w:r>
      <w:r w:rsidR="002F03AA" w:rsidRPr="00C9465D">
        <w:rPr>
          <w:rFonts w:ascii="Verdana" w:eastAsia="Times New Roman" w:hAnsi="Verdana" w:cs="Times New Roman"/>
          <w:sz w:val="20"/>
          <w:szCs w:val="20"/>
          <w:lang w:val="en-US"/>
        </w:rPr>
        <w:t>Secretary</w:t>
      </w:r>
    </w:p>
    <w:p w14:paraId="7D9F6924" w14:textId="5F29130D" w:rsidR="000A7745" w:rsidRPr="00C9465D" w:rsidRDefault="000A7745" w:rsidP="00C45621">
      <w:pPr>
        <w:spacing w:after="100" w:line="240" w:lineRule="auto"/>
        <w:ind w:right="48"/>
        <w:jc w:val="center"/>
        <w:rPr>
          <w:rFonts w:ascii="Verdana" w:hAnsi="Verdana"/>
          <w:b/>
          <w:sz w:val="20"/>
          <w:szCs w:val="20"/>
          <w:lang w:val="en-US"/>
        </w:rPr>
      </w:pPr>
      <w:r w:rsidRPr="00C9465D">
        <w:rPr>
          <w:rFonts w:ascii="Verdana" w:hAnsi="Verdana"/>
          <w:b/>
          <w:sz w:val="20"/>
          <w:szCs w:val="20"/>
          <w:lang w:val="en-US"/>
        </w:rPr>
        <w:lastRenderedPageBreak/>
        <w:t xml:space="preserve"> </w:t>
      </w:r>
      <w:r w:rsidR="00BD26CF" w:rsidRPr="00C9465D">
        <w:rPr>
          <w:rFonts w:ascii="Verdana" w:hAnsi="Verdana"/>
          <w:b/>
          <w:sz w:val="20"/>
          <w:szCs w:val="20"/>
          <w:lang w:val="en-US"/>
        </w:rPr>
        <w:t>PARTIALLY DISSENTING OPINION OF</w:t>
      </w:r>
      <w:r w:rsidRPr="00C9465D">
        <w:rPr>
          <w:rFonts w:ascii="Verdana" w:hAnsi="Verdana"/>
          <w:b/>
          <w:sz w:val="20"/>
          <w:szCs w:val="20"/>
          <w:lang w:val="en-US"/>
        </w:rPr>
        <w:t xml:space="preserve"> </w:t>
      </w:r>
      <w:r w:rsidR="00193CBB" w:rsidRPr="00C9465D">
        <w:rPr>
          <w:rFonts w:ascii="Verdana" w:hAnsi="Verdana"/>
          <w:b/>
          <w:sz w:val="20"/>
          <w:szCs w:val="20"/>
          <w:lang w:val="en-US"/>
        </w:rPr>
        <w:t>JUDGE</w:t>
      </w:r>
      <w:r w:rsidRPr="00C9465D">
        <w:rPr>
          <w:rFonts w:ascii="Verdana" w:hAnsi="Verdana"/>
          <w:b/>
          <w:sz w:val="20"/>
          <w:szCs w:val="20"/>
          <w:lang w:val="en-US"/>
        </w:rPr>
        <w:t xml:space="preserve"> EDUARDO VIO GROSSI</w:t>
      </w:r>
    </w:p>
    <w:p w14:paraId="67917F30" w14:textId="2622C762" w:rsidR="000A7745" w:rsidRPr="00C9465D" w:rsidRDefault="00BD26CF" w:rsidP="00C45621">
      <w:pPr>
        <w:spacing w:after="100" w:line="240" w:lineRule="auto"/>
        <w:ind w:right="48"/>
        <w:jc w:val="center"/>
        <w:rPr>
          <w:rFonts w:ascii="Verdana" w:hAnsi="Verdana"/>
          <w:b/>
          <w:sz w:val="20"/>
          <w:szCs w:val="20"/>
          <w:lang w:val="en-US"/>
        </w:rPr>
      </w:pPr>
      <w:r w:rsidRPr="00C9465D">
        <w:rPr>
          <w:rFonts w:ascii="Verdana" w:hAnsi="Verdana"/>
          <w:b/>
          <w:sz w:val="20"/>
          <w:szCs w:val="20"/>
          <w:lang w:val="en-US"/>
        </w:rPr>
        <w:t>INTER-AMERICAN COURT OF HUMAN RIGHTS</w:t>
      </w:r>
    </w:p>
    <w:p w14:paraId="53C9510B" w14:textId="5DBC229D" w:rsidR="000A7745" w:rsidRPr="00C9465D" w:rsidRDefault="000A7745" w:rsidP="00C45621">
      <w:pPr>
        <w:spacing w:after="100" w:line="240" w:lineRule="auto"/>
        <w:ind w:right="48"/>
        <w:jc w:val="center"/>
        <w:rPr>
          <w:rFonts w:ascii="Verdana" w:hAnsi="Verdana"/>
          <w:b/>
          <w:bCs/>
          <w:sz w:val="20"/>
          <w:szCs w:val="20"/>
        </w:rPr>
      </w:pPr>
      <w:r w:rsidRPr="00C9465D">
        <w:rPr>
          <w:rFonts w:ascii="Verdana" w:hAnsi="Verdana"/>
          <w:b/>
          <w:bCs/>
          <w:sz w:val="20"/>
          <w:szCs w:val="20"/>
        </w:rPr>
        <w:t>CAS</w:t>
      </w:r>
      <w:r w:rsidR="00BD26CF" w:rsidRPr="00C9465D">
        <w:rPr>
          <w:rFonts w:ascii="Verdana" w:hAnsi="Verdana"/>
          <w:b/>
          <w:bCs/>
          <w:sz w:val="20"/>
          <w:szCs w:val="20"/>
        </w:rPr>
        <w:t>E OF</w:t>
      </w:r>
      <w:r w:rsidRPr="00C9465D">
        <w:rPr>
          <w:rFonts w:ascii="Verdana" w:hAnsi="Verdana"/>
          <w:b/>
          <w:bCs/>
          <w:sz w:val="20"/>
          <w:szCs w:val="20"/>
        </w:rPr>
        <w:t xml:space="preserve"> GUACHALÁ </w:t>
      </w:r>
      <w:r w:rsidR="00193CBB" w:rsidRPr="00C9465D">
        <w:rPr>
          <w:rFonts w:ascii="Verdana" w:hAnsi="Verdana"/>
          <w:b/>
          <w:bCs/>
          <w:sz w:val="20"/>
          <w:szCs w:val="20"/>
        </w:rPr>
        <w:t xml:space="preserve">CHIMBO </w:t>
      </w:r>
      <w:r w:rsidR="00193CBB" w:rsidRPr="00C9465D">
        <w:rPr>
          <w:rFonts w:ascii="Verdana" w:hAnsi="Verdana"/>
          <w:b/>
          <w:bCs/>
          <w:i/>
          <w:iCs/>
          <w:sz w:val="20"/>
          <w:szCs w:val="20"/>
        </w:rPr>
        <w:t>ET AL.</w:t>
      </w:r>
      <w:r w:rsidRPr="00C9465D">
        <w:rPr>
          <w:rFonts w:ascii="Verdana" w:hAnsi="Verdana"/>
          <w:b/>
          <w:bCs/>
          <w:i/>
          <w:iCs/>
          <w:sz w:val="20"/>
          <w:szCs w:val="20"/>
        </w:rPr>
        <w:t xml:space="preserve"> V.</w:t>
      </w:r>
      <w:r w:rsidRPr="00C9465D">
        <w:rPr>
          <w:rFonts w:ascii="Verdana" w:hAnsi="Verdana"/>
          <w:b/>
          <w:bCs/>
          <w:sz w:val="20"/>
          <w:szCs w:val="20"/>
        </w:rPr>
        <w:t xml:space="preserve"> ECUADOR</w:t>
      </w:r>
    </w:p>
    <w:p w14:paraId="6D36EF75" w14:textId="1B00F037" w:rsidR="000A7745" w:rsidRPr="00C9465D" w:rsidRDefault="00BD26CF" w:rsidP="00C45621">
      <w:pPr>
        <w:spacing w:after="100" w:line="240" w:lineRule="auto"/>
        <w:ind w:right="48"/>
        <w:jc w:val="center"/>
        <w:rPr>
          <w:rFonts w:ascii="Verdana" w:hAnsi="Verdana"/>
          <w:b/>
          <w:sz w:val="20"/>
          <w:szCs w:val="20"/>
          <w:lang w:val="en-US"/>
        </w:rPr>
      </w:pPr>
      <w:r w:rsidRPr="00C9465D">
        <w:rPr>
          <w:rFonts w:ascii="Verdana" w:hAnsi="Verdana"/>
          <w:b/>
          <w:sz w:val="20"/>
          <w:szCs w:val="20"/>
          <w:lang w:val="en-US"/>
        </w:rPr>
        <w:t>JUDGMENT OF MARCH 26,</w:t>
      </w:r>
      <w:r w:rsidR="000A7745" w:rsidRPr="00C9465D">
        <w:rPr>
          <w:rFonts w:ascii="Verdana" w:hAnsi="Verdana"/>
          <w:b/>
          <w:sz w:val="20"/>
          <w:szCs w:val="20"/>
          <w:lang w:val="en-US"/>
        </w:rPr>
        <w:t xml:space="preserve"> 2021</w:t>
      </w:r>
    </w:p>
    <w:p w14:paraId="6F8D3AE3" w14:textId="55646391" w:rsidR="000A7745" w:rsidRPr="00C9465D" w:rsidRDefault="000A7745" w:rsidP="00760D70">
      <w:pPr>
        <w:spacing w:line="240" w:lineRule="auto"/>
        <w:ind w:right="48"/>
        <w:jc w:val="center"/>
        <w:rPr>
          <w:rFonts w:ascii="Verdana" w:hAnsi="Verdana"/>
          <w:b/>
          <w:sz w:val="20"/>
          <w:szCs w:val="20"/>
          <w:lang w:val="en-US"/>
        </w:rPr>
      </w:pPr>
      <w:r w:rsidRPr="00C9465D">
        <w:rPr>
          <w:rFonts w:ascii="Verdana" w:hAnsi="Verdana"/>
          <w:b/>
          <w:sz w:val="20"/>
          <w:szCs w:val="20"/>
          <w:lang w:val="en-US"/>
        </w:rPr>
        <w:t>(</w:t>
      </w:r>
      <w:r w:rsidR="00193CBB" w:rsidRPr="00C9465D">
        <w:rPr>
          <w:rFonts w:ascii="Verdana" w:hAnsi="Verdana"/>
          <w:b/>
          <w:i/>
          <w:sz w:val="20"/>
          <w:szCs w:val="20"/>
          <w:lang w:val="en-US"/>
        </w:rPr>
        <w:t>Merits, reparations and costs</w:t>
      </w:r>
      <w:r w:rsidRPr="00C9465D">
        <w:rPr>
          <w:rFonts w:ascii="Verdana" w:hAnsi="Verdana"/>
          <w:b/>
          <w:sz w:val="20"/>
          <w:szCs w:val="20"/>
          <w:lang w:val="en-US"/>
        </w:rPr>
        <w:t>)</w:t>
      </w:r>
    </w:p>
    <w:p w14:paraId="1818F926" w14:textId="77777777" w:rsidR="000A7745" w:rsidRPr="00C9465D" w:rsidRDefault="000A7745" w:rsidP="00760D70">
      <w:pPr>
        <w:spacing w:line="240" w:lineRule="auto"/>
        <w:ind w:right="48"/>
        <w:jc w:val="center"/>
        <w:rPr>
          <w:rFonts w:ascii="Verdana" w:hAnsi="Verdana"/>
          <w:b/>
          <w:sz w:val="20"/>
          <w:szCs w:val="20"/>
          <w:lang w:val="en-US"/>
        </w:rPr>
      </w:pPr>
    </w:p>
    <w:p w14:paraId="111AE2D3" w14:textId="4BDEB625" w:rsidR="000A7745" w:rsidRPr="00C9465D" w:rsidRDefault="000A7745" w:rsidP="00D47F8D">
      <w:pPr>
        <w:pStyle w:val="ListParagraph"/>
        <w:numPr>
          <w:ilvl w:val="0"/>
          <w:numId w:val="19"/>
        </w:numPr>
        <w:spacing w:after="160" w:line="240" w:lineRule="auto"/>
        <w:ind w:left="0" w:right="48" w:firstLine="0"/>
        <w:rPr>
          <w:b/>
          <w:lang w:val="en-US"/>
        </w:rPr>
      </w:pPr>
      <w:r w:rsidRPr="00C9465D">
        <w:rPr>
          <w:b/>
          <w:lang w:val="en-US"/>
        </w:rPr>
        <w:t>INTRODUC</w:t>
      </w:r>
      <w:r w:rsidR="00BD26CF" w:rsidRPr="00C9465D">
        <w:rPr>
          <w:b/>
          <w:lang w:val="en-US"/>
        </w:rPr>
        <w:t>TION</w:t>
      </w:r>
    </w:p>
    <w:p w14:paraId="4F7C7F16" w14:textId="521C44E3" w:rsidR="000A7745" w:rsidRPr="00C9465D" w:rsidRDefault="00E00CD5" w:rsidP="00D47F8D">
      <w:pPr>
        <w:numPr>
          <w:ilvl w:val="0"/>
          <w:numId w:val="18"/>
        </w:numPr>
        <w:spacing w:line="240" w:lineRule="auto"/>
        <w:ind w:left="0" w:right="48" w:firstLine="0"/>
        <w:contextualSpacing/>
        <w:jc w:val="both"/>
        <w:rPr>
          <w:rFonts w:ascii="Verdana" w:hAnsi="Verdana"/>
          <w:sz w:val="20"/>
          <w:szCs w:val="20"/>
          <w:lang w:val="en-US"/>
        </w:rPr>
      </w:pPr>
      <w:r w:rsidRPr="00C9465D">
        <w:rPr>
          <w:rFonts w:ascii="Verdana" w:hAnsi="Verdana"/>
          <w:sz w:val="20"/>
          <w:szCs w:val="20"/>
          <w:lang w:val="en-US"/>
        </w:rPr>
        <w:t xml:space="preserve">This dissenting opinion concerning </w:t>
      </w:r>
      <w:r w:rsidR="008F17CD" w:rsidRPr="00C9465D">
        <w:rPr>
          <w:rFonts w:ascii="Verdana" w:hAnsi="Verdana"/>
          <w:sz w:val="20"/>
          <w:szCs w:val="20"/>
          <w:lang w:val="en-US"/>
        </w:rPr>
        <w:t>the</w:t>
      </w:r>
      <w:r w:rsidRPr="00C9465D">
        <w:rPr>
          <w:rFonts w:ascii="Verdana" w:hAnsi="Verdana"/>
          <w:sz w:val="20"/>
          <w:szCs w:val="20"/>
          <w:lang w:val="en-US"/>
        </w:rPr>
        <w:t xml:space="preserve"> above</w:t>
      </w:r>
      <w:r w:rsidR="008F17CD" w:rsidRPr="00C9465D">
        <w:rPr>
          <w:rFonts w:ascii="Verdana" w:hAnsi="Verdana"/>
          <w:sz w:val="20"/>
          <w:szCs w:val="20"/>
          <w:lang w:val="en-US"/>
        </w:rPr>
        <w:t xml:space="preserve"> judgment</w:t>
      </w:r>
      <w:r w:rsidR="000A7745" w:rsidRPr="00C9465D">
        <w:rPr>
          <w:rFonts w:ascii="Verdana" w:hAnsi="Verdana"/>
          <w:sz w:val="20"/>
          <w:szCs w:val="20"/>
          <w:vertAlign w:val="superscript"/>
          <w:lang w:val="en-US"/>
        </w:rPr>
        <w:footnoteReference w:id="386"/>
      </w:r>
      <w:r w:rsidRPr="00C9465D">
        <w:rPr>
          <w:rFonts w:ascii="Verdana" w:hAnsi="Verdana"/>
          <w:sz w:val="20"/>
          <w:szCs w:val="20"/>
          <w:lang w:val="en-US"/>
        </w:rPr>
        <w:t xml:space="preserve"> is issued to set out the reasons</w:t>
      </w:r>
      <w:r w:rsidR="000A7745" w:rsidRPr="00C9465D">
        <w:rPr>
          <w:rFonts w:ascii="Verdana" w:hAnsi="Verdana"/>
          <w:sz w:val="20"/>
          <w:szCs w:val="20"/>
          <w:lang w:val="en-US"/>
        </w:rPr>
        <w:t xml:space="preserve"> </w:t>
      </w:r>
      <w:r w:rsidRPr="00C9465D">
        <w:rPr>
          <w:rFonts w:ascii="Verdana" w:hAnsi="Verdana"/>
          <w:sz w:val="20"/>
          <w:szCs w:val="20"/>
          <w:lang w:val="en-US"/>
        </w:rPr>
        <w:t>for my discrepancy with the mention made in the first operative paragraph of the judgment</w:t>
      </w:r>
      <w:r w:rsidR="000A7745" w:rsidRPr="00C9465D">
        <w:rPr>
          <w:rStyle w:val="FootnoteReference"/>
          <w:rFonts w:ascii="Verdana" w:hAnsi="Verdana"/>
          <w:sz w:val="20"/>
          <w:szCs w:val="20"/>
          <w:lang w:val="en-US"/>
        </w:rPr>
        <w:footnoteReference w:id="387"/>
      </w:r>
      <w:r w:rsidR="000A7745" w:rsidRPr="00C9465D">
        <w:rPr>
          <w:rFonts w:ascii="Verdana" w:hAnsi="Verdana"/>
          <w:sz w:val="20"/>
          <w:szCs w:val="20"/>
          <w:lang w:val="en-US"/>
        </w:rPr>
        <w:t xml:space="preserve"> </w:t>
      </w:r>
      <w:r w:rsidR="00C45621" w:rsidRPr="00C9465D">
        <w:rPr>
          <w:rFonts w:ascii="Verdana" w:hAnsi="Verdana"/>
          <w:sz w:val="20"/>
          <w:szCs w:val="20"/>
          <w:lang w:val="en-US"/>
        </w:rPr>
        <w:t>to</w:t>
      </w:r>
      <w:r w:rsidR="007A3CA5" w:rsidRPr="00C9465D">
        <w:rPr>
          <w:rFonts w:ascii="Verdana" w:hAnsi="Verdana"/>
          <w:sz w:val="20"/>
          <w:szCs w:val="20"/>
          <w:lang w:val="en-US"/>
        </w:rPr>
        <w:t xml:space="preserve"> Article</w:t>
      </w:r>
      <w:r w:rsidR="000A7745" w:rsidRPr="00C9465D">
        <w:rPr>
          <w:rFonts w:ascii="Verdana" w:hAnsi="Verdana"/>
          <w:sz w:val="20"/>
          <w:szCs w:val="20"/>
          <w:lang w:val="en-US"/>
        </w:rPr>
        <w:t xml:space="preserve"> 26</w:t>
      </w:r>
      <w:r w:rsidR="000A7745" w:rsidRPr="00C9465D">
        <w:rPr>
          <w:rStyle w:val="FootnoteReference"/>
          <w:rFonts w:ascii="Verdana" w:hAnsi="Verdana"/>
          <w:sz w:val="20"/>
          <w:szCs w:val="20"/>
          <w:lang w:val="en-US"/>
        </w:rPr>
        <w:footnoteReference w:id="388"/>
      </w:r>
      <w:r w:rsidR="00193CBB" w:rsidRPr="00C9465D">
        <w:rPr>
          <w:rFonts w:ascii="Verdana" w:hAnsi="Verdana"/>
          <w:sz w:val="20"/>
          <w:szCs w:val="20"/>
          <w:lang w:val="en-US"/>
        </w:rPr>
        <w:t xml:space="preserve"> of the American Convention on Human Rights</w:t>
      </w:r>
      <w:r w:rsidR="000A7745" w:rsidRPr="00C9465D">
        <w:rPr>
          <w:rStyle w:val="FootnoteReference"/>
          <w:rFonts w:ascii="Verdana" w:hAnsi="Verdana"/>
          <w:sz w:val="20"/>
          <w:szCs w:val="20"/>
          <w:lang w:val="en-US"/>
        </w:rPr>
        <w:footnoteReference w:id="389"/>
      </w:r>
      <w:r w:rsidR="000A7745" w:rsidRPr="00C9465D">
        <w:rPr>
          <w:rFonts w:ascii="Verdana" w:hAnsi="Verdana"/>
          <w:sz w:val="20"/>
          <w:szCs w:val="20"/>
          <w:lang w:val="en-US"/>
        </w:rPr>
        <w:t xml:space="preserve"> </w:t>
      </w:r>
      <w:r w:rsidRPr="00C9465D">
        <w:rPr>
          <w:rFonts w:ascii="Verdana" w:hAnsi="Verdana"/>
          <w:sz w:val="20"/>
          <w:szCs w:val="20"/>
          <w:lang w:val="en-US"/>
        </w:rPr>
        <w:t xml:space="preserve">in relation to the judicialization </w:t>
      </w:r>
      <w:r w:rsidR="00AC1354" w:rsidRPr="00C9465D">
        <w:rPr>
          <w:rFonts w:ascii="Verdana" w:hAnsi="Verdana"/>
          <w:sz w:val="20"/>
          <w:szCs w:val="20"/>
          <w:lang w:val="en-US"/>
        </w:rPr>
        <w:t>of the right</w:t>
      </w:r>
      <w:r w:rsidR="00260D95" w:rsidRPr="00C9465D">
        <w:rPr>
          <w:rFonts w:ascii="Verdana" w:hAnsi="Verdana"/>
          <w:sz w:val="20"/>
          <w:szCs w:val="20"/>
          <w:lang w:val="en-US"/>
        </w:rPr>
        <w:t xml:space="preserve"> to health</w:t>
      </w:r>
      <w:bookmarkStart w:id="158" w:name="_Hlk65137921"/>
      <w:r w:rsidR="000A7745" w:rsidRPr="00C9465D">
        <w:rPr>
          <w:rFonts w:ascii="Verdana" w:hAnsi="Verdana"/>
          <w:sz w:val="20"/>
          <w:szCs w:val="20"/>
          <w:lang w:val="en-US"/>
        </w:rPr>
        <w:t xml:space="preserve">. </w:t>
      </w:r>
    </w:p>
    <w:bookmarkEnd w:id="158"/>
    <w:p w14:paraId="76243EF0" w14:textId="77777777" w:rsidR="000A7745" w:rsidRPr="00C9465D" w:rsidRDefault="000A7745" w:rsidP="00760D70">
      <w:pPr>
        <w:spacing w:line="240" w:lineRule="auto"/>
        <w:ind w:right="48"/>
        <w:contextualSpacing/>
        <w:rPr>
          <w:rFonts w:ascii="Verdana" w:hAnsi="Verdana"/>
          <w:sz w:val="20"/>
          <w:szCs w:val="20"/>
          <w:lang w:val="en-US"/>
        </w:rPr>
      </w:pPr>
    </w:p>
    <w:p w14:paraId="678F761F" w14:textId="55F87040" w:rsidR="000A7745" w:rsidRPr="00C9465D" w:rsidRDefault="00BD26CF" w:rsidP="00D47F8D">
      <w:pPr>
        <w:pStyle w:val="ListParagraph"/>
        <w:numPr>
          <w:ilvl w:val="0"/>
          <w:numId w:val="19"/>
        </w:numPr>
        <w:spacing w:after="160" w:line="240" w:lineRule="auto"/>
        <w:ind w:left="0" w:right="48" w:firstLine="0"/>
        <w:rPr>
          <w:lang w:val="en-US"/>
        </w:rPr>
      </w:pPr>
      <w:r w:rsidRPr="00C9465D">
        <w:rPr>
          <w:b/>
          <w:bCs/>
          <w:lang w:val="en-US"/>
        </w:rPr>
        <w:t>PRELIMINARY OBSERVATION</w:t>
      </w:r>
    </w:p>
    <w:p w14:paraId="4E0474BC" w14:textId="4D87C502" w:rsidR="000A7745" w:rsidRPr="00C9465D" w:rsidRDefault="00E00CD5" w:rsidP="003B3792">
      <w:pPr>
        <w:numPr>
          <w:ilvl w:val="0"/>
          <w:numId w:val="18"/>
        </w:numPr>
        <w:spacing w:line="240" w:lineRule="auto"/>
        <w:ind w:left="0" w:right="48" w:firstLine="0"/>
        <w:contextualSpacing/>
        <w:jc w:val="both"/>
        <w:rPr>
          <w:rFonts w:ascii="Verdana" w:hAnsi="Verdana"/>
          <w:sz w:val="20"/>
          <w:szCs w:val="20"/>
          <w:lang w:val="en-US"/>
        </w:rPr>
      </w:pPr>
      <w:r w:rsidRPr="00C9465D">
        <w:rPr>
          <w:rFonts w:ascii="Verdana" w:hAnsi="Verdana"/>
          <w:sz w:val="20"/>
          <w:szCs w:val="20"/>
          <w:lang w:val="en-US"/>
        </w:rPr>
        <w:t xml:space="preserve">This discrepancy relates to the provisions of two articles </w:t>
      </w:r>
      <w:r w:rsidR="00193CBB" w:rsidRPr="00C9465D">
        <w:rPr>
          <w:rFonts w:ascii="Verdana" w:hAnsi="Verdana"/>
          <w:sz w:val="20"/>
          <w:szCs w:val="20"/>
          <w:lang w:val="en-US"/>
        </w:rPr>
        <w:t>of the Rules of Procedure of the Inter-American Court</w:t>
      </w:r>
      <w:r w:rsidR="000A7745" w:rsidRPr="00C9465D">
        <w:rPr>
          <w:rFonts w:ascii="Verdana" w:hAnsi="Verdana"/>
          <w:sz w:val="20"/>
          <w:szCs w:val="20"/>
          <w:lang w:val="en-US"/>
        </w:rPr>
        <w:t xml:space="preserve"> </w:t>
      </w:r>
      <w:r w:rsidR="00861B65" w:rsidRPr="00C9465D">
        <w:rPr>
          <w:rFonts w:ascii="Verdana" w:hAnsi="Verdana"/>
          <w:sz w:val="20"/>
          <w:szCs w:val="20"/>
          <w:lang w:val="en-US"/>
        </w:rPr>
        <w:t>of Human Rights</w:t>
      </w:r>
      <w:r w:rsidRPr="00C9465D">
        <w:rPr>
          <w:rFonts w:ascii="Verdana" w:hAnsi="Verdana"/>
          <w:sz w:val="20"/>
          <w:szCs w:val="20"/>
          <w:lang w:val="en-US"/>
        </w:rPr>
        <w:t>.</w:t>
      </w:r>
      <w:r w:rsidR="000A7745" w:rsidRPr="00C9465D">
        <w:rPr>
          <w:rStyle w:val="FootnoteReference"/>
          <w:rFonts w:ascii="Verdana" w:hAnsi="Verdana"/>
          <w:sz w:val="20"/>
          <w:szCs w:val="20"/>
          <w:lang w:val="en-US"/>
        </w:rPr>
        <w:footnoteReference w:id="390"/>
      </w:r>
      <w:r w:rsidR="000A7745" w:rsidRPr="00C9465D">
        <w:rPr>
          <w:rFonts w:ascii="Verdana" w:hAnsi="Verdana"/>
          <w:sz w:val="20"/>
          <w:szCs w:val="20"/>
          <w:lang w:val="en-US"/>
        </w:rPr>
        <w:t xml:space="preserve"> </w:t>
      </w:r>
      <w:r w:rsidRPr="00C9465D">
        <w:rPr>
          <w:rFonts w:ascii="Verdana" w:hAnsi="Verdana"/>
          <w:sz w:val="20"/>
          <w:szCs w:val="20"/>
          <w:lang w:val="en-US"/>
        </w:rPr>
        <w:t>The first,</w:t>
      </w:r>
      <w:r w:rsidR="000A7745" w:rsidRPr="00C9465D">
        <w:rPr>
          <w:rFonts w:ascii="Verdana" w:hAnsi="Verdana"/>
          <w:sz w:val="20"/>
          <w:szCs w:val="20"/>
          <w:lang w:val="en-US"/>
        </w:rPr>
        <w:t xml:space="preserve"> </w:t>
      </w:r>
      <w:r w:rsidR="00193CBB" w:rsidRPr="00C9465D">
        <w:rPr>
          <w:rFonts w:ascii="Verdana" w:hAnsi="Verdana"/>
          <w:sz w:val="20"/>
          <w:szCs w:val="20"/>
          <w:lang w:val="en-US"/>
        </w:rPr>
        <w:t>Article</w:t>
      </w:r>
      <w:r w:rsidR="000A7745" w:rsidRPr="00C9465D">
        <w:rPr>
          <w:rFonts w:ascii="Verdana" w:hAnsi="Verdana"/>
          <w:sz w:val="20"/>
          <w:szCs w:val="20"/>
          <w:lang w:val="en-US"/>
        </w:rPr>
        <w:t xml:space="preserve"> 16</w:t>
      </w:r>
      <w:r w:rsidRPr="00C9465D">
        <w:rPr>
          <w:rFonts w:ascii="Verdana" w:hAnsi="Verdana"/>
          <w:sz w:val="20"/>
          <w:szCs w:val="20"/>
          <w:lang w:val="en-US"/>
        </w:rPr>
        <w:t>(</w:t>
      </w:r>
      <w:r w:rsidR="000A7745" w:rsidRPr="00C9465D">
        <w:rPr>
          <w:rFonts w:ascii="Verdana" w:hAnsi="Verdana"/>
          <w:sz w:val="20"/>
          <w:szCs w:val="20"/>
          <w:lang w:val="en-US"/>
        </w:rPr>
        <w:t>1</w:t>
      </w:r>
      <w:r w:rsidRPr="00C9465D">
        <w:rPr>
          <w:rFonts w:ascii="Verdana" w:hAnsi="Verdana"/>
          <w:sz w:val="20"/>
          <w:szCs w:val="20"/>
          <w:lang w:val="en-US"/>
        </w:rPr>
        <w:t>), indicates that:</w:t>
      </w:r>
    </w:p>
    <w:p w14:paraId="72310581" w14:textId="77777777" w:rsidR="00E00CD5" w:rsidRPr="00C9465D" w:rsidRDefault="00E00CD5" w:rsidP="00E00CD5">
      <w:pPr>
        <w:spacing w:line="240" w:lineRule="auto"/>
        <w:ind w:right="48"/>
        <w:contextualSpacing/>
        <w:jc w:val="both"/>
        <w:rPr>
          <w:rFonts w:ascii="Verdana" w:hAnsi="Verdana"/>
          <w:sz w:val="18"/>
          <w:szCs w:val="18"/>
          <w:lang w:val="en-US"/>
        </w:rPr>
      </w:pPr>
    </w:p>
    <w:p w14:paraId="51E86DDE" w14:textId="218B96BA" w:rsidR="00E00CD5" w:rsidRPr="00C9465D" w:rsidRDefault="00E00CD5" w:rsidP="00E00CD5">
      <w:pPr>
        <w:widowControl w:val="0"/>
        <w:autoSpaceDE w:val="0"/>
        <w:autoSpaceDN w:val="0"/>
        <w:adjustRightInd w:val="0"/>
        <w:spacing w:after="240" w:line="240" w:lineRule="auto"/>
        <w:ind w:left="720" w:right="404"/>
        <w:jc w:val="both"/>
        <w:rPr>
          <w:rFonts w:ascii="Verdana" w:hAnsi="Verdana"/>
          <w:sz w:val="18"/>
          <w:szCs w:val="18"/>
          <w:lang w:val="en-US"/>
        </w:rPr>
      </w:pPr>
      <w:r w:rsidRPr="00C9465D">
        <w:rPr>
          <w:rFonts w:ascii="Verdana" w:hAnsi="Verdana"/>
          <w:sz w:val="18"/>
          <w:szCs w:val="18"/>
          <w:lang w:val="en-US"/>
        </w:rPr>
        <w:t>The President shall present, point by point, the matters to be voted upon. Each judge shall vote either in the affirmative or the negative; there shall be no abstentions.</w:t>
      </w:r>
    </w:p>
    <w:p w14:paraId="76E5EC39" w14:textId="09148318" w:rsidR="00E00CD5" w:rsidRPr="00C9465D" w:rsidRDefault="00E00CD5" w:rsidP="00D47F8D">
      <w:pPr>
        <w:pStyle w:val="ListParagraph"/>
        <w:numPr>
          <w:ilvl w:val="0"/>
          <w:numId w:val="18"/>
        </w:numPr>
        <w:spacing w:after="160" w:line="240" w:lineRule="auto"/>
        <w:ind w:left="0" w:right="48" w:firstLine="0"/>
        <w:rPr>
          <w:lang w:val="en-US"/>
        </w:rPr>
      </w:pPr>
      <w:r w:rsidRPr="00C9465D">
        <w:rPr>
          <w:lang w:val="en-US"/>
        </w:rPr>
        <w:t>This means that the different operative paragraphs of a judgment should be voted</w:t>
      </w:r>
      <w:r w:rsidR="00C45621" w:rsidRPr="00C9465D">
        <w:rPr>
          <w:lang w:val="en-US"/>
        </w:rPr>
        <w:t xml:space="preserve"> </w:t>
      </w:r>
      <w:r w:rsidRPr="00C9465D">
        <w:rPr>
          <w:lang w:val="en-US"/>
        </w:rPr>
        <w:t xml:space="preserve">on separately, one by one, but also that </w:t>
      </w:r>
      <w:r w:rsidR="00A97B82" w:rsidRPr="00C9465D">
        <w:rPr>
          <w:lang w:val="en-US"/>
        </w:rPr>
        <w:t>the respective vote adopts or rejects each of them as a whole; in other words, it is not possible to vote affirmatively or adopt part of the operative paragraph in question and negatively or reject the other part of the said paragraph.</w:t>
      </w:r>
    </w:p>
    <w:p w14:paraId="59C2CF65" w14:textId="11A00567" w:rsidR="000A7745" w:rsidRPr="00C9465D" w:rsidRDefault="00A97B82" w:rsidP="00D47F8D">
      <w:pPr>
        <w:numPr>
          <w:ilvl w:val="0"/>
          <w:numId w:val="18"/>
        </w:numPr>
        <w:spacing w:line="240" w:lineRule="auto"/>
        <w:ind w:left="0" w:right="48" w:firstLine="0"/>
        <w:contextualSpacing/>
        <w:jc w:val="both"/>
        <w:rPr>
          <w:rFonts w:ascii="Verdana" w:hAnsi="Verdana"/>
          <w:sz w:val="20"/>
          <w:szCs w:val="20"/>
          <w:lang w:val="en-US"/>
        </w:rPr>
      </w:pPr>
      <w:r w:rsidRPr="00C9465D">
        <w:rPr>
          <w:rFonts w:ascii="Verdana" w:hAnsi="Verdana"/>
          <w:sz w:val="20"/>
          <w:szCs w:val="20"/>
          <w:lang w:val="en-US"/>
        </w:rPr>
        <w:t xml:space="preserve">The other provision is the first phrase of </w:t>
      </w:r>
      <w:r w:rsidR="007A3CA5" w:rsidRPr="00C9465D">
        <w:rPr>
          <w:rFonts w:ascii="Verdana" w:hAnsi="Verdana"/>
          <w:sz w:val="20"/>
          <w:szCs w:val="20"/>
          <w:lang w:val="en-US"/>
        </w:rPr>
        <w:t>Article</w:t>
      </w:r>
      <w:r w:rsidR="000A7745" w:rsidRPr="00C9465D">
        <w:rPr>
          <w:rFonts w:ascii="Verdana" w:hAnsi="Verdana"/>
          <w:sz w:val="20"/>
          <w:szCs w:val="20"/>
          <w:lang w:val="en-US"/>
        </w:rPr>
        <w:t xml:space="preserve"> 65</w:t>
      </w:r>
      <w:r w:rsidRPr="00C9465D">
        <w:rPr>
          <w:rFonts w:ascii="Verdana" w:hAnsi="Verdana"/>
          <w:sz w:val="20"/>
          <w:szCs w:val="20"/>
          <w:lang w:val="en-US"/>
        </w:rPr>
        <w:t>(</w:t>
      </w:r>
      <w:r w:rsidR="000A7745" w:rsidRPr="00C9465D">
        <w:rPr>
          <w:rFonts w:ascii="Verdana" w:hAnsi="Verdana"/>
          <w:sz w:val="20"/>
          <w:szCs w:val="20"/>
          <w:lang w:val="en-US"/>
        </w:rPr>
        <w:t>2</w:t>
      </w:r>
      <w:r w:rsidRPr="00C9465D">
        <w:rPr>
          <w:rFonts w:ascii="Verdana" w:hAnsi="Verdana"/>
          <w:sz w:val="20"/>
          <w:szCs w:val="20"/>
          <w:lang w:val="en-US"/>
        </w:rPr>
        <w:t xml:space="preserve">) of these rules which indicates that: </w:t>
      </w:r>
    </w:p>
    <w:p w14:paraId="219B3DD8" w14:textId="77777777" w:rsidR="000A7745" w:rsidRPr="00C9465D" w:rsidRDefault="000A7745" w:rsidP="00760D70">
      <w:pPr>
        <w:spacing w:line="240" w:lineRule="auto"/>
        <w:ind w:right="48"/>
        <w:contextualSpacing/>
        <w:rPr>
          <w:rFonts w:ascii="Verdana" w:hAnsi="Verdana"/>
          <w:sz w:val="16"/>
          <w:szCs w:val="16"/>
          <w:lang w:val="en-US"/>
        </w:rPr>
      </w:pPr>
    </w:p>
    <w:p w14:paraId="5BA04D60" w14:textId="252A17DB" w:rsidR="000A7745" w:rsidRPr="00C9465D" w:rsidRDefault="00A97B82" w:rsidP="00A97B82">
      <w:pPr>
        <w:spacing w:after="0" w:line="240" w:lineRule="auto"/>
        <w:ind w:left="708" w:right="404"/>
        <w:contextualSpacing/>
        <w:jc w:val="both"/>
        <w:rPr>
          <w:rFonts w:ascii="Verdana" w:hAnsi="Verdana"/>
          <w:i/>
          <w:iCs/>
          <w:sz w:val="18"/>
          <w:szCs w:val="18"/>
          <w:lang w:val="en-US"/>
        </w:rPr>
      </w:pPr>
      <w:r w:rsidRPr="00C9465D">
        <w:rPr>
          <w:rFonts w:ascii="Verdana" w:hAnsi="Verdana"/>
          <w:sz w:val="18"/>
          <w:szCs w:val="18"/>
          <w:lang w:val="en-US"/>
        </w:rPr>
        <w:t xml:space="preserve">Any Judge who has taken part in the consideration of a case is entitled to append a separate reasoned opinion to the judgment, concurring or dissenting. </w:t>
      </w:r>
    </w:p>
    <w:p w14:paraId="2FC547C6" w14:textId="77777777" w:rsidR="000A7745" w:rsidRPr="00C9465D" w:rsidRDefault="000A7745" w:rsidP="00760D70">
      <w:pPr>
        <w:spacing w:after="0" w:line="240" w:lineRule="auto"/>
        <w:ind w:right="48"/>
        <w:contextualSpacing/>
        <w:rPr>
          <w:rFonts w:ascii="Verdana" w:hAnsi="Verdana"/>
          <w:i/>
          <w:iCs/>
          <w:sz w:val="20"/>
          <w:szCs w:val="20"/>
          <w:lang w:val="en-US"/>
        </w:rPr>
      </w:pPr>
    </w:p>
    <w:p w14:paraId="3E5F3FFC" w14:textId="545994EF" w:rsidR="000A7745" w:rsidRPr="00C9465D" w:rsidRDefault="00A97B82" w:rsidP="00A97B82">
      <w:pPr>
        <w:pStyle w:val="ListParagraph"/>
        <w:numPr>
          <w:ilvl w:val="0"/>
          <w:numId w:val="18"/>
        </w:numPr>
        <w:spacing w:after="160" w:line="240" w:lineRule="auto"/>
        <w:ind w:left="0" w:right="48" w:firstLine="0"/>
        <w:rPr>
          <w:lang w:val="en-US"/>
        </w:rPr>
      </w:pPr>
      <w:r w:rsidRPr="00C9465D">
        <w:rPr>
          <w:lang w:val="en-US"/>
        </w:rPr>
        <w:t xml:space="preserve">This provision follows the same rationale as the preceding one; namely, that the vote of the judge may concur with what is adopted in the respective operative paragraph or dissent from it; in other words, concur or dissent from it as a whole, because this is how it was adopted or rejected. And this is so because the concurring or dissenting </w:t>
      </w:r>
      <w:r w:rsidR="00C45621" w:rsidRPr="00C9465D">
        <w:rPr>
          <w:lang w:val="en-US"/>
        </w:rPr>
        <w:t>opinion</w:t>
      </w:r>
      <w:r w:rsidRPr="00C9465D">
        <w:rPr>
          <w:lang w:val="en-US"/>
        </w:rPr>
        <w:t xml:space="preserve"> is only explained or understood in relation to what has been adopted or rejected, respectively.</w:t>
      </w:r>
    </w:p>
    <w:p w14:paraId="67268435" w14:textId="77777777" w:rsidR="000A7745" w:rsidRPr="00C9465D" w:rsidRDefault="000A7745" w:rsidP="00760D70">
      <w:pPr>
        <w:pStyle w:val="ListParagraph"/>
        <w:spacing w:line="240" w:lineRule="auto"/>
        <w:ind w:left="0" w:right="48"/>
        <w:rPr>
          <w:lang w:val="en-US"/>
        </w:rPr>
      </w:pPr>
    </w:p>
    <w:p w14:paraId="1689D9ED" w14:textId="4789D6E3" w:rsidR="00A97B82" w:rsidRPr="00C9465D" w:rsidRDefault="00A97B82" w:rsidP="00D47F8D">
      <w:pPr>
        <w:pStyle w:val="ListParagraph"/>
        <w:numPr>
          <w:ilvl w:val="0"/>
          <w:numId w:val="18"/>
        </w:numPr>
        <w:spacing w:after="160" w:line="240" w:lineRule="auto"/>
        <w:ind w:left="0" w:right="48" w:firstLine="0"/>
        <w:rPr>
          <w:lang w:val="en-US"/>
        </w:rPr>
      </w:pPr>
      <w:r w:rsidRPr="00C9465D">
        <w:rPr>
          <w:lang w:val="en-US"/>
        </w:rPr>
        <w:lastRenderedPageBreak/>
        <w:t xml:space="preserve">Therefore, the harmonious interpretation of the two articles transcribed above </w:t>
      </w:r>
      <w:r w:rsidR="00C45621" w:rsidRPr="00C9465D">
        <w:rPr>
          <w:lang w:val="en-US"/>
        </w:rPr>
        <w:t xml:space="preserve">leads to </w:t>
      </w:r>
      <w:r w:rsidRPr="00C9465D">
        <w:rPr>
          <w:lang w:val="en-US"/>
        </w:rPr>
        <w:t>the conclusi</w:t>
      </w:r>
      <w:r w:rsidR="00E72C82" w:rsidRPr="00C9465D">
        <w:rPr>
          <w:lang w:val="en-US"/>
        </w:rPr>
        <w:t>o</w:t>
      </w:r>
      <w:r w:rsidRPr="00C9465D">
        <w:rPr>
          <w:lang w:val="en-US"/>
        </w:rPr>
        <w:t>n that,</w:t>
      </w:r>
      <w:r w:rsidR="00E72C82" w:rsidRPr="00C9465D">
        <w:rPr>
          <w:lang w:val="en-US"/>
        </w:rPr>
        <w:t xml:space="preserve"> since the pertinent operative paragraph is adopted as a whole by the affirmative vote, </w:t>
      </w:r>
      <w:r w:rsidR="00535137" w:rsidRPr="00C9465D">
        <w:rPr>
          <w:lang w:val="en-US"/>
        </w:rPr>
        <w:t xml:space="preserve">it is neither admissible nor logical that the eventual corresponding concurring opinion </w:t>
      </w:r>
      <w:r w:rsidR="00C45621" w:rsidRPr="00C9465D">
        <w:rPr>
          <w:lang w:val="en-US"/>
        </w:rPr>
        <w:t>also</w:t>
      </w:r>
      <w:r w:rsidR="00535137" w:rsidRPr="00C9465D">
        <w:rPr>
          <w:lang w:val="en-US"/>
        </w:rPr>
        <w:t xml:space="preserve"> dissent</w:t>
      </w:r>
      <w:r w:rsidR="00C45621" w:rsidRPr="00C9465D">
        <w:rPr>
          <w:lang w:val="en-US"/>
        </w:rPr>
        <w:t>s</w:t>
      </w:r>
      <w:r w:rsidR="00535137" w:rsidRPr="00C9465D">
        <w:rPr>
          <w:lang w:val="en-US"/>
        </w:rPr>
        <w:t xml:space="preserve"> </w:t>
      </w:r>
      <w:r w:rsidR="00C45621" w:rsidRPr="00C9465D">
        <w:rPr>
          <w:lang w:val="en-US"/>
        </w:rPr>
        <w:t>from</w:t>
      </w:r>
      <w:r w:rsidR="00535137" w:rsidRPr="00C9465D">
        <w:rPr>
          <w:lang w:val="en-US"/>
        </w:rPr>
        <w:t xml:space="preserve"> it, but only as regard one part of it. This is contrary to both the letter and the spirit of the provisions cited.</w:t>
      </w:r>
    </w:p>
    <w:p w14:paraId="70BC8A07" w14:textId="77777777" w:rsidR="000A7745" w:rsidRPr="00C9465D" w:rsidRDefault="000A7745" w:rsidP="00760D70">
      <w:pPr>
        <w:pStyle w:val="ListParagraph"/>
        <w:spacing w:line="240" w:lineRule="auto"/>
        <w:ind w:left="0" w:right="48"/>
        <w:rPr>
          <w:lang w:val="en-US"/>
        </w:rPr>
      </w:pPr>
    </w:p>
    <w:p w14:paraId="68B0185C" w14:textId="237B406F" w:rsidR="00535137" w:rsidRPr="00C9465D" w:rsidRDefault="00535137" w:rsidP="00D47F8D">
      <w:pPr>
        <w:pStyle w:val="ListParagraph"/>
        <w:numPr>
          <w:ilvl w:val="0"/>
          <w:numId w:val="18"/>
        </w:numPr>
        <w:spacing w:after="160" w:line="240" w:lineRule="auto"/>
        <w:ind w:left="0" w:right="48" w:firstLine="0"/>
        <w:rPr>
          <w:lang w:val="en-US"/>
        </w:rPr>
      </w:pPr>
      <w:r w:rsidRPr="00C9465D">
        <w:rPr>
          <w:lang w:val="en-US"/>
        </w:rPr>
        <w:t xml:space="preserve">The dissenting opinion may be total because it dissents from what is established in all the operative paragraphs of the judgment or partial if the discrepancy </w:t>
      </w:r>
      <w:r w:rsidR="00C45621" w:rsidRPr="00C9465D">
        <w:rPr>
          <w:lang w:val="en-US"/>
        </w:rPr>
        <w:t>only relates</w:t>
      </w:r>
      <w:r w:rsidRPr="00C9465D">
        <w:rPr>
          <w:lang w:val="en-US"/>
        </w:rPr>
        <w:t xml:space="preserve"> to the contents of one or more operative paragraphs, which usually should not be most of them.</w:t>
      </w:r>
    </w:p>
    <w:p w14:paraId="2C55DC6B" w14:textId="77777777" w:rsidR="000A7745" w:rsidRPr="00C9465D" w:rsidRDefault="000A7745" w:rsidP="00760D70">
      <w:pPr>
        <w:pStyle w:val="ListParagraph"/>
        <w:spacing w:line="240" w:lineRule="auto"/>
        <w:ind w:left="0" w:right="48"/>
        <w:rPr>
          <w:lang w:val="en-US"/>
        </w:rPr>
      </w:pPr>
    </w:p>
    <w:p w14:paraId="7EFB4DF3" w14:textId="0944D207" w:rsidR="009C3788" w:rsidRPr="00C9465D" w:rsidRDefault="00535137" w:rsidP="00535137">
      <w:pPr>
        <w:pStyle w:val="ListParagraph"/>
        <w:numPr>
          <w:ilvl w:val="0"/>
          <w:numId w:val="18"/>
        </w:numPr>
        <w:spacing w:after="160" w:line="240" w:lineRule="auto"/>
        <w:ind w:left="0" w:right="48" w:firstLine="0"/>
        <w:rPr>
          <w:lang w:val="en-US"/>
        </w:rPr>
      </w:pPr>
      <w:r w:rsidRPr="00C9465D">
        <w:rPr>
          <w:lang w:val="en-US"/>
        </w:rPr>
        <w:t xml:space="preserve">Regarding the situation in this case, </w:t>
      </w:r>
      <w:r w:rsidR="009C3788" w:rsidRPr="00C9465D">
        <w:rPr>
          <w:lang w:val="en-US"/>
        </w:rPr>
        <w:t>t</w:t>
      </w:r>
      <w:r w:rsidR="00C45621" w:rsidRPr="00C9465D">
        <w:rPr>
          <w:lang w:val="en-US"/>
        </w:rPr>
        <w:t>his</w:t>
      </w:r>
      <w:r w:rsidR="009C3788" w:rsidRPr="00C9465D">
        <w:rPr>
          <w:lang w:val="en-US"/>
        </w:rPr>
        <w:t xml:space="preserve"> would be different if the judgment had included a special operative paragraph to address the pertinent part of Article 26, as occurred on another occasion;</w:t>
      </w:r>
      <w:r w:rsidR="000A7745" w:rsidRPr="00C9465D">
        <w:rPr>
          <w:rStyle w:val="FootnoteReference"/>
          <w:lang w:val="en-US"/>
        </w:rPr>
        <w:footnoteReference w:id="391"/>
      </w:r>
      <w:r w:rsidR="009C3788" w:rsidRPr="00C9465D">
        <w:rPr>
          <w:lang w:val="en-US"/>
        </w:rPr>
        <w:t xml:space="preserve"> </w:t>
      </w:r>
      <w:r w:rsidR="00C45621" w:rsidRPr="00C9465D">
        <w:rPr>
          <w:lang w:val="en-US"/>
        </w:rPr>
        <w:t>in other words</w:t>
      </w:r>
      <w:r w:rsidR="009C3788" w:rsidRPr="00C9465D">
        <w:rPr>
          <w:lang w:val="en-US"/>
        </w:rPr>
        <w:t>, if the Court had dedicated one operative paragraph exclusively to the violation of that article. This would have allowed me to concur with the adoption of all the operative paragraphs</w:t>
      </w:r>
      <w:r w:rsidR="00C45621" w:rsidRPr="00C9465D">
        <w:rPr>
          <w:lang w:val="en-US"/>
        </w:rPr>
        <w:t xml:space="preserve"> </w:t>
      </w:r>
      <w:r w:rsidR="009C3788" w:rsidRPr="00C9465D">
        <w:rPr>
          <w:lang w:val="en-US"/>
        </w:rPr>
        <w:t>excep</w:t>
      </w:r>
      <w:r w:rsidR="00C45621" w:rsidRPr="00C9465D">
        <w:rPr>
          <w:lang w:val="en-US"/>
        </w:rPr>
        <w:t xml:space="preserve">t </w:t>
      </w:r>
      <w:r w:rsidR="009C3788" w:rsidRPr="00C9465D">
        <w:rPr>
          <w:lang w:val="en-US"/>
        </w:rPr>
        <w:t>f</w:t>
      </w:r>
      <w:r w:rsidR="00C45621" w:rsidRPr="00C9465D">
        <w:rPr>
          <w:lang w:val="en-US"/>
        </w:rPr>
        <w:t>or</w:t>
      </w:r>
      <w:r w:rsidR="009C3788" w:rsidRPr="00C9465D">
        <w:rPr>
          <w:lang w:val="en-US"/>
        </w:rPr>
        <w:t xml:space="preserve"> the one relating to Article 26. However, the decision taken in the first operative paragraph of the judgment obliges </w:t>
      </w:r>
      <w:r w:rsidR="00F569DA" w:rsidRPr="00C9465D">
        <w:rPr>
          <w:lang w:val="en-US"/>
        </w:rPr>
        <w:t>anyone</w:t>
      </w:r>
      <w:r w:rsidR="009C3788" w:rsidRPr="00C9465D">
        <w:rPr>
          <w:lang w:val="en-US"/>
        </w:rPr>
        <w:t xml:space="preserve"> who disagrees with </w:t>
      </w:r>
      <w:r w:rsidR="00F569DA" w:rsidRPr="00C9465D">
        <w:rPr>
          <w:lang w:val="en-US"/>
        </w:rPr>
        <w:t>the inclusion of</w:t>
      </w:r>
      <w:r w:rsidR="009C3788" w:rsidRPr="00C9465D">
        <w:rPr>
          <w:lang w:val="en-US"/>
        </w:rPr>
        <w:t xml:space="preserve"> Article 26 with the other articles of the Convention violated by the State of Ecuador to vote negatively with regard to all of them. The judgment disregards the rules issued by the Court itself in relation to its functioning and this is regrettable.</w:t>
      </w:r>
    </w:p>
    <w:p w14:paraId="11BDB3AF" w14:textId="77777777" w:rsidR="000A7745" w:rsidRPr="00C9465D" w:rsidRDefault="000A7745" w:rsidP="00760D70">
      <w:pPr>
        <w:pStyle w:val="ListParagraph"/>
        <w:spacing w:line="240" w:lineRule="auto"/>
        <w:ind w:left="0" w:right="48"/>
        <w:rPr>
          <w:b/>
          <w:bCs/>
          <w:lang w:val="en-US"/>
        </w:rPr>
      </w:pPr>
    </w:p>
    <w:p w14:paraId="35A305E2" w14:textId="303A0380" w:rsidR="000A7745" w:rsidRPr="00C9465D" w:rsidRDefault="00BD26CF" w:rsidP="00D47F8D">
      <w:pPr>
        <w:pStyle w:val="ListParagraph"/>
        <w:numPr>
          <w:ilvl w:val="0"/>
          <w:numId w:val="19"/>
        </w:numPr>
        <w:spacing w:after="160" w:line="240" w:lineRule="auto"/>
        <w:ind w:left="0" w:right="48" w:firstLine="0"/>
        <w:rPr>
          <w:b/>
          <w:bCs/>
          <w:lang w:val="en-US"/>
        </w:rPr>
      </w:pPr>
      <w:r w:rsidRPr="00C9465D">
        <w:rPr>
          <w:b/>
          <w:bCs/>
          <w:lang w:val="en-US"/>
        </w:rPr>
        <w:t xml:space="preserve">GENERAL COMMENTS ON </w:t>
      </w:r>
      <w:r w:rsidR="00193CBB" w:rsidRPr="00C9465D">
        <w:rPr>
          <w:b/>
          <w:bCs/>
          <w:lang w:val="en-US"/>
        </w:rPr>
        <w:t>ARTICLE</w:t>
      </w:r>
      <w:r w:rsidR="000A7745" w:rsidRPr="00C9465D">
        <w:rPr>
          <w:b/>
          <w:bCs/>
          <w:lang w:val="en-US"/>
        </w:rPr>
        <w:t xml:space="preserve"> 26</w:t>
      </w:r>
    </w:p>
    <w:p w14:paraId="4A25899D" w14:textId="77777777" w:rsidR="000A7745" w:rsidRPr="00C9465D" w:rsidRDefault="000A7745" w:rsidP="00760D70">
      <w:pPr>
        <w:pStyle w:val="ListParagraph"/>
        <w:spacing w:line="240" w:lineRule="auto"/>
        <w:ind w:left="153" w:right="48"/>
        <w:rPr>
          <w:b/>
          <w:bCs/>
          <w:lang w:val="en-US"/>
        </w:rPr>
      </w:pPr>
    </w:p>
    <w:p w14:paraId="1D1D3610" w14:textId="6F78E65A" w:rsidR="000A7745" w:rsidRPr="00C9465D" w:rsidRDefault="00136DD9" w:rsidP="00D47F8D">
      <w:pPr>
        <w:pStyle w:val="ListParagraph"/>
        <w:numPr>
          <w:ilvl w:val="0"/>
          <w:numId w:val="18"/>
        </w:numPr>
        <w:spacing w:after="160" w:line="240" w:lineRule="auto"/>
        <w:ind w:left="0" w:right="48" w:firstLine="0"/>
        <w:rPr>
          <w:lang w:val="en-US"/>
        </w:rPr>
      </w:pPr>
      <w:r w:rsidRPr="00C9465D">
        <w:rPr>
          <w:rFonts w:eastAsiaTheme="minorEastAsia"/>
          <w:lang w:val="en-US"/>
        </w:rPr>
        <w:t xml:space="preserve">That said, </w:t>
      </w:r>
      <w:r w:rsidR="00F569DA" w:rsidRPr="00C9465D">
        <w:rPr>
          <w:rFonts w:eastAsiaTheme="minorEastAsia"/>
          <w:lang w:val="en-US"/>
        </w:rPr>
        <w:t>regarding</w:t>
      </w:r>
      <w:r w:rsidRPr="00C9465D">
        <w:rPr>
          <w:rFonts w:eastAsiaTheme="minorEastAsia"/>
          <w:lang w:val="en-US"/>
        </w:rPr>
        <w:t xml:space="preserve"> general reflections on </w:t>
      </w:r>
      <w:r w:rsidR="007A3CA5" w:rsidRPr="00C9465D">
        <w:rPr>
          <w:rFonts w:eastAsiaTheme="minorEastAsia"/>
          <w:lang w:val="en-US"/>
        </w:rPr>
        <w:t>Article</w:t>
      </w:r>
      <w:r w:rsidR="000A7745" w:rsidRPr="00C9465D">
        <w:rPr>
          <w:rFonts w:eastAsiaTheme="minorEastAsia"/>
          <w:lang w:val="en-US"/>
        </w:rPr>
        <w:t xml:space="preserve"> 26, </w:t>
      </w:r>
      <w:r w:rsidRPr="00C9465D">
        <w:rPr>
          <w:rFonts w:eastAsiaTheme="minorEastAsia"/>
          <w:lang w:val="en-US"/>
        </w:rPr>
        <w:t>it should first be indicated that the considerations contained in the separate opinions issued by the undersigned are reiterated</w:t>
      </w:r>
      <w:r w:rsidR="000A7745" w:rsidRPr="00C9465D">
        <w:rPr>
          <w:vertAlign w:val="superscript"/>
          <w:lang w:val="en-US"/>
        </w:rPr>
        <w:footnoteReference w:id="392"/>
      </w:r>
      <w:r w:rsidR="000A7745" w:rsidRPr="00C9465D">
        <w:rPr>
          <w:lang w:val="en-US"/>
        </w:rPr>
        <w:t xml:space="preserve"> </w:t>
      </w:r>
      <w:r w:rsidRPr="00C9465D">
        <w:rPr>
          <w:lang w:val="en-US"/>
        </w:rPr>
        <w:t>concerning the reference made in the corresponding judgments to this article of the Convention.</w:t>
      </w:r>
    </w:p>
    <w:p w14:paraId="04AFB81E" w14:textId="77777777" w:rsidR="000A7745" w:rsidRPr="00C9465D" w:rsidRDefault="000A7745" w:rsidP="00F569DA">
      <w:pPr>
        <w:pStyle w:val="ListParagraph"/>
        <w:spacing w:line="240" w:lineRule="auto"/>
        <w:ind w:left="0" w:right="48"/>
        <w:rPr>
          <w:lang w:val="en-US"/>
        </w:rPr>
      </w:pPr>
    </w:p>
    <w:p w14:paraId="2D59A4C6" w14:textId="48B52395" w:rsidR="000A7745" w:rsidRPr="00C9465D" w:rsidRDefault="00CD6A67" w:rsidP="00760D70">
      <w:pPr>
        <w:pStyle w:val="ListParagraph"/>
        <w:numPr>
          <w:ilvl w:val="0"/>
          <w:numId w:val="18"/>
        </w:numPr>
        <w:tabs>
          <w:tab w:val="left" w:pos="709"/>
        </w:tabs>
        <w:spacing w:after="160" w:line="240" w:lineRule="auto"/>
        <w:ind w:left="0" w:right="48" w:firstLine="0"/>
        <w:rPr>
          <w:lang w:val="en-US"/>
        </w:rPr>
      </w:pPr>
      <w:r w:rsidRPr="00C9465D">
        <w:rPr>
          <w:lang w:val="en-US"/>
        </w:rPr>
        <w:t>Consequently,</w:t>
      </w:r>
      <w:r w:rsidR="00F569DA" w:rsidRPr="00C9465D">
        <w:rPr>
          <w:lang w:val="en-US"/>
        </w:rPr>
        <w:t xml:space="preserve"> at this points,</w:t>
      </w:r>
      <w:r w:rsidRPr="00C9465D">
        <w:rPr>
          <w:lang w:val="en-US"/>
        </w:rPr>
        <w:t xml:space="preserve"> it is </w:t>
      </w:r>
      <w:r w:rsidR="00F569DA" w:rsidRPr="00C9465D">
        <w:rPr>
          <w:lang w:val="en-US"/>
        </w:rPr>
        <w:t>particularly</w:t>
      </w:r>
      <w:r w:rsidRPr="00C9465D">
        <w:rPr>
          <w:lang w:val="en-US"/>
        </w:rPr>
        <w:t xml:space="preserve"> relevant to indicate that this text does not refer to the existence </w:t>
      </w:r>
      <w:r w:rsidR="00AC1354" w:rsidRPr="00C9465D">
        <w:rPr>
          <w:lang w:val="en-US"/>
        </w:rPr>
        <w:t>of the right</w:t>
      </w:r>
      <w:r w:rsidR="00260D95" w:rsidRPr="00C9465D">
        <w:rPr>
          <w:lang w:val="en-US"/>
        </w:rPr>
        <w:t xml:space="preserve"> to health</w:t>
      </w:r>
      <w:r w:rsidR="000A7745" w:rsidRPr="00C9465D">
        <w:rPr>
          <w:lang w:val="en-US"/>
        </w:rPr>
        <w:t xml:space="preserve"> </w:t>
      </w:r>
      <w:r w:rsidRPr="00C9465D">
        <w:rPr>
          <w:lang w:val="en-US"/>
        </w:rPr>
        <w:t>or to that of the other economic, social and cultural rights. The existence of such rights is not the purpose of this opinion. Rather, its purpose is merely to maintain that the Court lacks competence to examine violations of those rights</w:t>
      </w:r>
      <w:r w:rsidR="000A7745" w:rsidRPr="00C9465D">
        <w:rPr>
          <w:lang w:val="en-US"/>
        </w:rPr>
        <w:t xml:space="preserve">, </w:t>
      </w:r>
      <w:r w:rsidRPr="00C9465D">
        <w:rPr>
          <w:lang w:val="en-US"/>
        </w:rPr>
        <w:t>based on the provisions of</w:t>
      </w:r>
      <w:r w:rsidR="000A7745" w:rsidRPr="00C9465D">
        <w:rPr>
          <w:lang w:val="en-US"/>
        </w:rPr>
        <w:t xml:space="preserve"> </w:t>
      </w:r>
      <w:r w:rsidR="00193CBB" w:rsidRPr="00C9465D">
        <w:rPr>
          <w:lang w:val="en-US"/>
        </w:rPr>
        <w:t>Article</w:t>
      </w:r>
      <w:r w:rsidR="000A7745" w:rsidRPr="00C9465D">
        <w:rPr>
          <w:lang w:val="en-US"/>
        </w:rPr>
        <w:t xml:space="preserve"> 26</w:t>
      </w:r>
      <w:r w:rsidRPr="00C9465D">
        <w:rPr>
          <w:lang w:val="en-US"/>
        </w:rPr>
        <w:t>; in other words, the presumed violations of those rights are not justiciable before the Court.</w:t>
      </w:r>
    </w:p>
    <w:p w14:paraId="63131246" w14:textId="25559501" w:rsidR="000A7745" w:rsidRPr="00C9465D" w:rsidRDefault="00CD6A67" w:rsidP="00CD6A67">
      <w:pPr>
        <w:pStyle w:val="ListParagraph"/>
        <w:numPr>
          <w:ilvl w:val="0"/>
          <w:numId w:val="18"/>
        </w:numPr>
        <w:tabs>
          <w:tab w:val="left" w:pos="709"/>
        </w:tabs>
        <w:spacing w:after="160" w:line="240" w:lineRule="auto"/>
        <w:ind w:left="0" w:right="48" w:firstLine="0"/>
        <w:rPr>
          <w:lang w:val="en-US"/>
        </w:rPr>
      </w:pPr>
      <w:r w:rsidRPr="00C9465D">
        <w:rPr>
          <w:lang w:val="en-US"/>
        </w:rPr>
        <w:lastRenderedPageBreak/>
        <w:t xml:space="preserve">This does not mean, however, that violations of those rights cannot be justiciable before the corresponding internal jurisdiction. This will depend on the provisions of the respective domestic laws, a matter that, in any </w:t>
      </w:r>
      <w:r w:rsidR="00F31EB4" w:rsidRPr="00C9465D">
        <w:rPr>
          <w:lang w:val="en-US"/>
        </w:rPr>
        <w:t>event</w:t>
      </w:r>
      <w:r w:rsidRPr="00C9465D">
        <w:rPr>
          <w:lang w:val="en-US"/>
        </w:rPr>
        <w:t xml:space="preserve">, falls outside the purpose of this </w:t>
      </w:r>
      <w:r w:rsidR="00F31EB4" w:rsidRPr="00C9465D">
        <w:rPr>
          <w:lang w:val="en-US"/>
        </w:rPr>
        <w:t>opinion</w:t>
      </w:r>
      <w:r w:rsidRPr="00C9465D">
        <w:rPr>
          <w:lang w:val="en-US"/>
        </w:rPr>
        <w:t xml:space="preserve"> and that is part of the internal, domestic and exclusive jurisdiction</w:t>
      </w:r>
      <w:r w:rsidR="00C74790" w:rsidRPr="00C9465D">
        <w:rPr>
          <w:lang w:val="en-US"/>
        </w:rPr>
        <w:t xml:space="preserve"> of the States Parties to </w:t>
      </w:r>
      <w:r w:rsidR="00193CBB" w:rsidRPr="00C9465D">
        <w:rPr>
          <w:lang w:val="en-US"/>
        </w:rPr>
        <w:t>the Convention</w:t>
      </w:r>
      <w:r w:rsidR="00C74790" w:rsidRPr="00C9465D">
        <w:rPr>
          <w:lang w:val="en-US"/>
        </w:rPr>
        <w:t>.</w:t>
      </w:r>
      <w:r w:rsidR="000A7745" w:rsidRPr="00C9465D">
        <w:rPr>
          <w:vertAlign w:val="superscript"/>
          <w:lang w:val="en-US"/>
        </w:rPr>
        <w:footnoteReference w:id="393"/>
      </w:r>
      <w:r w:rsidR="000A7745" w:rsidRPr="00C9465D">
        <w:rPr>
          <w:lang w:val="en-US"/>
        </w:rPr>
        <w:t xml:space="preserve"> </w:t>
      </w:r>
    </w:p>
    <w:p w14:paraId="6DB0F92B" w14:textId="77777777" w:rsidR="000A7745" w:rsidRPr="00C9465D" w:rsidRDefault="000A7745" w:rsidP="00760D70">
      <w:pPr>
        <w:pStyle w:val="ListParagraph"/>
        <w:tabs>
          <w:tab w:val="left" w:pos="709"/>
        </w:tabs>
        <w:spacing w:line="240" w:lineRule="auto"/>
        <w:ind w:left="0" w:right="48"/>
        <w:rPr>
          <w:lang w:val="en-US"/>
        </w:rPr>
      </w:pPr>
    </w:p>
    <w:p w14:paraId="3953DC7C" w14:textId="7A3A77A9" w:rsidR="000A7745" w:rsidRPr="00C9465D" w:rsidRDefault="005D4FBC" w:rsidP="005D4FBC">
      <w:pPr>
        <w:pStyle w:val="ListParagraph"/>
        <w:numPr>
          <w:ilvl w:val="0"/>
          <w:numId w:val="18"/>
        </w:numPr>
        <w:tabs>
          <w:tab w:val="left" w:pos="709"/>
        </w:tabs>
        <w:spacing w:after="160" w:line="240" w:lineRule="auto"/>
        <w:ind w:left="0" w:right="48" w:firstLine="0"/>
        <w:rPr>
          <w:lang w:val="en-US"/>
        </w:rPr>
      </w:pPr>
      <w:r w:rsidRPr="00C9465D">
        <w:rPr>
          <w:lang w:val="en-US"/>
        </w:rPr>
        <w:t>What this opinion asserts is that it is necessary to distinguish between human rights in general, which, in all circumstances, must be respected owing to the provisions of international law, and those that, in addition, may be justiciable before an international jurisdiction.</w:t>
      </w:r>
      <w:r w:rsidR="003D6301" w:rsidRPr="00C9465D">
        <w:rPr>
          <w:lang w:val="en-US"/>
        </w:rPr>
        <w:t xml:space="preserve"> </w:t>
      </w:r>
      <w:r w:rsidR="00F31EB4" w:rsidRPr="00C9465D">
        <w:rPr>
          <w:lang w:val="en-US"/>
        </w:rPr>
        <w:t>In this regard</w:t>
      </w:r>
      <w:r w:rsidR="003D6301" w:rsidRPr="00C9465D">
        <w:rPr>
          <w:lang w:val="en-US"/>
        </w:rPr>
        <w:t xml:space="preserve">, it should be </w:t>
      </w:r>
      <w:r w:rsidR="00F31EB4" w:rsidRPr="00C9465D">
        <w:rPr>
          <w:lang w:val="en-US"/>
        </w:rPr>
        <w:t>noted</w:t>
      </w:r>
      <w:r w:rsidR="003D6301" w:rsidRPr="00C9465D">
        <w:rPr>
          <w:lang w:val="en-US"/>
        </w:rPr>
        <w:t xml:space="preserve"> that there is no universal court of human rights. Moreover, not all the regions of the world have an international human rights jurisdiction. There are only three international human rights courts; namely, the Inter-American Court of Human Rights, </w:t>
      </w:r>
      <w:r w:rsidR="00183C22" w:rsidRPr="00C9465D">
        <w:rPr>
          <w:lang w:val="en-US"/>
        </w:rPr>
        <w:t xml:space="preserve">the </w:t>
      </w:r>
      <w:r w:rsidR="00C74790" w:rsidRPr="00C9465D">
        <w:rPr>
          <w:lang w:val="en-US"/>
        </w:rPr>
        <w:t>European Court of Human Rights</w:t>
      </w:r>
      <w:r w:rsidR="00193CBB" w:rsidRPr="00C9465D">
        <w:rPr>
          <w:lang w:val="en-US"/>
        </w:rPr>
        <w:t xml:space="preserve"> and the</w:t>
      </w:r>
      <w:r w:rsidR="00C74790" w:rsidRPr="00C9465D">
        <w:rPr>
          <w:lang w:val="en-US"/>
        </w:rPr>
        <w:t xml:space="preserve"> African</w:t>
      </w:r>
      <w:r w:rsidR="00193CBB" w:rsidRPr="00C9465D">
        <w:rPr>
          <w:lang w:val="en-US"/>
        </w:rPr>
        <w:t xml:space="preserve"> Court</w:t>
      </w:r>
      <w:r w:rsidR="000A7745" w:rsidRPr="00C9465D">
        <w:rPr>
          <w:lang w:val="en-US"/>
        </w:rPr>
        <w:t xml:space="preserve"> </w:t>
      </w:r>
      <w:r w:rsidR="00C74790" w:rsidRPr="00C9465D">
        <w:rPr>
          <w:lang w:val="en-US"/>
        </w:rPr>
        <w:t>of Human and Peoples’ Rights</w:t>
      </w:r>
      <w:r w:rsidR="000A7745" w:rsidRPr="00C9465D">
        <w:rPr>
          <w:lang w:val="en-US"/>
        </w:rPr>
        <w:t xml:space="preserve">. </w:t>
      </w:r>
    </w:p>
    <w:p w14:paraId="3B27DABB" w14:textId="77777777" w:rsidR="00C74790" w:rsidRPr="00C9465D" w:rsidRDefault="00C74790" w:rsidP="00C74790">
      <w:pPr>
        <w:pStyle w:val="ListParagraph"/>
        <w:tabs>
          <w:tab w:val="left" w:pos="709"/>
        </w:tabs>
        <w:spacing w:after="160" w:line="240" w:lineRule="auto"/>
        <w:ind w:left="0" w:right="48"/>
        <w:rPr>
          <w:lang w:val="en-US"/>
        </w:rPr>
      </w:pPr>
    </w:p>
    <w:p w14:paraId="7E9067CE" w14:textId="56E23750" w:rsidR="003D6301" w:rsidRPr="00C9465D" w:rsidRDefault="003D6301" w:rsidP="00D47F8D">
      <w:pPr>
        <w:pStyle w:val="ListParagraph"/>
        <w:numPr>
          <w:ilvl w:val="0"/>
          <w:numId w:val="18"/>
        </w:numPr>
        <w:tabs>
          <w:tab w:val="left" w:pos="709"/>
        </w:tabs>
        <w:spacing w:after="160" w:line="240" w:lineRule="auto"/>
        <w:ind w:left="0" w:right="48" w:firstLine="0"/>
        <w:rPr>
          <w:lang w:val="en-US"/>
        </w:rPr>
      </w:pPr>
      <w:r w:rsidRPr="00C9465D">
        <w:rPr>
          <w:lang w:val="en-US"/>
        </w:rPr>
        <w:t xml:space="preserve">Thus, the fact that a State has not accepted to be subject to an international jurisdictional human rights instance does not mean that such rights do not exist and that they cannot eventually be violated. </w:t>
      </w:r>
      <w:r w:rsidR="009F7EFF" w:rsidRPr="00C9465D">
        <w:rPr>
          <w:lang w:val="en-US"/>
        </w:rPr>
        <w:t>Besides</w:t>
      </w:r>
      <w:r w:rsidR="00E62D96" w:rsidRPr="00C9465D">
        <w:rPr>
          <w:lang w:val="en-US"/>
        </w:rPr>
        <w:t>,</w:t>
      </w:r>
      <w:r w:rsidRPr="00C9465D">
        <w:rPr>
          <w:lang w:val="en-US"/>
        </w:rPr>
        <w:t xml:space="preserve"> </w:t>
      </w:r>
      <w:r w:rsidR="009F7EFF" w:rsidRPr="00C9465D">
        <w:rPr>
          <w:lang w:val="en-US"/>
        </w:rPr>
        <w:t xml:space="preserve">the </w:t>
      </w:r>
      <w:r w:rsidRPr="00C9465D">
        <w:rPr>
          <w:lang w:val="en-US"/>
        </w:rPr>
        <w:t xml:space="preserve">State must respect them even though there is no international court that can be resorted to if they are violated and, especially, if they are established in a treaty of which that State is a party. In this eventuality, international society </w:t>
      </w:r>
      <w:r w:rsidR="009F7EFF" w:rsidRPr="00C9465D">
        <w:rPr>
          <w:lang w:val="en-US"/>
        </w:rPr>
        <w:t xml:space="preserve">can </w:t>
      </w:r>
      <w:r w:rsidRPr="00C9465D">
        <w:rPr>
          <w:lang w:val="en-US"/>
        </w:rPr>
        <w:t xml:space="preserve">use diplomatic or political means to achieve the restoration of respect for the said human rights. Thus, the international </w:t>
      </w:r>
      <w:r w:rsidR="00E62D96" w:rsidRPr="00C9465D">
        <w:rPr>
          <w:lang w:val="en-US"/>
        </w:rPr>
        <w:t>recognition</w:t>
      </w:r>
      <w:r w:rsidRPr="00C9465D">
        <w:rPr>
          <w:lang w:val="en-US"/>
        </w:rPr>
        <w:t xml:space="preserve"> of human rights </w:t>
      </w:r>
      <w:r w:rsidR="009F7EFF" w:rsidRPr="00C9465D">
        <w:rPr>
          <w:lang w:val="en-US"/>
        </w:rPr>
        <w:t xml:space="preserve">is one matter </w:t>
      </w:r>
      <w:r w:rsidRPr="00C9465D">
        <w:rPr>
          <w:lang w:val="en-US"/>
        </w:rPr>
        <w:t>and</w:t>
      </w:r>
      <w:r w:rsidR="009F7EFF" w:rsidRPr="00C9465D">
        <w:rPr>
          <w:lang w:val="en-US"/>
        </w:rPr>
        <w:t xml:space="preserve"> quite</w:t>
      </w:r>
      <w:r w:rsidRPr="00C9465D">
        <w:rPr>
          <w:lang w:val="en-US"/>
        </w:rPr>
        <w:t xml:space="preserve"> another the international instrument used to achieve the restoration of their exercise in situation</w:t>
      </w:r>
      <w:r w:rsidR="009F7EFF" w:rsidRPr="00C9465D">
        <w:rPr>
          <w:lang w:val="en-US"/>
        </w:rPr>
        <w:t>s</w:t>
      </w:r>
      <w:r w:rsidRPr="00C9465D">
        <w:rPr>
          <w:lang w:val="en-US"/>
        </w:rPr>
        <w:t xml:space="preserve"> in which they are violated.</w:t>
      </w:r>
    </w:p>
    <w:p w14:paraId="2E995A81" w14:textId="77777777" w:rsidR="000A7745" w:rsidRPr="00C9465D" w:rsidRDefault="000A7745" w:rsidP="000A7745">
      <w:pPr>
        <w:pStyle w:val="ListParagraph"/>
        <w:tabs>
          <w:tab w:val="left" w:pos="709"/>
        </w:tabs>
        <w:ind w:left="0" w:right="48"/>
        <w:rPr>
          <w:lang w:val="en-US"/>
        </w:rPr>
      </w:pPr>
    </w:p>
    <w:p w14:paraId="4C31C3A1" w14:textId="2C47A0DA" w:rsidR="000A7745" w:rsidRPr="00C9465D" w:rsidRDefault="00C74790" w:rsidP="00D47F8D">
      <w:pPr>
        <w:pStyle w:val="ListParagraph"/>
        <w:numPr>
          <w:ilvl w:val="0"/>
          <w:numId w:val="19"/>
        </w:numPr>
        <w:spacing w:after="160"/>
        <w:ind w:left="0" w:right="48" w:firstLine="0"/>
        <w:rPr>
          <w:lang w:val="en-US"/>
        </w:rPr>
      </w:pPr>
      <w:r w:rsidRPr="00C9465D">
        <w:rPr>
          <w:b/>
          <w:lang w:val="en-US"/>
        </w:rPr>
        <w:t xml:space="preserve">THE INTERPRETATION OF </w:t>
      </w:r>
      <w:r w:rsidR="00834FCC" w:rsidRPr="00C9465D">
        <w:rPr>
          <w:b/>
          <w:lang w:val="en-US"/>
        </w:rPr>
        <w:t>ARTICLE</w:t>
      </w:r>
      <w:r w:rsidR="000A7745" w:rsidRPr="00C9465D">
        <w:rPr>
          <w:b/>
          <w:lang w:val="en-US"/>
        </w:rPr>
        <w:t xml:space="preserve"> 26</w:t>
      </w:r>
    </w:p>
    <w:p w14:paraId="2C2ADD3E" w14:textId="77777777" w:rsidR="000A7745" w:rsidRPr="00C9465D" w:rsidRDefault="000A7745" w:rsidP="000A7745">
      <w:pPr>
        <w:pStyle w:val="ListParagraph"/>
        <w:tabs>
          <w:tab w:val="left" w:pos="709"/>
        </w:tabs>
        <w:ind w:left="0" w:right="48"/>
        <w:rPr>
          <w:lang w:val="en-US"/>
        </w:rPr>
      </w:pPr>
    </w:p>
    <w:p w14:paraId="037660A1" w14:textId="54BFCF4E" w:rsidR="000A7745" w:rsidRPr="00C9465D" w:rsidRDefault="00C74790" w:rsidP="00D47F8D">
      <w:pPr>
        <w:pStyle w:val="ListParagraph"/>
        <w:numPr>
          <w:ilvl w:val="0"/>
          <w:numId w:val="18"/>
        </w:numPr>
        <w:tabs>
          <w:tab w:val="left" w:pos="709"/>
        </w:tabs>
        <w:spacing w:after="160" w:line="240" w:lineRule="auto"/>
        <w:ind w:left="0" w:right="48" w:firstLine="0"/>
        <w:rPr>
          <w:lang w:val="en-US"/>
        </w:rPr>
      </w:pPr>
      <w:r w:rsidRPr="00C9465D">
        <w:rPr>
          <w:lang w:val="en-US"/>
        </w:rPr>
        <w:t xml:space="preserve">Given that </w:t>
      </w:r>
      <w:r w:rsidR="00193CBB" w:rsidRPr="00C9465D">
        <w:rPr>
          <w:lang w:val="en-US"/>
        </w:rPr>
        <w:t>the Convention</w:t>
      </w:r>
      <w:r w:rsidR="000A7745" w:rsidRPr="00C9465D">
        <w:rPr>
          <w:lang w:val="en-US"/>
        </w:rPr>
        <w:t xml:space="preserve"> </w:t>
      </w:r>
      <w:r w:rsidRPr="00C9465D">
        <w:rPr>
          <w:lang w:val="en-US"/>
        </w:rPr>
        <w:t>is a treaty between States and, consequently, governed by public international law,</w:t>
      </w:r>
      <w:r w:rsidR="000A7745" w:rsidRPr="00C9465D">
        <w:rPr>
          <w:vertAlign w:val="superscript"/>
          <w:lang w:val="en-US"/>
        </w:rPr>
        <w:footnoteReference w:id="394"/>
      </w:r>
      <w:r w:rsidR="000A7745" w:rsidRPr="00C9465D">
        <w:rPr>
          <w:lang w:val="en-US"/>
        </w:rPr>
        <w:t xml:space="preserve"> </w:t>
      </w:r>
      <w:r w:rsidR="003D6301" w:rsidRPr="00C9465D">
        <w:rPr>
          <w:lang w:val="en-US"/>
        </w:rPr>
        <w:t xml:space="preserve">the reasons that underlie this discrepancy lie, above all, in the interpretation that, according to the means for interpretation of treaties established in </w:t>
      </w:r>
      <w:r w:rsidR="00193CBB" w:rsidRPr="00C9465D">
        <w:rPr>
          <w:lang w:val="en-US"/>
        </w:rPr>
        <w:t xml:space="preserve">the </w:t>
      </w:r>
      <w:r w:rsidRPr="00C9465D">
        <w:rPr>
          <w:lang w:val="en-US"/>
        </w:rPr>
        <w:t xml:space="preserve">Vienna </w:t>
      </w:r>
      <w:r w:rsidR="00193CBB" w:rsidRPr="00C9465D">
        <w:rPr>
          <w:lang w:val="en-US"/>
        </w:rPr>
        <w:t>Convention</w:t>
      </w:r>
      <w:r w:rsidR="000A7745" w:rsidRPr="00C9465D">
        <w:rPr>
          <w:lang w:val="en-US"/>
        </w:rPr>
        <w:t xml:space="preserve">, </w:t>
      </w:r>
      <w:r w:rsidR="003D6301" w:rsidRPr="00C9465D">
        <w:rPr>
          <w:lang w:val="en-US"/>
        </w:rPr>
        <w:t xml:space="preserve">should be made </w:t>
      </w:r>
      <w:r w:rsidR="007A3CA5" w:rsidRPr="00C9465D">
        <w:rPr>
          <w:lang w:val="en-US"/>
        </w:rPr>
        <w:t>of Article</w:t>
      </w:r>
      <w:r w:rsidR="000A7745" w:rsidRPr="00C9465D">
        <w:rPr>
          <w:lang w:val="en-US"/>
        </w:rPr>
        <w:t xml:space="preserve"> 26. </w:t>
      </w:r>
      <w:r w:rsidR="003D6301" w:rsidRPr="00C9465D">
        <w:rPr>
          <w:lang w:val="en-US"/>
        </w:rPr>
        <w:t>These means, that must be concordant or harmon</w:t>
      </w:r>
      <w:r w:rsidR="009F7EFF" w:rsidRPr="00C9465D">
        <w:rPr>
          <w:lang w:val="en-US"/>
        </w:rPr>
        <w:t>ious</w:t>
      </w:r>
      <w:r w:rsidR="003D6301" w:rsidRPr="00C9465D">
        <w:rPr>
          <w:lang w:val="en-US"/>
        </w:rPr>
        <w:t>, without one prevailing over the others, relate to good faith, the ordinary meaning to be given to the terms of the treaty, the</w:t>
      </w:r>
      <w:r w:rsidR="00C63263" w:rsidRPr="00C9465D">
        <w:rPr>
          <w:lang w:val="en-US"/>
        </w:rPr>
        <w:t>ir</w:t>
      </w:r>
      <w:r w:rsidR="003D6301" w:rsidRPr="00C9465D">
        <w:rPr>
          <w:lang w:val="en-US"/>
        </w:rPr>
        <w:t xml:space="preserve"> context</w:t>
      </w:r>
      <w:r w:rsidR="00C63263" w:rsidRPr="00C9465D">
        <w:rPr>
          <w:lang w:val="en-US"/>
        </w:rPr>
        <w:t>, and its object and purpose.</w:t>
      </w:r>
      <w:r w:rsidR="000A7745" w:rsidRPr="00C9465D">
        <w:rPr>
          <w:vertAlign w:val="superscript"/>
          <w:lang w:val="en-US"/>
        </w:rPr>
        <w:footnoteReference w:id="395"/>
      </w:r>
    </w:p>
    <w:p w14:paraId="6F65B071" w14:textId="77777777" w:rsidR="000A7745" w:rsidRPr="00C9465D" w:rsidRDefault="000A7745" w:rsidP="00760D70">
      <w:pPr>
        <w:pStyle w:val="ListParagraph"/>
        <w:tabs>
          <w:tab w:val="left" w:pos="709"/>
        </w:tabs>
        <w:spacing w:line="240" w:lineRule="auto"/>
        <w:ind w:left="0" w:right="48"/>
        <w:rPr>
          <w:lang w:val="en-US"/>
        </w:rPr>
      </w:pPr>
    </w:p>
    <w:p w14:paraId="2B2EC27B" w14:textId="39BCA20D" w:rsidR="000A7745" w:rsidRPr="00C9465D" w:rsidRDefault="00C63263" w:rsidP="00D47F8D">
      <w:pPr>
        <w:pStyle w:val="ListParagraph"/>
        <w:numPr>
          <w:ilvl w:val="0"/>
          <w:numId w:val="18"/>
        </w:numPr>
        <w:tabs>
          <w:tab w:val="left" w:pos="709"/>
        </w:tabs>
        <w:spacing w:after="160" w:line="240" w:lineRule="auto"/>
        <w:ind w:left="0" w:right="48" w:firstLine="0"/>
        <w:rPr>
          <w:lang w:val="en-US"/>
        </w:rPr>
      </w:pPr>
      <w:r w:rsidRPr="00C9465D">
        <w:rPr>
          <w:lang w:val="en-US"/>
        </w:rPr>
        <w:t>Th</w:t>
      </w:r>
      <w:r w:rsidR="009F7EFF" w:rsidRPr="00C9465D">
        <w:rPr>
          <w:lang w:val="en-US"/>
        </w:rPr>
        <w:t>erefore</w:t>
      </w:r>
      <w:r w:rsidRPr="00C9465D">
        <w:rPr>
          <w:lang w:val="en-US"/>
        </w:rPr>
        <w:t xml:space="preserve">, these means </w:t>
      </w:r>
      <w:r w:rsidR="009F7EFF" w:rsidRPr="00C9465D">
        <w:rPr>
          <w:lang w:val="en-US"/>
        </w:rPr>
        <w:t xml:space="preserve">must be used </w:t>
      </w:r>
      <w:r w:rsidRPr="00C9465D">
        <w:rPr>
          <w:lang w:val="en-US"/>
        </w:rPr>
        <w:t xml:space="preserve">to interpret </w:t>
      </w:r>
      <w:r w:rsidR="00193CBB" w:rsidRPr="00C9465D">
        <w:rPr>
          <w:lang w:val="en-US"/>
        </w:rPr>
        <w:t>Article</w:t>
      </w:r>
      <w:r w:rsidR="000A7745" w:rsidRPr="00C9465D">
        <w:rPr>
          <w:lang w:val="en-US"/>
        </w:rPr>
        <w:t xml:space="preserve"> 26, </w:t>
      </w:r>
      <w:r w:rsidRPr="00C9465D">
        <w:rPr>
          <w:lang w:val="en-US"/>
        </w:rPr>
        <w:t>which</w:t>
      </w:r>
      <w:r w:rsidR="000A7745" w:rsidRPr="00C9465D">
        <w:rPr>
          <w:lang w:val="en-US"/>
        </w:rPr>
        <w:t xml:space="preserve"> </w:t>
      </w:r>
      <w:r w:rsidR="00260D95" w:rsidRPr="00C9465D">
        <w:rPr>
          <w:lang w:val="en-US"/>
        </w:rPr>
        <w:t>establishes</w:t>
      </w:r>
      <w:r w:rsidR="000A7745" w:rsidRPr="00C9465D">
        <w:rPr>
          <w:lang w:val="en-US"/>
        </w:rPr>
        <w:t>:</w:t>
      </w:r>
    </w:p>
    <w:p w14:paraId="3BE7C406" w14:textId="0D59F034" w:rsidR="000A7745" w:rsidRPr="00C9465D" w:rsidRDefault="000A7745" w:rsidP="00E62D96">
      <w:pPr>
        <w:tabs>
          <w:tab w:val="left" w:pos="709"/>
        </w:tabs>
        <w:spacing w:after="0" w:line="240" w:lineRule="auto"/>
        <w:ind w:left="708" w:right="404"/>
        <w:jc w:val="both"/>
        <w:rPr>
          <w:rFonts w:ascii="Verdana" w:eastAsia="Batang" w:hAnsi="Verdana"/>
          <w:iCs/>
          <w:sz w:val="18"/>
          <w:szCs w:val="18"/>
          <w:lang w:val="en-US"/>
        </w:rPr>
      </w:pPr>
      <w:r w:rsidRPr="00C9465D">
        <w:rPr>
          <w:rFonts w:ascii="Verdana" w:eastAsia="Batang" w:hAnsi="Verdana"/>
          <w:iCs/>
          <w:sz w:val="18"/>
          <w:szCs w:val="18"/>
          <w:lang w:val="en-US"/>
        </w:rPr>
        <w:t>Progres</w:t>
      </w:r>
      <w:r w:rsidR="00E62D96" w:rsidRPr="00C9465D">
        <w:rPr>
          <w:rFonts w:ascii="Verdana" w:eastAsia="Batang" w:hAnsi="Verdana"/>
          <w:iCs/>
          <w:sz w:val="18"/>
          <w:szCs w:val="18"/>
          <w:lang w:val="en-US"/>
        </w:rPr>
        <w:t>s</w:t>
      </w:r>
      <w:r w:rsidRPr="00C9465D">
        <w:rPr>
          <w:rFonts w:ascii="Verdana" w:eastAsia="Batang" w:hAnsi="Verdana"/>
          <w:iCs/>
          <w:sz w:val="18"/>
          <w:szCs w:val="18"/>
          <w:lang w:val="en-US"/>
        </w:rPr>
        <w:t>iv</w:t>
      </w:r>
      <w:bookmarkStart w:id="160" w:name="_Hlk31442955"/>
      <w:r w:rsidR="00E62D96" w:rsidRPr="00C9465D">
        <w:rPr>
          <w:rFonts w:ascii="Verdana" w:eastAsia="Batang" w:hAnsi="Verdana"/>
          <w:iCs/>
          <w:sz w:val="18"/>
          <w:szCs w:val="18"/>
          <w:lang w:val="en-US"/>
        </w:rPr>
        <w:t>e Development</w:t>
      </w:r>
      <w:r w:rsidRPr="00C9465D">
        <w:rPr>
          <w:rFonts w:ascii="Verdana" w:eastAsia="Batang" w:hAnsi="Verdana"/>
          <w:iCs/>
          <w:sz w:val="18"/>
          <w:szCs w:val="18"/>
          <w:lang w:val="en-US"/>
        </w:rPr>
        <w:t xml:space="preserve">. </w:t>
      </w:r>
      <w:r w:rsidR="00E62D96" w:rsidRPr="00C9465D">
        <w:rPr>
          <w:rFonts w:ascii="Verdana" w:eastAsia="Batang" w:hAnsi="Verdana"/>
          <w:iCs/>
          <w:sz w:val="18"/>
          <w:szCs w:val="18"/>
          <w:lang w:val="en-US"/>
        </w:rPr>
        <w:t>The</w:t>
      </w:r>
      <w:r w:rsidRPr="00C9465D">
        <w:rPr>
          <w:rFonts w:ascii="Verdana" w:eastAsia="Batang" w:hAnsi="Verdana"/>
          <w:iCs/>
          <w:sz w:val="18"/>
          <w:szCs w:val="18"/>
          <w:lang w:val="en-US"/>
        </w:rPr>
        <w:t xml:space="preserve"> </w:t>
      </w:r>
      <w:r w:rsidR="00DA115D" w:rsidRPr="00C9465D">
        <w:rPr>
          <w:rFonts w:ascii="Verdana" w:eastAsia="Batang" w:hAnsi="Verdana"/>
          <w:iCs/>
          <w:sz w:val="18"/>
          <w:szCs w:val="18"/>
          <w:lang w:val="en-US"/>
        </w:rPr>
        <w:t>States Parties</w:t>
      </w:r>
      <w:r w:rsidRPr="00C9465D">
        <w:rPr>
          <w:rFonts w:ascii="Verdana" w:eastAsia="Batang" w:hAnsi="Verdana"/>
          <w:iCs/>
          <w:sz w:val="18"/>
          <w:szCs w:val="18"/>
          <w:lang w:val="en-US"/>
        </w:rPr>
        <w:t xml:space="preserve"> </w:t>
      </w:r>
      <w:r w:rsidR="00E62D96" w:rsidRPr="00C9465D">
        <w:rPr>
          <w:rFonts w:ascii="Verdana" w:hAnsi="Verdana"/>
          <w:spacing w:val="-3"/>
          <w:sz w:val="18"/>
          <w:szCs w:val="18"/>
          <w:lang w:val="en-US"/>
        </w:rPr>
        <w:t>undertake to adopt measures, both internally and through international cooperation, especially those of an economic and technical nature, with a view to achieving progressively, by legislation or other appropriate means</w:t>
      </w:r>
      <w:r w:rsidR="00E6346A" w:rsidRPr="00C9465D">
        <w:rPr>
          <w:rFonts w:ascii="Verdana" w:hAnsi="Verdana"/>
          <w:spacing w:val="-3"/>
          <w:sz w:val="18"/>
          <w:szCs w:val="18"/>
          <w:lang w:val="en-US"/>
        </w:rPr>
        <w:t xml:space="preserve"> and subject to available resources,</w:t>
      </w:r>
      <w:r w:rsidR="00E62D96" w:rsidRPr="00C9465D">
        <w:rPr>
          <w:rFonts w:ascii="Verdana" w:hAnsi="Verdana"/>
          <w:spacing w:val="-3"/>
          <w:sz w:val="18"/>
          <w:szCs w:val="18"/>
          <w:lang w:val="en-US"/>
        </w:rPr>
        <w:t xml:space="preserve"> the full realization of the rights </w:t>
      </w:r>
      <w:r w:rsidR="00306D86" w:rsidRPr="00C9465D">
        <w:rPr>
          <w:rFonts w:ascii="Verdana" w:hAnsi="Verdana"/>
          <w:spacing w:val="-3"/>
          <w:sz w:val="18"/>
          <w:szCs w:val="18"/>
          <w:lang w:val="en-US"/>
        </w:rPr>
        <w:t>implicit in</w:t>
      </w:r>
      <w:r w:rsidR="00E62D96" w:rsidRPr="00C9465D">
        <w:rPr>
          <w:rFonts w:ascii="Verdana" w:hAnsi="Verdana"/>
          <w:spacing w:val="-3"/>
          <w:sz w:val="18"/>
          <w:szCs w:val="18"/>
          <w:lang w:val="en-US"/>
        </w:rPr>
        <w:t xml:space="preserve"> the economic, social, educational, scientific, and cultural standards set forth in the Charter of the Organization of American States as amended by the Protocol of Buenos Aires</w:t>
      </w:r>
      <w:bookmarkEnd w:id="160"/>
      <w:r w:rsidRPr="00C9465D">
        <w:rPr>
          <w:rFonts w:ascii="Verdana" w:eastAsia="Batang" w:hAnsi="Verdana"/>
          <w:iCs/>
          <w:sz w:val="18"/>
          <w:szCs w:val="18"/>
          <w:lang w:val="en-US"/>
        </w:rPr>
        <w:t>.</w:t>
      </w:r>
      <w:r w:rsidRPr="00C9465D">
        <w:rPr>
          <w:rFonts w:ascii="Verdana" w:hAnsi="Verdana"/>
          <w:iCs/>
          <w:sz w:val="18"/>
          <w:szCs w:val="18"/>
          <w:lang w:val="en-US"/>
        </w:rPr>
        <w:t xml:space="preserve"> </w:t>
      </w:r>
    </w:p>
    <w:p w14:paraId="4557DDC4" w14:textId="77777777" w:rsidR="000A7745" w:rsidRPr="00C9465D" w:rsidRDefault="000A7745" w:rsidP="00760D70">
      <w:pPr>
        <w:pStyle w:val="ListParagraph"/>
        <w:spacing w:line="240" w:lineRule="auto"/>
        <w:ind w:left="-567" w:right="48"/>
        <w:rPr>
          <w:b/>
          <w:iCs/>
          <w:sz w:val="18"/>
          <w:szCs w:val="18"/>
          <w:lang w:val="en-US"/>
        </w:rPr>
      </w:pPr>
    </w:p>
    <w:p w14:paraId="56E37BE6" w14:textId="0C988816" w:rsidR="000A7745" w:rsidRPr="00C9465D" w:rsidRDefault="00E62D96" w:rsidP="00D47F8D">
      <w:pPr>
        <w:pStyle w:val="ListParagraph"/>
        <w:numPr>
          <w:ilvl w:val="0"/>
          <w:numId w:val="20"/>
        </w:numPr>
        <w:tabs>
          <w:tab w:val="left" w:pos="1418"/>
        </w:tabs>
        <w:spacing w:after="160" w:line="240" w:lineRule="auto"/>
        <w:ind w:left="567" w:right="48" w:firstLine="142"/>
        <w:rPr>
          <w:b/>
          <w:lang w:val="en-US"/>
        </w:rPr>
      </w:pPr>
      <w:r w:rsidRPr="00C9465D">
        <w:rPr>
          <w:b/>
          <w:lang w:val="en-US"/>
        </w:rPr>
        <w:t>Good faith</w:t>
      </w:r>
    </w:p>
    <w:p w14:paraId="7014FC45" w14:textId="77777777" w:rsidR="000A7745" w:rsidRPr="00C9465D" w:rsidRDefault="000A7745" w:rsidP="00760D70">
      <w:pPr>
        <w:pStyle w:val="ListParagraph"/>
        <w:autoSpaceDE w:val="0"/>
        <w:autoSpaceDN w:val="0"/>
        <w:adjustRightInd w:val="0"/>
        <w:spacing w:line="240" w:lineRule="auto"/>
        <w:ind w:left="0" w:right="48"/>
        <w:rPr>
          <w:rFonts w:cs="Times New Roman"/>
          <w:i/>
          <w:lang w:val="en-US"/>
        </w:rPr>
      </w:pPr>
    </w:p>
    <w:p w14:paraId="701EDB79" w14:textId="5052EC2E" w:rsidR="000A7745" w:rsidRPr="00C9465D" w:rsidRDefault="00E62D96" w:rsidP="00D47F8D">
      <w:pPr>
        <w:pStyle w:val="ListParagraph"/>
        <w:numPr>
          <w:ilvl w:val="0"/>
          <w:numId w:val="18"/>
        </w:numPr>
        <w:tabs>
          <w:tab w:val="left" w:pos="709"/>
        </w:tabs>
        <w:autoSpaceDE w:val="0"/>
        <w:autoSpaceDN w:val="0"/>
        <w:adjustRightInd w:val="0"/>
        <w:spacing w:line="240" w:lineRule="auto"/>
        <w:ind w:left="0" w:right="48" w:firstLine="0"/>
        <w:rPr>
          <w:rFonts w:cs="Times New Roman"/>
          <w:i/>
          <w:lang w:val="en-US"/>
        </w:rPr>
      </w:pPr>
      <w:r w:rsidRPr="00C9465D">
        <w:rPr>
          <w:rFonts w:eastAsiaTheme="minorEastAsia"/>
          <w:lang w:val="en-US"/>
        </w:rPr>
        <w:t>The method based on good faith means that what was agreed by the States Parties to the treaty in question should be understood on the basis of what they really had the intention of agreeing on, so that this would be applied faithfully and have practical effects</w:t>
      </w:r>
      <w:r w:rsidR="000A7745" w:rsidRPr="00C9465D">
        <w:rPr>
          <w:rFonts w:eastAsiaTheme="minorEastAsia"/>
          <w:lang w:val="en-US"/>
        </w:rPr>
        <w:t xml:space="preserve">. </w:t>
      </w:r>
      <w:r w:rsidRPr="00C9465D">
        <w:rPr>
          <w:rFonts w:eastAsiaTheme="minorEastAsia"/>
          <w:lang w:val="en-US"/>
        </w:rPr>
        <w:t xml:space="preserve">Thus, good faith is closely linked to the principle of </w:t>
      </w:r>
      <w:r w:rsidR="000A7745" w:rsidRPr="00C9465D">
        <w:rPr>
          <w:rFonts w:eastAsiaTheme="minorEastAsia"/>
          <w:lang w:val="en-US"/>
        </w:rPr>
        <w:t>“</w:t>
      </w:r>
      <w:r w:rsidR="000A7745" w:rsidRPr="00C9465D">
        <w:rPr>
          <w:rFonts w:eastAsiaTheme="minorEastAsia"/>
          <w:i/>
          <w:lang w:val="en-US"/>
        </w:rPr>
        <w:t>pacta sunt servanda</w:t>
      </w:r>
      <w:r w:rsidR="000A7745" w:rsidRPr="00C9465D">
        <w:rPr>
          <w:rFonts w:eastAsiaTheme="minorEastAsia"/>
          <w:lang w:val="en-US"/>
        </w:rPr>
        <w:t xml:space="preserve">” </w:t>
      </w:r>
      <w:r w:rsidRPr="00C9465D">
        <w:rPr>
          <w:rFonts w:eastAsiaTheme="minorEastAsia"/>
          <w:lang w:val="en-US"/>
        </w:rPr>
        <w:t>established in</w:t>
      </w:r>
      <w:r w:rsidR="000A7745" w:rsidRPr="00C9465D">
        <w:rPr>
          <w:rFonts w:eastAsiaTheme="minorEastAsia"/>
          <w:lang w:val="en-US"/>
        </w:rPr>
        <w:t xml:space="preserve"> </w:t>
      </w:r>
      <w:r w:rsidR="00193CBB" w:rsidRPr="00C9465D">
        <w:rPr>
          <w:rFonts w:eastAsiaTheme="minorEastAsia"/>
          <w:lang w:val="en-US"/>
        </w:rPr>
        <w:t>Article</w:t>
      </w:r>
      <w:r w:rsidR="000A7745" w:rsidRPr="00C9465D">
        <w:rPr>
          <w:rFonts w:cs="Times New Roman"/>
          <w:b/>
          <w:bCs/>
          <w:lang w:val="en-US"/>
        </w:rPr>
        <w:t xml:space="preserve"> </w:t>
      </w:r>
      <w:r w:rsidR="000A7745" w:rsidRPr="00C9465D">
        <w:rPr>
          <w:rFonts w:cs="Times New Roman"/>
          <w:bCs/>
          <w:lang w:val="en-US"/>
        </w:rPr>
        <w:t>26</w:t>
      </w:r>
      <w:r w:rsidR="00193CBB" w:rsidRPr="00C9465D">
        <w:rPr>
          <w:rFonts w:cs="Times New Roman"/>
          <w:bCs/>
          <w:lang w:val="en-US"/>
        </w:rPr>
        <w:t xml:space="preserve"> of the </w:t>
      </w:r>
      <w:r w:rsidRPr="00C9465D">
        <w:rPr>
          <w:rFonts w:cs="Times New Roman"/>
          <w:bCs/>
          <w:lang w:val="en-US"/>
        </w:rPr>
        <w:t xml:space="preserve">Vienna </w:t>
      </w:r>
      <w:r w:rsidR="00193CBB" w:rsidRPr="00C9465D">
        <w:rPr>
          <w:rFonts w:cs="Times New Roman"/>
          <w:bCs/>
          <w:lang w:val="en-US"/>
        </w:rPr>
        <w:t>Convention</w:t>
      </w:r>
      <w:r w:rsidRPr="00C9465D">
        <w:rPr>
          <w:rFonts w:cs="Times New Roman"/>
          <w:bCs/>
          <w:lang w:val="en-US"/>
        </w:rPr>
        <w:t>.</w:t>
      </w:r>
      <w:r w:rsidR="000A7745" w:rsidRPr="00C9465D">
        <w:rPr>
          <w:rFonts w:cs="Times New Roman"/>
          <w:bCs/>
          <w:vertAlign w:val="superscript"/>
          <w:lang w:val="en-US"/>
        </w:rPr>
        <w:footnoteReference w:id="396"/>
      </w:r>
      <w:bookmarkStart w:id="161" w:name="_Hlk34994137"/>
    </w:p>
    <w:p w14:paraId="6AD6AD43" w14:textId="77777777" w:rsidR="000A7745" w:rsidRPr="00C9465D" w:rsidRDefault="000A7745" w:rsidP="00760D70">
      <w:pPr>
        <w:pStyle w:val="ListParagraph"/>
        <w:autoSpaceDE w:val="0"/>
        <w:autoSpaceDN w:val="0"/>
        <w:adjustRightInd w:val="0"/>
        <w:spacing w:line="240" w:lineRule="auto"/>
        <w:ind w:left="0" w:right="48"/>
        <w:rPr>
          <w:rFonts w:cs="Times New Roman"/>
          <w:i/>
          <w:lang w:val="en-US"/>
        </w:rPr>
      </w:pPr>
    </w:p>
    <w:p w14:paraId="46D9FB77" w14:textId="1528CA07" w:rsidR="000E4BC2" w:rsidRPr="00C9465D" w:rsidRDefault="00E62D96" w:rsidP="00E62D96">
      <w:pPr>
        <w:pStyle w:val="ListParagraph"/>
        <w:numPr>
          <w:ilvl w:val="0"/>
          <w:numId w:val="18"/>
        </w:numPr>
        <w:autoSpaceDE w:val="0"/>
        <w:autoSpaceDN w:val="0"/>
        <w:adjustRightInd w:val="0"/>
        <w:spacing w:after="160" w:line="240" w:lineRule="auto"/>
        <w:ind w:left="0" w:right="48" w:firstLine="0"/>
        <w:rPr>
          <w:bCs/>
          <w:lang w:val="en-US"/>
        </w:rPr>
      </w:pPr>
      <w:r w:rsidRPr="00C9465D">
        <w:rPr>
          <w:bCs/>
          <w:lang w:val="en-US"/>
        </w:rPr>
        <w:t xml:space="preserve">From this perspective, it is </w:t>
      </w:r>
      <w:r w:rsidR="009F7EFF" w:rsidRPr="00C9465D">
        <w:rPr>
          <w:bCs/>
          <w:lang w:val="en-US"/>
        </w:rPr>
        <w:t>particularly</w:t>
      </w:r>
      <w:r w:rsidRPr="00C9465D">
        <w:rPr>
          <w:bCs/>
          <w:lang w:val="en-US"/>
        </w:rPr>
        <w:t xml:space="preserve"> evident that the practical effects of that article </w:t>
      </w:r>
      <w:r w:rsidR="000E4BC2" w:rsidRPr="00C9465D">
        <w:rPr>
          <w:bCs/>
          <w:lang w:val="en-US"/>
        </w:rPr>
        <w:t>are</w:t>
      </w:r>
      <w:r w:rsidRPr="00C9465D">
        <w:rPr>
          <w:bCs/>
          <w:lang w:val="en-US"/>
        </w:rPr>
        <w:t xml:space="preserve"> that the </w:t>
      </w:r>
      <w:r w:rsidR="00DA115D" w:rsidRPr="00C9465D">
        <w:rPr>
          <w:bCs/>
          <w:lang w:val="en-US"/>
        </w:rPr>
        <w:t>States Parties</w:t>
      </w:r>
      <w:r w:rsidR="00193CBB" w:rsidRPr="00C9465D">
        <w:rPr>
          <w:bCs/>
          <w:lang w:val="en-US"/>
        </w:rPr>
        <w:t xml:space="preserve"> </w:t>
      </w:r>
      <w:r w:rsidRPr="00C9465D">
        <w:rPr>
          <w:bCs/>
          <w:lang w:val="en-US"/>
        </w:rPr>
        <w:t>to</w:t>
      </w:r>
      <w:r w:rsidR="00193CBB" w:rsidRPr="00C9465D">
        <w:rPr>
          <w:bCs/>
          <w:lang w:val="en-US"/>
        </w:rPr>
        <w:t xml:space="preserve"> the Convention</w:t>
      </w:r>
      <w:r w:rsidRPr="00C9465D">
        <w:rPr>
          <w:bCs/>
          <w:lang w:val="en-US"/>
        </w:rPr>
        <w:t xml:space="preserve"> really adopted the provisions in order to achieve progressively the full </w:t>
      </w:r>
      <w:r w:rsidR="00E17A86" w:rsidRPr="00C9465D">
        <w:rPr>
          <w:bCs/>
          <w:lang w:val="en-US"/>
        </w:rPr>
        <w:t>realization</w:t>
      </w:r>
      <w:r w:rsidRPr="00C9465D">
        <w:rPr>
          <w:bCs/>
          <w:lang w:val="en-US"/>
        </w:rPr>
        <w:t xml:space="preserve"> of the rights derived from the </w:t>
      </w:r>
      <w:r w:rsidR="000E4BC2" w:rsidRPr="00C9465D">
        <w:rPr>
          <w:bCs/>
          <w:lang w:val="en-US"/>
        </w:rPr>
        <w:t xml:space="preserve">OAS </w:t>
      </w:r>
      <w:r w:rsidR="009F7EFF" w:rsidRPr="00C9465D">
        <w:rPr>
          <w:bCs/>
          <w:lang w:val="en-US"/>
        </w:rPr>
        <w:t>standards</w:t>
      </w:r>
      <w:r w:rsidR="000E4BC2" w:rsidRPr="00C9465D">
        <w:rPr>
          <w:bCs/>
          <w:lang w:val="en-US"/>
        </w:rPr>
        <w:t xml:space="preserve"> that it indicates and all of this in keeping with the available resources. Therefore, the State obligation established in Article 26 is to adopt measures to make the said rights effective and not to ensure that th</w:t>
      </w:r>
      <w:r w:rsidR="009F7EFF" w:rsidRPr="00C9465D">
        <w:rPr>
          <w:bCs/>
          <w:lang w:val="en-US"/>
        </w:rPr>
        <w:t>o</w:t>
      </w:r>
      <w:r w:rsidR="000E4BC2" w:rsidRPr="00C9465D">
        <w:rPr>
          <w:bCs/>
          <w:lang w:val="en-US"/>
        </w:rPr>
        <w:t>se rights really are effective. The obligation is one of conduct and not of result.</w:t>
      </w:r>
    </w:p>
    <w:bookmarkEnd w:id="161"/>
    <w:p w14:paraId="4D7D48B2" w14:textId="77777777" w:rsidR="000A7745" w:rsidRPr="00C9465D" w:rsidRDefault="000A7745" w:rsidP="00760D70">
      <w:pPr>
        <w:pStyle w:val="ListParagraph"/>
        <w:spacing w:line="240" w:lineRule="auto"/>
        <w:ind w:left="0" w:right="48"/>
        <w:rPr>
          <w:bCs/>
          <w:lang w:val="en-US"/>
        </w:rPr>
      </w:pPr>
    </w:p>
    <w:p w14:paraId="5A5AB89E" w14:textId="1EF97A73" w:rsidR="000A7745" w:rsidRPr="00C9465D" w:rsidRDefault="000E4BC2" w:rsidP="000E4BC2">
      <w:pPr>
        <w:pStyle w:val="ListParagraph"/>
        <w:numPr>
          <w:ilvl w:val="0"/>
          <w:numId w:val="18"/>
        </w:numPr>
        <w:autoSpaceDE w:val="0"/>
        <w:autoSpaceDN w:val="0"/>
        <w:adjustRightInd w:val="0"/>
        <w:spacing w:after="160" w:line="240" w:lineRule="auto"/>
        <w:ind w:left="0" w:right="48" w:firstLine="0"/>
        <w:rPr>
          <w:rFonts w:cs="Times New Roman"/>
          <w:i/>
          <w:lang w:val="en-US"/>
        </w:rPr>
      </w:pPr>
      <w:r w:rsidRPr="00C9465D">
        <w:rPr>
          <w:bCs/>
          <w:lang w:val="en-US"/>
        </w:rPr>
        <w:t xml:space="preserve">In this regard, it is necessary to call attention to the fact that what Article 26 establishes is similar to the provisions of </w:t>
      </w:r>
      <w:r w:rsidRPr="00C9465D">
        <w:rPr>
          <w:lang w:val="en-US"/>
        </w:rPr>
        <w:t xml:space="preserve">Article 2 of the Convention; that is, that the States commit, in the former, to adopt </w:t>
      </w:r>
      <w:r w:rsidR="00E17A86" w:rsidRPr="00C9465D">
        <w:rPr>
          <w:lang w:val="en-US"/>
        </w:rPr>
        <w:t>measures</w:t>
      </w:r>
      <w:r w:rsidRPr="00C9465D">
        <w:rPr>
          <w:lang w:val="en-US"/>
        </w:rPr>
        <w:t xml:space="preserve"> in order to achieve progressively the full </w:t>
      </w:r>
      <w:r w:rsidR="00E17A86" w:rsidRPr="00C9465D">
        <w:rPr>
          <w:lang w:val="en-US"/>
        </w:rPr>
        <w:t xml:space="preserve">realization </w:t>
      </w:r>
      <w:r w:rsidRPr="00C9465D">
        <w:rPr>
          <w:lang w:val="en-US"/>
        </w:rPr>
        <w:t xml:space="preserve">of the rights derived from the OAS </w:t>
      </w:r>
      <w:r w:rsidR="00E17A86" w:rsidRPr="00C9465D">
        <w:rPr>
          <w:lang w:val="en-US"/>
        </w:rPr>
        <w:t>standards</w:t>
      </w:r>
      <w:r w:rsidRPr="00C9465D">
        <w:rPr>
          <w:lang w:val="en-US"/>
        </w:rPr>
        <w:t xml:space="preserve"> mentioned and, in the latter, </w:t>
      </w:r>
      <w:r w:rsidR="00E17A86" w:rsidRPr="00C9465D">
        <w:rPr>
          <w:lang w:val="en-US"/>
        </w:rPr>
        <w:t xml:space="preserve">to adopt </w:t>
      </w:r>
      <w:r w:rsidRPr="00C9465D">
        <w:rPr>
          <w:lang w:val="en-US"/>
        </w:rPr>
        <w:t>measures if the exercise of the rights established in Article 1 of the Convention are not guaranteed,</w:t>
      </w:r>
      <w:bookmarkStart w:id="162" w:name="_Hlk73541251"/>
      <w:r w:rsidR="000A7745" w:rsidRPr="00C9465D">
        <w:rPr>
          <w:vertAlign w:val="superscript"/>
          <w:lang w:val="en-US"/>
        </w:rPr>
        <w:footnoteReference w:id="397"/>
      </w:r>
      <w:bookmarkEnd w:id="162"/>
      <w:r w:rsidR="000A7745" w:rsidRPr="00C9465D">
        <w:rPr>
          <w:rFonts w:eastAsia="Batang"/>
          <w:iCs/>
          <w:lang w:val="en-US"/>
        </w:rPr>
        <w:t xml:space="preserve"> </w:t>
      </w:r>
      <w:r w:rsidRPr="00C9465D">
        <w:rPr>
          <w:rFonts w:eastAsia="Batang"/>
          <w:iCs/>
          <w:lang w:val="en-US"/>
        </w:rPr>
        <w:t xml:space="preserve">although the two provisions differ in that the former conditions compliance with </w:t>
      </w:r>
      <w:r w:rsidR="00D8209E" w:rsidRPr="00C9465D">
        <w:rPr>
          <w:rFonts w:eastAsia="Batang"/>
          <w:iCs/>
          <w:lang w:val="en-US"/>
        </w:rPr>
        <w:t>its</w:t>
      </w:r>
      <w:r w:rsidRPr="00C9465D">
        <w:rPr>
          <w:rFonts w:eastAsia="Batang"/>
          <w:iCs/>
          <w:lang w:val="en-US"/>
        </w:rPr>
        <w:t xml:space="preserve"> contents to the availability of the corresponding resources.</w:t>
      </w:r>
      <w:r w:rsidR="000A7745" w:rsidRPr="00C9465D">
        <w:rPr>
          <w:rFonts w:eastAsia="Batang"/>
          <w:iCs/>
          <w:lang w:val="en-US"/>
        </w:rPr>
        <w:t xml:space="preserve"> </w:t>
      </w:r>
    </w:p>
    <w:p w14:paraId="65696B13" w14:textId="77777777" w:rsidR="000A7745" w:rsidRPr="00C9465D" w:rsidRDefault="000A7745" w:rsidP="00760D70">
      <w:pPr>
        <w:pStyle w:val="ListParagraph"/>
        <w:spacing w:line="240" w:lineRule="auto"/>
        <w:ind w:left="0" w:right="48"/>
        <w:rPr>
          <w:bCs/>
          <w:lang w:val="en-US"/>
        </w:rPr>
      </w:pPr>
    </w:p>
    <w:p w14:paraId="183DA467" w14:textId="438BD737" w:rsidR="000A7745" w:rsidRPr="00C9465D" w:rsidRDefault="000E4BC2" w:rsidP="00D47F8D">
      <w:pPr>
        <w:pStyle w:val="ListParagraph"/>
        <w:numPr>
          <w:ilvl w:val="0"/>
          <w:numId w:val="18"/>
        </w:numPr>
        <w:autoSpaceDE w:val="0"/>
        <w:autoSpaceDN w:val="0"/>
        <w:adjustRightInd w:val="0"/>
        <w:spacing w:after="160" w:line="240" w:lineRule="auto"/>
        <w:ind w:left="0" w:right="48" w:firstLine="0"/>
        <w:rPr>
          <w:rFonts w:cs="Times New Roman"/>
          <w:i/>
          <w:lang w:val="en-US"/>
        </w:rPr>
      </w:pPr>
      <w:r w:rsidRPr="00C9465D">
        <w:rPr>
          <w:bCs/>
          <w:lang w:val="en-US"/>
        </w:rPr>
        <w:t xml:space="preserve">On this basis, it is necessary to ask oneself why Article 26 was adopted and, therefore, why the rights it refers to were not addressed in the same way as the civil and </w:t>
      </w:r>
      <w:r w:rsidR="00D8209E" w:rsidRPr="00C9465D">
        <w:rPr>
          <w:bCs/>
          <w:lang w:val="en-US"/>
        </w:rPr>
        <w:t>political</w:t>
      </w:r>
      <w:r w:rsidRPr="00C9465D">
        <w:rPr>
          <w:bCs/>
          <w:lang w:val="en-US"/>
        </w:rPr>
        <w:t xml:space="preserve"> rights. The answer </w:t>
      </w:r>
      <w:r w:rsidRPr="00C9465D">
        <w:rPr>
          <w:rFonts w:eastAsiaTheme="minorEastAsia"/>
          <w:lang w:val="en-US"/>
        </w:rPr>
        <w:t>based on good faith can only be that</w:t>
      </w:r>
      <w:r w:rsidR="000A7745" w:rsidRPr="00C9465D">
        <w:rPr>
          <w:lang w:val="en-US"/>
        </w:rPr>
        <w:t xml:space="preserve"> </w:t>
      </w:r>
      <w:r w:rsidR="00193CBB" w:rsidRPr="00C9465D">
        <w:rPr>
          <w:lang w:val="en-US"/>
        </w:rPr>
        <w:t>the Convention</w:t>
      </w:r>
      <w:r w:rsidR="000A7745" w:rsidRPr="00C9465D">
        <w:rPr>
          <w:lang w:val="en-US"/>
        </w:rPr>
        <w:t xml:space="preserve"> </w:t>
      </w:r>
      <w:r w:rsidRPr="00C9465D">
        <w:rPr>
          <w:lang w:val="en-US"/>
        </w:rPr>
        <w:t>established that</w:t>
      </w:r>
      <w:r w:rsidR="003449C9" w:rsidRPr="00C9465D">
        <w:rPr>
          <w:lang w:val="en-US"/>
        </w:rPr>
        <w:t>,</w:t>
      </w:r>
      <w:r w:rsidRPr="00C9465D">
        <w:rPr>
          <w:lang w:val="en-US"/>
        </w:rPr>
        <w:t xml:space="preserve"> although both types of human rights are closely linked owing to the ideal to which they aspire </w:t>
      </w:r>
      <w:r w:rsidR="00872BA4" w:rsidRPr="00C9465D">
        <w:rPr>
          <w:lang w:val="en-US"/>
        </w:rPr>
        <w:t xml:space="preserve">which </w:t>
      </w:r>
      <w:r w:rsidR="00872BA4" w:rsidRPr="00C9465D">
        <w:rPr>
          <w:lang w:val="en-US"/>
        </w:rPr>
        <w:lastRenderedPageBreak/>
        <w:t xml:space="preserve">is, according to its </w:t>
      </w:r>
      <w:r w:rsidR="00651251" w:rsidRPr="00C9465D">
        <w:rPr>
          <w:lang w:val="en-US"/>
        </w:rPr>
        <w:t>Preamble</w:t>
      </w:r>
      <w:r w:rsidR="000A7745" w:rsidRPr="00C9465D">
        <w:rPr>
          <w:lang w:val="en-US"/>
        </w:rPr>
        <w:t xml:space="preserve">, </w:t>
      </w:r>
      <w:r w:rsidR="00872BA4" w:rsidRPr="00C9465D">
        <w:rPr>
          <w:lang w:val="en-US"/>
        </w:rPr>
        <w:t>that of creating the conditions to allow their “enjoyment,</w:t>
      </w:r>
      <w:r w:rsidR="000A7745" w:rsidRPr="00C9465D">
        <w:rPr>
          <w:lang w:val="en-US"/>
        </w:rPr>
        <w:t>”</w:t>
      </w:r>
      <w:r w:rsidR="000A7745" w:rsidRPr="00C9465D">
        <w:rPr>
          <w:vertAlign w:val="superscript"/>
          <w:lang w:val="en-US"/>
        </w:rPr>
        <w:footnoteReference w:id="398"/>
      </w:r>
      <w:r w:rsidR="00872BA4" w:rsidRPr="00C9465D">
        <w:rPr>
          <w:lang w:val="en-US"/>
        </w:rPr>
        <w:t xml:space="preserve"> they are, however, different and, particularly, developed differently in the sphere of public international law, so that they should be treated differently, which is precisely what the Convention does since it also indicates this in its </w:t>
      </w:r>
      <w:r w:rsidR="00651251" w:rsidRPr="00C9465D">
        <w:rPr>
          <w:lang w:val="en-US"/>
        </w:rPr>
        <w:t>Preamble</w:t>
      </w:r>
      <w:r w:rsidR="00872BA4" w:rsidRPr="00C9465D">
        <w:rPr>
          <w:lang w:val="en-US"/>
        </w:rPr>
        <w:t>.</w:t>
      </w:r>
      <w:r w:rsidR="000A7745" w:rsidRPr="00C9465D">
        <w:rPr>
          <w:vertAlign w:val="superscript"/>
          <w:lang w:val="en-US"/>
        </w:rPr>
        <w:footnoteReference w:id="399"/>
      </w:r>
    </w:p>
    <w:p w14:paraId="3E9C5596" w14:textId="77777777" w:rsidR="00872BA4" w:rsidRPr="00C9465D" w:rsidRDefault="00872BA4" w:rsidP="00872BA4">
      <w:pPr>
        <w:pStyle w:val="ListParagraph"/>
        <w:rPr>
          <w:rFonts w:cs="Times New Roman"/>
          <w:i/>
          <w:lang w:val="en-US"/>
        </w:rPr>
      </w:pPr>
    </w:p>
    <w:p w14:paraId="11F74EEF" w14:textId="15D6DF70" w:rsidR="00872BA4" w:rsidRPr="00C9465D" w:rsidRDefault="00872BA4" w:rsidP="00872BA4">
      <w:pPr>
        <w:pStyle w:val="ListParagraph"/>
        <w:numPr>
          <w:ilvl w:val="0"/>
          <w:numId w:val="18"/>
        </w:numPr>
        <w:autoSpaceDE w:val="0"/>
        <w:autoSpaceDN w:val="0"/>
        <w:adjustRightInd w:val="0"/>
        <w:spacing w:after="160" w:line="240" w:lineRule="auto"/>
        <w:ind w:left="0" w:right="48" w:firstLine="0"/>
        <w:rPr>
          <w:rFonts w:cs="Times New Roman"/>
          <w:i/>
          <w:lang w:val="en-US"/>
        </w:rPr>
      </w:pPr>
      <w:r w:rsidRPr="00C9465D">
        <w:rPr>
          <w:rFonts w:eastAsia="Batang"/>
          <w:iCs/>
          <w:lang w:val="en-US"/>
        </w:rPr>
        <w:t xml:space="preserve">Therefore, and in keeping with the principle of good faith, it should be underlined that the fact that </w:t>
      </w:r>
      <w:r w:rsidR="00651251" w:rsidRPr="00C9465D">
        <w:rPr>
          <w:rFonts w:eastAsia="Batang"/>
          <w:iCs/>
          <w:lang w:val="en-US"/>
        </w:rPr>
        <w:t>the Preamble</w:t>
      </w:r>
      <w:r w:rsidR="00193CBB" w:rsidRPr="00C9465D">
        <w:rPr>
          <w:rFonts w:eastAsia="Batang"/>
          <w:iCs/>
          <w:lang w:val="en-US"/>
        </w:rPr>
        <w:t xml:space="preserve"> </w:t>
      </w:r>
      <w:r w:rsidRPr="00C9465D">
        <w:rPr>
          <w:rFonts w:eastAsia="Batang"/>
          <w:iCs/>
          <w:lang w:val="en-US"/>
        </w:rPr>
        <w:t>to</w:t>
      </w:r>
      <w:r w:rsidR="00193CBB" w:rsidRPr="00C9465D">
        <w:rPr>
          <w:rFonts w:eastAsia="Batang"/>
          <w:iCs/>
          <w:lang w:val="en-US"/>
        </w:rPr>
        <w:t xml:space="preserve"> the Convention</w:t>
      </w:r>
      <w:r w:rsidR="000A7745" w:rsidRPr="00C9465D">
        <w:rPr>
          <w:rFonts w:eastAsia="Batang"/>
          <w:iCs/>
          <w:lang w:val="en-US"/>
        </w:rPr>
        <w:t xml:space="preserve"> </w:t>
      </w:r>
      <w:r w:rsidRPr="00C9465D">
        <w:rPr>
          <w:rFonts w:eastAsia="Batang"/>
          <w:iCs/>
          <w:lang w:val="en-US"/>
        </w:rPr>
        <w:t xml:space="preserve">asserts that </w:t>
      </w:r>
      <w:r w:rsidRPr="00C9465D">
        <w:rPr>
          <w:lang w:val="en-US"/>
        </w:rPr>
        <w:t xml:space="preserve">everyone may enjoy his economic, social, and cultural rights, as well as his civil and political rights does not infer, as the judgment does, that the practical effects of Article 26 are that the violation of the rights to which it refers are justiciable before the Court, but rather that the State should adopt the pertinent measures to </w:t>
      </w:r>
      <w:r w:rsidR="003449C9" w:rsidRPr="00C9465D">
        <w:rPr>
          <w:lang w:val="en-US"/>
        </w:rPr>
        <w:t xml:space="preserve">realize </w:t>
      </w:r>
      <w:r w:rsidRPr="00C9465D">
        <w:rPr>
          <w:lang w:val="en-US"/>
        </w:rPr>
        <w:t>those rights progressively.</w:t>
      </w:r>
    </w:p>
    <w:p w14:paraId="472E7A43" w14:textId="49612D56" w:rsidR="00872BA4" w:rsidRPr="00C9465D" w:rsidRDefault="00872BA4" w:rsidP="00D47F8D">
      <w:pPr>
        <w:numPr>
          <w:ilvl w:val="0"/>
          <w:numId w:val="18"/>
        </w:numPr>
        <w:spacing w:line="240" w:lineRule="auto"/>
        <w:ind w:left="0" w:right="48" w:firstLine="0"/>
        <w:contextualSpacing/>
        <w:jc w:val="both"/>
        <w:rPr>
          <w:rFonts w:ascii="Verdana" w:hAnsi="Verdana"/>
          <w:sz w:val="20"/>
          <w:szCs w:val="20"/>
          <w:lang w:val="en-US"/>
        </w:rPr>
      </w:pPr>
      <w:r w:rsidRPr="00C9465D">
        <w:rPr>
          <w:rFonts w:ascii="Verdana" w:hAnsi="Verdana"/>
          <w:sz w:val="20"/>
          <w:szCs w:val="20"/>
          <w:lang w:val="en-US"/>
        </w:rPr>
        <w:t xml:space="preserve">Additionally, it is essential to indicate that it is surprising that the judgment has not referred more extensively, in any part, to good faith as an element that is </w:t>
      </w:r>
      <w:r w:rsidR="003449C9" w:rsidRPr="00C9465D">
        <w:rPr>
          <w:rFonts w:ascii="Verdana" w:hAnsi="Verdana"/>
          <w:sz w:val="20"/>
          <w:szCs w:val="20"/>
          <w:lang w:val="en-US"/>
        </w:rPr>
        <w:t xml:space="preserve">as </w:t>
      </w:r>
      <w:r w:rsidRPr="00C9465D">
        <w:rPr>
          <w:rFonts w:ascii="Verdana" w:hAnsi="Verdana"/>
          <w:sz w:val="20"/>
          <w:szCs w:val="20"/>
          <w:lang w:val="en-US"/>
        </w:rPr>
        <w:t>essential as the other</w:t>
      </w:r>
      <w:r w:rsidR="003449C9" w:rsidRPr="00C9465D">
        <w:rPr>
          <w:rFonts w:ascii="Verdana" w:hAnsi="Verdana"/>
          <w:sz w:val="20"/>
          <w:szCs w:val="20"/>
          <w:lang w:val="en-US"/>
        </w:rPr>
        <w:t xml:space="preserve"> elements </w:t>
      </w:r>
      <w:r w:rsidRPr="00C9465D">
        <w:rPr>
          <w:rFonts w:ascii="Verdana" w:hAnsi="Verdana"/>
          <w:sz w:val="20"/>
          <w:szCs w:val="20"/>
          <w:lang w:val="en-US"/>
        </w:rPr>
        <w:t>for the interpretation of treaties</w:t>
      </w:r>
      <w:r w:rsidR="003449C9" w:rsidRPr="00C9465D">
        <w:rPr>
          <w:rFonts w:ascii="Verdana" w:hAnsi="Verdana"/>
          <w:sz w:val="20"/>
          <w:szCs w:val="20"/>
          <w:lang w:val="en-US"/>
        </w:rPr>
        <w:t xml:space="preserve"> contemplated in Article 31(1) of the Vienna Convention</w:t>
      </w:r>
      <w:r w:rsidRPr="00C9465D">
        <w:rPr>
          <w:rFonts w:ascii="Verdana" w:hAnsi="Verdana"/>
          <w:sz w:val="20"/>
          <w:szCs w:val="20"/>
          <w:lang w:val="en-US"/>
        </w:rPr>
        <w:t xml:space="preserve">. Likewise, it is also strange that it provides no explanation of the inclusion of Article 26 in a chapter </w:t>
      </w:r>
      <w:r w:rsidR="00B85ABC" w:rsidRPr="00C9465D">
        <w:rPr>
          <w:rFonts w:ascii="Verdana" w:hAnsi="Verdana"/>
          <w:sz w:val="20"/>
          <w:szCs w:val="20"/>
          <w:lang w:val="en-US"/>
        </w:rPr>
        <w:t>separate from</w:t>
      </w:r>
      <w:r w:rsidRPr="00C9465D">
        <w:rPr>
          <w:rFonts w:ascii="Verdana" w:hAnsi="Verdana"/>
          <w:sz w:val="20"/>
          <w:szCs w:val="20"/>
          <w:lang w:val="en-US"/>
        </w:rPr>
        <w:t xml:space="preserve"> the </w:t>
      </w:r>
      <w:r w:rsidR="00B85ABC" w:rsidRPr="00C9465D">
        <w:rPr>
          <w:rFonts w:ascii="Verdana" w:hAnsi="Verdana"/>
          <w:sz w:val="20"/>
          <w:szCs w:val="20"/>
          <w:lang w:val="en-US"/>
        </w:rPr>
        <w:t>civil and political rights and, in particular, the reason for this and its practical effects. The judgment provides no answers to the motive or reason for the existence of Article 26 as a provision that differs from those that relate to the civil and political rights</w:t>
      </w:r>
      <w:r w:rsidR="003449C9" w:rsidRPr="00C9465D">
        <w:rPr>
          <w:rFonts w:ascii="Verdana" w:hAnsi="Verdana"/>
          <w:sz w:val="20"/>
          <w:szCs w:val="20"/>
          <w:lang w:val="en-US"/>
        </w:rPr>
        <w:t>.</w:t>
      </w:r>
    </w:p>
    <w:p w14:paraId="096D37B3" w14:textId="77777777" w:rsidR="000A7745" w:rsidRPr="00C9465D" w:rsidRDefault="000A7745" w:rsidP="00760D70">
      <w:pPr>
        <w:spacing w:line="240" w:lineRule="auto"/>
        <w:ind w:right="48"/>
        <w:contextualSpacing/>
        <w:rPr>
          <w:rFonts w:ascii="Verdana" w:hAnsi="Verdana"/>
          <w:sz w:val="20"/>
          <w:szCs w:val="20"/>
          <w:lang w:val="en-US"/>
        </w:rPr>
      </w:pPr>
    </w:p>
    <w:p w14:paraId="654EB286" w14:textId="0D125820" w:rsidR="00B85ABC" w:rsidRPr="00C9465D" w:rsidRDefault="00B85ABC" w:rsidP="00D47F8D">
      <w:pPr>
        <w:numPr>
          <w:ilvl w:val="0"/>
          <w:numId w:val="18"/>
        </w:numPr>
        <w:spacing w:line="240" w:lineRule="auto"/>
        <w:ind w:left="0" w:right="48" w:firstLine="0"/>
        <w:contextualSpacing/>
        <w:jc w:val="both"/>
        <w:rPr>
          <w:rFonts w:ascii="Verdana" w:hAnsi="Verdana"/>
          <w:sz w:val="20"/>
          <w:szCs w:val="20"/>
          <w:lang w:val="en-US"/>
        </w:rPr>
      </w:pPr>
      <w:r w:rsidRPr="00C9465D">
        <w:rPr>
          <w:rFonts w:ascii="Verdana" w:hAnsi="Verdana"/>
          <w:sz w:val="20"/>
          <w:szCs w:val="20"/>
          <w:lang w:val="en-US"/>
        </w:rPr>
        <w:t xml:space="preserve">In sum, good faith leads to considering </w:t>
      </w:r>
      <w:r w:rsidR="00193CBB" w:rsidRPr="00C9465D">
        <w:rPr>
          <w:rFonts w:ascii="Verdana" w:hAnsi="Verdana"/>
          <w:sz w:val="20"/>
          <w:szCs w:val="20"/>
          <w:lang w:val="en-US"/>
        </w:rPr>
        <w:t>Article</w:t>
      </w:r>
      <w:r w:rsidR="000A7745" w:rsidRPr="00C9465D">
        <w:rPr>
          <w:rFonts w:ascii="Verdana" w:hAnsi="Verdana"/>
          <w:sz w:val="20"/>
          <w:szCs w:val="20"/>
          <w:lang w:val="en-US"/>
        </w:rPr>
        <w:t xml:space="preserve"> 26 </w:t>
      </w:r>
      <w:r w:rsidRPr="00C9465D">
        <w:rPr>
          <w:rFonts w:ascii="Verdana" w:hAnsi="Verdana"/>
          <w:sz w:val="20"/>
          <w:szCs w:val="20"/>
          <w:lang w:val="en-US"/>
        </w:rPr>
        <w:t xml:space="preserve">on its own merits, which means that it should be interpreted, not as recognizing rights that it does not name or develop as in the instant case, but rather as referring to </w:t>
      </w:r>
      <w:r w:rsidR="003449C9" w:rsidRPr="00C9465D">
        <w:rPr>
          <w:rFonts w:ascii="Verdana" w:hAnsi="Verdana"/>
          <w:sz w:val="20"/>
          <w:szCs w:val="20"/>
          <w:lang w:val="en-US"/>
        </w:rPr>
        <w:t>criteria</w:t>
      </w:r>
      <w:r w:rsidRPr="00C9465D">
        <w:rPr>
          <w:rFonts w:ascii="Verdana" w:hAnsi="Verdana"/>
          <w:sz w:val="20"/>
          <w:szCs w:val="20"/>
          <w:lang w:val="en-US"/>
        </w:rPr>
        <w:t xml:space="preserve"> other than those of the Convention to </w:t>
      </w:r>
      <w:r w:rsidR="003449C9" w:rsidRPr="00C9465D">
        <w:rPr>
          <w:rFonts w:ascii="Verdana" w:hAnsi="Verdana"/>
          <w:sz w:val="20"/>
          <w:szCs w:val="20"/>
          <w:lang w:val="en-US"/>
        </w:rPr>
        <w:t>distinguish</w:t>
      </w:r>
      <w:r w:rsidRPr="00C9465D">
        <w:rPr>
          <w:rFonts w:ascii="Verdana" w:hAnsi="Verdana"/>
          <w:sz w:val="20"/>
          <w:szCs w:val="20"/>
          <w:lang w:val="en-US"/>
        </w:rPr>
        <w:t xml:space="preserve"> them, such as those of the OAS Charter and that, consequently, their specific or particular practical effect is, let me repeat, that the States Parties to the Convention should take measures to </w:t>
      </w:r>
      <w:r w:rsidR="003449C9" w:rsidRPr="00C9465D">
        <w:rPr>
          <w:rFonts w:ascii="Verdana" w:hAnsi="Verdana"/>
          <w:sz w:val="20"/>
          <w:szCs w:val="20"/>
          <w:lang w:val="en-US"/>
        </w:rPr>
        <w:t>realize</w:t>
      </w:r>
      <w:r w:rsidRPr="00C9465D">
        <w:rPr>
          <w:rFonts w:ascii="Verdana" w:hAnsi="Verdana"/>
          <w:sz w:val="20"/>
          <w:szCs w:val="20"/>
          <w:lang w:val="en-US"/>
        </w:rPr>
        <w:t xml:space="preserve"> progressively the rights derived from those provisions</w:t>
      </w:r>
      <w:r w:rsidR="003449C9" w:rsidRPr="00C9465D">
        <w:rPr>
          <w:rFonts w:ascii="Verdana" w:hAnsi="Verdana"/>
          <w:sz w:val="20"/>
          <w:szCs w:val="20"/>
          <w:lang w:val="en-US"/>
        </w:rPr>
        <w:t xml:space="preserve">, </w:t>
      </w:r>
      <w:r w:rsidRPr="00C9465D">
        <w:rPr>
          <w:rFonts w:ascii="Verdana" w:hAnsi="Verdana"/>
          <w:sz w:val="20"/>
          <w:szCs w:val="20"/>
          <w:lang w:val="en-US"/>
        </w:rPr>
        <w:t xml:space="preserve">and all of this </w:t>
      </w:r>
      <w:r w:rsidR="00762577" w:rsidRPr="00C9465D">
        <w:rPr>
          <w:rFonts w:ascii="Verdana" w:hAnsi="Verdana"/>
          <w:sz w:val="20"/>
          <w:szCs w:val="20"/>
          <w:lang w:val="en-US"/>
        </w:rPr>
        <w:t>subject to</w:t>
      </w:r>
      <w:r w:rsidRPr="00C9465D">
        <w:rPr>
          <w:rFonts w:ascii="Verdana" w:hAnsi="Verdana"/>
          <w:sz w:val="20"/>
          <w:szCs w:val="20"/>
          <w:lang w:val="en-US"/>
        </w:rPr>
        <w:t xml:space="preserve"> </w:t>
      </w:r>
      <w:r w:rsidR="00762577" w:rsidRPr="00C9465D">
        <w:rPr>
          <w:rFonts w:ascii="Verdana" w:hAnsi="Verdana"/>
          <w:sz w:val="20"/>
          <w:szCs w:val="20"/>
          <w:lang w:val="en-US"/>
        </w:rPr>
        <w:t>available</w:t>
      </w:r>
      <w:r w:rsidRPr="00C9465D">
        <w:rPr>
          <w:rFonts w:ascii="Verdana" w:hAnsi="Verdana"/>
          <w:sz w:val="20"/>
          <w:szCs w:val="20"/>
          <w:lang w:val="en-US"/>
        </w:rPr>
        <w:t xml:space="preserve"> resources.</w:t>
      </w:r>
    </w:p>
    <w:p w14:paraId="67258A42" w14:textId="77777777" w:rsidR="000A7745" w:rsidRPr="00C9465D" w:rsidRDefault="000A7745" w:rsidP="00760D70">
      <w:pPr>
        <w:spacing w:line="240" w:lineRule="auto"/>
        <w:ind w:right="48"/>
        <w:contextualSpacing/>
        <w:rPr>
          <w:rFonts w:ascii="Verdana" w:hAnsi="Verdana"/>
          <w:sz w:val="20"/>
          <w:szCs w:val="20"/>
          <w:lang w:val="en-US"/>
        </w:rPr>
      </w:pPr>
    </w:p>
    <w:p w14:paraId="6946F63E" w14:textId="52C9510D" w:rsidR="00B85ABC" w:rsidRPr="00C9465D" w:rsidRDefault="00B85ABC" w:rsidP="00D47F8D">
      <w:pPr>
        <w:numPr>
          <w:ilvl w:val="0"/>
          <w:numId w:val="18"/>
        </w:numPr>
        <w:spacing w:line="240" w:lineRule="auto"/>
        <w:ind w:left="0" w:right="48" w:firstLine="0"/>
        <w:contextualSpacing/>
        <w:jc w:val="both"/>
        <w:rPr>
          <w:rFonts w:ascii="Verdana" w:hAnsi="Verdana"/>
          <w:sz w:val="20"/>
          <w:szCs w:val="20"/>
          <w:lang w:val="en-US"/>
        </w:rPr>
      </w:pPr>
      <w:r w:rsidRPr="00C9465D">
        <w:rPr>
          <w:rFonts w:ascii="Verdana" w:hAnsi="Verdana"/>
          <w:sz w:val="20"/>
          <w:szCs w:val="20"/>
          <w:lang w:val="en-US"/>
        </w:rPr>
        <w:t>In other words, interpreting the Convention in good faith entails starting from the presumption – and respecting it – that</w:t>
      </w:r>
      <w:r w:rsidR="003449C9" w:rsidRPr="00C9465D">
        <w:rPr>
          <w:rFonts w:ascii="Verdana" w:hAnsi="Verdana"/>
          <w:sz w:val="20"/>
          <w:szCs w:val="20"/>
          <w:lang w:val="en-US"/>
        </w:rPr>
        <w:t xml:space="preserve"> the</w:t>
      </w:r>
      <w:r w:rsidRPr="00C9465D">
        <w:rPr>
          <w:rFonts w:ascii="Verdana" w:hAnsi="Verdana"/>
          <w:sz w:val="20"/>
          <w:szCs w:val="20"/>
          <w:lang w:val="en-US"/>
        </w:rPr>
        <w:t xml:space="preserve"> States Parties adopted it in the understanding that only what they had agreed to is what could be required or claimed of them. Separating good faith from what was agreed </w:t>
      </w:r>
      <w:r w:rsidR="003449C9" w:rsidRPr="00C9465D">
        <w:rPr>
          <w:rFonts w:ascii="Verdana" w:hAnsi="Verdana"/>
          <w:sz w:val="20"/>
          <w:szCs w:val="20"/>
          <w:lang w:val="en-US"/>
        </w:rPr>
        <w:t>could</w:t>
      </w:r>
      <w:r w:rsidRPr="00C9465D">
        <w:rPr>
          <w:rFonts w:ascii="Verdana" w:hAnsi="Verdana"/>
          <w:sz w:val="20"/>
          <w:szCs w:val="20"/>
          <w:lang w:val="en-US"/>
        </w:rPr>
        <w:t xml:space="preserve"> mean that the States Parties to the Convention are required to comply with something they never agreed to or had in mind. Th</w:t>
      </w:r>
      <w:r w:rsidR="003449C9" w:rsidRPr="00C9465D">
        <w:rPr>
          <w:rFonts w:ascii="Verdana" w:hAnsi="Verdana"/>
          <w:sz w:val="20"/>
          <w:szCs w:val="20"/>
          <w:lang w:val="en-US"/>
        </w:rPr>
        <w:t>erefore</w:t>
      </w:r>
      <w:r w:rsidRPr="00C9465D">
        <w:rPr>
          <w:rFonts w:ascii="Verdana" w:hAnsi="Verdana"/>
          <w:sz w:val="20"/>
          <w:szCs w:val="20"/>
          <w:lang w:val="en-US"/>
        </w:rPr>
        <w:t xml:space="preserve">, by omitting any reference to good faith, the judgment </w:t>
      </w:r>
      <w:r w:rsidR="00762577" w:rsidRPr="00C9465D">
        <w:rPr>
          <w:rFonts w:ascii="Verdana" w:hAnsi="Verdana"/>
          <w:sz w:val="20"/>
          <w:szCs w:val="20"/>
          <w:lang w:val="en-US"/>
        </w:rPr>
        <w:t>markedly departs from the Vienna Convention’s provisions in this regard.</w:t>
      </w:r>
    </w:p>
    <w:p w14:paraId="7F254093" w14:textId="143E56E5" w:rsidR="000A7745" w:rsidRPr="00C9465D" w:rsidRDefault="00C63263" w:rsidP="00D47F8D">
      <w:pPr>
        <w:pStyle w:val="ListParagraph"/>
        <w:numPr>
          <w:ilvl w:val="0"/>
          <w:numId w:val="20"/>
        </w:numPr>
        <w:tabs>
          <w:tab w:val="left" w:pos="1418"/>
        </w:tabs>
        <w:spacing w:after="160" w:line="240" w:lineRule="auto"/>
        <w:ind w:left="709" w:right="48" w:firstLine="0"/>
        <w:rPr>
          <w:b/>
          <w:bCs/>
          <w:lang w:val="en-US"/>
        </w:rPr>
      </w:pPr>
      <w:r w:rsidRPr="00C9465D">
        <w:rPr>
          <w:b/>
          <w:bCs/>
          <w:lang w:val="en-US"/>
        </w:rPr>
        <w:t>Ordinary</w:t>
      </w:r>
      <w:r w:rsidR="005E2E1C" w:rsidRPr="00C9465D">
        <w:rPr>
          <w:b/>
          <w:bCs/>
          <w:lang w:val="en-US"/>
        </w:rPr>
        <w:t xml:space="preserve"> meaning</w:t>
      </w:r>
    </w:p>
    <w:p w14:paraId="532B30D3" w14:textId="77777777" w:rsidR="000A7745" w:rsidRPr="00C9465D" w:rsidRDefault="000A7745" w:rsidP="00760D70">
      <w:pPr>
        <w:pStyle w:val="ListParagraph"/>
        <w:spacing w:line="240" w:lineRule="auto"/>
        <w:ind w:left="-567" w:right="48"/>
        <w:rPr>
          <w:b/>
          <w:bCs/>
          <w:lang w:val="en-US"/>
        </w:rPr>
      </w:pPr>
    </w:p>
    <w:p w14:paraId="16B755AF" w14:textId="448560CB" w:rsidR="000A7745" w:rsidRPr="00C9465D" w:rsidRDefault="00762577" w:rsidP="006D769D">
      <w:pPr>
        <w:pStyle w:val="ListParagraph"/>
        <w:numPr>
          <w:ilvl w:val="0"/>
          <w:numId w:val="18"/>
        </w:numPr>
        <w:tabs>
          <w:tab w:val="left" w:pos="709"/>
        </w:tabs>
        <w:spacing w:line="240" w:lineRule="auto"/>
        <w:ind w:left="0" w:right="48" w:firstLine="0"/>
        <w:rPr>
          <w:b/>
          <w:bCs/>
          <w:lang w:val="en-US"/>
        </w:rPr>
      </w:pPr>
      <w:r w:rsidRPr="00C9465D">
        <w:rPr>
          <w:lang w:val="en-US"/>
        </w:rPr>
        <w:t>When interpreting</w:t>
      </w:r>
      <w:r w:rsidR="000A7745" w:rsidRPr="00C9465D">
        <w:rPr>
          <w:lang w:val="en-US"/>
        </w:rPr>
        <w:t xml:space="preserve"> </w:t>
      </w:r>
      <w:r w:rsidR="00193CBB" w:rsidRPr="00C9465D">
        <w:rPr>
          <w:lang w:val="en-US"/>
        </w:rPr>
        <w:t>Article</w:t>
      </w:r>
      <w:r w:rsidR="000A7745" w:rsidRPr="00C9465D">
        <w:rPr>
          <w:lang w:val="en-US"/>
        </w:rPr>
        <w:t xml:space="preserve"> 26 </w:t>
      </w:r>
      <w:r w:rsidRPr="00C9465D">
        <w:rPr>
          <w:lang w:val="en-US"/>
        </w:rPr>
        <w:t xml:space="preserve">in light of its literal or ordinary meaning, it can be concluded that this provision: </w:t>
      </w:r>
    </w:p>
    <w:p w14:paraId="4BDF2DD4" w14:textId="77777777" w:rsidR="00762577" w:rsidRPr="00C9465D" w:rsidRDefault="00762577" w:rsidP="00762577">
      <w:pPr>
        <w:pStyle w:val="ListParagraph"/>
        <w:tabs>
          <w:tab w:val="left" w:pos="709"/>
        </w:tabs>
        <w:spacing w:line="240" w:lineRule="auto"/>
        <w:ind w:left="0" w:right="48"/>
        <w:rPr>
          <w:b/>
          <w:bCs/>
          <w:lang w:val="en-US"/>
        </w:rPr>
      </w:pPr>
    </w:p>
    <w:p w14:paraId="4166B4C9" w14:textId="414B57F3" w:rsidR="00762577" w:rsidRPr="00C9465D" w:rsidRDefault="00762577" w:rsidP="00D47F8D">
      <w:pPr>
        <w:pStyle w:val="ListParagraph"/>
        <w:numPr>
          <w:ilvl w:val="0"/>
          <w:numId w:val="17"/>
        </w:numPr>
        <w:tabs>
          <w:tab w:val="left" w:pos="1134"/>
        </w:tabs>
        <w:spacing w:line="240" w:lineRule="auto"/>
        <w:ind w:left="993" w:right="48" w:hanging="284"/>
        <w:rPr>
          <w:lang w:val="en-US"/>
        </w:rPr>
      </w:pPr>
      <w:r w:rsidRPr="00C9465D">
        <w:rPr>
          <w:rFonts w:eastAsia="Batang"/>
          <w:lang w:val="en-US"/>
        </w:rPr>
        <w:t xml:space="preserve">Is the only </w:t>
      </w:r>
      <w:r w:rsidR="00A54D91" w:rsidRPr="00C9465D">
        <w:rPr>
          <w:rFonts w:eastAsia="Batang"/>
          <w:lang w:val="en-US"/>
        </w:rPr>
        <w:t>article</w:t>
      </w:r>
      <w:r w:rsidRPr="00C9465D">
        <w:rPr>
          <w:rFonts w:eastAsia="Batang"/>
          <w:lang w:val="en-US"/>
        </w:rPr>
        <w:t xml:space="preserve"> in </w:t>
      </w:r>
      <w:r w:rsidR="005E2E1C" w:rsidRPr="00C9465D">
        <w:rPr>
          <w:rFonts w:eastAsia="Batang"/>
          <w:lang w:val="en-US"/>
        </w:rPr>
        <w:t>Chapter</w:t>
      </w:r>
      <w:r w:rsidR="000A7745" w:rsidRPr="00C9465D">
        <w:rPr>
          <w:rFonts w:eastAsia="Batang"/>
          <w:lang w:val="en-US"/>
        </w:rPr>
        <w:t xml:space="preserve"> III, </w:t>
      </w:r>
      <w:r w:rsidRPr="00C9465D">
        <w:rPr>
          <w:rFonts w:eastAsia="Batang"/>
          <w:lang w:val="en-US"/>
        </w:rPr>
        <w:t>entitled</w:t>
      </w:r>
      <w:r w:rsidR="000A7745" w:rsidRPr="00C9465D">
        <w:rPr>
          <w:rFonts w:eastAsia="Batang"/>
          <w:lang w:val="en-US"/>
        </w:rPr>
        <w:t xml:space="preserve"> “</w:t>
      </w:r>
      <w:r w:rsidRPr="00C9465D">
        <w:rPr>
          <w:lang w:val="en-US"/>
        </w:rPr>
        <w:t>Economic, Social and Cultural Rights</w:t>
      </w:r>
      <w:r w:rsidRPr="00C9465D">
        <w:rPr>
          <w:rFonts w:eastAsia="Batang"/>
          <w:lang w:val="en-US"/>
        </w:rPr>
        <w:t>,</w:t>
      </w:r>
      <w:r w:rsidR="000A7745" w:rsidRPr="00C9465D">
        <w:rPr>
          <w:rFonts w:eastAsia="Batang"/>
          <w:lang w:val="en-US"/>
        </w:rPr>
        <w:t>”</w:t>
      </w:r>
      <w:r w:rsidR="000A7745" w:rsidRPr="00C9465D">
        <w:rPr>
          <w:vertAlign w:val="superscript"/>
          <w:lang w:val="en-US"/>
        </w:rPr>
        <w:footnoteReference w:id="400"/>
      </w:r>
      <w:r w:rsidR="000A7745" w:rsidRPr="00C9465D">
        <w:rPr>
          <w:rFonts w:eastAsia="Batang"/>
          <w:lang w:val="en-US"/>
        </w:rPr>
        <w:t xml:space="preserve"> </w:t>
      </w:r>
      <w:r w:rsidRPr="00C9465D">
        <w:rPr>
          <w:rFonts w:eastAsia="Batang"/>
          <w:lang w:val="en-US"/>
        </w:rPr>
        <w:t>of Part</w:t>
      </w:r>
      <w:r w:rsidR="000A7745" w:rsidRPr="00C9465D">
        <w:rPr>
          <w:rFonts w:eastAsia="Batang"/>
          <w:lang w:val="en-US"/>
        </w:rPr>
        <w:t xml:space="preserve"> I</w:t>
      </w:r>
      <w:r w:rsidRPr="00C9465D">
        <w:rPr>
          <w:rFonts w:eastAsia="Batang"/>
          <w:lang w:val="en-US"/>
        </w:rPr>
        <w:t xml:space="preserve"> entitled “State Obligations and Rights Protected,” which also includes </w:t>
      </w:r>
      <w:r w:rsidRPr="00C9465D">
        <w:rPr>
          <w:rFonts w:eastAsia="Batang"/>
          <w:lang w:val="en-US"/>
        </w:rPr>
        <w:lastRenderedPageBreak/>
        <w:t xml:space="preserve">Chapter I “General Obligations” and Chapter II “Civil and Political Rights”; consequently, it can be understood that it is this instrument itself that considers </w:t>
      </w:r>
      <w:r w:rsidR="003449C9" w:rsidRPr="00C9465D">
        <w:rPr>
          <w:rFonts w:eastAsia="Batang"/>
          <w:lang w:val="en-US"/>
        </w:rPr>
        <w:t xml:space="preserve">the </w:t>
      </w:r>
      <w:r w:rsidRPr="00C9465D">
        <w:rPr>
          <w:rFonts w:eastAsia="Batang"/>
          <w:lang w:val="en-US"/>
        </w:rPr>
        <w:t xml:space="preserve">civil and political rights separately from </w:t>
      </w:r>
      <w:r w:rsidR="003449C9" w:rsidRPr="00C9465D">
        <w:rPr>
          <w:rFonts w:eastAsia="Batang"/>
          <w:lang w:val="en-US"/>
        </w:rPr>
        <w:t xml:space="preserve">the </w:t>
      </w:r>
      <w:r w:rsidRPr="00C9465D">
        <w:rPr>
          <w:rFonts w:eastAsia="Batang"/>
          <w:lang w:val="en-US"/>
        </w:rPr>
        <w:t xml:space="preserve">economic, social and cultural rights, making a clear distinction between them by establishing a special and different consideration for each one; </w:t>
      </w:r>
    </w:p>
    <w:p w14:paraId="5DA5B144" w14:textId="77777777" w:rsidR="000A7745" w:rsidRPr="00C9465D" w:rsidRDefault="000A7745" w:rsidP="00760D70">
      <w:pPr>
        <w:pStyle w:val="ListParagraph"/>
        <w:tabs>
          <w:tab w:val="left" w:pos="1134"/>
        </w:tabs>
        <w:spacing w:line="240" w:lineRule="auto"/>
        <w:ind w:left="993" w:right="48"/>
        <w:rPr>
          <w:lang w:val="en-US"/>
        </w:rPr>
      </w:pPr>
    </w:p>
    <w:p w14:paraId="388E7750" w14:textId="36152F6C" w:rsidR="000A7745" w:rsidRPr="00C9465D" w:rsidRDefault="00306D86" w:rsidP="00095A13">
      <w:pPr>
        <w:pStyle w:val="ListParagraph"/>
        <w:numPr>
          <w:ilvl w:val="0"/>
          <w:numId w:val="17"/>
        </w:numPr>
        <w:tabs>
          <w:tab w:val="left" w:pos="1134"/>
        </w:tabs>
        <w:spacing w:line="240" w:lineRule="auto"/>
        <w:ind w:left="993" w:right="48" w:hanging="284"/>
        <w:rPr>
          <w:lang w:val="en-US"/>
        </w:rPr>
      </w:pPr>
      <w:r w:rsidRPr="00C9465D">
        <w:rPr>
          <w:rFonts w:eastAsia="Batang"/>
          <w:lang w:val="en-US"/>
        </w:rPr>
        <w:t>Does not name or describe or specify the rights to which it alludes, but merely identifies them as those derived from</w:t>
      </w:r>
      <w:r w:rsidRPr="00C9465D">
        <w:rPr>
          <w:vertAlign w:val="superscript"/>
          <w:lang w:val="en-US"/>
        </w:rPr>
        <w:footnoteReference w:id="401"/>
      </w:r>
      <w:r w:rsidRPr="00C9465D">
        <w:rPr>
          <w:spacing w:val="-3"/>
          <w:lang w:val="en-US"/>
        </w:rPr>
        <w:t xml:space="preserve"> “the economic, social, educational, scientific, and cultural standards set forth in the [OAS] Charter”</w:t>
      </w:r>
      <w:r w:rsidR="00095A13" w:rsidRPr="00C9465D">
        <w:rPr>
          <w:spacing w:val="-3"/>
          <w:lang w:val="en-US"/>
        </w:rPr>
        <w:t>; that is, rights that emanate from or can be inferred</w:t>
      </w:r>
      <w:r w:rsidR="000A7745" w:rsidRPr="00C9465D">
        <w:rPr>
          <w:vertAlign w:val="superscript"/>
          <w:lang w:val="en-US"/>
        </w:rPr>
        <w:footnoteReference w:id="402"/>
      </w:r>
      <w:r w:rsidR="00095A13" w:rsidRPr="00C9465D">
        <w:rPr>
          <w:spacing w:val="-3"/>
          <w:lang w:val="en-US"/>
        </w:rPr>
        <w:t xml:space="preserve"> from the provisions of the latter;</w:t>
      </w:r>
    </w:p>
    <w:p w14:paraId="4C840A55" w14:textId="77777777" w:rsidR="000A7745" w:rsidRPr="00C9465D" w:rsidRDefault="000A7745" w:rsidP="00760D70">
      <w:pPr>
        <w:pStyle w:val="ListParagraph"/>
        <w:spacing w:line="240" w:lineRule="auto"/>
        <w:rPr>
          <w:rFonts w:eastAsia="Batang"/>
          <w:lang w:val="en-US"/>
        </w:rPr>
      </w:pPr>
    </w:p>
    <w:p w14:paraId="008D49A8" w14:textId="34F91031" w:rsidR="000A7745" w:rsidRPr="00C9465D" w:rsidRDefault="003449C9" w:rsidP="00D47F8D">
      <w:pPr>
        <w:pStyle w:val="ListParagraph"/>
        <w:numPr>
          <w:ilvl w:val="0"/>
          <w:numId w:val="17"/>
        </w:numPr>
        <w:tabs>
          <w:tab w:val="left" w:pos="1134"/>
        </w:tabs>
        <w:spacing w:line="240" w:lineRule="auto"/>
        <w:ind w:left="993" w:right="48" w:hanging="284"/>
        <w:rPr>
          <w:lang w:val="en-US"/>
        </w:rPr>
      </w:pPr>
      <w:r w:rsidRPr="00C9465D">
        <w:rPr>
          <w:rFonts w:eastAsia="Batang"/>
          <w:lang w:val="en-US"/>
        </w:rPr>
        <w:t>D</w:t>
      </w:r>
      <w:r w:rsidR="00095A13" w:rsidRPr="00C9465D">
        <w:rPr>
          <w:rFonts w:eastAsia="Batang"/>
          <w:lang w:val="en-US"/>
        </w:rPr>
        <w:t>oes not stipulate respect for the rights to which it refers or ensure their respect, neither does it embody or establish them;</w:t>
      </w:r>
    </w:p>
    <w:p w14:paraId="474F5F4A" w14:textId="77777777" w:rsidR="000A7745" w:rsidRPr="00C9465D" w:rsidRDefault="000A7745" w:rsidP="00760D70">
      <w:pPr>
        <w:pStyle w:val="ListParagraph"/>
        <w:spacing w:line="240" w:lineRule="auto"/>
        <w:rPr>
          <w:iCs/>
          <w:lang w:val="en-US"/>
        </w:rPr>
      </w:pPr>
    </w:p>
    <w:p w14:paraId="4B0768A2" w14:textId="71F76601" w:rsidR="000A7745" w:rsidRPr="00C9465D" w:rsidRDefault="003449C9" w:rsidP="00095A13">
      <w:pPr>
        <w:pStyle w:val="ListParagraph"/>
        <w:numPr>
          <w:ilvl w:val="0"/>
          <w:numId w:val="17"/>
        </w:numPr>
        <w:tabs>
          <w:tab w:val="left" w:pos="1134"/>
        </w:tabs>
        <w:spacing w:line="240" w:lineRule="auto"/>
        <w:ind w:left="993" w:right="48" w:hanging="284"/>
        <w:rPr>
          <w:lang w:val="en-US"/>
        </w:rPr>
      </w:pPr>
      <w:r w:rsidRPr="00C9465D">
        <w:rPr>
          <w:iCs/>
          <w:lang w:val="en-US"/>
        </w:rPr>
        <w:t>D</w:t>
      </w:r>
      <w:r w:rsidR="00095A13" w:rsidRPr="00C9465D">
        <w:rPr>
          <w:iCs/>
          <w:lang w:val="en-US"/>
        </w:rPr>
        <w:t xml:space="preserve">oes not make those right effective or enforceable because if it had wanted to do </w:t>
      </w:r>
      <w:r w:rsidR="00A54D91" w:rsidRPr="00C9465D">
        <w:rPr>
          <w:iCs/>
          <w:lang w:val="en-US"/>
        </w:rPr>
        <w:t>so</w:t>
      </w:r>
      <w:r w:rsidR="00095A13" w:rsidRPr="00C9465D">
        <w:rPr>
          <w:iCs/>
          <w:lang w:val="en-US"/>
        </w:rPr>
        <w:t xml:space="preserve">, it would have stated this expressly and without any ambiguity; in other words, it would have proceeded contrary to what is indicated </w:t>
      </w:r>
      <w:r w:rsidR="00A54D91" w:rsidRPr="00C9465D">
        <w:rPr>
          <w:iCs/>
          <w:lang w:val="en-US"/>
        </w:rPr>
        <w:t>by</w:t>
      </w:r>
      <w:r w:rsidR="00095A13" w:rsidRPr="00C9465D">
        <w:rPr>
          <w:iCs/>
          <w:lang w:val="en-US"/>
        </w:rPr>
        <w:t xml:space="preserve"> the</w:t>
      </w:r>
      <w:r w:rsidR="00A54D91" w:rsidRPr="00C9465D">
        <w:rPr>
          <w:iCs/>
          <w:lang w:val="en-US"/>
        </w:rPr>
        <w:t xml:space="preserve"> Court’s</w:t>
      </w:r>
      <w:r w:rsidR="00095A13" w:rsidRPr="00C9465D">
        <w:rPr>
          <w:iCs/>
          <w:lang w:val="en-US"/>
        </w:rPr>
        <w:t xml:space="preserve"> case law</w:t>
      </w:r>
      <w:r w:rsidR="00095A13" w:rsidRPr="00C9465D">
        <w:rPr>
          <w:lang w:val="en-US"/>
        </w:rPr>
        <w:t>;</w:t>
      </w:r>
      <w:r w:rsidR="000A7745" w:rsidRPr="00C9465D">
        <w:rPr>
          <w:rStyle w:val="FootnoteReference"/>
          <w:lang w:val="en-US"/>
        </w:rPr>
        <w:footnoteReference w:id="403"/>
      </w:r>
    </w:p>
    <w:p w14:paraId="7645F07B" w14:textId="77777777" w:rsidR="000A7745" w:rsidRPr="00C9465D" w:rsidRDefault="000A7745" w:rsidP="00760D70">
      <w:pPr>
        <w:pStyle w:val="ListParagraph"/>
        <w:spacing w:line="240" w:lineRule="auto"/>
        <w:rPr>
          <w:lang w:val="en-US"/>
        </w:rPr>
      </w:pPr>
    </w:p>
    <w:p w14:paraId="399D717B" w14:textId="4D456279" w:rsidR="00095A13" w:rsidRPr="00C9465D" w:rsidRDefault="00095A13" w:rsidP="00D47F8D">
      <w:pPr>
        <w:pStyle w:val="ListParagraph"/>
        <w:numPr>
          <w:ilvl w:val="0"/>
          <w:numId w:val="17"/>
        </w:numPr>
        <w:tabs>
          <w:tab w:val="left" w:pos="1134"/>
        </w:tabs>
        <w:spacing w:line="240" w:lineRule="auto"/>
        <w:ind w:left="993" w:right="48" w:hanging="284"/>
        <w:rPr>
          <w:lang w:val="en-US"/>
        </w:rPr>
      </w:pPr>
      <w:r w:rsidRPr="00C9465D">
        <w:rPr>
          <w:lang w:val="en-US"/>
        </w:rPr>
        <w:t>To the contrary, establishes an obligation to act, no</w:t>
      </w:r>
      <w:r w:rsidR="00A54D91" w:rsidRPr="00C9465D">
        <w:rPr>
          <w:lang w:val="en-US"/>
        </w:rPr>
        <w:t>t</w:t>
      </w:r>
      <w:r w:rsidRPr="00C9465D">
        <w:rPr>
          <w:lang w:val="en-US"/>
        </w:rPr>
        <w:t xml:space="preserve"> one of results, consisting in the duty of the States Parties to the Convention “</w:t>
      </w:r>
      <w:r w:rsidRPr="00C9465D">
        <w:rPr>
          <w:spacing w:val="-3"/>
          <w:lang w:val="en-US"/>
        </w:rPr>
        <w:t xml:space="preserve">to adopt measures, both internally and through international cooperation, especially those of an economic and technical nature, with a view to achieving progressively </w:t>
      </w:r>
      <w:r w:rsidR="00520411" w:rsidRPr="00C9465D">
        <w:rPr>
          <w:spacing w:val="-3"/>
          <w:lang w:val="en-US"/>
        </w:rPr>
        <w:t>[…]</w:t>
      </w:r>
      <w:r w:rsidRPr="00C9465D">
        <w:rPr>
          <w:spacing w:val="-3"/>
          <w:lang w:val="en-US"/>
        </w:rPr>
        <w:t xml:space="preserve"> the full realization of the rights” to which it alludes, a mandate to which, however, the judgment makes no reference;</w:t>
      </w:r>
    </w:p>
    <w:p w14:paraId="2D2CF1A0" w14:textId="77777777" w:rsidR="000A7745" w:rsidRPr="00C9465D" w:rsidRDefault="000A7745" w:rsidP="00760D70">
      <w:pPr>
        <w:pStyle w:val="ListParagraph"/>
        <w:spacing w:line="240" w:lineRule="auto"/>
        <w:rPr>
          <w:lang w:val="en-US"/>
        </w:rPr>
      </w:pPr>
    </w:p>
    <w:p w14:paraId="303E63F6" w14:textId="24259411" w:rsidR="000A7745" w:rsidRPr="00C9465D" w:rsidRDefault="000A7745" w:rsidP="00D47F8D">
      <w:pPr>
        <w:pStyle w:val="ListParagraph"/>
        <w:numPr>
          <w:ilvl w:val="0"/>
          <w:numId w:val="17"/>
        </w:numPr>
        <w:tabs>
          <w:tab w:val="left" w:pos="1134"/>
        </w:tabs>
        <w:spacing w:line="240" w:lineRule="auto"/>
        <w:ind w:left="993" w:right="48" w:hanging="284"/>
        <w:rPr>
          <w:lang w:val="en-US"/>
        </w:rPr>
      </w:pPr>
      <w:r w:rsidRPr="00C9465D">
        <w:rPr>
          <w:lang w:val="en-US"/>
        </w:rPr>
        <w:t>I</w:t>
      </w:r>
      <w:r w:rsidR="00095A13" w:rsidRPr="00C9465D">
        <w:rPr>
          <w:lang w:val="en-US"/>
        </w:rPr>
        <w:t xml:space="preserve">ndicates </w:t>
      </w:r>
      <w:r w:rsidR="00D8209E" w:rsidRPr="00C9465D">
        <w:rPr>
          <w:lang w:val="en-US"/>
        </w:rPr>
        <w:t>that</w:t>
      </w:r>
      <w:r w:rsidR="00095A13" w:rsidRPr="00C9465D">
        <w:rPr>
          <w:lang w:val="en-US"/>
        </w:rPr>
        <w:t xml:space="preserve"> the obligation of conduct that it </w:t>
      </w:r>
      <w:r w:rsidR="00260D95" w:rsidRPr="00C9465D">
        <w:rPr>
          <w:lang w:val="en-US"/>
        </w:rPr>
        <w:t>establishes</w:t>
      </w:r>
      <w:r w:rsidRPr="00C9465D">
        <w:rPr>
          <w:lang w:val="en-US"/>
        </w:rPr>
        <w:t xml:space="preserve"> </w:t>
      </w:r>
      <w:r w:rsidR="00095A13" w:rsidRPr="00C9465D">
        <w:rPr>
          <w:lang w:val="en-US"/>
        </w:rPr>
        <w:t>should be complied with</w:t>
      </w:r>
      <w:r w:rsidRPr="00C9465D">
        <w:rPr>
          <w:lang w:val="en-US"/>
        </w:rPr>
        <w:t xml:space="preserve"> </w:t>
      </w:r>
      <w:r w:rsidRPr="00C9465D">
        <w:rPr>
          <w:rFonts w:eastAsia="Batang"/>
          <w:iCs/>
          <w:lang w:val="en-US"/>
        </w:rPr>
        <w:t>“</w:t>
      </w:r>
      <w:r w:rsidR="00095A13" w:rsidRPr="00C9465D">
        <w:rPr>
          <w:spacing w:val="-3"/>
          <w:lang w:val="en-US"/>
        </w:rPr>
        <w:t>by legislation or other appropriate means</w:t>
      </w:r>
      <w:r w:rsidR="00E6346A" w:rsidRPr="00C9465D">
        <w:rPr>
          <w:spacing w:val="-3"/>
          <w:lang w:val="en-US"/>
        </w:rPr>
        <w:t xml:space="preserve"> and subject to available resources</w:t>
      </w:r>
      <w:r w:rsidR="00095A13" w:rsidRPr="00C9465D">
        <w:rPr>
          <w:spacing w:val="-3"/>
          <w:lang w:val="en-US"/>
        </w:rPr>
        <w:t>,</w:t>
      </w:r>
      <w:r w:rsidRPr="00C9465D">
        <w:rPr>
          <w:rFonts w:eastAsia="Batang"/>
          <w:iCs/>
          <w:lang w:val="en-US"/>
        </w:rPr>
        <w:t>”</w:t>
      </w:r>
      <w:r w:rsidRPr="00C9465D">
        <w:rPr>
          <w:lang w:val="en-US"/>
        </w:rPr>
        <w:t xml:space="preserve"> </w:t>
      </w:r>
      <w:r w:rsidR="00095A13" w:rsidRPr="00C9465D">
        <w:rPr>
          <w:lang w:val="en-US"/>
        </w:rPr>
        <w:t>which not only reinforces the lack of effectiveness of those rights, but conditions the possibility of compliance to the existence of the resources that the respective State has available to this end, and</w:t>
      </w:r>
    </w:p>
    <w:p w14:paraId="648DB03A" w14:textId="77777777" w:rsidR="000A7745" w:rsidRPr="00C9465D" w:rsidRDefault="000A7745" w:rsidP="00760D70">
      <w:pPr>
        <w:pStyle w:val="ListParagraph"/>
        <w:spacing w:line="240" w:lineRule="auto"/>
        <w:rPr>
          <w:lang w:val="en-US"/>
        </w:rPr>
      </w:pPr>
    </w:p>
    <w:p w14:paraId="2AAE9570" w14:textId="5ECAF3B5" w:rsidR="000A7745" w:rsidRPr="00C9465D" w:rsidRDefault="00A54D91" w:rsidP="00D47F8D">
      <w:pPr>
        <w:pStyle w:val="ListParagraph"/>
        <w:numPr>
          <w:ilvl w:val="0"/>
          <w:numId w:val="17"/>
        </w:numPr>
        <w:tabs>
          <w:tab w:val="left" w:pos="1134"/>
        </w:tabs>
        <w:spacing w:line="240" w:lineRule="auto"/>
        <w:ind w:left="993" w:right="48" w:hanging="284"/>
        <w:rPr>
          <w:lang w:val="en-US"/>
        </w:rPr>
      </w:pPr>
      <w:r w:rsidRPr="00C9465D">
        <w:rPr>
          <w:lang w:val="en-US"/>
        </w:rPr>
        <w:t>M</w:t>
      </w:r>
      <w:r w:rsidR="00BC390A" w:rsidRPr="00C9465D">
        <w:rPr>
          <w:lang w:val="en-US"/>
        </w:rPr>
        <w:t xml:space="preserve">akes the adoption of the measures in question dependent not only on the unilateral will of the corresponding State, but also on the agreements that it may reach with the other States, also sovereign, and with international cooperation organisations and, also, it can be concluded that the rights in question are not, in </w:t>
      </w:r>
      <w:r w:rsidR="00BC390A" w:rsidRPr="00C9465D">
        <w:rPr>
          <w:lang w:val="en-US"/>
        </w:rPr>
        <w:lastRenderedPageBreak/>
        <w:t xml:space="preserve">the terms </w:t>
      </w:r>
      <w:r w:rsidR="00385E8C" w:rsidRPr="00C9465D">
        <w:rPr>
          <w:rFonts w:eastAsia="Batang"/>
          <w:lang w:val="en-US"/>
        </w:rPr>
        <w:t>used by the Convention</w:t>
      </w:r>
      <w:r w:rsidR="000A7745" w:rsidRPr="00C9465D">
        <w:rPr>
          <w:rFonts w:eastAsia="Batang"/>
          <w:lang w:val="en-US"/>
        </w:rPr>
        <w:t>,</w:t>
      </w:r>
      <w:bookmarkStart w:id="163" w:name="_Hlk46311586"/>
      <w:r w:rsidR="00BC390A" w:rsidRPr="00C9465D">
        <w:rPr>
          <w:rFonts w:eastAsia="Batang"/>
          <w:lang w:val="en-US"/>
        </w:rPr>
        <w:t xml:space="preserve"> </w:t>
      </w:r>
      <w:r w:rsidR="000A7745" w:rsidRPr="00C9465D">
        <w:rPr>
          <w:rFonts w:eastAsia="Times" w:cs="Arial"/>
          <w:lang w:val="en-US"/>
        </w:rPr>
        <w:t>“</w:t>
      </w:r>
      <w:r w:rsidR="000A7745" w:rsidRPr="00C9465D">
        <w:rPr>
          <w:rFonts w:eastAsia="Times" w:cs="Arial"/>
          <w:i/>
          <w:iCs/>
          <w:lang w:val="en-US"/>
        </w:rPr>
        <w:t>reco</w:t>
      </w:r>
      <w:r w:rsidR="00BC390A" w:rsidRPr="00C9465D">
        <w:rPr>
          <w:rFonts w:eastAsia="Times" w:cs="Arial"/>
          <w:i/>
          <w:iCs/>
          <w:lang w:val="en-US"/>
        </w:rPr>
        <w:t>gnized,</w:t>
      </w:r>
      <w:r w:rsidR="000A7745" w:rsidRPr="00C9465D">
        <w:rPr>
          <w:rFonts w:eastAsia="Times" w:cs="Arial"/>
          <w:lang w:val="en-US"/>
        </w:rPr>
        <w:t>”</w:t>
      </w:r>
      <w:r w:rsidR="000A7745" w:rsidRPr="00C9465D">
        <w:rPr>
          <w:rFonts w:eastAsia="Times" w:cs="Arial"/>
          <w:vertAlign w:val="superscript"/>
          <w:lang w:val="en-US"/>
        </w:rPr>
        <w:footnoteReference w:id="404"/>
      </w:r>
      <w:r w:rsidR="000A7745" w:rsidRPr="00C9465D">
        <w:rPr>
          <w:rFonts w:eastAsia="Times" w:cs="Arial"/>
          <w:lang w:val="en-US"/>
        </w:rPr>
        <w:t xml:space="preserve"> </w:t>
      </w:r>
      <w:r w:rsidR="000A7745" w:rsidRPr="00C9465D">
        <w:rPr>
          <w:rFonts w:eastAsia="Batang"/>
          <w:lang w:val="en-US"/>
        </w:rPr>
        <w:t>“</w:t>
      </w:r>
      <w:r w:rsidR="00BC390A" w:rsidRPr="00C9465D">
        <w:rPr>
          <w:rFonts w:eastAsia="Batang"/>
          <w:i/>
          <w:iCs/>
          <w:lang w:val="en-US"/>
        </w:rPr>
        <w:t>set forth,</w:t>
      </w:r>
      <w:r w:rsidR="000A7745" w:rsidRPr="00C9465D">
        <w:rPr>
          <w:rFonts w:eastAsia="Batang"/>
          <w:lang w:val="en-US"/>
        </w:rPr>
        <w:t>”</w:t>
      </w:r>
      <w:r w:rsidR="000A7745" w:rsidRPr="00C9465D">
        <w:rPr>
          <w:vertAlign w:val="superscript"/>
          <w:lang w:val="en-US"/>
        </w:rPr>
        <w:footnoteReference w:id="405"/>
      </w:r>
      <w:r w:rsidR="00BC390A" w:rsidRPr="00C9465D">
        <w:rPr>
          <w:rFonts w:eastAsia="Batang"/>
          <w:lang w:val="en-US"/>
        </w:rPr>
        <w:t xml:space="preserve"> </w:t>
      </w:r>
      <w:r w:rsidR="000A7745" w:rsidRPr="00C9465D">
        <w:rPr>
          <w:rFonts w:eastAsia="Batang"/>
          <w:lang w:val="en-US"/>
        </w:rPr>
        <w:t>“</w:t>
      </w:r>
      <w:r w:rsidR="000A7745" w:rsidRPr="00C9465D">
        <w:rPr>
          <w:rFonts w:eastAsia="Batang"/>
          <w:i/>
          <w:iCs/>
          <w:lang w:val="en-US"/>
        </w:rPr>
        <w:t>g</w:t>
      </w:r>
      <w:r w:rsidR="00BC390A" w:rsidRPr="00C9465D">
        <w:rPr>
          <w:rFonts w:eastAsia="Batang"/>
          <w:i/>
          <w:iCs/>
          <w:lang w:val="en-US"/>
        </w:rPr>
        <w:t>uaranteed,</w:t>
      </w:r>
      <w:r w:rsidR="000A7745" w:rsidRPr="00C9465D">
        <w:rPr>
          <w:rFonts w:eastAsia="Batang"/>
          <w:lang w:val="en-US"/>
        </w:rPr>
        <w:t>”</w:t>
      </w:r>
      <w:r w:rsidR="000A7745" w:rsidRPr="00C9465D">
        <w:rPr>
          <w:vertAlign w:val="superscript"/>
          <w:lang w:val="en-US"/>
        </w:rPr>
        <w:footnoteReference w:id="406"/>
      </w:r>
      <w:r w:rsidR="000A7745" w:rsidRPr="00C9465D">
        <w:rPr>
          <w:rFonts w:eastAsia="Batang"/>
          <w:lang w:val="en-US"/>
        </w:rPr>
        <w:t xml:space="preserve"> “</w:t>
      </w:r>
      <w:r w:rsidR="00BC390A" w:rsidRPr="00C9465D">
        <w:rPr>
          <w:rFonts w:eastAsia="Batang"/>
          <w:i/>
          <w:iCs/>
          <w:lang w:val="en-US"/>
        </w:rPr>
        <w:t>protected</w:t>
      </w:r>
      <w:r w:rsidR="000A7745" w:rsidRPr="00C9465D">
        <w:rPr>
          <w:rFonts w:eastAsia="Batang"/>
          <w:lang w:val="en-US"/>
        </w:rPr>
        <w:t>”</w:t>
      </w:r>
      <w:r w:rsidR="00BC390A" w:rsidRPr="00C9465D">
        <w:rPr>
          <w:rFonts w:eastAsia="Batang"/>
          <w:lang w:val="en-US"/>
        </w:rPr>
        <w:t xml:space="preserve"> [“</w:t>
      </w:r>
      <w:r w:rsidR="00BC390A" w:rsidRPr="00C9465D">
        <w:rPr>
          <w:rFonts w:eastAsia="Batang"/>
          <w:i/>
          <w:iCs/>
          <w:lang w:val="en-US"/>
        </w:rPr>
        <w:t>consagrado</w:t>
      </w:r>
      <w:r w:rsidR="00BC390A" w:rsidRPr="00C9465D">
        <w:rPr>
          <w:rFonts w:eastAsia="Batang"/>
          <w:lang w:val="en-US"/>
        </w:rPr>
        <w:t>” in the Spanish version]</w:t>
      </w:r>
      <w:r w:rsidR="000A7745" w:rsidRPr="00C9465D">
        <w:rPr>
          <w:vertAlign w:val="superscript"/>
          <w:lang w:val="en-US"/>
        </w:rPr>
        <w:footnoteReference w:id="407"/>
      </w:r>
      <w:r w:rsidR="000A7745" w:rsidRPr="00C9465D">
        <w:rPr>
          <w:rFonts w:eastAsia="Batang"/>
          <w:lang w:val="en-US"/>
        </w:rPr>
        <w:t xml:space="preserve"> o</w:t>
      </w:r>
      <w:r w:rsidR="00BC390A" w:rsidRPr="00C9465D">
        <w:rPr>
          <w:rFonts w:eastAsia="Batang"/>
          <w:lang w:val="en-US"/>
        </w:rPr>
        <w:t>r</w:t>
      </w:r>
      <w:r w:rsidR="000A7745" w:rsidRPr="00C9465D">
        <w:rPr>
          <w:rFonts w:eastAsia="Batang"/>
          <w:lang w:val="en-US"/>
        </w:rPr>
        <w:t xml:space="preserve"> “</w:t>
      </w:r>
      <w:r w:rsidR="000A7745" w:rsidRPr="00C9465D">
        <w:rPr>
          <w:rFonts w:eastAsia="Batang"/>
          <w:i/>
          <w:iCs/>
          <w:lang w:val="en-US"/>
        </w:rPr>
        <w:t>prote</w:t>
      </w:r>
      <w:r w:rsidR="00BC390A" w:rsidRPr="00C9465D">
        <w:rPr>
          <w:rFonts w:eastAsia="Batang"/>
          <w:i/>
          <w:iCs/>
          <w:lang w:val="en-US"/>
        </w:rPr>
        <w:t>cted</w:t>
      </w:r>
      <w:r w:rsidRPr="00C9465D">
        <w:rPr>
          <w:rFonts w:eastAsia="Batang"/>
          <w:i/>
          <w:iCs/>
          <w:lang w:val="en-US"/>
        </w:rPr>
        <w:t>,</w:t>
      </w:r>
      <w:r w:rsidR="000A7745" w:rsidRPr="00C9465D">
        <w:rPr>
          <w:rFonts w:eastAsia="Batang"/>
          <w:lang w:val="en-US"/>
        </w:rPr>
        <w:t>”</w:t>
      </w:r>
      <w:r w:rsidR="000A7745" w:rsidRPr="00C9465D">
        <w:rPr>
          <w:vertAlign w:val="superscript"/>
          <w:lang w:val="en-US"/>
        </w:rPr>
        <w:footnoteReference w:id="408"/>
      </w:r>
      <w:bookmarkEnd w:id="163"/>
      <w:r w:rsidRPr="00C9465D">
        <w:rPr>
          <w:rFonts w:eastAsia="Batang"/>
          <w:lang w:val="en-US"/>
        </w:rPr>
        <w:t xml:space="preserve"> b</w:t>
      </w:r>
      <w:r w:rsidR="00BC390A" w:rsidRPr="00C9465D">
        <w:rPr>
          <w:rFonts w:eastAsia="Batang"/>
          <w:lang w:val="en-US"/>
        </w:rPr>
        <w:t xml:space="preserve">ut are derived from </w:t>
      </w:r>
      <w:r w:rsidR="00BC390A" w:rsidRPr="00C9465D">
        <w:rPr>
          <w:spacing w:val="-3"/>
          <w:lang w:val="en-US"/>
        </w:rPr>
        <w:t xml:space="preserve">“the economic, social, educational, scientific, and cultural standards set forth in the [OAS] Charter”; in other words, they originate from the latter and not from </w:t>
      </w:r>
      <w:r w:rsidR="00193CBB" w:rsidRPr="00C9465D">
        <w:rPr>
          <w:rFonts w:eastAsia="Batang"/>
          <w:lang w:val="en-US"/>
        </w:rPr>
        <w:t>the Convention</w:t>
      </w:r>
      <w:r w:rsidR="000A7745" w:rsidRPr="00C9465D">
        <w:rPr>
          <w:rFonts w:eastAsia="Batang"/>
          <w:lang w:val="en-US"/>
        </w:rPr>
        <w:t>.</w:t>
      </w:r>
    </w:p>
    <w:p w14:paraId="06A7A08A" w14:textId="77777777" w:rsidR="000A7745" w:rsidRPr="00C9465D" w:rsidRDefault="000A7745" w:rsidP="00760D70">
      <w:pPr>
        <w:pStyle w:val="ListParagraph"/>
        <w:spacing w:line="240" w:lineRule="auto"/>
        <w:ind w:left="-567" w:right="48"/>
        <w:rPr>
          <w:lang w:val="en-US"/>
        </w:rPr>
      </w:pPr>
    </w:p>
    <w:p w14:paraId="67C6801C" w14:textId="3B871CFD" w:rsidR="000A7745" w:rsidRPr="00C9465D" w:rsidRDefault="00BC390A" w:rsidP="00FC263D">
      <w:pPr>
        <w:pStyle w:val="ListParagraph"/>
        <w:numPr>
          <w:ilvl w:val="0"/>
          <w:numId w:val="18"/>
        </w:numPr>
        <w:spacing w:after="160" w:line="240" w:lineRule="auto"/>
        <w:ind w:left="0" w:right="48" w:firstLine="0"/>
        <w:rPr>
          <w:lang w:val="en-US"/>
        </w:rPr>
      </w:pPr>
      <w:r w:rsidRPr="00C9465D">
        <w:rPr>
          <w:lang w:val="en-US"/>
        </w:rPr>
        <w:t xml:space="preserve">In summary, contrary to what the judgment asserts, </w:t>
      </w:r>
      <w:r w:rsidR="00193CBB" w:rsidRPr="00C9465D">
        <w:rPr>
          <w:lang w:val="en-US"/>
        </w:rPr>
        <w:t>the Convention</w:t>
      </w:r>
      <w:r w:rsidR="000A7745" w:rsidRPr="00C9465D">
        <w:rPr>
          <w:lang w:val="en-US"/>
        </w:rPr>
        <w:t xml:space="preserve"> </w:t>
      </w:r>
      <w:r w:rsidR="00FC263D" w:rsidRPr="00C9465D">
        <w:rPr>
          <w:lang w:val="en-US"/>
        </w:rPr>
        <w:t>has not</w:t>
      </w:r>
      <w:r w:rsidR="000A7745" w:rsidRPr="00C9465D">
        <w:rPr>
          <w:lang w:val="en-US"/>
        </w:rPr>
        <w:t xml:space="preserve"> “</w:t>
      </w:r>
      <w:r w:rsidR="00FC263D" w:rsidRPr="00C9465D">
        <w:rPr>
          <w:lang w:val="en-US"/>
        </w:rPr>
        <w:t>recognized</w:t>
      </w:r>
      <w:r w:rsidR="000A7745" w:rsidRPr="00C9465D">
        <w:rPr>
          <w:lang w:val="en-US"/>
        </w:rPr>
        <w:t xml:space="preserve"> </w:t>
      </w:r>
      <w:r w:rsidR="00AC1354" w:rsidRPr="00C9465D">
        <w:rPr>
          <w:lang w:val="en-US"/>
        </w:rPr>
        <w:t>the right</w:t>
      </w:r>
      <w:r w:rsidR="00260D95" w:rsidRPr="00C9465D">
        <w:rPr>
          <w:lang w:val="en-US"/>
        </w:rPr>
        <w:t xml:space="preserve"> to health</w:t>
      </w:r>
      <w:r w:rsidR="000A7745" w:rsidRPr="00C9465D">
        <w:rPr>
          <w:lang w:val="en-US"/>
        </w:rPr>
        <w:t xml:space="preserve"> </w:t>
      </w:r>
      <w:r w:rsidR="00FC263D" w:rsidRPr="00C9465D">
        <w:rPr>
          <w:lang w:val="en-US"/>
        </w:rPr>
        <w:t>as a right protected under</w:t>
      </w:r>
      <w:r w:rsidR="007A3CA5" w:rsidRPr="00C9465D">
        <w:rPr>
          <w:lang w:val="en-US"/>
        </w:rPr>
        <w:t xml:space="preserve"> Article</w:t>
      </w:r>
      <w:r w:rsidR="000A7745" w:rsidRPr="00C9465D">
        <w:rPr>
          <w:lang w:val="en-US"/>
        </w:rPr>
        <w:t xml:space="preserve"> 26</w:t>
      </w:r>
      <w:r w:rsidR="00193CBB" w:rsidRPr="00C9465D">
        <w:rPr>
          <w:lang w:val="en-US"/>
        </w:rPr>
        <w:t xml:space="preserve"> of the Convention</w:t>
      </w:r>
      <w:r w:rsidR="00FC263D" w:rsidRPr="00C9465D">
        <w:rPr>
          <w:lang w:val="en-US"/>
        </w:rPr>
        <w:t>.</w:t>
      </w:r>
      <w:r w:rsidR="000A7745" w:rsidRPr="00C9465D">
        <w:rPr>
          <w:lang w:val="en-US"/>
        </w:rPr>
        <w:t>”</w:t>
      </w:r>
      <w:r w:rsidR="000A7745" w:rsidRPr="00C9465D">
        <w:rPr>
          <w:rStyle w:val="FootnoteReference"/>
          <w:lang w:val="en-US"/>
        </w:rPr>
        <w:footnoteReference w:id="409"/>
      </w:r>
      <w:r w:rsidR="00FC263D" w:rsidRPr="00C9465D">
        <w:rPr>
          <w:lang w:val="en-US"/>
        </w:rPr>
        <w:t xml:space="preserve"> In order to maintain that it has been </w:t>
      </w:r>
      <w:bookmarkStart w:id="164" w:name="_Hlk76741749"/>
      <w:r w:rsidR="00FC263D" w:rsidRPr="00C9465D">
        <w:rPr>
          <w:lang w:val="en-US"/>
        </w:rPr>
        <w:t>“recognized,” “established,” “guaranteed,</w:t>
      </w:r>
      <w:r w:rsidR="00FC263D" w:rsidRPr="00C9465D">
        <w:rPr>
          <w:lang w:val="en-US"/>
        </w:rPr>
        <w:br/>
        <w:t xml:space="preserve">“set forth” or “protected” </w:t>
      </w:r>
      <w:bookmarkEnd w:id="164"/>
      <w:r w:rsidR="00FC263D" w:rsidRPr="00C9465D">
        <w:rPr>
          <w:lang w:val="en-US"/>
        </w:rPr>
        <w:t>by the latter, it would be necessary to</w:t>
      </w:r>
      <w:r w:rsidR="001D5382" w:rsidRPr="00C9465D">
        <w:rPr>
          <w:lang w:val="en-US"/>
        </w:rPr>
        <w:t xml:space="preserve"> </w:t>
      </w:r>
      <w:r w:rsidR="00A54D91" w:rsidRPr="00C9465D">
        <w:rPr>
          <w:lang w:val="en-US"/>
        </w:rPr>
        <w:t>conduct</w:t>
      </w:r>
      <w:r w:rsidR="001D5382" w:rsidRPr="00C9465D">
        <w:rPr>
          <w:lang w:val="en-US"/>
        </w:rPr>
        <w:t xml:space="preserve"> a</w:t>
      </w:r>
      <w:r w:rsidR="00FC263D" w:rsidRPr="00C9465D">
        <w:rPr>
          <w:lang w:val="en-US"/>
        </w:rPr>
        <w:t xml:space="preserve"> </w:t>
      </w:r>
      <w:r w:rsidR="001D5382" w:rsidRPr="00C9465D">
        <w:rPr>
          <w:lang w:val="en-US"/>
        </w:rPr>
        <w:t>twofold</w:t>
      </w:r>
      <w:r w:rsidR="00FC263D" w:rsidRPr="00C9465D">
        <w:rPr>
          <w:lang w:val="en-US"/>
        </w:rPr>
        <w:t xml:space="preserve"> intellectual </w:t>
      </w:r>
      <w:r w:rsidR="001D5382" w:rsidRPr="00C9465D">
        <w:rPr>
          <w:lang w:val="en-US"/>
        </w:rPr>
        <w:t>exercise</w:t>
      </w:r>
      <w:r w:rsidR="00FC263D" w:rsidRPr="00C9465D">
        <w:rPr>
          <w:lang w:val="en-US"/>
        </w:rPr>
        <w:t xml:space="preserve">; in other words, derive that right from the provisions of the OAS Charter; </w:t>
      </w:r>
      <w:r w:rsidR="00A54D91" w:rsidRPr="00C9465D">
        <w:rPr>
          <w:lang w:val="en-US"/>
        </w:rPr>
        <w:t xml:space="preserve">and, </w:t>
      </w:r>
      <w:r w:rsidR="00FC263D" w:rsidRPr="00C9465D">
        <w:rPr>
          <w:lang w:val="en-US"/>
        </w:rPr>
        <w:t>on this basis, derive the corresponding rights and, consequently, consider it recognized</w:t>
      </w:r>
      <w:r w:rsidR="00A54D91" w:rsidRPr="00C9465D">
        <w:rPr>
          <w:lang w:val="en-US"/>
        </w:rPr>
        <w:t xml:space="preserve"> – but</w:t>
      </w:r>
      <w:r w:rsidR="00FC263D" w:rsidRPr="00C9465D">
        <w:rPr>
          <w:lang w:val="en-US"/>
        </w:rPr>
        <w:t xml:space="preserve"> not expressly, </w:t>
      </w:r>
      <w:r w:rsidR="00A54D91" w:rsidRPr="00C9465D">
        <w:rPr>
          <w:lang w:val="en-US"/>
        </w:rPr>
        <w:t>merely</w:t>
      </w:r>
      <w:r w:rsidR="00FC263D" w:rsidRPr="00C9465D">
        <w:rPr>
          <w:lang w:val="en-US"/>
        </w:rPr>
        <w:t xml:space="preserve"> implicitly</w:t>
      </w:r>
      <w:r w:rsidR="00A54D91" w:rsidRPr="00C9465D">
        <w:rPr>
          <w:lang w:val="en-US"/>
        </w:rPr>
        <w:t xml:space="preserve"> – by</w:t>
      </w:r>
      <w:r w:rsidR="00FC263D" w:rsidRPr="00C9465D">
        <w:rPr>
          <w:lang w:val="en-US"/>
        </w:rPr>
        <w:t xml:space="preserve"> that treaty</w:t>
      </w:r>
      <w:r w:rsidR="00A54D91" w:rsidRPr="00C9465D">
        <w:rPr>
          <w:lang w:val="en-US"/>
        </w:rPr>
        <w:t xml:space="preserve">, </w:t>
      </w:r>
      <w:r w:rsidR="00FC263D" w:rsidRPr="00C9465D">
        <w:rPr>
          <w:lang w:val="en-US"/>
        </w:rPr>
        <w:t>an intellectual exercise far removed from the direct and clear terms of the Convention with regard to the rights to which it refers.</w:t>
      </w:r>
    </w:p>
    <w:p w14:paraId="452D91EE" w14:textId="77777777" w:rsidR="000A7745" w:rsidRPr="00C9465D" w:rsidRDefault="000A7745" w:rsidP="00760D70">
      <w:pPr>
        <w:pStyle w:val="ListParagraph"/>
        <w:spacing w:line="240" w:lineRule="auto"/>
        <w:ind w:left="0" w:right="48"/>
        <w:rPr>
          <w:lang w:val="en-US"/>
        </w:rPr>
      </w:pPr>
    </w:p>
    <w:p w14:paraId="69C2E652" w14:textId="04B88119" w:rsidR="00F01A5A" w:rsidRPr="00C9465D" w:rsidRDefault="001D5382" w:rsidP="00D47F8D">
      <w:pPr>
        <w:pStyle w:val="ListParagraph"/>
        <w:numPr>
          <w:ilvl w:val="0"/>
          <w:numId w:val="18"/>
        </w:numPr>
        <w:spacing w:after="160" w:line="240" w:lineRule="auto"/>
        <w:ind w:left="0" w:right="48" w:firstLine="0"/>
        <w:rPr>
          <w:lang w:val="en-US"/>
        </w:rPr>
      </w:pPr>
      <w:r w:rsidRPr="00C9465D">
        <w:rPr>
          <w:lang w:val="en-US"/>
        </w:rPr>
        <w:lastRenderedPageBreak/>
        <w:t xml:space="preserve">Furthermore, it is evident that the judgment disregards the literal meaning </w:t>
      </w:r>
      <w:r w:rsidR="007A3CA5" w:rsidRPr="00C9465D">
        <w:rPr>
          <w:lang w:val="en-US"/>
        </w:rPr>
        <w:t>of Article</w:t>
      </w:r>
      <w:r w:rsidR="000A7745" w:rsidRPr="00C9465D">
        <w:rPr>
          <w:lang w:val="en-US"/>
        </w:rPr>
        <w:t xml:space="preserve"> 26 </w:t>
      </w:r>
      <w:r w:rsidRPr="00C9465D">
        <w:rPr>
          <w:lang w:val="en-US"/>
        </w:rPr>
        <w:t xml:space="preserve">and, consequently, in this regard does not apply harmoniously the provisions of </w:t>
      </w:r>
      <w:r w:rsidR="00193CBB" w:rsidRPr="00C9465D">
        <w:rPr>
          <w:lang w:val="en-US"/>
        </w:rPr>
        <w:t>Article</w:t>
      </w:r>
      <w:r w:rsidR="000A7745" w:rsidRPr="00C9465D">
        <w:rPr>
          <w:lang w:val="en-US"/>
        </w:rPr>
        <w:t xml:space="preserve"> 31</w:t>
      </w:r>
      <w:r w:rsidR="00F01A5A" w:rsidRPr="00C9465D">
        <w:rPr>
          <w:lang w:val="en-US"/>
        </w:rPr>
        <w:t>(</w:t>
      </w:r>
      <w:r w:rsidR="000A7745" w:rsidRPr="00C9465D">
        <w:rPr>
          <w:lang w:val="en-US"/>
        </w:rPr>
        <w:t>1</w:t>
      </w:r>
      <w:r w:rsidR="00F01A5A" w:rsidRPr="00C9465D">
        <w:rPr>
          <w:lang w:val="en-US"/>
        </w:rPr>
        <w:t>)</w:t>
      </w:r>
      <w:r w:rsidR="00193CBB" w:rsidRPr="00C9465D">
        <w:rPr>
          <w:lang w:val="en-US"/>
        </w:rPr>
        <w:t xml:space="preserve"> of the </w:t>
      </w:r>
      <w:r w:rsidRPr="00C9465D">
        <w:rPr>
          <w:lang w:val="en-US"/>
        </w:rPr>
        <w:t xml:space="preserve">Vienna Convention </w:t>
      </w:r>
      <w:r w:rsidR="00F01A5A" w:rsidRPr="00C9465D">
        <w:rPr>
          <w:lang w:val="en-US"/>
        </w:rPr>
        <w:t xml:space="preserve">or even make an interpretation of this article. It appears that, for the judgment, the literal meaning of what was agreed has no relevance whatsoever and, consequently, it considers </w:t>
      </w:r>
      <w:r w:rsidR="00A54D91" w:rsidRPr="00C9465D">
        <w:rPr>
          <w:lang w:val="en-US"/>
        </w:rPr>
        <w:t>this</w:t>
      </w:r>
      <w:r w:rsidR="00F01A5A" w:rsidRPr="00C9465D">
        <w:rPr>
          <w:lang w:val="en-US"/>
        </w:rPr>
        <w:t xml:space="preserve"> a mere formality, which allows it to attribute to the said article a meaning and scope that is far removed from what the States explicitly signed</w:t>
      </w:r>
      <w:r w:rsidR="00A54D91" w:rsidRPr="00C9465D">
        <w:rPr>
          <w:lang w:val="en-US"/>
        </w:rPr>
        <w:t xml:space="preserve"> on to</w:t>
      </w:r>
      <w:r w:rsidR="00F01A5A" w:rsidRPr="00C9465D">
        <w:rPr>
          <w:lang w:val="en-US"/>
        </w:rPr>
        <w:t>, as if they really wanted to agree something else which, evidently, goes against a</w:t>
      </w:r>
      <w:r w:rsidR="00A54D91" w:rsidRPr="00C9465D">
        <w:rPr>
          <w:lang w:val="en-US"/>
        </w:rPr>
        <w:t>ll</w:t>
      </w:r>
      <w:r w:rsidR="00F01A5A" w:rsidRPr="00C9465D">
        <w:rPr>
          <w:lang w:val="en-US"/>
        </w:rPr>
        <w:t xml:space="preserve"> logic.</w:t>
      </w:r>
    </w:p>
    <w:p w14:paraId="53ED5F97" w14:textId="77777777" w:rsidR="000A7745" w:rsidRPr="00C9465D" w:rsidRDefault="000A7745" w:rsidP="00760D70">
      <w:pPr>
        <w:pStyle w:val="ListParagraph"/>
        <w:spacing w:line="240" w:lineRule="auto"/>
        <w:rPr>
          <w:lang w:val="en-US"/>
        </w:rPr>
      </w:pPr>
    </w:p>
    <w:p w14:paraId="54790FAE" w14:textId="49977E68" w:rsidR="000A7745" w:rsidRPr="00C9465D" w:rsidRDefault="00F01A5A" w:rsidP="00F01A5A">
      <w:pPr>
        <w:pStyle w:val="ListParagraph"/>
        <w:numPr>
          <w:ilvl w:val="0"/>
          <w:numId w:val="18"/>
        </w:numPr>
        <w:spacing w:after="160" w:line="240" w:lineRule="auto"/>
        <w:ind w:left="0" w:right="48" w:firstLine="0"/>
        <w:rPr>
          <w:lang w:val="en-US"/>
        </w:rPr>
      </w:pPr>
      <w:r w:rsidRPr="00C9465D">
        <w:rPr>
          <w:lang w:val="en-US"/>
        </w:rPr>
        <w:t xml:space="preserve">To the contrary, it </w:t>
      </w:r>
      <w:r w:rsidR="00A54D91" w:rsidRPr="00C9465D">
        <w:rPr>
          <w:lang w:val="en-US"/>
        </w:rPr>
        <w:t>can legitimately be asserted</w:t>
      </w:r>
      <w:r w:rsidRPr="00C9465D">
        <w:rPr>
          <w:lang w:val="en-US"/>
        </w:rPr>
        <w:t xml:space="preserve"> that, according to its literal meaning and the principle of good faith, Article 26</w:t>
      </w:r>
      <w:r w:rsidR="00A54D91" w:rsidRPr="00C9465D">
        <w:rPr>
          <w:lang w:val="en-US"/>
        </w:rPr>
        <w:t xml:space="preserve"> </w:t>
      </w:r>
      <w:r w:rsidRPr="00C9465D">
        <w:rPr>
          <w:lang w:val="en-US"/>
        </w:rPr>
        <w:t>does not propose several possibilities of application – in other words,</w:t>
      </w:r>
      <w:r w:rsidR="00A54D91" w:rsidRPr="00C9465D">
        <w:rPr>
          <w:lang w:val="en-US"/>
        </w:rPr>
        <w:t xml:space="preserve"> create</w:t>
      </w:r>
      <w:r w:rsidRPr="00C9465D">
        <w:rPr>
          <w:lang w:val="en-US"/>
        </w:rPr>
        <w:t xml:space="preserve"> doubts about its meaning and scope</w:t>
      </w:r>
      <w:r w:rsidR="00213D6F" w:rsidRPr="00C9465D">
        <w:rPr>
          <w:lang w:val="en-US"/>
        </w:rPr>
        <w:t xml:space="preserve"> </w:t>
      </w:r>
      <w:r w:rsidRPr="00C9465D">
        <w:rPr>
          <w:lang w:val="en-US"/>
        </w:rPr>
        <w:t xml:space="preserve">that, consequently, justify  the interpretation that </w:t>
      </w:r>
      <w:r w:rsidR="009E16EF" w:rsidRPr="00C9465D">
        <w:rPr>
          <w:lang w:val="en-US"/>
        </w:rPr>
        <w:t>clearly differs from what was agreed</w:t>
      </w:r>
      <w:r w:rsidR="00213D6F" w:rsidRPr="00C9465D">
        <w:rPr>
          <w:lang w:val="en-US"/>
        </w:rPr>
        <w:t xml:space="preserve"> – and</w:t>
      </w:r>
      <w:r w:rsidR="009E16EF" w:rsidRPr="00C9465D">
        <w:rPr>
          <w:lang w:val="en-US"/>
        </w:rPr>
        <w:t xml:space="preserve"> does not establish any human right and, especially, one that can be required before the Court; rather it alludes to obligations assumed by the </w:t>
      </w:r>
      <w:r w:rsidR="00DA115D" w:rsidRPr="00C9465D">
        <w:rPr>
          <w:lang w:val="en-US"/>
        </w:rPr>
        <w:t>States Parties</w:t>
      </w:r>
      <w:r w:rsidR="00193CBB" w:rsidRPr="00C9465D">
        <w:rPr>
          <w:lang w:val="en-US"/>
        </w:rPr>
        <w:t xml:space="preserve"> </w:t>
      </w:r>
      <w:r w:rsidR="009E16EF" w:rsidRPr="00C9465D">
        <w:rPr>
          <w:lang w:val="en-US"/>
        </w:rPr>
        <w:t>to</w:t>
      </w:r>
      <w:r w:rsidR="00193CBB" w:rsidRPr="00C9465D">
        <w:rPr>
          <w:lang w:val="en-US"/>
        </w:rPr>
        <w:t xml:space="preserve"> the Convention</w:t>
      </w:r>
      <w:r w:rsidR="00213D6F" w:rsidRPr="00C9465D">
        <w:rPr>
          <w:lang w:val="en-US"/>
        </w:rPr>
        <w:t xml:space="preserve"> concerning actions and not results</w:t>
      </w:r>
      <w:r w:rsidR="000A7745" w:rsidRPr="00C9465D">
        <w:rPr>
          <w:lang w:val="en-US"/>
        </w:rPr>
        <w:t>.</w:t>
      </w:r>
    </w:p>
    <w:p w14:paraId="435B56AF" w14:textId="77777777" w:rsidR="000A7745" w:rsidRPr="00C9465D" w:rsidRDefault="000A7745" w:rsidP="00760D70">
      <w:pPr>
        <w:pStyle w:val="ListParagraph"/>
        <w:spacing w:line="240" w:lineRule="auto"/>
        <w:rPr>
          <w:lang w:val="en-US"/>
        </w:rPr>
      </w:pPr>
    </w:p>
    <w:p w14:paraId="22195490" w14:textId="47D3A178" w:rsidR="000A7745" w:rsidRPr="00C9465D" w:rsidRDefault="00213D6F" w:rsidP="009E16EF">
      <w:pPr>
        <w:pStyle w:val="ListParagraph"/>
        <w:numPr>
          <w:ilvl w:val="0"/>
          <w:numId w:val="18"/>
        </w:numPr>
        <w:spacing w:after="160" w:line="240" w:lineRule="auto"/>
        <w:ind w:left="0" w:right="48" w:firstLine="0"/>
        <w:rPr>
          <w:lang w:val="en-US"/>
        </w:rPr>
      </w:pPr>
      <w:r w:rsidRPr="00C9465D">
        <w:rPr>
          <w:lang w:val="en-US"/>
        </w:rPr>
        <w:t>In short</w:t>
      </w:r>
      <w:r w:rsidR="009E16EF" w:rsidRPr="00C9465D">
        <w:rPr>
          <w:lang w:val="en-US"/>
        </w:rPr>
        <w:t>, it may be concluded, contrary to what is maintained in this judgment, that “</w:t>
      </w:r>
      <w:r w:rsidR="009E16EF" w:rsidRPr="00C9465D">
        <w:rPr>
          <w:rFonts w:cs="Times New Roman"/>
          <w:lang w:val="en-US"/>
        </w:rPr>
        <w:t>in accordance with the ordinary meaning to be given to the terms of the treaty,”</w:t>
      </w:r>
      <w:r w:rsidR="009E16EF" w:rsidRPr="00C9465D">
        <w:rPr>
          <w:lang w:val="en-US"/>
        </w:rPr>
        <w:t xml:space="preserve"> </w:t>
      </w:r>
      <w:r w:rsidR="00193CBB" w:rsidRPr="00C9465D">
        <w:rPr>
          <w:rFonts w:cs="Times New Roman"/>
          <w:lang w:val="en-US"/>
        </w:rPr>
        <w:t>Article</w:t>
      </w:r>
      <w:r w:rsidR="000A7745" w:rsidRPr="00C9465D">
        <w:rPr>
          <w:rFonts w:cs="Times New Roman"/>
          <w:lang w:val="en-US"/>
        </w:rPr>
        <w:t xml:space="preserve"> 26 </w:t>
      </w:r>
      <w:r w:rsidR="009E16EF" w:rsidRPr="00C9465D">
        <w:rPr>
          <w:rFonts w:cs="Times New Roman"/>
          <w:lang w:val="en-US"/>
        </w:rPr>
        <w:t xml:space="preserve">does not establish a sufficient reason for having recourse to </w:t>
      </w:r>
      <w:r w:rsidR="00193CBB" w:rsidRPr="00C9465D">
        <w:rPr>
          <w:rFonts w:cs="Times New Roman"/>
          <w:lang w:val="en-US"/>
        </w:rPr>
        <w:t>the Court</w:t>
      </w:r>
      <w:r w:rsidR="000A7745" w:rsidRPr="00C9465D">
        <w:rPr>
          <w:rFonts w:cs="Times New Roman"/>
          <w:lang w:val="en-US"/>
        </w:rPr>
        <w:t xml:space="preserve"> </w:t>
      </w:r>
      <w:r w:rsidR="009E16EF" w:rsidRPr="00C9465D">
        <w:rPr>
          <w:rFonts w:cs="Times New Roman"/>
          <w:lang w:val="en-US"/>
        </w:rPr>
        <w:t xml:space="preserve">to safeguard the rights </w:t>
      </w:r>
      <w:r w:rsidRPr="00C9465D">
        <w:rPr>
          <w:rFonts w:cs="Times New Roman"/>
          <w:lang w:val="en-US"/>
        </w:rPr>
        <w:t>“</w:t>
      </w:r>
      <w:r w:rsidR="009E16EF" w:rsidRPr="00C9465D">
        <w:rPr>
          <w:rFonts w:cs="Times New Roman"/>
          <w:lang w:val="en-US"/>
        </w:rPr>
        <w:t>derived</w:t>
      </w:r>
      <w:r w:rsidRPr="00C9465D">
        <w:rPr>
          <w:rFonts w:cs="Times New Roman"/>
          <w:lang w:val="en-US"/>
        </w:rPr>
        <w:t>”</w:t>
      </w:r>
      <w:r w:rsidR="009E16EF" w:rsidRPr="00C9465D">
        <w:rPr>
          <w:rFonts w:cs="Times New Roman"/>
          <w:lang w:val="en-US"/>
        </w:rPr>
        <w:t xml:space="preserve"> from </w:t>
      </w:r>
      <w:r w:rsidR="00260D95" w:rsidRPr="00C9465D">
        <w:rPr>
          <w:rFonts w:cs="Times New Roman"/>
          <w:lang w:val="en-US"/>
        </w:rPr>
        <w:t>the OAS Charter</w:t>
      </w:r>
      <w:r w:rsidR="00193CBB" w:rsidRPr="00C9465D">
        <w:rPr>
          <w:rFonts w:cs="Times New Roman"/>
          <w:lang w:val="en-US"/>
        </w:rPr>
        <w:t xml:space="preserve"> and</w:t>
      </w:r>
      <w:r w:rsidR="009E16EF" w:rsidRPr="00C9465D">
        <w:rPr>
          <w:rFonts w:cs="Times New Roman"/>
          <w:lang w:val="en-US"/>
        </w:rPr>
        <w:t xml:space="preserve"> that, consequently, are not “</w:t>
      </w:r>
      <w:r w:rsidR="009E16EF" w:rsidRPr="00C9465D">
        <w:rPr>
          <w:lang w:val="en-US"/>
        </w:rPr>
        <w:t xml:space="preserve">recognized,” “established,” “guaranteed,” “set forth” or “protected” </w:t>
      </w:r>
      <w:r w:rsidR="009E16EF" w:rsidRPr="00C9465D">
        <w:rPr>
          <w:rFonts w:cs="Times New Roman"/>
          <w:lang w:val="en-US"/>
        </w:rPr>
        <w:t xml:space="preserve">in or by </w:t>
      </w:r>
      <w:r w:rsidR="00193CBB" w:rsidRPr="00C9465D">
        <w:rPr>
          <w:rFonts w:cs="Times New Roman"/>
          <w:lang w:val="en-US"/>
        </w:rPr>
        <w:t>the Convention</w:t>
      </w:r>
      <w:r w:rsidR="000A7745" w:rsidRPr="00C9465D">
        <w:rPr>
          <w:rFonts w:cs="Times New Roman"/>
          <w:lang w:val="en-US"/>
        </w:rPr>
        <w:t xml:space="preserve">, </w:t>
      </w:r>
      <w:r w:rsidR="009E16EF" w:rsidRPr="00C9465D">
        <w:rPr>
          <w:rFonts w:cs="Times New Roman"/>
          <w:lang w:val="en-US"/>
        </w:rPr>
        <w:t>unlike th</w:t>
      </w:r>
      <w:r w:rsidRPr="00C9465D">
        <w:rPr>
          <w:rFonts w:cs="Times New Roman"/>
          <w:lang w:val="en-US"/>
        </w:rPr>
        <w:t>e rights</w:t>
      </w:r>
      <w:r w:rsidR="009E16EF" w:rsidRPr="00C9465D">
        <w:rPr>
          <w:rFonts w:cs="Times New Roman"/>
          <w:lang w:val="en-US"/>
        </w:rPr>
        <w:t xml:space="preserve"> that, when violated, are </w:t>
      </w:r>
      <w:r w:rsidR="000A7745" w:rsidRPr="00C9465D">
        <w:rPr>
          <w:rFonts w:cs="Times New Roman"/>
          <w:lang w:val="en-US"/>
        </w:rPr>
        <w:t xml:space="preserve">justiciable </w:t>
      </w:r>
      <w:r w:rsidR="009E16EF" w:rsidRPr="00C9465D">
        <w:rPr>
          <w:rFonts w:cs="Times New Roman"/>
          <w:lang w:val="en-US"/>
        </w:rPr>
        <w:t>before</w:t>
      </w:r>
      <w:r w:rsidR="000A7745" w:rsidRPr="00C9465D">
        <w:rPr>
          <w:rFonts w:cs="Times New Roman"/>
          <w:lang w:val="en-US"/>
        </w:rPr>
        <w:t xml:space="preserve"> </w:t>
      </w:r>
      <w:r w:rsidR="00193CBB" w:rsidRPr="00C9465D">
        <w:rPr>
          <w:rFonts w:cs="Times New Roman"/>
          <w:lang w:val="en-US"/>
        </w:rPr>
        <w:t>the Court</w:t>
      </w:r>
      <w:r w:rsidR="000A7745" w:rsidRPr="00C9465D">
        <w:rPr>
          <w:rFonts w:cs="Times New Roman"/>
          <w:lang w:val="en-US"/>
        </w:rPr>
        <w:t>.</w:t>
      </w:r>
    </w:p>
    <w:p w14:paraId="40CDDBC0" w14:textId="77777777" w:rsidR="000A7745" w:rsidRPr="00C9465D" w:rsidRDefault="000A7745" w:rsidP="00760D70">
      <w:pPr>
        <w:pStyle w:val="ListParagraph"/>
        <w:spacing w:line="240" w:lineRule="auto"/>
        <w:ind w:right="48"/>
        <w:rPr>
          <w:lang w:val="en-US"/>
        </w:rPr>
      </w:pPr>
    </w:p>
    <w:p w14:paraId="34741A82" w14:textId="53BC06B1" w:rsidR="000A7745" w:rsidRPr="00C9465D" w:rsidRDefault="009E16EF" w:rsidP="00D47F8D">
      <w:pPr>
        <w:pStyle w:val="ListParagraph"/>
        <w:numPr>
          <w:ilvl w:val="0"/>
          <w:numId w:val="20"/>
        </w:numPr>
        <w:spacing w:after="160" w:line="240" w:lineRule="auto"/>
        <w:ind w:left="709" w:right="48" w:firstLine="0"/>
        <w:rPr>
          <w:b/>
          <w:bCs/>
          <w:lang w:val="en-US"/>
        </w:rPr>
      </w:pPr>
      <w:r w:rsidRPr="00C9465D">
        <w:rPr>
          <w:b/>
          <w:bCs/>
          <w:lang w:val="en-US"/>
        </w:rPr>
        <w:t xml:space="preserve">The </w:t>
      </w:r>
      <w:r w:rsidR="00213D6F" w:rsidRPr="00C9465D">
        <w:rPr>
          <w:b/>
          <w:bCs/>
          <w:lang w:val="en-US"/>
        </w:rPr>
        <w:t>means relating</w:t>
      </w:r>
      <w:r w:rsidRPr="00C9465D">
        <w:rPr>
          <w:b/>
          <w:bCs/>
          <w:lang w:val="en-US"/>
        </w:rPr>
        <w:t xml:space="preserve"> to the context</w:t>
      </w:r>
    </w:p>
    <w:p w14:paraId="6529CB2F" w14:textId="77777777" w:rsidR="000A7745" w:rsidRPr="00C9465D" w:rsidRDefault="000A7745" w:rsidP="00760D70">
      <w:pPr>
        <w:pStyle w:val="ListParagraph"/>
        <w:spacing w:line="240" w:lineRule="auto"/>
        <w:ind w:left="-207" w:right="48"/>
        <w:rPr>
          <w:b/>
          <w:lang w:val="en-US"/>
        </w:rPr>
      </w:pPr>
    </w:p>
    <w:p w14:paraId="0F64C1BD" w14:textId="5D0EB920" w:rsidR="000A7745" w:rsidRPr="00C9465D" w:rsidRDefault="009E16EF" w:rsidP="00D47F8D">
      <w:pPr>
        <w:pStyle w:val="ListParagraph"/>
        <w:numPr>
          <w:ilvl w:val="0"/>
          <w:numId w:val="18"/>
        </w:numPr>
        <w:spacing w:line="240" w:lineRule="auto"/>
        <w:ind w:left="0" w:right="48" w:firstLine="0"/>
        <w:rPr>
          <w:b/>
          <w:lang w:val="en-US"/>
        </w:rPr>
      </w:pPr>
      <w:r w:rsidRPr="00C9465D">
        <w:rPr>
          <w:lang w:val="en-US"/>
        </w:rPr>
        <w:t xml:space="preserve">When trying to fathom the intention of the States Parties to the Convention in relation to </w:t>
      </w:r>
      <w:r w:rsidR="007A3CA5" w:rsidRPr="00C9465D">
        <w:rPr>
          <w:lang w:val="en-US"/>
        </w:rPr>
        <w:t>Article</w:t>
      </w:r>
      <w:r w:rsidR="000A7745" w:rsidRPr="00C9465D">
        <w:rPr>
          <w:lang w:val="en-US"/>
        </w:rPr>
        <w:t xml:space="preserve"> 26, </w:t>
      </w:r>
      <w:r w:rsidR="00AD2AAC" w:rsidRPr="00C9465D">
        <w:rPr>
          <w:lang w:val="en-US"/>
        </w:rPr>
        <w:t>it is necessary to refer – always in keeping with the provisions of the Vienna Convention – to the context of the terms; therefore, it is necessary to refer to the system established in the Convention in which Article 26 is inserted, which means that</w:t>
      </w:r>
      <w:r w:rsidR="000A7745" w:rsidRPr="00C9465D">
        <w:rPr>
          <w:lang w:val="en-US"/>
        </w:rPr>
        <w:t>:</w:t>
      </w:r>
    </w:p>
    <w:p w14:paraId="27692636" w14:textId="77777777" w:rsidR="000A7745" w:rsidRPr="00C9465D" w:rsidRDefault="000A7745" w:rsidP="00760D70">
      <w:pPr>
        <w:spacing w:line="240" w:lineRule="auto"/>
        <w:ind w:right="48"/>
        <w:contextualSpacing/>
        <w:rPr>
          <w:rFonts w:ascii="Verdana" w:hAnsi="Verdana"/>
          <w:sz w:val="20"/>
          <w:szCs w:val="20"/>
          <w:lang w:val="en-US"/>
        </w:rPr>
      </w:pPr>
    </w:p>
    <w:p w14:paraId="07EBA217" w14:textId="22451BDE" w:rsidR="000A7745" w:rsidRPr="00C9465D" w:rsidRDefault="00AD2AAC" w:rsidP="00D47F8D">
      <w:pPr>
        <w:numPr>
          <w:ilvl w:val="0"/>
          <w:numId w:val="16"/>
        </w:numPr>
        <w:tabs>
          <w:tab w:val="left" w:pos="993"/>
        </w:tabs>
        <w:spacing w:line="240" w:lineRule="auto"/>
        <w:ind w:left="567" w:right="48" w:firstLine="0"/>
        <w:contextualSpacing/>
        <w:jc w:val="both"/>
        <w:rPr>
          <w:rFonts w:ascii="Verdana" w:hAnsi="Verdana"/>
          <w:sz w:val="20"/>
          <w:szCs w:val="20"/>
          <w:lang w:val="en-US"/>
        </w:rPr>
      </w:pPr>
      <w:r w:rsidRPr="00C9465D">
        <w:rPr>
          <w:rFonts w:ascii="Verdana" w:hAnsi="Verdana"/>
          <w:sz w:val="20"/>
          <w:szCs w:val="20"/>
          <w:lang w:val="en-US"/>
        </w:rPr>
        <w:t>This system consists of the obligations and rights that it establishes</w:t>
      </w:r>
      <w:r w:rsidR="000A7745" w:rsidRPr="00C9465D">
        <w:rPr>
          <w:rFonts w:ascii="Verdana" w:hAnsi="Verdana"/>
          <w:sz w:val="20"/>
          <w:szCs w:val="20"/>
          <w:lang w:val="en-US"/>
        </w:rPr>
        <w:t>,</w:t>
      </w:r>
      <w:r w:rsidRPr="00C9465D">
        <w:rPr>
          <w:rFonts w:ascii="Verdana" w:hAnsi="Verdana"/>
          <w:sz w:val="20"/>
          <w:szCs w:val="20"/>
          <w:lang w:val="en-US"/>
        </w:rPr>
        <w:t xml:space="preserve"> the organs responsible for ensuring respect for them and requiring compliance with them, and provisions concerning the Convention;</w:t>
      </w:r>
      <w:r w:rsidR="000A7745" w:rsidRPr="00C9465D">
        <w:rPr>
          <w:rFonts w:ascii="Verdana" w:hAnsi="Verdana"/>
          <w:sz w:val="20"/>
          <w:szCs w:val="20"/>
          <w:vertAlign w:val="superscript"/>
          <w:lang w:val="en-US"/>
        </w:rPr>
        <w:footnoteReference w:id="410"/>
      </w:r>
    </w:p>
    <w:p w14:paraId="75B5EFDE" w14:textId="77777777" w:rsidR="000A7745" w:rsidRPr="00C9465D" w:rsidRDefault="000A7745" w:rsidP="00760D70">
      <w:pPr>
        <w:tabs>
          <w:tab w:val="left" w:pos="993"/>
        </w:tabs>
        <w:spacing w:line="240" w:lineRule="auto"/>
        <w:ind w:left="567" w:right="48"/>
        <w:contextualSpacing/>
        <w:rPr>
          <w:rFonts w:ascii="Verdana" w:hAnsi="Verdana"/>
          <w:sz w:val="20"/>
          <w:szCs w:val="20"/>
          <w:lang w:val="en-US"/>
        </w:rPr>
      </w:pPr>
    </w:p>
    <w:p w14:paraId="5FC01B98" w14:textId="6DB5A39D" w:rsidR="000A7745" w:rsidRPr="00C9465D" w:rsidRDefault="00AD2AAC" w:rsidP="00D47F8D">
      <w:pPr>
        <w:numPr>
          <w:ilvl w:val="0"/>
          <w:numId w:val="16"/>
        </w:numPr>
        <w:tabs>
          <w:tab w:val="left" w:pos="993"/>
        </w:tabs>
        <w:spacing w:after="120" w:line="240" w:lineRule="auto"/>
        <w:ind w:left="567" w:right="48" w:firstLine="0"/>
        <w:contextualSpacing/>
        <w:jc w:val="both"/>
        <w:rPr>
          <w:rFonts w:ascii="Verdana" w:hAnsi="Verdana"/>
          <w:iCs/>
          <w:sz w:val="20"/>
          <w:szCs w:val="20"/>
          <w:lang w:val="en-US"/>
        </w:rPr>
      </w:pPr>
      <w:r w:rsidRPr="00C9465D">
        <w:rPr>
          <w:rFonts w:ascii="Verdana" w:hAnsi="Verdana"/>
          <w:sz w:val="20"/>
          <w:szCs w:val="20"/>
          <w:lang w:val="en-US"/>
        </w:rPr>
        <w:t>Regarding the obligations, these are two: namely, “</w:t>
      </w:r>
      <w:r w:rsidRPr="00C9465D">
        <w:rPr>
          <w:rFonts w:ascii="Verdana" w:hAnsi="Verdana"/>
          <w:i/>
          <w:sz w:val="20"/>
          <w:szCs w:val="20"/>
          <w:lang w:val="en-US"/>
        </w:rPr>
        <w:t>Obligation to Respect Rights</w:t>
      </w:r>
      <w:r w:rsidR="000A7745" w:rsidRPr="00C9465D">
        <w:rPr>
          <w:rFonts w:ascii="Verdana" w:hAnsi="Verdana"/>
          <w:iCs/>
          <w:sz w:val="20"/>
          <w:szCs w:val="20"/>
          <w:lang w:val="en-US"/>
        </w:rPr>
        <w:t>”</w:t>
      </w:r>
      <w:r w:rsidR="000A7745" w:rsidRPr="00C9465D">
        <w:rPr>
          <w:rFonts w:ascii="Verdana" w:hAnsi="Verdana"/>
          <w:iCs/>
          <w:sz w:val="20"/>
          <w:szCs w:val="20"/>
          <w:vertAlign w:val="superscript"/>
          <w:lang w:val="en-US"/>
        </w:rPr>
        <w:footnoteReference w:id="411"/>
      </w:r>
      <w:r w:rsidR="00193CBB" w:rsidRPr="00C9465D">
        <w:rPr>
          <w:rFonts w:ascii="Verdana" w:hAnsi="Verdana"/>
          <w:iCs/>
          <w:sz w:val="20"/>
          <w:szCs w:val="20"/>
          <w:lang w:val="en-US"/>
        </w:rPr>
        <w:t xml:space="preserve"> </w:t>
      </w:r>
      <w:r w:rsidRPr="00C9465D">
        <w:rPr>
          <w:rFonts w:ascii="Verdana" w:hAnsi="Verdana"/>
          <w:sz w:val="20"/>
          <w:szCs w:val="20"/>
          <w:lang w:val="en-US"/>
        </w:rPr>
        <w:t>and</w:t>
      </w:r>
      <w:r w:rsidR="00213D6F" w:rsidRPr="00C9465D">
        <w:rPr>
          <w:rFonts w:ascii="Verdana" w:hAnsi="Verdana"/>
          <w:sz w:val="20"/>
          <w:szCs w:val="20"/>
          <w:lang w:val="en-US"/>
        </w:rPr>
        <w:t xml:space="preserve"> to ensure</w:t>
      </w:r>
      <w:r w:rsidRPr="00C9465D">
        <w:rPr>
          <w:rFonts w:ascii="Verdana" w:hAnsi="Verdana"/>
          <w:sz w:val="20"/>
          <w:szCs w:val="20"/>
          <w:lang w:val="en-US"/>
        </w:rPr>
        <w:t xml:space="preserve"> “</w:t>
      </w:r>
      <w:r w:rsidRPr="00C9465D">
        <w:rPr>
          <w:rFonts w:ascii="Verdana" w:hAnsi="Verdana"/>
          <w:i/>
          <w:sz w:val="20"/>
          <w:szCs w:val="20"/>
          <w:lang w:val="en-US"/>
        </w:rPr>
        <w:t>Domestic Legal Effects</w:t>
      </w:r>
      <w:r w:rsidR="000A7745" w:rsidRPr="00C9465D">
        <w:rPr>
          <w:rFonts w:ascii="Verdana" w:hAnsi="Verdana"/>
          <w:iCs/>
          <w:sz w:val="20"/>
          <w:szCs w:val="20"/>
          <w:lang w:val="en-US"/>
        </w:rPr>
        <w:t>”</w:t>
      </w:r>
      <w:r w:rsidR="000A7745" w:rsidRPr="00C9465D">
        <w:rPr>
          <w:rFonts w:ascii="Verdana" w:hAnsi="Verdana"/>
          <w:iCs/>
          <w:sz w:val="20"/>
          <w:szCs w:val="20"/>
          <w:vertAlign w:val="superscript"/>
          <w:lang w:val="en-US"/>
        </w:rPr>
        <w:footnoteReference w:id="412"/>
      </w:r>
      <w:r w:rsidR="00193CBB" w:rsidRPr="00C9465D">
        <w:rPr>
          <w:rFonts w:ascii="Verdana" w:hAnsi="Verdana"/>
          <w:iCs/>
          <w:sz w:val="20"/>
          <w:szCs w:val="20"/>
          <w:lang w:val="en-US"/>
        </w:rPr>
        <w:t xml:space="preserve"> </w:t>
      </w:r>
      <w:r w:rsidRPr="00C9465D">
        <w:rPr>
          <w:rFonts w:ascii="Verdana" w:hAnsi="Verdana"/>
          <w:iCs/>
          <w:sz w:val="20"/>
          <w:szCs w:val="20"/>
          <w:lang w:val="en-US"/>
        </w:rPr>
        <w:t>and, as regards the rights, they are the</w:t>
      </w:r>
      <w:r w:rsidRPr="00C9465D">
        <w:rPr>
          <w:rFonts w:ascii="Verdana" w:hAnsi="Verdana"/>
          <w:i/>
          <w:sz w:val="20"/>
          <w:szCs w:val="20"/>
          <w:lang w:val="en-US"/>
        </w:rPr>
        <w:t xml:space="preserve"> </w:t>
      </w:r>
      <w:r w:rsidRPr="00C9465D">
        <w:rPr>
          <w:rFonts w:ascii="Verdana" w:hAnsi="Verdana"/>
          <w:sz w:val="20"/>
          <w:szCs w:val="20"/>
          <w:lang w:val="en-US"/>
        </w:rPr>
        <w:t>“</w:t>
      </w:r>
      <w:r w:rsidRPr="00C9465D">
        <w:rPr>
          <w:rFonts w:ascii="Verdana" w:hAnsi="Verdana"/>
          <w:i/>
          <w:sz w:val="20"/>
          <w:szCs w:val="20"/>
          <w:lang w:val="en-US"/>
        </w:rPr>
        <w:t>Civil and Political Rights</w:t>
      </w:r>
      <w:r w:rsidR="000A7745" w:rsidRPr="00C9465D">
        <w:rPr>
          <w:rFonts w:ascii="Verdana" w:hAnsi="Verdana"/>
          <w:iCs/>
          <w:sz w:val="20"/>
          <w:szCs w:val="20"/>
          <w:lang w:val="en-US"/>
        </w:rPr>
        <w:t>”</w:t>
      </w:r>
      <w:r w:rsidR="000A7745" w:rsidRPr="00C9465D">
        <w:rPr>
          <w:rStyle w:val="FootnoteReference"/>
          <w:rFonts w:ascii="Verdana" w:hAnsi="Verdana"/>
          <w:iCs/>
          <w:sz w:val="20"/>
          <w:szCs w:val="20"/>
          <w:lang w:val="en-US"/>
        </w:rPr>
        <w:footnoteReference w:id="413"/>
      </w:r>
      <w:r w:rsidR="00193CBB" w:rsidRPr="00C9465D">
        <w:rPr>
          <w:rFonts w:ascii="Verdana" w:hAnsi="Verdana"/>
          <w:iCs/>
          <w:sz w:val="20"/>
          <w:szCs w:val="20"/>
          <w:lang w:val="en-US"/>
        </w:rPr>
        <w:t xml:space="preserve"> and </w:t>
      </w:r>
      <w:r w:rsidRPr="00C9465D">
        <w:rPr>
          <w:rFonts w:ascii="Verdana" w:hAnsi="Verdana"/>
          <w:iCs/>
          <w:sz w:val="20"/>
          <w:szCs w:val="20"/>
          <w:lang w:val="en-US"/>
        </w:rPr>
        <w:t>the</w:t>
      </w:r>
      <w:r w:rsidR="000A7745" w:rsidRPr="00C9465D">
        <w:rPr>
          <w:rFonts w:ascii="Verdana" w:hAnsi="Verdana"/>
          <w:iCs/>
          <w:sz w:val="20"/>
          <w:szCs w:val="20"/>
          <w:lang w:val="en-US"/>
        </w:rPr>
        <w:t xml:space="preserve"> “</w:t>
      </w:r>
      <w:r w:rsidRPr="00C9465D">
        <w:rPr>
          <w:rFonts w:ascii="Verdana" w:hAnsi="Verdana"/>
          <w:i/>
          <w:sz w:val="20"/>
          <w:szCs w:val="20"/>
          <w:lang w:val="en-US"/>
        </w:rPr>
        <w:t>Economic, Social and Cultural Rights</w:t>
      </w:r>
      <w:r w:rsidR="000A7745" w:rsidRPr="00C9465D">
        <w:rPr>
          <w:rFonts w:ascii="Verdana" w:hAnsi="Verdana"/>
          <w:iCs/>
          <w:sz w:val="20"/>
          <w:szCs w:val="20"/>
          <w:lang w:val="en-US"/>
        </w:rPr>
        <w:t>”</w:t>
      </w:r>
      <w:r w:rsidRPr="00C9465D">
        <w:rPr>
          <w:rFonts w:ascii="Verdana" w:hAnsi="Verdana"/>
          <w:iCs/>
          <w:sz w:val="20"/>
          <w:szCs w:val="20"/>
          <w:lang w:val="en-US"/>
        </w:rPr>
        <w:t>;</w:t>
      </w:r>
      <w:r w:rsidR="000A7745" w:rsidRPr="00C9465D">
        <w:rPr>
          <w:rFonts w:ascii="Verdana" w:hAnsi="Verdana"/>
          <w:iCs/>
          <w:sz w:val="20"/>
          <w:szCs w:val="20"/>
          <w:vertAlign w:val="superscript"/>
          <w:lang w:val="en-US"/>
        </w:rPr>
        <w:footnoteReference w:id="414"/>
      </w:r>
      <w:r w:rsidRPr="00C9465D">
        <w:rPr>
          <w:rFonts w:ascii="Verdana" w:hAnsi="Verdana"/>
          <w:iCs/>
          <w:sz w:val="20"/>
          <w:szCs w:val="20"/>
          <w:lang w:val="en-US"/>
        </w:rPr>
        <w:t xml:space="preserve"> and</w:t>
      </w:r>
      <w:r w:rsidR="000A7745" w:rsidRPr="00C9465D">
        <w:rPr>
          <w:rFonts w:ascii="Verdana" w:hAnsi="Verdana"/>
          <w:iCs/>
          <w:sz w:val="20"/>
          <w:szCs w:val="20"/>
          <w:lang w:val="en-US"/>
        </w:rPr>
        <w:t xml:space="preserve"> </w:t>
      </w:r>
    </w:p>
    <w:p w14:paraId="67EF9179" w14:textId="77777777" w:rsidR="000A7745" w:rsidRPr="00C9465D" w:rsidRDefault="000A7745" w:rsidP="00760D70">
      <w:pPr>
        <w:tabs>
          <w:tab w:val="left" w:pos="993"/>
        </w:tabs>
        <w:spacing w:line="240" w:lineRule="auto"/>
        <w:ind w:left="567" w:right="48"/>
        <w:contextualSpacing/>
        <w:rPr>
          <w:rFonts w:ascii="Verdana" w:hAnsi="Verdana"/>
          <w:sz w:val="20"/>
          <w:szCs w:val="20"/>
          <w:lang w:val="en-US"/>
        </w:rPr>
      </w:pPr>
    </w:p>
    <w:p w14:paraId="6CACC770" w14:textId="12950B67" w:rsidR="000A7745" w:rsidRPr="00C9465D" w:rsidRDefault="00AD2AAC" w:rsidP="00AD2AAC">
      <w:pPr>
        <w:numPr>
          <w:ilvl w:val="0"/>
          <w:numId w:val="16"/>
        </w:numPr>
        <w:tabs>
          <w:tab w:val="left" w:pos="993"/>
        </w:tabs>
        <w:spacing w:line="240" w:lineRule="auto"/>
        <w:ind w:left="567" w:right="48" w:firstLine="0"/>
        <w:contextualSpacing/>
        <w:jc w:val="both"/>
        <w:rPr>
          <w:rFonts w:ascii="Verdana" w:hAnsi="Verdana"/>
          <w:sz w:val="20"/>
          <w:szCs w:val="20"/>
          <w:lang w:val="en-US"/>
        </w:rPr>
      </w:pPr>
      <w:r w:rsidRPr="00C9465D">
        <w:rPr>
          <w:rFonts w:ascii="Verdana" w:hAnsi="Verdana"/>
          <w:sz w:val="20"/>
          <w:szCs w:val="20"/>
          <w:lang w:val="en-US"/>
        </w:rPr>
        <w:lastRenderedPageBreak/>
        <w:t xml:space="preserve">In relation to the organs, these are </w:t>
      </w:r>
      <w:r w:rsidR="00193CBB" w:rsidRPr="00C9465D">
        <w:rPr>
          <w:rFonts w:ascii="Verdana" w:hAnsi="Verdana"/>
          <w:sz w:val="20"/>
          <w:szCs w:val="20"/>
          <w:lang w:val="en-US"/>
        </w:rPr>
        <w:t>the Commission</w:t>
      </w:r>
      <w:r w:rsidR="000A7745" w:rsidRPr="00C9465D">
        <w:rPr>
          <w:rFonts w:ascii="Verdana" w:hAnsi="Verdana"/>
          <w:sz w:val="20"/>
          <w:szCs w:val="20"/>
          <w:lang w:val="en-US"/>
        </w:rPr>
        <w:t xml:space="preserve">, </w:t>
      </w:r>
      <w:r w:rsidR="00193CBB" w:rsidRPr="00C9465D">
        <w:rPr>
          <w:rFonts w:ascii="Verdana" w:hAnsi="Verdana"/>
          <w:sz w:val="20"/>
          <w:szCs w:val="20"/>
          <w:lang w:val="en-US"/>
        </w:rPr>
        <w:t>the Court</w:t>
      </w:r>
      <w:r w:rsidR="000A7745" w:rsidRPr="00C9465D">
        <w:rPr>
          <w:rFonts w:ascii="Verdana" w:hAnsi="Verdana"/>
          <w:sz w:val="20"/>
          <w:szCs w:val="20"/>
          <w:vertAlign w:val="superscript"/>
          <w:lang w:val="en-US"/>
        </w:rPr>
        <w:footnoteReference w:id="415"/>
      </w:r>
      <w:r w:rsidR="00193CBB" w:rsidRPr="00C9465D">
        <w:rPr>
          <w:rFonts w:ascii="Verdana" w:hAnsi="Verdana"/>
          <w:sz w:val="20"/>
          <w:szCs w:val="20"/>
          <w:lang w:val="en-US"/>
        </w:rPr>
        <w:t xml:space="preserve"> and </w:t>
      </w:r>
      <w:r w:rsidRPr="00C9465D">
        <w:rPr>
          <w:rFonts w:ascii="Verdana" w:hAnsi="Verdana"/>
          <w:sz w:val="20"/>
          <w:szCs w:val="20"/>
          <w:lang w:val="en-US"/>
        </w:rPr>
        <w:t>the OAS General Assembly. The first is responsible for the promotion and defense of human rights,</w:t>
      </w:r>
      <w:r w:rsidRPr="00C9465D">
        <w:rPr>
          <w:rFonts w:ascii="Verdana" w:hAnsi="Verdana"/>
          <w:sz w:val="20"/>
          <w:szCs w:val="20"/>
          <w:vertAlign w:val="superscript"/>
          <w:lang w:val="en-US"/>
        </w:rPr>
        <w:footnoteReference w:id="416"/>
      </w:r>
      <w:r w:rsidRPr="00C9465D">
        <w:rPr>
          <w:rFonts w:ascii="Verdana" w:hAnsi="Verdana"/>
          <w:sz w:val="20"/>
          <w:szCs w:val="20"/>
          <w:lang w:val="en-US"/>
        </w:rPr>
        <w:t xml:space="preserve"> the second for the interpretation and application of the Convention</w:t>
      </w:r>
      <w:r w:rsidR="000A7745" w:rsidRPr="00C9465D">
        <w:rPr>
          <w:rFonts w:ascii="Verdana" w:hAnsi="Verdana"/>
          <w:sz w:val="20"/>
          <w:szCs w:val="20"/>
          <w:vertAlign w:val="superscript"/>
          <w:lang w:val="en-US"/>
        </w:rPr>
        <w:footnoteReference w:id="417"/>
      </w:r>
      <w:r w:rsidR="00193CBB" w:rsidRPr="00C9465D">
        <w:rPr>
          <w:rFonts w:ascii="Verdana" w:hAnsi="Verdana"/>
          <w:sz w:val="20"/>
          <w:szCs w:val="20"/>
          <w:lang w:val="en-US"/>
        </w:rPr>
        <w:t xml:space="preserve"> and </w:t>
      </w:r>
      <w:r w:rsidRPr="00C9465D">
        <w:rPr>
          <w:rFonts w:ascii="Verdana" w:hAnsi="Verdana"/>
          <w:sz w:val="20"/>
          <w:szCs w:val="20"/>
          <w:lang w:val="en-US"/>
        </w:rPr>
        <w:t>the third for the adoption of the measures required to ensure compliance with the respective rulings.</w:t>
      </w:r>
      <w:r w:rsidR="000A7745" w:rsidRPr="00C9465D">
        <w:rPr>
          <w:rFonts w:ascii="Verdana" w:hAnsi="Verdana"/>
          <w:sz w:val="20"/>
          <w:szCs w:val="20"/>
          <w:vertAlign w:val="superscript"/>
          <w:lang w:val="en-US"/>
        </w:rPr>
        <w:footnoteReference w:id="418"/>
      </w:r>
    </w:p>
    <w:p w14:paraId="3570ED47" w14:textId="3191CED2" w:rsidR="00A36943" w:rsidRPr="00C9465D" w:rsidRDefault="00AD2AAC" w:rsidP="00A36943">
      <w:pPr>
        <w:pStyle w:val="ListParagraph"/>
        <w:numPr>
          <w:ilvl w:val="0"/>
          <w:numId w:val="18"/>
        </w:numPr>
        <w:spacing w:after="160" w:line="240" w:lineRule="auto"/>
        <w:ind w:left="0" w:right="48" w:firstLine="0"/>
        <w:rPr>
          <w:lang w:val="en-US"/>
        </w:rPr>
      </w:pPr>
      <w:r w:rsidRPr="00C9465D">
        <w:rPr>
          <w:lang w:val="en-US"/>
        </w:rPr>
        <w:t xml:space="preserve">From the harmonious interpretation of the corresponding norms, it is possible to deduce that the States that have accepted the contentious jurisdiction of the Court can only be required, in a case that has been submitted to the Court, to duly respect the civil and political rights </w:t>
      </w:r>
      <w:r w:rsidRPr="00C9465D">
        <w:rPr>
          <w:rFonts w:cs="Times New Roman"/>
          <w:lang w:val="en-US"/>
        </w:rPr>
        <w:t>“</w:t>
      </w:r>
      <w:r w:rsidRPr="00C9465D">
        <w:rPr>
          <w:lang w:val="en-US"/>
        </w:rPr>
        <w:t xml:space="preserve">recognized,” “established,” “guaranteed,” “set forth” or “protected” </w:t>
      </w:r>
      <w:r w:rsidRPr="00C9465D">
        <w:rPr>
          <w:rFonts w:cs="Times New Roman"/>
          <w:lang w:val="en-US"/>
        </w:rPr>
        <w:t xml:space="preserve">by the Convention and, furthermore, </w:t>
      </w:r>
      <w:r w:rsidR="00A36943" w:rsidRPr="00C9465D">
        <w:rPr>
          <w:rFonts w:cs="Times New Roman"/>
          <w:lang w:val="en-US"/>
        </w:rPr>
        <w:t>provided that it is eventually necessary, t</w:t>
      </w:r>
      <w:r w:rsidR="00213D6F" w:rsidRPr="00C9465D">
        <w:rPr>
          <w:rFonts w:cs="Times New Roman"/>
          <w:lang w:val="en-US"/>
        </w:rPr>
        <w:t>o</w:t>
      </w:r>
      <w:r w:rsidR="00A36943" w:rsidRPr="00C9465D">
        <w:rPr>
          <w:rFonts w:cs="Times New Roman"/>
          <w:lang w:val="en-US"/>
        </w:rPr>
        <w:t xml:space="preserve"> adopt, “</w:t>
      </w:r>
      <w:r w:rsidR="00A36943" w:rsidRPr="00C9465D">
        <w:rPr>
          <w:spacing w:val="-3"/>
          <w:lang w:val="en-US"/>
        </w:rPr>
        <w:t>in accordance with t[he] constitutional processes [of the corresponding State] and the provisions of this Convention, such legislative or other measures as may be necessary to give effect to those rights or freedoms.”</w:t>
      </w:r>
    </w:p>
    <w:p w14:paraId="5270CE52" w14:textId="77777777" w:rsidR="00A36943" w:rsidRPr="00C9465D" w:rsidRDefault="00A36943" w:rsidP="00A36943">
      <w:pPr>
        <w:pStyle w:val="ListParagraph"/>
        <w:spacing w:after="160" w:line="240" w:lineRule="auto"/>
        <w:ind w:left="0" w:right="48"/>
        <w:rPr>
          <w:lang w:val="en-US"/>
        </w:rPr>
      </w:pPr>
    </w:p>
    <w:p w14:paraId="4E7EEA63" w14:textId="138EE7A5" w:rsidR="000A7745" w:rsidRPr="00C9465D" w:rsidRDefault="00A36943" w:rsidP="00A36943">
      <w:pPr>
        <w:pStyle w:val="ListParagraph"/>
        <w:numPr>
          <w:ilvl w:val="0"/>
          <w:numId w:val="18"/>
        </w:numPr>
        <w:spacing w:after="160" w:line="240" w:lineRule="auto"/>
        <w:ind w:left="0" w:right="48" w:firstLine="0"/>
        <w:rPr>
          <w:lang w:val="en-US"/>
        </w:rPr>
      </w:pPr>
      <w:r w:rsidRPr="00C9465D">
        <w:rPr>
          <w:lang w:val="en-US"/>
        </w:rPr>
        <w:t>To the contrary, with regard to the rights</w:t>
      </w:r>
      <w:r w:rsidR="00213D6F" w:rsidRPr="00C9465D">
        <w:rPr>
          <w:lang w:val="en-US"/>
        </w:rPr>
        <w:t xml:space="preserve"> derived from</w:t>
      </w:r>
      <w:r w:rsidRPr="00C9465D">
        <w:rPr>
          <w:lang w:val="en-US"/>
        </w:rPr>
        <w:t xml:space="preserve"> “</w:t>
      </w:r>
      <w:r w:rsidRPr="00C9465D">
        <w:rPr>
          <w:spacing w:val="-3"/>
          <w:lang w:val="en-US"/>
        </w:rPr>
        <w:t xml:space="preserve">the economic, social, educational, scientific, and cultural standards set forth in the [OAS] Charter,” States can only be required to adopt “by legislation or other appropriate means,” “measures, both internally and through international cooperation, especially those of an economic and technical nature, with a view to achieving progressively </w:t>
      </w:r>
      <w:r w:rsidR="00520411" w:rsidRPr="00C9465D">
        <w:rPr>
          <w:spacing w:val="-3"/>
          <w:lang w:val="en-US"/>
        </w:rPr>
        <w:t>[…]</w:t>
      </w:r>
      <w:r w:rsidRPr="00C9465D">
        <w:rPr>
          <w:spacing w:val="-3"/>
          <w:lang w:val="en-US"/>
        </w:rPr>
        <w:t xml:space="preserve"> the full realization of the rights</w:t>
      </w:r>
      <w:r w:rsidR="003241BF" w:rsidRPr="00C9465D">
        <w:rPr>
          <w:spacing w:val="-3"/>
          <w:lang w:val="en-US"/>
        </w:rPr>
        <w:t>,” and this “subject to available resources.”</w:t>
      </w:r>
    </w:p>
    <w:p w14:paraId="75F2B10D" w14:textId="77777777" w:rsidR="000A7745" w:rsidRPr="00C9465D" w:rsidRDefault="000A7745" w:rsidP="00760D70">
      <w:pPr>
        <w:pStyle w:val="ListParagraph"/>
        <w:spacing w:line="240" w:lineRule="auto"/>
        <w:rPr>
          <w:lang w:val="en-US"/>
        </w:rPr>
      </w:pPr>
    </w:p>
    <w:p w14:paraId="7A7F3ECC" w14:textId="2AF130E3" w:rsidR="000A7745" w:rsidRPr="00C9465D" w:rsidRDefault="003241BF" w:rsidP="003241BF">
      <w:pPr>
        <w:pStyle w:val="ListParagraph"/>
        <w:numPr>
          <w:ilvl w:val="0"/>
          <w:numId w:val="18"/>
        </w:numPr>
        <w:spacing w:after="160" w:line="240" w:lineRule="auto"/>
        <w:ind w:left="0" w:right="48" w:firstLine="0"/>
        <w:rPr>
          <w:lang w:val="en-US"/>
        </w:rPr>
      </w:pPr>
      <w:r w:rsidRPr="00C9465D">
        <w:rPr>
          <w:lang w:val="en-US"/>
        </w:rPr>
        <w:t>That said, it is necessary to place on record for the purpose of the application of this me</w:t>
      </w:r>
      <w:r w:rsidR="00213D6F" w:rsidRPr="00C9465D">
        <w:rPr>
          <w:lang w:val="en-US"/>
        </w:rPr>
        <w:t>ans</w:t>
      </w:r>
      <w:r w:rsidRPr="00C9465D">
        <w:rPr>
          <w:lang w:val="en-US"/>
        </w:rPr>
        <w:t xml:space="preserve"> of interpretation that, according to the fifth paragraph of the </w:t>
      </w:r>
      <w:r w:rsidR="00651251" w:rsidRPr="00C9465D">
        <w:rPr>
          <w:rFonts w:eastAsia="Batang"/>
          <w:lang w:val="en-US"/>
        </w:rPr>
        <w:t>Preamble</w:t>
      </w:r>
      <w:r w:rsidR="00193CBB" w:rsidRPr="00C9465D">
        <w:rPr>
          <w:rFonts w:eastAsia="Batang"/>
          <w:lang w:val="en-US"/>
        </w:rPr>
        <w:t xml:space="preserve"> </w:t>
      </w:r>
      <w:r w:rsidRPr="00C9465D">
        <w:rPr>
          <w:rFonts w:eastAsia="Batang"/>
          <w:lang w:val="en-US"/>
        </w:rPr>
        <w:t>to</w:t>
      </w:r>
      <w:r w:rsidR="00193CBB" w:rsidRPr="00C9465D">
        <w:rPr>
          <w:rFonts w:eastAsia="Batang"/>
          <w:lang w:val="en-US"/>
        </w:rPr>
        <w:t xml:space="preserve"> the Convention</w:t>
      </w:r>
      <w:r w:rsidR="00213D6F" w:rsidRPr="00C9465D">
        <w:rPr>
          <w:rFonts w:eastAsia="Batang"/>
          <w:lang w:val="en-US"/>
        </w:rPr>
        <w:t>,</w:t>
      </w:r>
      <w:r w:rsidR="000A7745" w:rsidRPr="00C9465D">
        <w:rPr>
          <w:rFonts w:eastAsia="Batang"/>
          <w:vertAlign w:val="superscript"/>
          <w:lang w:val="en-US"/>
        </w:rPr>
        <w:t>,</w:t>
      </w:r>
      <w:r w:rsidR="000A7745" w:rsidRPr="00C9465D">
        <w:rPr>
          <w:rFonts w:eastAsia="Batang"/>
          <w:lang w:val="en-US"/>
        </w:rPr>
        <w:t xml:space="preserve"> </w:t>
      </w:r>
      <w:r w:rsidR="00260D95" w:rsidRPr="00C9465D">
        <w:rPr>
          <w:rFonts w:eastAsia="Batang"/>
          <w:lang w:val="en-US"/>
        </w:rPr>
        <w:t>the OAS Charter</w:t>
      </w:r>
      <w:r w:rsidR="000A7745" w:rsidRPr="00C9465D">
        <w:rPr>
          <w:rFonts w:eastAsia="Batang"/>
          <w:lang w:val="en-US"/>
        </w:rPr>
        <w:t xml:space="preserve"> </w:t>
      </w:r>
      <w:r w:rsidRPr="00C9465D">
        <w:rPr>
          <w:rFonts w:eastAsia="Batang"/>
          <w:lang w:val="en-US"/>
        </w:rPr>
        <w:t>incorporates “</w:t>
      </w:r>
      <w:r w:rsidRPr="00C9465D">
        <w:rPr>
          <w:spacing w:val="-3"/>
          <w:lang w:val="en-US"/>
        </w:rPr>
        <w:t xml:space="preserve">broader standards with respect to economic, social, and educational rights” and </w:t>
      </w:r>
      <w:r w:rsidR="00193CBB" w:rsidRPr="00C9465D">
        <w:rPr>
          <w:rFonts w:eastAsia="Batang"/>
          <w:lang w:val="en-US"/>
        </w:rPr>
        <w:t>the Convention</w:t>
      </w:r>
      <w:r w:rsidR="000A7745" w:rsidRPr="00C9465D">
        <w:rPr>
          <w:rFonts w:eastAsia="Batang"/>
          <w:lang w:val="en-US"/>
        </w:rPr>
        <w:t xml:space="preserve"> </w:t>
      </w:r>
      <w:r w:rsidRPr="00C9465D">
        <w:rPr>
          <w:rFonts w:eastAsia="Batang"/>
          <w:lang w:val="en-US"/>
        </w:rPr>
        <w:t>determine</w:t>
      </w:r>
      <w:r w:rsidR="00213D6F" w:rsidRPr="00C9465D">
        <w:rPr>
          <w:rFonts w:eastAsia="Batang"/>
          <w:lang w:val="en-US"/>
        </w:rPr>
        <w:t>d</w:t>
      </w:r>
      <w:r w:rsidR="000A7745" w:rsidRPr="00C9465D">
        <w:rPr>
          <w:rFonts w:eastAsia="Batang"/>
          <w:lang w:val="en-US"/>
        </w:rPr>
        <w:t xml:space="preserve"> “</w:t>
      </w:r>
      <w:r w:rsidRPr="00C9465D">
        <w:rPr>
          <w:spacing w:val="-3"/>
          <w:lang w:val="en-US"/>
        </w:rPr>
        <w:t>the structure, competence</w:t>
      </w:r>
      <w:r w:rsidR="00213D6F" w:rsidRPr="00C9465D">
        <w:rPr>
          <w:spacing w:val="-3"/>
          <w:lang w:val="en-US"/>
        </w:rPr>
        <w:t>,</w:t>
      </w:r>
      <w:r w:rsidRPr="00C9465D">
        <w:rPr>
          <w:spacing w:val="-3"/>
          <w:lang w:val="en-US"/>
        </w:rPr>
        <w:t xml:space="preserve"> and procedure of the organs responsible for these matters</w:t>
      </w:r>
      <w:r w:rsidRPr="00C9465D">
        <w:rPr>
          <w:rFonts w:eastAsia="Batang"/>
          <w:i/>
          <w:iCs/>
          <w:lang w:val="en-US"/>
        </w:rPr>
        <w:t>.</w:t>
      </w:r>
      <w:r w:rsidR="000A7745" w:rsidRPr="00C9465D">
        <w:rPr>
          <w:rFonts w:eastAsia="Batang"/>
          <w:i/>
          <w:iCs/>
          <w:lang w:val="en-US"/>
        </w:rPr>
        <w:t>”</w:t>
      </w:r>
    </w:p>
    <w:p w14:paraId="7E991AB5" w14:textId="77777777" w:rsidR="000A7745" w:rsidRPr="00C9465D" w:rsidRDefault="000A7745" w:rsidP="003241BF">
      <w:pPr>
        <w:pStyle w:val="ListParagraph"/>
        <w:tabs>
          <w:tab w:val="left" w:pos="2700"/>
        </w:tabs>
        <w:spacing w:line="240" w:lineRule="auto"/>
        <w:rPr>
          <w:rFonts w:eastAsia="Batang"/>
          <w:lang w:val="en-US"/>
        </w:rPr>
      </w:pPr>
    </w:p>
    <w:p w14:paraId="52A282AC" w14:textId="198611BF" w:rsidR="000A7745" w:rsidRPr="00C9465D" w:rsidRDefault="003241BF" w:rsidP="00D47F8D">
      <w:pPr>
        <w:pStyle w:val="ListParagraph"/>
        <w:numPr>
          <w:ilvl w:val="0"/>
          <w:numId w:val="18"/>
        </w:numPr>
        <w:spacing w:after="160" w:line="240" w:lineRule="auto"/>
        <w:ind w:left="0" w:right="48" w:firstLine="0"/>
        <w:rPr>
          <w:lang w:val="en-US"/>
        </w:rPr>
      </w:pPr>
      <w:r w:rsidRPr="00C9465D">
        <w:rPr>
          <w:rFonts w:eastAsia="Batang"/>
          <w:lang w:val="en-US"/>
        </w:rPr>
        <w:t xml:space="preserve">In compliance with this mandate and as already </w:t>
      </w:r>
      <w:r w:rsidR="00213D6F" w:rsidRPr="00C9465D">
        <w:rPr>
          <w:rFonts w:eastAsia="Batang"/>
          <w:lang w:val="en-US"/>
        </w:rPr>
        <w:t>indicated</w:t>
      </w:r>
      <w:r w:rsidRPr="00C9465D">
        <w:rPr>
          <w:rFonts w:eastAsia="Batang"/>
          <w:lang w:val="en-US"/>
        </w:rPr>
        <w:t xml:space="preserve">, </w:t>
      </w:r>
      <w:r w:rsidR="00213D6F" w:rsidRPr="00C9465D">
        <w:rPr>
          <w:rFonts w:eastAsia="Batang"/>
          <w:lang w:val="en-US"/>
        </w:rPr>
        <w:t>the Convention</w:t>
      </w:r>
      <w:r w:rsidRPr="00C9465D">
        <w:rPr>
          <w:rFonts w:eastAsia="Batang"/>
          <w:lang w:val="en-US"/>
        </w:rPr>
        <w:t xml:space="preserve"> gave the civil and political rights a differentiated treatment from the economic, social and cultural rights, express</w:t>
      </w:r>
      <w:r w:rsidR="00213D6F" w:rsidRPr="00C9465D">
        <w:rPr>
          <w:rFonts w:eastAsia="Batang"/>
          <w:lang w:val="en-US"/>
        </w:rPr>
        <w:t>ing</w:t>
      </w:r>
      <w:r w:rsidRPr="00C9465D">
        <w:rPr>
          <w:rFonts w:eastAsia="Batang"/>
          <w:lang w:val="en-US"/>
        </w:rPr>
        <w:t xml:space="preserve">, as already indicated, the former in </w:t>
      </w:r>
      <w:r w:rsidR="005E2E1C" w:rsidRPr="00C9465D">
        <w:rPr>
          <w:rFonts w:eastAsia="Batang"/>
          <w:lang w:val="en-US"/>
        </w:rPr>
        <w:t>Chapter</w:t>
      </w:r>
      <w:r w:rsidR="000A7745" w:rsidRPr="00C9465D">
        <w:rPr>
          <w:rFonts w:eastAsia="Batang"/>
          <w:lang w:val="en-US"/>
        </w:rPr>
        <w:t xml:space="preserve"> II </w:t>
      </w:r>
      <w:r w:rsidRPr="00C9465D">
        <w:rPr>
          <w:rFonts w:eastAsia="Batang"/>
          <w:lang w:val="en-US"/>
        </w:rPr>
        <w:t>of</w:t>
      </w:r>
      <w:r w:rsidR="000A7745" w:rsidRPr="00C9465D">
        <w:rPr>
          <w:rFonts w:eastAsia="Batang"/>
          <w:lang w:val="en-US"/>
        </w:rPr>
        <w:t xml:space="preserve"> Part I</w:t>
      </w:r>
      <w:r w:rsidR="00193CBB" w:rsidRPr="00C9465D">
        <w:rPr>
          <w:rFonts w:eastAsia="Batang"/>
          <w:lang w:val="en-US"/>
        </w:rPr>
        <w:t xml:space="preserve"> of the Convention and </w:t>
      </w:r>
      <w:r w:rsidRPr="00C9465D">
        <w:rPr>
          <w:rFonts w:eastAsia="Batang"/>
          <w:lang w:val="en-US"/>
        </w:rPr>
        <w:t>the latter in</w:t>
      </w:r>
      <w:r w:rsidR="000A7745" w:rsidRPr="00C9465D">
        <w:rPr>
          <w:rFonts w:eastAsia="Batang"/>
          <w:lang w:val="en-US"/>
        </w:rPr>
        <w:t xml:space="preserve"> </w:t>
      </w:r>
      <w:r w:rsidR="005E2E1C" w:rsidRPr="00C9465D">
        <w:rPr>
          <w:rFonts w:eastAsia="Batang"/>
          <w:lang w:val="en-US"/>
        </w:rPr>
        <w:t>Chapter</w:t>
      </w:r>
      <w:r w:rsidR="000A7745" w:rsidRPr="00C9465D">
        <w:rPr>
          <w:rFonts w:eastAsia="Batang"/>
          <w:lang w:val="en-US"/>
        </w:rPr>
        <w:t xml:space="preserve"> III </w:t>
      </w:r>
      <w:r w:rsidRPr="00C9465D">
        <w:rPr>
          <w:rFonts w:eastAsia="Batang"/>
          <w:lang w:val="en-US"/>
        </w:rPr>
        <w:t>of the same part and instrument</w:t>
      </w:r>
      <w:r w:rsidR="000A7745" w:rsidRPr="00C9465D">
        <w:rPr>
          <w:rFonts w:eastAsia="Batang"/>
          <w:lang w:val="en-US"/>
        </w:rPr>
        <w:t xml:space="preserve">. </w:t>
      </w:r>
      <w:r w:rsidR="00213D6F" w:rsidRPr="00C9465D">
        <w:rPr>
          <w:rFonts w:eastAsia="Batang"/>
          <w:lang w:val="en-US"/>
        </w:rPr>
        <w:t>Thus,</w:t>
      </w:r>
      <w:r w:rsidRPr="00C9465D">
        <w:rPr>
          <w:rFonts w:eastAsia="Batang"/>
          <w:lang w:val="en-US"/>
        </w:rPr>
        <w:t xml:space="preserve"> the indivisibility of the </w:t>
      </w:r>
      <w:r w:rsidRPr="00C9465D">
        <w:rPr>
          <w:rFonts w:eastAsia="Batang"/>
          <w:lang w:val="en-US"/>
        </w:rPr>
        <w:lastRenderedPageBreak/>
        <w:t xml:space="preserve">civil and political rights and of the economic, social and cultural rights referred to in </w:t>
      </w:r>
      <w:r w:rsidR="00651251" w:rsidRPr="00C9465D">
        <w:rPr>
          <w:rFonts w:eastAsia="Batang"/>
          <w:lang w:val="en-US"/>
        </w:rPr>
        <w:t>the Preamble</w:t>
      </w:r>
      <w:r w:rsidR="00193CBB" w:rsidRPr="00C9465D">
        <w:rPr>
          <w:rFonts w:eastAsia="Batang"/>
          <w:lang w:val="en-US"/>
        </w:rPr>
        <w:t xml:space="preserve"> </w:t>
      </w:r>
      <w:r w:rsidRPr="00C9465D">
        <w:rPr>
          <w:rFonts w:eastAsia="Batang"/>
          <w:lang w:val="en-US"/>
        </w:rPr>
        <w:t>to</w:t>
      </w:r>
      <w:r w:rsidR="00193CBB" w:rsidRPr="00C9465D">
        <w:rPr>
          <w:rFonts w:eastAsia="Batang"/>
          <w:lang w:val="en-US"/>
        </w:rPr>
        <w:t xml:space="preserve"> the Convention</w:t>
      </w:r>
      <w:r w:rsidR="000A7745" w:rsidRPr="00C9465D">
        <w:rPr>
          <w:rFonts w:eastAsia="Batang"/>
          <w:lang w:val="en-US"/>
        </w:rPr>
        <w:t xml:space="preserve">, </w:t>
      </w:r>
      <w:r w:rsidRPr="00C9465D">
        <w:rPr>
          <w:rFonts w:eastAsia="Batang"/>
          <w:lang w:val="en-US"/>
        </w:rPr>
        <w:t>is to the</w:t>
      </w:r>
      <w:r w:rsidR="000A7745" w:rsidRPr="00C9465D">
        <w:rPr>
          <w:rFonts w:eastAsia="Batang"/>
          <w:lang w:val="en-US"/>
        </w:rPr>
        <w:t xml:space="preserve"> “</w:t>
      </w:r>
      <w:r w:rsidRPr="00C9465D">
        <w:rPr>
          <w:rFonts w:eastAsia="Batang"/>
          <w:i/>
          <w:iCs/>
          <w:lang w:val="en-US"/>
        </w:rPr>
        <w:t>enjoyment</w:t>
      </w:r>
      <w:r w:rsidR="000A7745" w:rsidRPr="00C9465D">
        <w:rPr>
          <w:rFonts w:eastAsia="Batang"/>
          <w:lang w:val="en-US"/>
        </w:rPr>
        <w:t xml:space="preserve">” </w:t>
      </w:r>
      <w:r w:rsidRPr="00C9465D">
        <w:rPr>
          <w:rFonts w:eastAsia="Batang"/>
          <w:lang w:val="en-US"/>
        </w:rPr>
        <w:t>of both types of human rights and not that they should be subject to the same rules for their exercise and international oversight.</w:t>
      </w:r>
    </w:p>
    <w:p w14:paraId="1D8CDE26" w14:textId="77777777" w:rsidR="001A43EF" w:rsidRPr="00C9465D" w:rsidRDefault="001A43EF" w:rsidP="001A43EF">
      <w:pPr>
        <w:pStyle w:val="ListParagraph"/>
        <w:rPr>
          <w:lang w:val="en-US"/>
        </w:rPr>
      </w:pPr>
    </w:p>
    <w:p w14:paraId="0BC6FDEA" w14:textId="7442DD88" w:rsidR="000A7745" w:rsidRPr="00C9465D" w:rsidRDefault="003241BF" w:rsidP="001A43EF">
      <w:pPr>
        <w:pStyle w:val="ListParagraph"/>
        <w:numPr>
          <w:ilvl w:val="0"/>
          <w:numId w:val="18"/>
        </w:numPr>
        <w:spacing w:after="160" w:line="240" w:lineRule="auto"/>
        <w:ind w:left="0" w:right="48" w:firstLine="0"/>
        <w:rPr>
          <w:lang w:val="en-US"/>
        </w:rPr>
      </w:pPr>
      <w:r w:rsidRPr="00C9465D">
        <w:rPr>
          <w:lang w:val="en-US"/>
        </w:rPr>
        <w:t xml:space="preserve">It is also necessary to recall, with regard to </w:t>
      </w:r>
      <w:r w:rsidR="001A43EF" w:rsidRPr="00C9465D">
        <w:rPr>
          <w:lang w:val="en-US"/>
        </w:rPr>
        <w:t xml:space="preserve">what </w:t>
      </w:r>
      <w:r w:rsidR="00193CBB" w:rsidRPr="00C9465D">
        <w:rPr>
          <w:lang w:val="en-US"/>
        </w:rPr>
        <w:t>Article</w:t>
      </w:r>
      <w:r w:rsidR="000A7745" w:rsidRPr="00C9465D">
        <w:rPr>
          <w:lang w:val="en-US"/>
        </w:rPr>
        <w:t xml:space="preserve"> 31</w:t>
      </w:r>
      <w:r w:rsidRPr="00C9465D">
        <w:rPr>
          <w:lang w:val="en-US"/>
        </w:rPr>
        <w:t>(</w:t>
      </w:r>
      <w:r w:rsidR="000A7745" w:rsidRPr="00C9465D">
        <w:rPr>
          <w:lang w:val="en-US"/>
        </w:rPr>
        <w:t>2</w:t>
      </w:r>
      <w:r w:rsidRPr="00C9465D">
        <w:rPr>
          <w:lang w:val="en-US"/>
        </w:rPr>
        <w:t>)</w:t>
      </w:r>
      <w:r w:rsidR="00193CBB" w:rsidRPr="00C9465D">
        <w:rPr>
          <w:lang w:val="en-US"/>
        </w:rPr>
        <w:t xml:space="preserve"> of the </w:t>
      </w:r>
      <w:r w:rsidR="001D5382" w:rsidRPr="00C9465D">
        <w:rPr>
          <w:lang w:val="en-US"/>
        </w:rPr>
        <w:t>Vienna Convention</w:t>
      </w:r>
      <w:r w:rsidR="001A43EF" w:rsidRPr="00C9465D">
        <w:rPr>
          <w:lang w:val="en-US"/>
        </w:rPr>
        <w:t xml:space="preserve"> considers as context, </w:t>
      </w:r>
      <w:r w:rsidR="001B578B" w:rsidRPr="00C9465D">
        <w:rPr>
          <w:lang w:val="en-US"/>
        </w:rPr>
        <w:t xml:space="preserve">that </w:t>
      </w:r>
      <w:r w:rsidR="001A43EF" w:rsidRPr="00C9465D">
        <w:rPr>
          <w:lang w:val="en-US"/>
        </w:rPr>
        <w:t>there is no “</w:t>
      </w:r>
      <w:r w:rsidR="001A43EF" w:rsidRPr="00C9465D">
        <w:rPr>
          <w:rFonts w:cs="Times New Roman"/>
          <w:lang w:val="en-US"/>
        </w:rPr>
        <w:t>agreement relating to the [Convention] which was made between all the parties in connection with the conclusion of the treaty” nor “any instrument which was made by one or more parties in connection with the conclusion of the [Convention] and accepted by the other parties as an instrument related to the [it].”</w:t>
      </w:r>
    </w:p>
    <w:p w14:paraId="734638C7" w14:textId="77777777" w:rsidR="001A43EF" w:rsidRPr="00C9465D" w:rsidRDefault="001A43EF" w:rsidP="001A43EF">
      <w:pPr>
        <w:pStyle w:val="ListParagraph"/>
        <w:spacing w:after="160" w:line="240" w:lineRule="auto"/>
        <w:ind w:left="0" w:right="48"/>
        <w:rPr>
          <w:lang w:val="en-US"/>
        </w:rPr>
      </w:pPr>
    </w:p>
    <w:p w14:paraId="6C07BBA5" w14:textId="0BFA7438" w:rsidR="000A7745" w:rsidRPr="00C9465D" w:rsidRDefault="001A43EF" w:rsidP="001A43EF">
      <w:pPr>
        <w:pStyle w:val="ListParagraph"/>
        <w:numPr>
          <w:ilvl w:val="0"/>
          <w:numId w:val="18"/>
        </w:numPr>
        <w:spacing w:after="160" w:line="240" w:lineRule="auto"/>
        <w:ind w:left="0" w:right="48" w:firstLine="0"/>
        <w:rPr>
          <w:lang w:val="en-US"/>
        </w:rPr>
      </w:pPr>
      <w:r w:rsidRPr="00C9465D">
        <w:rPr>
          <w:lang w:val="en-US"/>
        </w:rPr>
        <w:t>Moreover, n</w:t>
      </w:r>
      <w:r w:rsidR="001B578B" w:rsidRPr="00C9465D">
        <w:rPr>
          <w:lang w:val="en-US"/>
        </w:rPr>
        <w:t>o</w:t>
      </w:r>
      <w:r w:rsidRPr="00C9465D">
        <w:rPr>
          <w:lang w:val="en-US"/>
        </w:rPr>
        <w:t xml:space="preserve">r does there exist together with the context, as established by </w:t>
      </w:r>
      <w:r w:rsidR="00193CBB" w:rsidRPr="00C9465D">
        <w:rPr>
          <w:lang w:val="en-US"/>
        </w:rPr>
        <w:t>Article</w:t>
      </w:r>
      <w:r w:rsidR="000A7745" w:rsidRPr="00C9465D">
        <w:rPr>
          <w:lang w:val="en-US"/>
        </w:rPr>
        <w:t xml:space="preserve"> 31</w:t>
      </w:r>
      <w:r w:rsidRPr="00C9465D">
        <w:rPr>
          <w:lang w:val="en-US"/>
        </w:rPr>
        <w:t>(</w:t>
      </w:r>
      <w:r w:rsidR="000A7745" w:rsidRPr="00C9465D">
        <w:rPr>
          <w:lang w:val="en-US"/>
        </w:rPr>
        <w:t>3</w:t>
      </w:r>
      <w:r w:rsidRPr="00C9465D">
        <w:rPr>
          <w:lang w:val="en-US"/>
        </w:rPr>
        <w:t>)</w:t>
      </w:r>
      <w:r w:rsidR="00193CBB" w:rsidRPr="00C9465D">
        <w:rPr>
          <w:lang w:val="en-US"/>
        </w:rPr>
        <w:t xml:space="preserve"> of the </w:t>
      </w:r>
      <w:r w:rsidRPr="00C9465D">
        <w:rPr>
          <w:lang w:val="en-US"/>
        </w:rPr>
        <w:t xml:space="preserve">Vienna </w:t>
      </w:r>
      <w:r w:rsidR="00193CBB" w:rsidRPr="00C9465D">
        <w:rPr>
          <w:lang w:val="en-US"/>
        </w:rPr>
        <w:t>Convention</w:t>
      </w:r>
      <w:r w:rsidRPr="00C9465D">
        <w:rPr>
          <w:lang w:val="en-US"/>
        </w:rPr>
        <w:t xml:space="preserve"> </w:t>
      </w:r>
      <w:r w:rsidRPr="00C9465D">
        <w:rPr>
          <w:rFonts w:cs="Times New Roman"/>
          <w:iCs/>
          <w:lang w:val="en-US"/>
        </w:rPr>
        <w:t>“</w:t>
      </w:r>
      <w:r w:rsidRPr="00C9465D">
        <w:rPr>
          <w:rFonts w:cs="Times New Roman"/>
          <w:lang w:val="en-US"/>
        </w:rPr>
        <w:t xml:space="preserve">any subsequent agreement between the parties regarding the interpretation of the [Convention] or the application of its provisions,” nor </w:t>
      </w:r>
      <w:r w:rsidR="001B578B" w:rsidRPr="00C9465D">
        <w:rPr>
          <w:rFonts w:cs="Times New Roman"/>
          <w:lang w:val="en-US"/>
        </w:rPr>
        <w:t>“</w:t>
      </w:r>
      <w:r w:rsidRPr="00C9465D">
        <w:rPr>
          <w:rFonts w:cs="Times New Roman"/>
          <w:lang w:val="en-US"/>
        </w:rPr>
        <w:t xml:space="preserve">any subsequent practice in the application of the [Convention] which establishes the agreement of the parties regarding its interpretation,” </w:t>
      </w:r>
      <w:r w:rsidR="001B578B" w:rsidRPr="00C9465D">
        <w:rPr>
          <w:rFonts w:cs="Times New Roman"/>
          <w:lang w:val="en-US"/>
        </w:rPr>
        <w:t xml:space="preserve">with the </w:t>
      </w:r>
      <w:r w:rsidRPr="00C9465D">
        <w:rPr>
          <w:rFonts w:cs="Times New Roman"/>
          <w:lang w:val="en-US"/>
        </w:rPr>
        <w:t>except</w:t>
      </w:r>
      <w:r w:rsidR="001B578B" w:rsidRPr="00C9465D">
        <w:rPr>
          <w:rFonts w:cs="Times New Roman"/>
          <w:lang w:val="en-US"/>
        </w:rPr>
        <w:t>ion of</w:t>
      </w:r>
      <w:r w:rsidRPr="00C9465D">
        <w:rPr>
          <w:rFonts w:cs="Times New Roman"/>
          <w:lang w:val="en-US"/>
        </w:rPr>
        <w:t xml:space="preserve"> </w:t>
      </w:r>
      <w:r w:rsidR="00260D95" w:rsidRPr="00C9465D">
        <w:rPr>
          <w:rFonts w:cs="Times New Roman"/>
          <w:iCs/>
          <w:lang w:val="en-US"/>
        </w:rPr>
        <w:t>the Protocol of San</w:t>
      </w:r>
      <w:r w:rsidR="000A7745" w:rsidRPr="00C9465D">
        <w:rPr>
          <w:rFonts w:cs="Times New Roman"/>
          <w:iCs/>
          <w:lang w:val="en-US"/>
        </w:rPr>
        <w:t xml:space="preserve"> Salvador</w:t>
      </w:r>
      <w:r w:rsidR="000A7745" w:rsidRPr="00C9465D">
        <w:rPr>
          <w:rFonts w:cs="Times New Roman"/>
          <w:i/>
          <w:lang w:val="en-US"/>
        </w:rPr>
        <w:t>.</w:t>
      </w:r>
    </w:p>
    <w:p w14:paraId="7FB68746" w14:textId="77777777" w:rsidR="000A7745" w:rsidRPr="00C9465D" w:rsidRDefault="000A7745" w:rsidP="001A43EF">
      <w:pPr>
        <w:pStyle w:val="ListParagraph"/>
        <w:spacing w:after="160" w:line="240" w:lineRule="auto"/>
        <w:rPr>
          <w:lang w:val="en-US"/>
        </w:rPr>
      </w:pPr>
    </w:p>
    <w:p w14:paraId="18707CA5" w14:textId="5C70394C" w:rsidR="000A7745" w:rsidRPr="00C9465D" w:rsidRDefault="001A43EF" w:rsidP="001A43EF">
      <w:pPr>
        <w:pStyle w:val="ListParagraph"/>
        <w:numPr>
          <w:ilvl w:val="0"/>
          <w:numId w:val="18"/>
        </w:numPr>
        <w:spacing w:after="160" w:line="240" w:lineRule="auto"/>
        <w:ind w:left="0" w:right="48" w:firstLine="0"/>
        <w:rPr>
          <w:lang w:val="en-US"/>
        </w:rPr>
      </w:pPr>
      <w:r w:rsidRPr="00C9465D">
        <w:rPr>
          <w:lang w:val="en-US"/>
        </w:rPr>
        <w:t xml:space="preserve">Consequently, it is unacceptable that, in the absence of the </w:t>
      </w:r>
      <w:r w:rsidR="001B578B" w:rsidRPr="00C9465D">
        <w:rPr>
          <w:lang w:val="en-US"/>
        </w:rPr>
        <w:t xml:space="preserve">so-called </w:t>
      </w:r>
      <w:r w:rsidRPr="00C9465D">
        <w:rPr>
          <w:lang w:val="en-US"/>
        </w:rPr>
        <w:t>“authentic interpretation</w:t>
      </w:r>
      <w:r w:rsidR="000A7745" w:rsidRPr="00C9465D">
        <w:rPr>
          <w:lang w:val="en-US"/>
        </w:rPr>
        <w:t>”</w:t>
      </w:r>
      <w:r w:rsidR="000A7745" w:rsidRPr="00C9465D">
        <w:rPr>
          <w:vertAlign w:val="superscript"/>
          <w:lang w:val="en-US"/>
        </w:rPr>
        <w:footnoteReference w:id="419"/>
      </w:r>
      <w:r w:rsidR="00193CBB" w:rsidRPr="00C9465D">
        <w:rPr>
          <w:lang w:val="en-US"/>
        </w:rPr>
        <w:t xml:space="preserve"> of the Convention</w:t>
      </w:r>
      <w:r w:rsidR="000A7745" w:rsidRPr="00C9465D">
        <w:rPr>
          <w:lang w:val="en-US"/>
        </w:rPr>
        <w:t xml:space="preserve">, </w:t>
      </w:r>
      <w:r w:rsidRPr="00C9465D">
        <w:rPr>
          <w:lang w:val="en-US"/>
        </w:rPr>
        <w:t xml:space="preserve">its meaning and scope are determined by the Court </w:t>
      </w:r>
      <w:r w:rsidR="001B578B" w:rsidRPr="00C9465D">
        <w:rPr>
          <w:lang w:val="en-US"/>
        </w:rPr>
        <w:t xml:space="preserve">over and above, </w:t>
      </w:r>
      <w:r w:rsidR="00F45280" w:rsidRPr="00C9465D">
        <w:rPr>
          <w:lang w:val="en-US"/>
        </w:rPr>
        <w:t>and even in contradiction with</w:t>
      </w:r>
      <w:r w:rsidR="001B578B" w:rsidRPr="00C9465D">
        <w:rPr>
          <w:lang w:val="en-US"/>
        </w:rPr>
        <w:t>,</w:t>
      </w:r>
      <w:r w:rsidR="00F45280" w:rsidRPr="00C9465D">
        <w:rPr>
          <w:lang w:val="en-US"/>
        </w:rPr>
        <w:t xml:space="preserve"> what its States Parties agreed</w:t>
      </w:r>
      <w:r w:rsidR="000A7745" w:rsidRPr="00C9465D">
        <w:rPr>
          <w:lang w:val="en-US"/>
        </w:rPr>
        <w:t xml:space="preserve">. </w:t>
      </w:r>
      <w:r w:rsidR="00193CBB" w:rsidRPr="00C9465D">
        <w:rPr>
          <w:lang w:val="en-US"/>
        </w:rPr>
        <w:t>The Convention</w:t>
      </w:r>
      <w:r w:rsidR="000A7745" w:rsidRPr="00C9465D">
        <w:rPr>
          <w:lang w:val="en-US"/>
        </w:rPr>
        <w:t xml:space="preserve">, </w:t>
      </w:r>
      <w:r w:rsidR="00F45280" w:rsidRPr="00C9465D">
        <w:rPr>
          <w:lang w:val="en-US"/>
        </w:rPr>
        <w:t xml:space="preserve">as any treaty, does not exist </w:t>
      </w:r>
      <w:r w:rsidR="001B578B" w:rsidRPr="00C9465D">
        <w:rPr>
          <w:lang w:val="en-US"/>
        </w:rPr>
        <w:t>beyond</w:t>
      </w:r>
      <w:r w:rsidR="00F45280" w:rsidRPr="00C9465D">
        <w:rPr>
          <w:lang w:val="en-US"/>
        </w:rPr>
        <w:t xml:space="preserve"> what the States Parties expressly agreed.</w:t>
      </w:r>
    </w:p>
    <w:p w14:paraId="2E6A954B" w14:textId="77777777" w:rsidR="000A7745" w:rsidRPr="00C9465D" w:rsidRDefault="000A7745" w:rsidP="00760D70">
      <w:pPr>
        <w:pStyle w:val="ListParagraph"/>
        <w:spacing w:line="240" w:lineRule="auto"/>
        <w:rPr>
          <w:bCs/>
          <w:lang w:val="en-US"/>
        </w:rPr>
      </w:pPr>
    </w:p>
    <w:p w14:paraId="49EE1F6F" w14:textId="61C9C1C1" w:rsidR="000A7745" w:rsidRPr="00C9465D" w:rsidRDefault="00F45280" w:rsidP="00F45280">
      <w:pPr>
        <w:pStyle w:val="ListParagraph"/>
        <w:numPr>
          <w:ilvl w:val="0"/>
          <w:numId w:val="18"/>
        </w:numPr>
        <w:spacing w:after="160" w:line="240" w:lineRule="auto"/>
        <w:ind w:left="0" w:right="48" w:firstLine="0"/>
        <w:rPr>
          <w:lang w:val="en-US"/>
        </w:rPr>
      </w:pPr>
      <w:r w:rsidRPr="00C9465D">
        <w:rPr>
          <w:bCs/>
          <w:lang w:val="en-US"/>
        </w:rPr>
        <w:t xml:space="preserve">In addition, in an attempt to justify the judicialization </w:t>
      </w:r>
      <w:r w:rsidR="00AC1354" w:rsidRPr="00C9465D">
        <w:rPr>
          <w:bCs/>
          <w:lang w:val="en-US"/>
        </w:rPr>
        <w:t>of the right</w:t>
      </w:r>
      <w:bookmarkStart w:id="165" w:name="_Hlk45988875"/>
      <w:r w:rsidR="00260D95" w:rsidRPr="00C9465D">
        <w:rPr>
          <w:lang w:val="en-US"/>
        </w:rPr>
        <w:t xml:space="preserve"> to health</w:t>
      </w:r>
      <w:r w:rsidR="00193CBB" w:rsidRPr="00C9465D">
        <w:rPr>
          <w:lang w:val="en-US"/>
        </w:rPr>
        <w:t xml:space="preserve"> and </w:t>
      </w:r>
      <w:r w:rsidRPr="00C9465D">
        <w:rPr>
          <w:lang w:val="en-US"/>
        </w:rPr>
        <w:t>hygiene in the workplace</w:t>
      </w:r>
      <w:r w:rsidR="001B578B" w:rsidRPr="00C9465D">
        <w:rPr>
          <w:bCs/>
          <w:lang w:val="en-US"/>
        </w:rPr>
        <w:t xml:space="preserve"> before the Court</w:t>
      </w:r>
      <w:r w:rsidRPr="00C9465D">
        <w:rPr>
          <w:lang w:val="en-US"/>
        </w:rPr>
        <w:t xml:space="preserve">, and supporting itself on the provisions of </w:t>
      </w:r>
      <w:bookmarkEnd w:id="165"/>
      <w:r w:rsidR="00193CBB" w:rsidRPr="00C9465D">
        <w:rPr>
          <w:lang w:val="en-US"/>
        </w:rPr>
        <w:t>Article</w:t>
      </w:r>
      <w:r w:rsidR="000A7745" w:rsidRPr="00C9465D">
        <w:rPr>
          <w:lang w:val="en-US"/>
        </w:rPr>
        <w:t xml:space="preserve"> 31</w:t>
      </w:r>
      <w:r w:rsidRPr="00C9465D">
        <w:rPr>
          <w:lang w:val="en-US"/>
        </w:rPr>
        <w:t>(</w:t>
      </w:r>
      <w:r w:rsidR="000A7745" w:rsidRPr="00C9465D">
        <w:rPr>
          <w:lang w:val="en-US"/>
        </w:rPr>
        <w:t>3</w:t>
      </w:r>
      <w:r w:rsidRPr="00C9465D">
        <w:rPr>
          <w:lang w:val="en-US"/>
        </w:rPr>
        <w:t>)(</w:t>
      </w:r>
      <w:r w:rsidR="000A7745" w:rsidRPr="00C9465D">
        <w:rPr>
          <w:lang w:val="en-US"/>
        </w:rPr>
        <w:t>c)</w:t>
      </w:r>
      <w:r w:rsidRPr="00C9465D">
        <w:rPr>
          <w:lang w:val="en-US"/>
        </w:rPr>
        <w:t xml:space="preserve"> of</w:t>
      </w:r>
      <w:r w:rsidR="000A7745" w:rsidRPr="00C9465D">
        <w:rPr>
          <w:lang w:val="en-US"/>
        </w:rPr>
        <w:t xml:space="preserve"> </w:t>
      </w:r>
      <w:r w:rsidR="00193CBB" w:rsidRPr="00C9465D">
        <w:rPr>
          <w:lang w:val="en-US"/>
        </w:rPr>
        <w:t xml:space="preserve">the </w:t>
      </w:r>
      <w:r w:rsidRPr="00C9465D">
        <w:rPr>
          <w:lang w:val="en-US"/>
        </w:rPr>
        <w:t>Vienna Convention</w:t>
      </w:r>
      <w:r w:rsidR="000A7745" w:rsidRPr="00C9465D">
        <w:rPr>
          <w:bCs/>
          <w:lang w:val="en-US"/>
        </w:rPr>
        <w:t>,</w:t>
      </w:r>
      <w:r w:rsidRPr="00C9465D">
        <w:rPr>
          <w:bCs/>
          <w:lang w:val="en-US"/>
        </w:rPr>
        <w:t xml:space="preserve"> the Court’s case law has had recourse, in order to support what it has decided in recent years in this regard, to treaties </w:t>
      </w:r>
      <w:r w:rsidR="001B578B" w:rsidRPr="00C9465D">
        <w:rPr>
          <w:bCs/>
          <w:lang w:val="en-US"/>
        </w:rPr>
        <w:t xml:space="preserve">that are </w:t>
      </w:r>
      <w:r w:rsidRPr="00C9465D">
        <w:rPr>
          <w:bCs/>
          <w:lang w:val="en-US"/>
        </w:rPr>
        <w:t xml:space="preserve">not only of a universal scope, but also do not establish the possibility of resorting to the Court or any other international court based on eventual violations </w:t>
      </w:r>
      <w:r w:rsidR="00AC1354" w:rsidRPr="00C9465D">
        <w:rPr>
          <w:lang w:val="en-US"/>
        </w:rPr>
        <w:t>of the right</w:t>
      </w:r>
      <w:r w:rsidR="00260D95" w:rsidRPr="00C9465D">
        <w:rPr>
          <w:lang w:val="en-US"/>
        </w:rPr>
        <w:t xml:space="preserve"> to health</w:t>
      </w:r>
      <w:r w:rsidR="000A7745" w:rsidRPr="00C9465D">
        <w:rPr>
          <w:lang w:val="en-US"/>
        </w:rPr>
        <w:t xml:space="preserve">. </w:t>
      </w:r>
    </w:p>
    <w:p w14:paraId="4F38C036" w14:textId="77777777" w:rsidR="000A7745" w:rsidRPr="00C9465D" w:rsidRDefault="000A7745" w:rsidP="00760D70">
      <w:pPr>
        <w:pStyle w:val="ListParagraph"/>
        <w:spacing w:line="240" w:lineRule="auto"/>
        <w:rPr>
          <w:bCs/>
          <w:lang w:val="en-US"/>
        </w:rPr>
      </w:pPr>
    </w:p>
    <w:p w14:paraId="4F32BE1E" w14:textId="7E24952C" w:rsidR="000A7745" w:rsidRPr="00C9465D" w:rsidRDefault="001B578B" w:rsidP="00F45280">
      <w:pPr>
        <w:pStyle w:val="ListParagraph"/>
        <w:numPr>
          <w:ilvl w:val="0"/>
          <w:numId w:val="18"/>
        </w:numPr>
        <w:spacing w:after="160" w:line="240" w:lineRule="auto"/>
        <w:ind w:left="0" w:right="48" w:firstLine="0"/>
        <w:rPr>
          <w:lang w:val="en-US"/>
        </w:rPr>
      </w:pPr>
      <w:r w:rsidRPr="00C9465D">
        <w:rPr>
          <w:bCs/>
          <w:lang w:val="en-US"/>
        </w:rPr>
        <w:t>Moreover</w:t>
      </w:r>
      <w:r w:rsidR="001F3977" w:rsidRPr="00C9465D">
        <w:rPr>
          <w:bCs/>
          <w:lang w:val="en-US"/>
        </w:rPr>
        <w:t>, t</w:t>
      </w:r>
      <w:r w:rsidR="00F45280" w:rsidRPr="00C9465D">
        <w:rPr>
          <w:bCs/>
          <w:lang w:val="en-US"/>
        </w:rPr>
        <w:t xml:space="preserve">he Court’s case law does not </w:t>
      </w:r>
      <w:r w:rsidR="001F3977" w:rsidRPr="00C9465D">
        <w:rPr>
          <w:bCs/>
          <w:lang w:val="en-US"/>
        </w:rPr>
        <w:t xml:space="preserve">have recourse </w:t>
      </w:r>
      <w:r w:rsidR="00F45280" w:rsidRPr="00C9465D">
        <w:rPr>
          <w:bCs/>
          <w:lang w:val="en-US"/>
        </w:rPr>
        <w:t>to other autonomous sources of international law</w:t>
      </w:r>
      <w:r w:rsidRPr="00C9465D">
        <w:rPr>
          <w:bCs/>
          <w:lang w:val="en-US"/>
        </w:rPr>
        <w:t xml:space="preserve"> in order to support its actual position</w:t>
      </w:r>
      <w:r w:rsidR="00F45280" w:rsidRPr="00C9465D">
        <w:rPr>
          <w:bCs/>
          <w:lang w:val="en-US"/>
        </w:rPr>
        <w:t xml:space="preserve">; </w:t>
      </w:r>
      <w:r w:rsidRPr="00C9465D">
        <w:rPr>
          <w:bCs/>
          <w:lang w:val="en-US"/>
        </w:rPr>
        <w:t>that is</w:t>
      </w:r>
      <w:r w:rsidR="00F45280" w:rsidRPr="00C9465D">
        <w:rPr>
          <w:bCs/>
          <w:lang w:val="en-US"/>
        </w:rPr>
        <w:t xml:space="preserve">, those that create rights, such as </w:t>
      </w:r>
      <w:r w:rsidR="00F45280" w:rsidRPr="00C9465D">
        <w:rPr>
          <w:rFonts w:eastAsiaTheme="minorEastAsia"/>
          <w:lang w:val="en-US"/>
        </w:rPr>
        <w:t>custom, general principle of law or unilateral legal act, or to</w:t>
      </w:r>
      <w:r w:rsidR="001F3977" w:rsidRPr="00C9465D">
        <w:rPr>
          <w:rFonts w:eastAsiaTheme="minorEastAsia"/>
          <w:lang w:val="en-US"/>
        </w:rPr>
        <w:t xml:space="preserve"> subsidiary</w:t>
      </w:r>
      <w:r w:rsidR="00F45280" w:rsidRPr="00C9465D">
        <w:rPr>
          <w:rFonts w:eastAsiaTheme="minorEastAsia"/>
          <w:lang w:val="en-US"/>
        </w:rPr>
        <w:t xml:space="preserve"> sources of international law; </w:t>
      </w:r>
      <w:r w:rsidRPr="00C9465D">
        <w:rPr>
          <w:rFonts w:eastAsiaTheme="minorEastAsia"/>
          <w:lang w:val="en-US"/>
        </w:rPr>
        <w:t>in other words</w:t>
      </w:r>
      <w:r w:rsidR="00F45280" w:rsidRPr="00C9465D">
        <w:rPr>
          <w:rFonts w:eastAsiaTheme="minorEastAsia"/>
          <w:lang w:val="en-US"/>
        </w:rPr>
        <w:t xml:space="preserve">, those that help determine </w:t>
      </w:r>
      <w:r w:rsidR="001F3977" w:rsidRPr="00C9465D">
        <w:rPr>
          <w:rFonts w:eastAsiaTheme="minorEastAsia"/>
          <w:lang w:val="en-US"/>
        </w:rPr>
        <w:t xml:space="preserve">the applicable rules of law, such as jurisprudence, legal doctrine or the </w:t>
      </w:r>
      <w:r w:rsidR="00DD20F3" w:rsidRPr="00C9465D">
        <w:rPr>
          <w:rFonts w:eastAsiaTheme="minorEastAsia"/>
          <w:lang w:val="en-US"/>
        </w:rPr>
        <w:t>declarations of law by</w:t>
      </w:r>
      <w:r w:rsidR="001F3977" w:rsidRPr="00C9465D">
        <w:rPr>
          <w:rFonts w:eastAsiaTheme="minorEastAsia"/>
          <w:lang w:val="en-US"/>
        </w:rPr>
        <w:t xml:space="preserve"> international organizations</w:t>
      </w:r>
      <w:r w:rsidR="001F3977" w:rsidRPr="00C9465D">
        <w:rPr>
          <w:lang w:val="en-US"/>
        </w:rPr>
        <w:t>.</w:t>
      </w:r>
      <w:r w:rsidR="000A7745" w:rsidRPr="00C9465D">
        <w:rPr>
          <w:vertAlign w:val="superscript"/>
          <w:lang w:val="en-US"/>
        </w:rPr>
        <w:footnoteReference w:id="420"/>
      </w:r>
      <w:r w:rsidR="000A7745" w:rsidRPr="00C9465D">
        <w:rPr>
          <w:lang w:val="en-US"/>
        </w:rPr>
        <w:t xml:space="preserve"> </w:t>
      </w:r>
      <w:r w:rsidR="001F3977" w:rsidRPr="00C9465D">
        <w:rPr>
          <w:lang w:val="en-US"/>
        </w:rPr>
        <w:t xml:space="preserve">It merely refers to either its own case law, which is useful basically to demonstrate coherence in its actions, but not necessarily to determine the applicable legal rules, or to decisions of international organisations that are non-binding for the States – in other words, mere recommendations and that, also, do not interpret </w:t>
      </w:r>
      <w:r w:rsidR="00193CBB" w:rsidRPr="00C9465D">
        <w:rPr>
          <w:lang w:val="en-US"/>
        </w:rPr>
        <w:t>the Convention</w:t>
      </w:r>
      <w:r w:rsidR="000A7745" w:rsidRPr="00C9465D">
        <w:rPr>
          <w:lang w:val="en-US"/>
        </w:rPr>
        <w:t xml:space="preserve"> </w:t>
      </w:r>
      <w:r w:rsidR="001F3977" w:rsidRPr="00C9465D">
        <w:rPr>
          <w:lang w:val="en-US"/>
        </w:rPr>
        <w:t xml:space="preserve">nor is that their purpose. </w:t>
      </w:r>
    </w:p>
    <w:p w14:paraId="68B47151" w14:textId="77777777" w:rsidR="000A7745" w:rsidRPr="00C9465D" w:rsidRDefault="000A7745" w:rsidP="00760D70">
      <w:pPr>
        <w:pStyle w:val="ListParagraph"/>
        <w:spacing w:line="240" w:lineRule="auto"/>
        <w:rPr>
          <w:bCs/>
          <w:lang w:val="en-US"/>
        </w:rPr>
      </w:pPr>
    </w:p>
    <w:p w14:paraId="6D6C2A42" w14:textId="3AD52A51" w:rsidR="000A7745" w:rsidRPr="00C9465D" w:rsidRDefault="001F3977" w:rsidP="00D47F8D">
      <w:pPr>
        <w:pStyle w:val="ListParagraph"/>
        <w:numPr>
          <w:ilvl w:val="0"/>
          <w:numId w:val="18"/>
        </w:numPr>
        <w:spacing w:after="160" w:line="240" w:lineRule="auto"/>
        <w:ind w:left="0" w:right="48" w:firstLine="0"/>
        <w:rPr>
          <w:lang w:val="en-US"/>
        </w:rPr>
      </w:pPr>
      <w:r w:rsidRPr="00C9465D">
        <w:rPr>
          <w:bCs/>
          <w:lang w:val="en-US"/>
        </w:rPr>
        <w:t>And, these instruments</w:t>
      </w:r>
      <w:r w:rsidR="002A392B" w:rsidRPr="00C9465D">
        <w:rPr>
          <w:bCs/>
          <w:lang w:val="en-US"/>
        </w:rPr>
        <w:t>,</w:t>
      </w:r>
      <w:r w:rsidRPr="00C9465D">
        <w:rPr>
          <w:bCs/>
          <w:lang w:val="en-US"/>
        </w:rPr>
        <w:t xml:space="preserve"> rather than interpreting a provision of a convention and, in particular, of the </w:t>
      </w:r>
      <w:r w:rsidR="00193CBB" w:rsidRPr="00C9465D">
        <w:rPr>
          <w:bCs/>
          <w:lang w:val="en-US"/>
        </w:rPr>
        <w:t>Convention</w:t>
      </w:r>
      <w:r w:rsidR="000A7745" w:rsidRPr="00C9465D">
        <w:rPr>
          <w:bCs/>
          <w:lang w:val="en-US"/>
        </w:rPr>
        <w:t xml:space="preserve">, </w:t>
      </w:r>
      <w:r w:rsidRPr="00C9465D">
        <w:rPr>
          <w:bCs/>
          <w:lang w:val="en-US"/>
        </w:rPr>
        <w:t>constitute the expression of legitimate hopes for change or the development of international law in the matter to which each one refers. Furthermore, it should not be forgotten that they do not even emanate from an international organ</w:t>
      </w:r>
      <w:r w:rsidR="003A45E4" w:rsidRPr="00C9465D">
        <w:rPr>
          <w:bCs/>
          <w:lang w:val="en-US"/>
        </w:rPr>
        <w:t xml:space="preserve"> or an official </w:t>
      </w:r>
      <w:r w:rsidRPr="00C9465D">
        <w:rPr>
          <w:bCs/>
          <w:lang w:val="en-US"/>
        </w:rPr>
        <w:t>of the inter-American system of human rights.</w:t>
      </w:r>
    </w:p>
    <w:p w14:paraId="699E0D27" w14:textId="77777777" w:rsidR="000A7745" w:rsidRPr="00C9465D" w:rsidRDefault="000A7745" w:rsidP="00760D70">
      <w:pPr>
        <w:pStyle w:val="ListParagraph"/>
        <w:spacing w:line="240" w:lineRule="auto"/>
        <w:rPr>
          <w:rFonts w:eastAsia="Batang"/>
          <w:bCs/>
          <w:lang w:val="en-US"/>
        </w:rPr>
      </w:pPr>
    </w:p>
    <w:p w14:paraId="0DEB24FF" w14:textId="0DA2DCB1" w:rsidR="002A392B" w:rsidRPr="00C9465D" w:rsidRDefault="002A392B" w:rsidP="00D47F8D">
      <w:pPr>
        <w:pStyle w:val="ListParagraph"/>
        <w:numPr>
          <w:ilvl w:val="0"/>
          <w:numId w:val="18"/>
        </w:numPr>
        <w:spacing w:after="160" w:line="240" w:lineRule="auto"/>
        <w:ind w:left="0" w:right="48" w:firstLine="0"/>
        <w:rPr>
          <w:lang w:val="en-US"/>
        </w:rPr>
      </w:pPr>
      <w:r w:rsidRPr="00C9465D">
        <w:rPr>
          <w:rFonts w:eastAsia="Batang"/>
          <w:bCs/>
          <w:lang w:val="en-US"/>
        </w:rPr>
        <w:lastRenderedPageBreak/>
        <w:t xml:space="preserve">On several occasions, the said case law has alluded to the Universal Declaration of Human Rights and </w:t>
      </w:r>
      <w:r w:rsidR="00260D95" w:rsidRPr="00C9465D">
        <w:rPr>
          <w:lang w:val="en-US"/>
        </w:rPr>
        <w:t>the American Declaration</w:t>
      </w:r>
      <w:r w:rsidR="000A7745" w:rsidRPr="00C9465D">
        <w:rPr>
          <w:rFonts w:eastAsia="Batang"/>
          <w:shd w:val="clear" w:color="auto" w:fill="FFFFFF"/>
          <w:lang w:val="en-US"/>
        </w:rPr>
        <w:t xml:space="preserve"> </w:t>
      </w:r>
      <w:r w:rsidRPr="00C9465D">
        <w:rPr>
          <w:rFonts w:eastAsia="Batang"/>
          <w:shd w:val="clear" w:color="auto" w:fill="FFFFFF"/>
          <w:lang w:val="en-US"/>
        </w:rPr>
        <w:t xml:space="preserve">of the Rights and Duties of Man </w:t>
      </w:r>
      <w:r w:rsidR="003A45E4" w:rsidRPr="00C9465D">
        <w:rPr>
          <w:rFonts w:eastAsia="Batang"/>
          <w:shd w:val="clear" w:color="auto" w:fill="FFFFFF"/>
          <w:lang w:val="en-US"/>
        </w:rPr>
        <w:t xml:space="preserve">and, </w:t>
      </w:r>
      <w:r w:rsidRPr="00C9465D">
        <w:rPr>
          <w:rFonts w:eastAsia="Batang"/>
          <w:shd w:val="clear" w:color="auto" w:fill="FFFFFF"/>
          <w:lang w:val="en-US"/>
        </w:rPr>
        <w:t>although it is true that they are declarations of law because they establish general principles of law applicable to the matter</w:t>
      </w:r>
      <w:r w:rsidR="003A45E4" w:rsidRPr="00C9465D">
        <w:rPr>
          <w:rFonts w:eastAsia="Batang"/>
          <w:shd w:val="clear" w:color="auto" w:fill="FFFFFF"/>
          <w:lang w:val="en-US"/>
        </w:rPr>
        <w:t>,</w:t>
      </w:r>
      <w:r w:rsidRPr="00C9465D">
        <w:rPr>
          <w:rFonts w:eastAsia="Batang"/>
          <w:shd w:val="clear" w:color="auto" w:fill="FFFFFF"/>
          <w:lang w:val="en-US"/>
        </w:rPr>
        <w:t xml:space="preserve"> it is also true that they do not establish or refer to any type of mechanism to control respect for those principles. It should be added that the American Declaration, since it preceded the Convention, does not interpret it; rather the latter was developed owing to what was proclaimed in the former, precisely to establish mechanisms of control.</w:t>
      </w:r>
    </w:p>
    <w:p w14:paraId="07A73562" w14:textId="77777777" w:rsidR="000A7745" w:rsidRPr="00C9465D" w:rsidRDefault="000A7745" w:rsidP="00760D70">
      <w:pPr>
        <w:pStyle w:val="ListParagraph"/>
        <w:spacing w:line="240" w:lineRule="auto"/>
        <w:ind w:left="-567" w:right="48"/>
        <w:rPr>
          <w:lang w:val="en-US"/>
        </w:rPr>
      </w:pPr>
    </w:p>
    <w:p w14:paraId="34B7B0AB" w14:textId="245F6AB9" w:rsidR="000A7745" w:rsidRPr="00C9465D" w:rsidRDefault="002A392B" w:rsidP="002A392B">
      <w:pPr>
        <w:numPr>
          <w:ilvl w:val="0"/>
          <w:numId w:val="18"/>
        </w:numPr>
        <w:spacing w:line="240" w:lineRule="auto"/>
        <w:ind w:left="0" w:right="48" w:firstLine="0"/>
        <w:contextualSpacing/>
        <w:jc w:val="both"/>
        <w:rPr>
          <w:rFonts w:ascii="Verdana" w:hAnsi="Verdana"/>
          <w:sz w:val="20"/>
          <w:szCs w:val="20"/>
          <w:lang w:val="en-US"/>
        </w:rPr>
      </w:pPr>
      <w:r w:rsidRPr="00C9465D">
        <w:rPr>
          <w:rFonts w:ascii="Verdana" w:hAnsi="Verdana"/>
          <w:sz w:val="20"/>
          <w:szCs w:val="20"/>
          <w:lang w:val="en-US"/>
        </w:rPr>
        <w:t xml:space="preserve">In addition, in order to support its actual position, the Court’s case law has referred to </w:t>
      </w:r>
      <w:r w:rsidR="00193CBB" w:rsidRPr="00C9465D">
        <w:rPr>
          <w:rFonts w:ascii="Verdana" w:hAnsi="Verdana"/>
          <w:sz w:val="20"/>
          <w:szCs w:val="20"/>
          <w:lang w:val="en-US"/>
        </w:rPr>
        <w:t>Article</w:t>
      </w:r>
      <w:r w:rsidR="000A7745" w:rsidRPr="00C9465D">
        <w:rPr>
          <w:rFonts w:ascii="Verdana" w:hAnsi="Verdana"/>
          <w:sz w:val="20"/>
          <w:szCs w:val="20"/>
          <w:lang w:val="en-US"/>
        </w:rPr>
        <w:t xml:space="preserve"> 29</w:t>
      </w:r>
      <w:r w:rsidR="00193CBB" w:rsidRPr="00C9465D">
        <w:rPr>
          <w:rFonts w:ascii="Verdana" w:hAnsi="Verdana"/>
          <w:sz w:val="20"/>
          <w:szCs w:val="20"/>
          <w:lang w:val="en-US"/>
        </w:rPr>
        <w:t xml:space="preserve"> of the Convention</w:t>
      </w:r>
      <w:r w:rsidRPr="00C9465D">
        <w:rPr>
          <w:rFonts w:ascii="Verdana" w:hAnsi="Verdana"/>
          <w:sz w:val="20"/>
          <w:szCs w:val="20"/>
          <w:lang w:val="en-US"/>
        </w:rPr>
        <w:t>,</w:t>
      </w:r>
      <w:r w:rsidR="000A7745" w:rsidRPr="00C9465D">
        <w:rPr>
          <w:rStyle w:val="FootnoteReference"/>
          <w:rFonts w:ascii="Verdana" w:hAnsi="Verdana"/>
          <w:sz w:val="20"/>
          <w:szCs w:val="20"/>
          <w:lang w:val="en-US"/>
        </w:rPr>
        <w:footnoteReference w:id="421"/>
      </w:r>
      <w:r w:rsidRPr="00C9465D">
        <w:rPr>
          <w:rFonts w:ascii="Verdana" w:hAnsi="Verdana"/>
          <w:sz w:val="20"/>
          <w:szCs w:val="20"/>
          <w:lang w:val="en-US"/>
        </w:rPr>
        <w:t xml:space="preserve"> known as the </w:t>
      </w:r>
      <w:r w:rsidR="000A7745" w:rsidRPr="00C9465D">
        <w:rPr>
          <w:rFonts w:ascii="Verdana" w:hAnsi="Verdana"/>
          <w:sz w:val="20"/>
          <w:szCs w:val="20"/>
          <w:lang w:val="en-US"/>
        </w:rPr>
        <w:t>“</w:t>
      </w:r>
      <w:r w:rsidR="000A7745" w:rsidRPr="00C9465D">
        <w:rPr>
          <w:rFonts w:ascii="Verdana" w:hAnsi="Verdana"/>
          <w:i/>
          <w:iCs/>
          <w:sz w:val="20"/>
          <w:szCs w:val="20"/>
          <w:lang w:val="en-US"/>
        </w:rPr>
        <w:t>pro personae”</w:t>
      </w:r>
      <w:r w:rsidRPr="00C9465D">
        <w:rPr>
          <w:rFonts w:ascii="Verdana" w:hAnsi="Verdana"/>
          <w:sz w:val="20"/>
          <w:szCs w:val="20"/>
          <w:lang w:val="en-US"/>
        </w:rPr>
        <w:t xml:space="preserve"> principle.</w:t>
      </w:r>
      <w:r w:rsidR="000A7745" w:rsidRPr="00C9465D">
        <w:rPr>
          <w:rFonts w:ascii="Verdana" w:hAnsi="Verdana"/>
          <w:sz w:val="20"/>
          <w:szCs w:val="20"/>
          <w:lang w:val="en-US"/>
        </w:rPr>
        <w:t xml:space="preserve"> </w:t>
      </w:r>
      <w:r w:rsidRPr="00C9465D">
        <w:rPr>
          <w:rFonts w:ascii="Verdana" w:hAnsi="Verdana"/>
          <w:sz w:val="20"/>
          <w:szCs w:val="20"/>
          <w:lang w:val="en-US"/>
        </w:rPr>
        <w:t xml:space="preserve">However, </w:t>
      </w:r>
      <w:r w:rsidR="003A45E4" w:rsidRPr="00C9465D">
        <w:rPr>
          <w:rFonts w:ascii="Verdana" w:hAnsi="Verdana"/>
          <w:sz w:val="20"/>
          <w:szCs w:val="20"/>
          <w:lang w:val="en-US"/>
        </w:rPr>
        <w:t>the Court</w:t>
      </w:r>
      <w:r w:rsidRPr="00C9465D">
        <w:rPr>
          <w:rFonts w:ascii="Verdana" w:hAnsi="Verdana"/>
          <w:sz w:val="20"/>
          <w:szCs w:val="20"/>
          <w:lang w:val="en-US"/>
        </w:rPr>
        <w:t xml:space="preserve"> does not take into account that this article relates to the interpretation of the rights recognized in this instrument and not to the mechanisms of control established therein. It also appears to forget that the said article relates to the interpretation of the Convention, mandating that, </w:t>
      </w:r>
      <w:r w:rsidR="00ED7D93" w:rsidRPr="00C9465D">
        <w:rPr>
          <w:rFonts w:ascii="Verdana" w:hAnsi="Verdana"/>
          <w:sz w:val="20"/>
          <w:szCs w:val="20"/>
          <w:lang w:val="en-US"/>
        </w:rPr>
        <w:t xml:space="preserve">in this regard, </w:t>
      </w:r>
      <w:r w:rsidRPr="00C9465D">
        <w:rPr>
          <w:rFonts w:ascii="Verdana" w:hAnsi="Verdana"/>
          <w:sz w:val="20"/>
          <w:szCs w:val="20"/>
          <w:lang w:val="en-US"/>
        </w:rPr>
        <w:t xml:space="preserve">the meaning and scope </w:t>
      </w:r>
      <w:r w:rsidR="00ED7D93" w:rsidRPr="00C9465D">
        <w:rPr>
          <w:rFonts w:ascii="Verdana" w:hAnsi="Verdana"/>
          <w:sz w:val="20"/>
          <w:szCs w:val="20"/>
          <w:lang w:val="en-US"/>
        </w:rPr>
        <w:t>construed</w:t>
      </w:r>
      <w:r w:rsidRPr="00C9465D">
        <w:rPr>
          <w:rFonts w:ascii="Verdana" w:hAnsi="Verdana"/>
          <w:sz w:val="20"/>
          <w:szCs w:val="20"/>
          <w:lang w:val="en-US"/>
        </w:rPr>
        <w:t xml:space="preserve"> cannot signify a limitation of the human rights in question</w:t>
      </w:r>
      <w:r w:rsidR="00ED7D93" w:rsidRPr="00C9465D">
        <w:rPr>
          <w:rFonts w:ascii="Verdana" w:hAnsi="Verdana"/>
          <w:sz w:val="20"/>
          <w:szCs w:val="20"/>
          <w:lang w:val="en-US"/>
        </w:rPr>
        <w:t xml:space="preserve">, as recognized by the Convention or by the other legal instruments it mentions. Consequently, the purpose of the said article is not to authorize the Court to rule on the judicialization of presumed human rights violations, but rather it establishes a condition for the interpretation </w:t>
      </w:r>
      <w:r w:rsidR="00ED7D93" w:rsidRPr="00C9465D">
        <w:rPr>
          <w:rFonts w:ascii="Verdana" w:hAnsi="Verdana"/>
          <w:bCs/>
          <w:sz w:val="20"/>
          <w:szCs w:val="20"/>
          <w:lang w:val="en-US"/>
        </w:rPr>
        <w:t>of the Convention. Furthermore, it does not establish the Court’s authority to interpret other international legal instruments or treaties, or only to the extent necessary to determine whether they establish a broad</w:t>
      </w:r>
      <w:r w:rsidR="003A45E4" w:rsidRPr="00C9465D">
        <w:rPr>
          <w:rFonts w:ascii="Verdana" w:hAnsi="Verdana"/>
          <w:bCs/>
          <w:sz w:val="20"/>
          <w:szCs w:val="20"/>
          <w:lang w:val="en-US"/>
        </w:rPr>
        <w:t>er</w:t>
      </w:r>
      <w:r w:rsidR="00ED7D93" w:rsidRPr="00C9465D">
        <w:rPr>
          <w:rFonts w:ascii="Verdana" w:hAnsi="Verdana"/>
          <w:bCs/>
          <w:sz w:val="20"/>
          <w:szCs w:val="20"/>
          <w:lang w:val="en-US"/>
        </w:rPr>
        <w:t xml:space="preserve"> meaning and scope than the one that can be determined from the human rights ensured in</w:t>
      </w:r>
      <w:r w:rsidR="00ED7D93" w:rsidRPr="00C9465D">
        <w:rPr>
          <w:rFonts w:ascii="Verdana" w:hAnsi="Verdana"/>
          <w:sz w:val="20"/>
          <w:szCs w:val="20"/>
          <w:lang w:val="en-US"/>
        </w:rPr>
        <w:t xml:space="preserve"> </w:t>
      </w:r>
      <w:r w:rsidR="00193CBB" w:rsidRPr="00C9465D">
        <w:rPr>
          <w:rFonts w:ascii="Verdana" w:hAnsi="Verdana"/>
          <w:bCs/>
          <w:sz w:val="20"/>
          <w:szCs w:val="20"/>
          <w:lang w:val="en-US"/>
        </w:rPr>
        <w:t>the Convention</w:t>
      </w:r>
      <w:r w:rsidR="000A7745" w:rsidRPr="00C9465D">
        <w:rPr>
          <w:rFonts w:ascii="Verdana" w:hAnsi="Verdana"/>
          <w:bCs/>
          <w:sz w:val="20"/>
          <w:szCs w:val="20"/>
          <w:lang w:val="en-US"/>
        </w:rPr>
        <w:t>.</w:t>
      </w:r>
    </w:p>
    <w:p w14:paraId="06014F37" w14:textId="77777777" w:rsidR="000A7745" w:rsidRPr="00C9465D" w:rsidRDefault="000A7745" w:rsidP="00760D70">
      <w:pPr>
        <w:spacing w:line="240" w:lineRule="auto"/>
        <w:ind w:right="48"/>
        <w:contextualSpacing/>
        <w:rPr>
          <w:rFonts w:ascii="Verdana" w:hAnsi="Verdana"/>
          <w:sz w:val="20"/>
          <w:szCs w:val="20"/>
          <w:lang w:val="en-US"/>
        </w:rPr>
      </w:pPr>
    </w:p>
    <w:p w14:paraId="4E093D8D" w14:textId="0BC954DD" w:rsidR="00D649ED" w:rsidRPr="00C9465D" w:rsidRDefault="00ED7D93" w:rsidP="00ED7D93">
      <w:pPr>
        <w:numPr>
          <w:ilvl w:val="0"/>
          <w:numId w:val="18"/>
        </w:numPr>
        <w:spacing w:line="240" w:lineRule="auto"/>
        <w:ind w:left="0" w:right="48" w:firstLine="0"/>
        <w:contextualSpacing/>
        <w:jc w:val="both"/>
        <w:rPr>
          <w:rFonts w:ascii="Verdana" w:hAnsi="Verdana"/>
          <w:sz w:val="20"/>
          <w:szCs w:val="20"/>
          <w:lang w:val="en-US"/>
        </w:rPr>
      </w:pPr>
      <w:r w:rsidRPr="00C9465D">
        <w:rPr>
          <w:rFonts w:ascii="Verdana" w:hAnsi="Verdana"/>
          <w:bCs/>
          <w:sz w:val="20"/>
          <w:szCs w:val="20"/>
          <w:lang w:val="en-US"/>
        </w:rPr>
        <w:t>It also appears necessary to make a few brief comments on the phrases frequently used in the Court’s case law as regards that “human rights treaties are living instruments, the interpretation of which must evolve with the times and current circumstances.”</w:t>
      </w:r>
      <w:r w:rsidR="00D649ED" w:rsidRPr="00C9465D">
        <w:rPr>
          <w:rFonts w:ascii="Verdana" w:hAnsi="Verdana"/>
          <w:bCs/>
          <w:sz w:val="20"/>
          <w:szCs w:val="20"/>
          <w:lang w:val="en-US"/>
        </w:rPr>
        <w:t xml:space="preserve"> The first comment is that this is </w:t>
      </w:r>
      <w:r w:rsidR="00D649ED" w:rsidRPr="00C9465D">
        <w:rPr>
          <w:rFonts w:ascii="Verdana" w:hAnsi="Verdana"/>
          <w:sz w:val="20"/>
          <w:szCs w:val="20"/>
          <w:lang w:val="en-US"/>
        </w:rPr>
        <w:t xml:space="preserve">established in </w:t>
      </w:r>
      <w:r w:rsidR="00193CBB" w:rsidRPr="00C9465D">
        <w:rPr>
          <w:rFonts w:ascii="Verdana" w:hAnsi="Verdana"/>
          <w:sz w:val="20"/>
          <w:szCs w:val="20"/>
          <w:lang w:val="en-US"/>
        </w:rPr>
        <w:t>Article</w:t>
      </w:r>
      <w:r w:rsidR="000A7745" w:rsidRPr="00C9465D">
        <w:rPr>
          <w:rFonts w:ascii="Verdana" w:hAnsi="Verdana"/>
          <w:sz w:val="20"/>
          <w:szCs w:val="20"/>
          <w:lang w:val="en-US"/>
        </w:rPr>
        <w:t xml:space="preserve"> 31</w:t>
      </w:r>
      <w:r w:rsidR="00D649ED" w:rsidRPr="00C9465D">
        <w:rPr>
          <w:rFonts w:ascii="Verdana" w:hAnsi="Verdana"/>
          <w:sz w:val="20"/>
          <w:szCs w:val="20"/>
          <w:lang w:val="en-US"/>
        </w:rPr>
        <w:t>(</w:t>
      </w:r>
      <w:r w:rsidR="000A7745" w:rsidRPr="00C9465D">
        <w:rPr>
          <w:rFonts w:ascii="Verdana" w:hAnsi="Verdana"/>
          <w:sz w:val="20"/>
          <w:szCs w:val="20"/>
          <w:lang w:val="en-US"/>
        </w:rPr>
        <w:t>3</w:t>
      </w:r>
      <w:r w:rsidR="00D649ED" w:rsidRPr="00C9465D">
        <w:rPr>
          <w:rFonts w:ascii="Verdana" w:hAnsi="Verdana"/>
          <w:sz w:val="20"/>
          <w:szCs w:val="20"/>
          <w:lang w:val="en-US"/>
        </w:rPr>
        <w:t>)(</w:t>
      </w:r>
      <w:r w:rsidR="000A7745" w:rsidRPr="00C9465D">
        <w:rPr>
          <w:rFonts w:ascii="Verdana" w:hAnsi="Verdana"/>
          <w:sz w:val="20"/>
          <w:szCs w:val="20"/>
          <w:lang w:val="en-US"/>
        </w:rPr>
        <w:t>a)</w:t>
      </w:r>
      <w:r w:rsidR="00193CBB" w:rsidRPr="00C9465D">
        <w:rPr>
          <w:rFonts w:ascii="Verdana" w:hAnsi="Verdana"/>
          <w:sz w:val="20"/>
          <w:szCs w:val="20"/>
          <w:lang w:val="en-US"/>
        </w:rPr>
        <w:t xml:space="preserve"> and </w:t>
      </w:r>
      <w:r w:rsidR="00D649ED" w:rsidRPr="00C9465D">
        <w:rPr>
          <w:rFonts w:ascii="Verdana" w:hAnsi="Verdana"/>
          <w:sz w:val="20"/>
          <w:szCs w:val="20"/>
          <w:lang w:val="en-US"/>
        </w:rPr>
        <w:t>(</w:t>
      </w:r>
      <w:r w:rsidR="000A7745" w:rsidRPr="00C9465D">
        <w:rPr>
          <w:rFonts w:ascii="Verdana" w:hAnsi="Verdana"/>
          <w:sz w:val="20"/>
          <w:szCs w:val="20"/>
          <w:lang w:val="en-US"/>
        </w:rPr>
        <w:t>b)</w:t>
      </w:r>
      <w:r w:rsidR="00193CBB" w:rsidRPr="00C9465D">
        <w:rPr>
          <w:rFonts w:ascii="Verdana" w:hAnsi="Verdana"/>
          <w:sz w:val="20"/>
          <w:szCs w:val="20"/>
          <w:lang w:val="en-US"/>
        </w:rPr>
        <w:t xml:space="preserve"> of the </w:t>
      </w:r>
      <w:r w:rsidR="00F45280" w:rsidRPr="00C9465D">
        <w:rPr>
          <w:rFonts w:ascii="Verdana" w:hAnsi="Verdana"/>
          <w:sz w:val="20"/>
          <w:szCs w:val="20"/>
          <w:lang w:val="en-US"/>
        </w:rPr>
        <w:t>Vienna Convention</w:t>
      </w:r>
      <w:r w:rsidR="000A7745" w:rsidRPr="00C9465D">
        <w:rPr>
          <w:rFonts w:ascii="Verdana" w:hAnsi="Verdana"/>
          <w:sz w:val="20"/>
          <w:szCs w:val="20"/>
          <w:lang w:val="en-US"/>
        </w:rPr>
        <w:t xml:space="preserve">, </w:t>
      </w:r>
      <w:r w:rsidR="00D649ED" w:rsidRPr="00C9465D">
        <w:rPr>
          <w:rFonts w:ascii="Verdana" w:hAnsi="Verdana"/>
          <w:sz w:val="20"/>
          <w:szCs w:val="20"/>
          <w:lang w:val="en-US"/>
        </w:rPr>
        <w:t xml:space="preserve">when it </w:t>
      </w:r>
      <w:r w:rsidR="003A45E4" w:rsidRPr="00C9465D">
        <w:rPr>
          <w:rFonts w:ascii="Verdana" w:hAnsi="Verdana"/>
          <w:sz w:val="20"/>
          <w:szCs w:val="20"/>
          <w:lang w:val="en-US"/>
        </w:rPr>
        <w:t>stipulates</w:t>
      </w:r>
      <w:r w:rsidR="00D649ED" w:rsidRPr="00C9465D">
        <w:rPr>
          <w:rFonts w:ascii="Verdana" w:hAnsi="Verdana"/>
          <w:sz w:val="20"/>
          <w:szCs w:val="20"/>
          <w:lang w:val="en-US"/>
        </w:rPr>
        <w:t xml:space="preserve"> that, together with the context, there shall be taken into account any subsequent agreements or practices of the States regarding the interpretation of the treaty in question. Therefore, the evolutive factor should relate more to the applicable law than to the case law issued on it and, above all, should consist </w:t>
      </w:r>
      <w:r w:rsidR="003A45E4" w:rsidRPr="00C9465D">
        <w:rPr>
          <w:rFonts w:ascii="Verdana" w:hAnsi="Verdana"/>
          <w:sz w:val="20"/>
          <w:szCs w:val="20"/>
          <w:lang w:val="en-US"/>
        </w:rPr>
        <w:t>in</w:t>
      </w:r>
      <w:r w:rsidR="00D649ED" w:rsidRPr="00C9465D">
        <w:rPr>
          <w:rFonts w:ascii="Verdana" w:hAnsi="Verdana"/>
          <w:sz w:val="20"/>
          <w:szCs w:val="20"/>
          <w:lang w:val="en-US"/>
        </w:rPr>
        <w:t xml:space="preserve"> how the States Parties to the Convention have interpreted the Convention, taking into account other treaties or agreements and practices.</w:t>
      </w:r>
    </w:p>
    <w:p w14:paraId="2C83B20F" w14:textId="6BFEC5D2" w:rsidR="000A7745" w:rsidRPr="00C9465D" w:rsidRDefault="00D649ED" w:rsidP="00D649ED">
      <w:pPr>
        <w:pStyle w:val="ListParagraph"/>
        <w:numPr>
          <w:ilvl w:val="0"/>
          <w:numId w:val="18"/>
        </w:numPr>
        <w:spacing w:line="240" w:lineRule="auto"/>
        <w:ind w:left="0" w:right="48" w:firstLine="0"/>
        <w:rPr>
          <w:lang w:val="en-US"/>
        </w:rPr>
      </w:pPr>
      <w:r w:rsidRPr="00C9465D">
        <w:rPr>
          <w:lang w:val="en-US"/>
        </w:rPr>
        <w:t>The second comment is that, consequently, when making an interpretation it is necessary to recall that a general assertion by non-state entities</w:t>
      </w:r>
      <w:r w:rsidR="007F1674" w:rsidRPr="00C9465D">
        <w:rPr>
          <w:lang w:val="en-US"/>
        </w:rPr>
        <w:t>, at times without any scientific support, is not sufficient to determine the evolution of the times and of current circumstances; rather,</w:t>
      </w:r>
      <w:r w:rsidRPr="00C9465D">
        <w:rPr>
          <w:lang w:val="en-US"/>
        </w:rPr>
        <w:t xml:space="preserve"> this </w:t>
      </w:r>
      <w:r w:rsidR="007F1674" w:rsidRPr="00C9465D">
        <w:rPr>
          <w:lang w:val="en-US"/>
        </w:rPr>
        <w:t>view must be</w:t>
      </w:r>
      <w:r w:rsidRPr="00C9465D">
        <w:rPr>
          <w:lang w:val="en-US"/>
        </w:rPr>
        <w:t xml:space="preserve"> shared by international society and, in the case of the Convention, by inter-American society; both of which, still today, are </w:t>
      </w:r>
      <w:r w:rsidR="007F1674" w:rsidRPr="00C9465D">
        <w:rPr>
          <w:lang w:val="en-US"/>
        </w:rPr>
        <w:t xml:space="preserve">mainly </w:t>
      </w:r>
      <w:r w:rsidRPr="00C9465D">
        <w:rPr>
          <w:lang w:val="en-US"/>
        </w:rPr>
        <w:t>comprised by sovereign States. Otherwise, this would confer on the said private entities the power to determine the said evolution and current circumstances</w:t>
      </w:r>
      <w:r w:rsidR="007F1674" w:rsidRPr="00C9465D">
        <w:rPr>
          <w:lang w:val="en-US"/>
        </w:rPr>
        <w:t xml:space="preserve">, which could not only lead to arbitrary assertions, but also infringe upon citizen participation in international affairs through democratic States. In addition, it would confer on those private institutions a certain intervention in the inter-American normative process that the Convention has reserved to the </w:t>
      </w:r>
      <w:r w:rsidR="00DA115D" w:rsidRPr="00C9465D">
        <w:rPr>
          <w:lang w:val="en-US"/>
        </w:rPr>
        <w:t>States Parties</w:t>
      </w:r>
      <w:r w:rsidR="00193CBB" w:rsidRPr="00C9465D">
        <w:rPr>
          <w:lang w:val="en-US"/>
        </w:rPr>
        <w:t xml:space="preserve"> </w:t>
      </w:r>
      <w:r w:rsidR="007F1674" w:rsidRPr="00C9465D">
        <w:rPr>
          <w:lang w:val="en-US"/>
        </w:rPr>
        <w:t>to</w:t>
      </w:r>
      <w:r w:rsidR="00193CBB" w:rsidRPr="00C9465D">
        <w:rPr>
          <w:lang w:val="en-US"/>
        </w:rPr>
        <w:t xml:space="preserve"> the Convention</w:t>
      </w:r>
      <w:r w:rsidR="000A7745" w:rsidRPr="00C9465D">
        <w:rPr>
          <w:lang w:val="en-US"/>
        </w:rPr>
        <w:t>.</w:t>
      </w:r>
    </w:p>
    <w:p w14:paraId="5352A504" w14:textId="77777777" w:rsidR="000A7745" w:rsidRPr="00C9465D" w:rsidRDefault="000A7745" w:rsidP="00760D70">
      <w:pPr>
        <w:pStyle w:val="ListParagraph"/>
        <w:spacing w:line="240" w:lineRule="auto"/>
        <w:ind w:left="0" w:right="48"/>
        <w:rPr>
          <w:lang w:val="en-US"/>
        </w:rPr>
      </w:pPr>
    </w:p>
    <w:p w14:paraId="56036A66" w14:textId="0A69BBC3" w:rsidR="007F1674" w:rsidRPr="00C9465D" w:rsidRDefault="007F1674" w:rsidP="00D47F8D">
      <w:pPr>
        <w:pStyle w:val="ListParagraph"/>
        <w:numPr>
          <w:ilvl w:val="0"/>
          <w:numId w:val="18"/>
        </w:numPr>
        <w:spacing w:line="240" w:lineRule="auto"/>
        <w:ind w:left="0" w:right="48" w:firstLine="0"/>
        <w:rPr>
          <w:lang w:val="en-US"/>
        </w:rPr>
      </w:pPr>
      <w:r w:rsidRPr="00C9465D">
        <w:rPr>
          <w:rFonts w:eastAsia="Batang"/>
          <w:bCs/>
          <w:lang w:val="en-US"/>
        </w:rPr>
        <w:lastRenderedPageBreak/>
        <w:t xml:space="preserve">In sum, bearing in mind that the aforementioned phrases are cited by the Court’s case law to substantiate its recent position that the Court has competence to examine and decide on eventual violations of the right to health, it can be categorically stated that </w:t>
      </w:r>
      <w:r w:rsidR="00290758" w:rsidRPr="00C9465D">
        <w:rPr>
          <w:rFonts w:eastAsia="Batang"/>
          <w:bCs/>
          <w:lang w:val="en-US"/>
        </w:rPr>
        <w:t>the truth is that, in the best case, those instruments could be considered as recognizing the existence of that right, but not the said competence. Thus, it is irrefutable that none of them, let me repeat, none, indicate or establish that the presumed violations of the said right can be submitted to the Court for it to take a decision on them.</w:t>
      </w:r>
    </w:p>
    <w:p w14:paraId="7B146825" w14:textId="77777777" w:rsidR="000A7745" w:rsidRPr="00C9465D" w:rsidRDefault="000A7745" w:rsidP="00760D70">
      <w:pPr>
        <w:pStyle w:val="ListParagraph"/>
        <w:spacing w:line="240" w:lineRule="auto"/>
        <w:ind w:left="0" w:right="48"/>
        <w:rPr>
          <w:bCs/>
          <w:lang w:val="en-US"/>
        </w:rPr>
      </w:pPr>
    </w:p>
    <w:p w14:paraId="03FEB313" w14:textId="2CAC0FA0" w:rsidR="00290758" w:rsidRPr="00C9465D" w:rsidRDefault="00290758" w:rsidP="00D47F8D">
      <w:pPr>
        <w:pStyle w:val="ListParagraph"/>
        <w:numPr>
          <w:ilvl w:val="0"/>
          <w:numId w:val="18"/>
        </w:numPr>
        <w:spacing w:line="240" w:lineRule="auto"/>
        <w:ind w:left="0" w:right="48" w:firstLine="0"/>
        <w:rPr>
          <w:lang w:val="en-US"/>
        </w:rPr>
      </w:pPr>
      <w:r w:rsidRPr="00C9465D">
        <w:rPr>
          <w:bCs/>
          <w:lang w:val="en-US"/>
        </w:rPr>
        <w:t xml:space="preserve">Furthermore, it </w:t>
      </w:r>
      <w:r w:rsidR="009304FA" w:rsidRPr="00C9465D">
        <w:rPr>
          <w:bCs/>
          <w:lang w:val="en-US"/>
        </w:rPr>
        <w:t>should be</w:t>
      </w:r>
      <w:r w:rsidRPr="00C9465D">
        <w:rPr>
          <w:bCs/>
          <w:lang w:val="en-US"/>
        </w:rPr>
        <w:t xml:space="preserve"> add</w:t>
      </w:r>
      <w:r w:rsidR="009304FA" w:rsidRPr="00C9465D">
        <w:rPr>
          <w:bCs/>
          <w:lang w:val="en-US"/>
        </w:rPr>
        <w:t>ed</w:t>
      </w:r>
      <w:r w:rsidRPr="00C9465D">
        <w:rPr>
          <w:bCs/>
          <w:lang w:val="en-US"/>
        </w:rPr>
        <w:t xml:space="preserve"> that n</w:t>
      </w:r>
      <w:r w:rsidR="009304FA" w:rsidRPr="00C9465D">
        <w:rPr>
          <w:bCs/>
          <w:lang w:val="en-US"/>
        </w:rPr>
        <w:t>o</w:t>
      </w:r>
      <w:r w:rsidRPr="00C9465D">
        <w:rPr>
          <w:bCs/>
          <w:lang w:val="en-US"/>
        </w:rPr>
        <w:t xml:space="preserve">r do the references made in the Court’s case law to the domestic law of the State in question justify the thesis that </w:t>
      </w:r>
      <w:r w:rsidR="009304FA" w:rsidRPr="00C9465D">
        <w:rPr>
          <w:bCs/>
          <w:lang w:val="en-US"/>
        </w:rPr>
        <w:t>this</w:t>
      </w:r>
      <w:r w:rsidRPr="00C9465D">
        <w:rPr>
          <w:bCs/>
          <w:lang w:val="en-US"/>
        </w:rPr>
        <w:t xml:space="preserve"> would authorize recourse to the Court </w:t>
      </w:r>
      <w:r w:rsidR="009304FA" w:rsidRPr="00C9465D">
        <w:rPr>
          <w:bCs/>
          <w:lang w:val="en-US"/>
        </w:rPr>
        <w:t xml:space="preserve">in the case of </w:t>
      </w:r>
      <w:r w:rsidRPr="00C9465D">
        <w:rPr>
          <w:bCs/>
          <w:lang w:val="en-US"/>
        </w:rPr>
        <w:t xml:space="preserve">violations of the said rights. The Court’s jurisdiction derives from the authority granted to it by the Convention and not by a provision of domestic law of the corresponding State even though, evidently, </w:t>
      </w:r>
      <w:r w:rsidR="009304FA" w:rsidRPr="00C9465D">
        <w:rPr>
          <w:bCs/>
          <w:lang w:val="en-US"/>
        </w:rPr>
        <w:t>its</w:t>
      </w:r>
      <w:r w:rsidRPr="00C9465D">
        <w:rPr>
          <w:bCs/>
          <w:lang w:val="en-US"/>
        </w:rPr>
        <w:t xml:space="preserve"> legal system should be taken into account when interpreting the Convention</w:t>
      </w:r>
      <w:r w:rsidR="009304FA" w:rsidRPr="00C9465D">
        <w:rPr>
          <w:bCs/>
          <w:lang w:val="en-US"/>
        </w:rPr>
        <w:t>, as indicated by the said Article 29,</w:t>
      </w:r>
      <w:r w:rsidRPr="00C9465D">
        <w:rPr>
          <w:bCs/>
          <w:lang w:val="en-US"/>
        </w:rPr>
        <w:t xml:space="preserve"> to ensure that it does not limit the enjoyment and exercise of a right recognized by the </w:t>
      </w:r>
      <w:r w:rsidR="009304FA" w:rsidRPr="00C9465D">
        <w:rPr>
          <w:bCs/>
          <w:lang w:val="en-US"/>
        </w:rPr>
        <w:t>Convention.</w:t>
      </w:r>
    </w:p>
    <w:p w14:paraId="7BE4A309" w14:textId="77777777" w:rsidR="000A7745" w:rsidRPr="00C9465D" w:rsidRDefault="000A7745" w:rsidP="00760D70">
      <w:pPr>
        <w:pStyle w:val="ListParagraph"/>
        <w:spacing w:line="240" w:lineRule="auto"/>
        <w:ind w:left="0" w:right="48"/>
        <w:rPr>
          <w:rFonts w:cs="Verdana"/>
          <w:lang w:val="en-US"/>
        </w:rPr>
      </w:pPr>
    </w:p>
    <w:p w14:paraId="0D4F8250" w14:textId="658E2424" w:rsidR="000A7745" w:rsidRPr="00C9465D" w:rsidRDefault="006D73A9" w:rsidP="006D73A9">
      <w:pPr>
        <w:pStyle w:val="ListParagraph"/>
        <w:numPr>
          <w:ilvl w:val="0"/>
          <w:numId w:val="18"/>
        </w:numPr>
        <w:spacing w:line="240" w:lineRule="auto"/>
        <w:ind w:left="0" w:right="48" w:firstLine="0"/>
        <w:rPr>
          <w:lang w:val="en-US"/>
        </w:rPr>
      </w:pPr>
      <w:r w:rsidRPr="00C9465D">
        <w:rPr>
          <w:rFonts w:cs="Verdana"/>
          <w:lang w:val="en-US"/>
        </w:rPr>
        <w:t xml:space="preserve">In addition to all the above, it should be noted that the Court’s judgments have achieved a similar result as the one sought in the instant case by applying only the </w:t>
      </w:r>
      <w:r w:rsidR="009304FA" w:rsidRPr="00C9465D">
        <w:rPr>
          <w:rFonts w:cs="Verdana"/>
          <w:lang w:val="en-US"/>
        </w:rPr>
        <w:t xml:space="preserve">articles of the </w:t>
      </w:r>
      <w:r w:rsidRPr="00C9465D">
        <w:rPr>
          <w:rFonts w:cs="Verdana"/>
          <w:lang w:val="en-US"/>
        </w:rPr>
        <w:t>Convention</w:t>
      </w:r>
      <w:r w:rsidR="009304FA" w:rsidRPr="00C9465D">
        <w:rPr>
          <w:rFonts w:cs="Verdana"/>
          <w:lang w:val="en-US"/>
        </w:rPr>
        <w:t xml:space="preserve"> on</w:t>
      </w:r>
      <w:r w:rsidRPr="00C9465D">
        <w:rPr>
          <w:rFonts w:cs="Verdana"/>
          <w:lang w:val="en-US"/>
        </w:rPr>
        <w:t xml:space="preserve"> the rights it recognizes and, logically, within their limits</w:t>
      </w:r>
      <w:r w:rsidR="009304FA" w:rsidRPr="00C9465D">
        <w:rPr>
          <w:rFonts w:cs="Verdana"/>
          <w:lang w:val="en-US"/>
        </w:rPr>
        <w:t>,</w:t>
      </w:r>
      <w:r w:rsidRPr="00C9465D">
        <w:rPr>
          <w:rFonts w:cs="Verdana"/>
          <w:lang w:val="en-US"/>
        </w:rPr>
        <w:t xml:space="preserve"> without the need to resort to </w:t>
      </w:r>
      <w:r w:rsidRPr="00C9465D">
        <w:rPr>
          <w:lang w:val="en-US"/>
        </w:rPr>
        <w:t>Article 26. Th</w:t>
      </w:r>
      <w:r w:rsidR="009304FA" w:rsidRPr="00C9465D">
        <w:rPr>
          <w:lang w:val="en-US"/>
        </w:rPr>
        <w:t>erefore</w:t>
      </w:r>
      <w:r w:rsidRPr="00C9465D">
        <w:rPr>
          <w:lang w:val="en-US"/>
        </w:rPr>
        <w:t>, it is difficult to understand the reason for the insistence on indicating th</w:t>
      </w:r>
      <w:r w:rsidR="009304FA" w:rsidRPr="00C9465D">
        <w:rPr>
          <w:lang w:val="en-US"/>
        </w:rPr>
        <w:t>at</w:t>
      </w:r>
      <w:r w:rsidRPr="00C9465D">
        <w:rPr>
          <w:lang w:val="en-US"/>
        </w:rPr>
        <w:t xml:space="preserve"> article as grounds for the Court</w:t>
      </w:r>
      <w:r w:rsidR="009304FA" w:rsidRPr="00C9465D">
        <w:rPr>
          <w:lang w:val="en-US"/>
        </w:rPr>
        <w:t>’s competence</w:t>
      </w:r>
      <w:r w:rsidRPr="00C9465D">
        <w:rPr>
          <w:lang w:val="en-US"/>
        </w:rPr>
        <w:t xml:space="preserve"> to examine violations of the human rights derived from the OAS Charter when it is evident that this is superfluous. The reference to Article 26 </w:t>
      </w:r>
      <w:r w:rsidR="009304FA" w:rsidRPr="00C9465D">
        <w:rPr>
          <w:lang w:val="en-US"/>
        </w:rPr>
        <w:t>is even</w:t>
      </w:r>
      <w:r w:rsidRPr="00C9465D">
        <w:rPr>
          <w:lang w:val="en-US"/>
        </w:rPr>
        <w:t xml:space="preserve"> unnecessary and can only </w:t>
      </w:r>
      <w:r w:rsidR="009304FA" w:rsidRPr="00C9465D">
        <w:rPr>
          <w:lang w:val="en-US"/>
        </w:rPr>
        <w:t>create</w:t>
      </w:r>
      <w:r w:rsidRPr="00C9465D">
        <w:rPr>
          <w:lang w:val="en-US"/>
        </w:rPr>
        <w:t xml:space="preserve"> expectations </w:t>
      </w:r>
      <w:r w:rsidR="009304FA" w:rsidRPr="00C9465D">
        <w:rPr>
          <w:lang w:val="en-US"/>
        </w:rPr>
        <w:t>regarding</w:t>
      </w:r>
      <w:r w:rsidRPr="00C9465D">
        <w:rPr>
          <w:lang w:val="en-US"/>
        </w:rPr>
        <w:t xml:space="preserve"> the judicialization of other rights derived from </w:t>
      </w:r>
      <w:r w:rsidR="00260D95" w:rsidRPr="00C9465D">
        <w:rPr>
          <w:lang w:val="en-US"/>
        </w:rPr>
        <w:t>the OAS Charter</w:t>
      </w:r>
      <w:r w:rsidR="000A7745" w:rsidRPr="00C9465D">
        <w:rPr>
          <w:lang w:val="en-US"/>
        </w:rPr>
        <w:t>.</w:t>
      </w:r>
    </w:p>
    <w:p w14:paraId="3E46FC39" w14:textId="77777777" w:rsidR="000A7745" w:rsidRPr="00C9465D" w:rsidRDefault="000A7745" w:rsidP="00760D70">
      <w:pPr>
        <w:spacing w:line="240" w:lineRule="auto"/>
        <w:ind w:right="48"/>
        <w:contextualSpacing/>
        <w:rPr>
          <w:rFonts w:ascii="Verdana" w:hAnsi="Verdana"/>
          <w:sz w:val="20"/>
          <w:szCs w:val="20"/>
          <w:lang w:val="en-US"/>
        </w:rPr>
      </w:pPr>
    </w:p>
    <w:p w14:paraId="4446E349" w14:textId="190D7217" w:rsidR="000A7745" w:rsidRPr="00C9465D" w:rsidRDefault="006D73A9" w:rsidP="009304FA">
      <w:pPr>
        <w:numPr>
          <w:ilvl w:val="0"/>
          <w:numId w:val="18"/>
        </w:numPr>
        <w:spacing w:after="0" w:line="240" w:lineRule="auto"/>
        <w:ind w:left="0" w:right="48" w:firstLine="0"/>
        <w:contextualSpacing/>
        <w:jc w:val="both"/>
        <w:rPr>
          <w:rFonts w:ascii="Verdana" w:hAnsi="Verdana"/>
          <w:sz w:val="20"/>
          <w:szCs w:val="20"/>
          <w:lang w:val="en-US"/>
        </w:rPr>
      </w:pPr>
      <w:r w:rsidRPr="00C9465D">
        <w:rPr>
          <w:rFonts w:ascii="Verdana" w:hAnsi="Verdana"/>
          <w:sz w:val="20"/>
          <w:szCs w:val="20"/>
          <w:lang w:val="en-US"/>
        </w:rPr>
        <w:t>From the foregoing, it can be concluded, therefore, that the application of the subjective means of interpretation of treaties leads to the same result as already indicated; namely, that at no time were the economic, social and cultural rights derived from the provisions of the OAS Charter, among them the right to health</w:t>
      </w:r>
      <w:r w:rsidRPr="00C9465D">
        <w:rPr>
          <w:rFonts w:ascii="Verdana" w:hAnsi="Verdana"/>
          <w:iCs/>
          <w:sz w:val="20"/>
          <w:szCs w:val="20"/>
          <w:lang w:val="en-US"/>
        </w:rPr>
        <w:t>, included in the protection system established in</w:t>
      </w:r>
      <w:r w:rsidRPr="00C9465D">
        <w:rPr>
          <w:rFonts w:ascii="Verdana" w:hAnsi="Verdana"/>
          <w:sz w:val="20"/>
          <w:szCs w:val="20"/>
          <w:lang w:val="en-US"/>
        </w:rPr>
        <w:t xml:space="preserve"> </w:t>
      </w:r>
      <w:r w:rsidR="00193CBB" w:rsidRPr="00C9465D">
        <w:rPr>
          <w:rFonts w:ascii="Verdana" w:hAnsi="Verdana"/>
          <w:iCs/>
          <w:sz w:val="20"/>
          <w:szCs w:val="20"/>
          <w:lang w:val="en-US"/>
        </w:rPr>
        <w:t>the Convention</w:t>
      </w:r>
      <w:r w:rsidR="000A7745" w:rsidRPr="00C9465D">
        <w:rPr>
          <w:rFonts w:ascii="Verdana" w:hAnsi="Verdana"/>
          <w:sz w:val="20"/>
          <w:szCs w:val="20"/>
          <w:lang w:val="en-US"/>
        </w:rPr>
        <w:t>.</w:t>
      </w:r>
    </w:p>
    <w:p w14:paraId="33DE9D3F" w14:textId="77777777" w:rsidR="009304FA" w:rsidRPr="00C9465D" w:rsidRDefault="009304FA" w:rsidP="009304FA">
      <w:pPr>
        <w:spacing w:after="0" w:line="240" w:lineRule="auto"/>
        <w:ind w:right="48"/>
        <w:contextualSpacing/>
        <w:jc w:val="both"/>
        <w:rPr>
          <w:rFonts w:ascii="Verdana" w:hAnsi="Verdana"/>
          <w:sz w:val="20"/>
          <w:szCs w:val="20"/>
          <w:lang w:val="en-US"/>
        </w:rPr>
      </w:pPr>
    </w:p>
    <w:p w14:paraId="6E8A336B" w14:textId="73EAC68A" w:rsidR="000A7745" w:rsidRPr="00C9465D" w:rsidRDefault="006D73A9" w:rsidP="009304FA">
      <w:pPr>
        <w:pStyle w:val="ListParagraph"/>
        <w:numPr>
          <w:ilvl w:val="0"/>
          <w:numId w:val="20"/>
        </w:numPr>
        <w:spacing w:line="240" w:lineRule="auto"/>
        <w:ind w:left="1276" w:right="48" w:hanging="567"/>
        <w:rPr>
          <w:b/>
          <w:lang w:val="en-US"/>
        </w:rPr>
      </w:pPr>
      <w:r w:rsidRPr="00C9465D">
        <w:rPr>
          <w:b/>
          <w:lang w:val="en-US"/>
        </w:rPr>
        <w:t xml:space="preserve">Function or teleological means </w:t>
      </w:r>
    </w:p>
    <w:p w14:paraId="10CF870F" w14:textId="77777777" w:rsidR="009304FA" w:rsidRPr="00C9465D" w:rsidRDefault="009304FA" w:rsidP="009304FA">
      <w:pPr>
        <w:pStyle w:val="ListParagraph"/>
        <w:spacing w:line="240" w:lineRule="auto"/>
        <w:ind w:left="1276" w:right="48"/>
        <w:rPr>
          <w:b/>
          <w:lang w:val="en-US"/>
        </w:rPr>
      </w:pPr>
    </w:p>
    <w:p w14:paraId="3D6D7F7A" w14:textId="08C80AF6" w:rsidR="009739EB" w:rsidRPr="00C9465D" w:rsidRDefault="009739EB" w:rsidP="009304FA">
      <w:pPr>
        <w:numPr>
          <w:ilvl w:val="0"/>
          <w:numId w:val="18"/>
        </w:numPr>
        <w:spacing w:after="0" w:line="240" w:lineRule="auto"/>
        <w:ind w:left="-142" w:right="48" w:firstLine="142"/>
        <w:contextualSpacing/>
        <w:jc w:val="both"/>
        <w:rPr>
          <w:rFonts w:ascii="Verdana" w:hAnsi="Verdana"/>
          <w:b/>
          <w:sz w:val="20"/>
          <w:szCs w:val="20"/>
          <w:lang w:val="en-US"/>
        </w:rPr>
      </w:pPr>
      <w:r w:rsidRPr="00C9465D">
        <w:rPr>
          <w:rFonts w:ascii="Verdana" w:hAnsi="Verdana"/>
          <w:sz w:val="20"/>
          <w:szCs w:val="20"/>
          <w:lang w:val="en-US"/>
        </w:rPr>
        <w:t>When trying to define the object and purpose of the article of the Convention in question, it can be asserted that:</w:t>
      </w:r>
    </w:p>
    <w:p w14:paraId="231DDA72" w14:textId="77777777" w:rsidR="000A7745" w:rsidRPr="00C9465D" w:rsidRDefault="000A7745" w:rsidP="00760D70">
      <w:pPr>
        <w:spacing w:line="240" w:lineRule="auto"/>
        <w:ind w:right="48"/>
        <w:contextualSpacing/>
        <w:rPr>
          <w:rFonts w:ascii="Verdana" w:hAnsi="Verdana"/>
          <w:sz w:val="20"/>
          <w:szCs w:val="20"/>
          <w:lang w:val="en-US"/>
        </w:rPr>
      </w:pPr>
    </w:p>
    <w:p w14:paraId="2823342D" w14:textId="44588240" w:rsidR="000A7745" w:rsidRPr="00C9465D" w:rsidRDefault="009739EB" w:rsidP="003450B8">
      <w:pPr>
        <w:numPr>
          <w:ilvl w:val="0"/>
          <w:numId w:val="15"/>
        </w:numPr>
        <w:tabs>
          <w:tab w:val="left" w:pos="1134"/>
        </w:tabs>
        <w:spacing w:line="240" w:lineRule="auto"/>
        <w:ind w:left="709" w:right="48" w:firstLine="0"/>
        <w:contextualSpacing/>
        <w:jc w:val="both"/>
        <w:rPr>
          <w:rFonts w:ascii="Verdana" w:hAnsi="Verdana"/>
          <w:sz w:val="20"/>
          <w:szCs w:val="20"/>
          <w:lang w:val="en-US"/>
        </w:rPr>
      </w:pPr>
      <w:r w:rsidRPr="00C9465D">
        <w:rPr>
          <w:rFonts w:ascii="Verdana" w:hAnsi="Verdana"/>
          <w:sz w:val="20"/>
          <w:szCs w:val="20"/>
          <w:lang w:val="en-US"/>
        </w:rPr>
        <w:t xml:space="preserve">The purpose of the Convention’s signatory States was “to </w:t>
      </w:r>
      <w:r w:rsidRPr="00C9465D">
        <w:rPr>
          <w:rFonts w:ascii="Verdana" w:hAnsi="Verdana"/>
          <w:spacing w:val="-3"/>
          <w:sz w:val="20"/>
          <w:szCs w:val="20"/>
          <w:lang w:val="en-US"/>
        </w:rPr>
        <w:t>consolidate in this hemisphere, within the framework of democratic institutions, a system of personal liberty and social justice based on respect for the essential rights of man;</w:t>
      </w:r>
      <w:r w:rsidR="00917BF6" w:rsidRPr="00C9465D">
        <w:rPr>
          <w:rFonts w:ascii="Verdana" w:hAnsi="Verdana"/>
          <w:iCs/>
          <w:sz w:val="20"/>
          <w:szCs w:val="20"/>
          <w:vertAlign w:val="superscript"/>
          <w:lang w:val="en-US"/>
        </w:rPr>
        <w:footnoteReference w:id="422"/>
      </w:r>
    </w:p>
    <w:p w14:paraId="458BFE64" w14:textId="77777777" w:rsidR="009739EB" w:rsidRPr="00C9465D" w:rsidRDefault="009739EB" w:rsidP="009739EB">
      <w:pPr>
        <w:tabs>
          <w:tab w:val="left" w:pos="1134"/>
        </w:tabs>
        <w:spacing w:line="240" w:lineRule="auto"/>
        <w:ind w:left="709" w:right="48"/>
        <w:contextualSpacing/>
        <w:jc w:val="both"/>
        <w:rPr>
          <w:rFonts w:ascii="Verdana" w:hAnsi="Verdana"/>
          <w:sz w:val="20"/>
          <w:szCs w:val="20"/>
          <w:lang w:val="en-US"/>
        </w:rPr>
      </w:pPr>
    </w:p>
    <w:p w14:paraId="27D5A4F8" w14:textId="436C47DF" w:rsidR="009739EB" w:rsidRPr="00C9465D" w:rsidRDefault="009739EB" w:rsidP="009304FA">
      <w:pPr>
        <w:numPr>
          <w:ilvl w:val="0"/>
          <w:numId w:val="15"/>
        </w:numPr>
        <w:tabs>
          <w:tab w:val="left" w:pos="1134"/>
        </w:tabs>
        <w:spacing w:line="240" w:lineRule="auto"/>
        <w:ind w:left="709" w:right="48" w:firstLine="0"/>
        <w:contextualSpacing/>
        <w:jc w:val="both"/>
        <w:rPr>
          <w:rFonts w:ascii="Verdana" w:hAnsi="Verdana"/>
          <w:sz w:val="20"/>
          <w:szCs w:val="20"/>
          <w:lang w:val="en-US"/>
        </w:rPr>
      </w:pPr>
      <w:r w:rsidRPr="00C9465D">
        <w:rPr>
          <w:rFonts w:ascii="Verdana" w:eastAsia="Times" w:hAnsi="Verdana" w:cs="Arial"/>
          <w:sz w:val="20"/>
          <w:szCs w:val="20"/>
          <w:lang w:val="en-US"/>
        </w:rPr>
        <w:t>To this end, as already indicated,</w:t>
      </w:r>
      <w:r w:rsidR="000A7745" w:rsidRPr="00C9465D">
        <w:rPr>
          <w:rFonts w:ascii="Verdana" w:eastAsia="Times" w:hAnsi="Verdana" w:cs="Arial"/>
          <w:sz w:val="20"/>
          <w:szCs w:val="20"/>
          <w:vertAlign w:val="superscript"/>
          <w:lang w:val="en-US"/>
        </w:rPr>
        <w:footnoteReference w:id="423"/>
      </w:r>
      <w:r w:rsidR="000A7745" w:rsidRPr="00C9465D">
        <w:rPr>
          <w:rFonts w:ascii="Verdana" w:eastAsia="Times" w:hAnsi="Verdana" w:cs="Arial"/>
          <w:sz w:val="20"/>
          <w:szCs w:val="20"/>
          <w:lang w:val="en-US"/>
        </w:rPr>
        <w:t xml:space="preserve"> “</w:t>
      </w:r>
      <w:r w:rsidRPr="00C9465D">
        <w:rPr>
          <w:rFonts w:ascii="Verdana" w:hAnsi="Verdana"/>
          <w:sz w:val="20"/>
          <w:szCs w:val="20"/>
          <w:lang w:val="en-US"/>
        </w:rPr>
        <w:t>t</w:t>
      </w:r>
      <w:r w:rsidRPr="00C9465D">
        <w:rPr>
          <w:rFonts w:ascii="Verdana" w:hAnsi="Verdana"/>
          <w:spacing w:val="-3"/>
          <w:sz w:val="20"/>
          <w:szCs w:val="20"/>
          <w:lang w:val="en-US"/>
        </w:rPr>
        <w:t>he Third Special Inter</w:t>
      </w:r>
      <w:r w:rsidRPr="00C9465D">
        <w:rPr>
          <w:rFonts w:ascii="Verdana" w:hAnsi="Verdana"/>
          <w:spacing w:val="-3"/>
          <w:sz w:val="20"/>
          <w:szCs w:val="20"/>
          <w:lang w:val="en-US"/>
        </w:rPr>
        <w:noBreakHyphen/>
        <w:t>American Conference (Buenos Aires, 1967) approved the incorporation into the Charter of the Organization [of American States] itself of broader standards with respect to economic, social, and educational rights and resolved that an inter</w:t>
      </w:r>
      <w:r w:rsidRPr="00C9465D">
        <w:rPr>
          <w:rFonts w:ascii="Verdana" w:hAnsi="Verdana"/>
          <w:spacing w:val="-3"/>
          <w:sz w:val="20"/>
          <w:szCs w:val="20"/>
          <w:lang w:val="en-US"/>
        </w:rPr>
        <w:noBreakHyphen/>
        <w:t xml:space="preserve">American convention on human rights should determine the structure, competence, and procedure of the organs responsible for these matters”; </w:t>
      </w:r>
    </w:p>
    <w:p w14:paraId="24268D81" w14:textId="4E8C2171" w:rsidR="000A7745" w:rsidRPr="00C9465D" w:rsidRDefault="009739EB" w:rsidP="009304FA">
      <w:pPr>
        <w:pStyle w:val="ListParagraph"/>
        <w:numPr>
          <w:ilvl w:val="0"/>
          <w:numId w:val="15"/>
        </w:numPr>
        <w:tabs>
          <w:tab w:val="left" w:pos="1134"/>
        </w:tabs>
        <w:spacing w:line="240" w:lineRule="auto"/>
        <w:ind w:left="709" w:right="48" w:firstLine="0"/>
        <w:rPr>
          <w:lang w:val="en-US"/>
        </w:rPr>
      </w:pPr>
      <w:r w:rsidRPr="00C9465D">
        <w:rPr>
          <w:lang w:val="en-US"/>
        </w:rPr>
        <w:t xml:space="preserve">It is very clear then that what was decided at the said Conference was achieved, as regards the economic, social, and education rights, with the </w:t>
      </w:r>
      <w:r w:rsidR="00F42C89" w:rsidRPr="00C9465D">
        <w:rPr>
          <w:lang w:val="en-US"/>
        </w:rPr>
        <w:t>Protocol of</w:t>
      </w:r>
      <w:r w:rsidR="000A7745" w:rsidRPr="00C9465D">
        <w:rPr>
          <w:lang w:val="en-US"/>
        </w:rPr>
        <w:t xml:space="preserve"> Buenos </w:t>
      </w:r>
      <w:r w:rsidR="000A7745" w:rsidRPr="00C9465D">
        <w:rPr>
          <w:lang w:val="en-US"/>
        </w:rPr>
        <w:lastRenderedPageBreak/>
        <w:t>Aires</w:t>
      </w:r>
      <w:r w:rsidR="00193CBB" w:rsidRPr="00C9465D">
        <w:rPr>
          <w:lang w:val="en-US"/>
        </w:rPr>
        <w:t xml:space="preserve"> and </w:t>
      </w:r>
      <w:r w:rsidRPr="00C9465D">
        <w:rPr>
          <w:lang w:val="en-US"/>
        </w:rPr>
        <w:t xml:space="preserve">with regard to the structure, competence and procedure of the organs responsible for these matters, with </w:t>
      </w:r>
      <w:r w:rsidR="00193CBB" w:rsidRPr="00C9465D">
        <w:rPr>
          <w:lang w:val="en-US"/>
        </w:rPr>
        <w:t>the Convention</w:t>
      </w:r>
      <w:r w:rsidR="000A7745" w:rsidRPr="00C9465D">
        <w:rPr>
          <w:lang w:val="en-US"/>
        </w:rPr>
        <w:t xml:space="preserve">; </w:t>
      </w:r>
      <w:r w:rsidRPr="00C9465D">
        <w:rPr>
          <w:lang w:val="en-US"/>
        </w:rPr>
        <w:t>and</w:t>
      </w:r>
    </w:p>
    <w:p w14:paraId="760F4A41" w14:textId="77777777" w:rsidR="000A7745" w:rsidRPr="00C9465D" w:rsidRDefault="000A7745" w:rsidP="00760D70">
      <w:pPr>
        <w:tabs>
          <w:tab w:val="left" w:pos="1134"/>
        </w:tabs>
        <w:spacing w:line="240" w:lineRule="auto"/>
        <w:ind w:left="709" w:right="48"/>
        <w:contextualSpacing/>
        <w:rPr>
          <w:rFonts w:ascii="Verdana" w:hAnsi="Verdana"/>
          <w:sz w:val="20"/>
          <w:szCs w:val="20"/>
          <w:lang w:val="en-US"/>
        </w:rPr>
      </w:pPr>
    </w:p>
    <w:p w14:paraId="1E02F845" w14:textId="5D3F7E2C" w:rsidR="00DF2848" w:rsidRPr="00C9465D" w:rsidRDefault="009739EB" w:rsidP="00D47F8D">
      <w:pPr>
        <w:numPr>
          <w:ilvl w:val="0"/>
          <w:numId w:val="15"/>
        </w:numPr>
        <w:tabs>
          <w:tab w:val="left" w:pos="1134"/>
        </w:tabs>
        <w:spacing w:line="240" w:lineRule="auto"/>
        <w:ind w:left="709" w:right="48" w:firstLine="0"/>
        <w:contextualSpacing/>
        <w:jc w:val="both"/>
        <w:rPr>
          <w:rFonts w:ascii="Verdana" w:hAnsi="Verdana"/>
          <w:sz w:val="20"/>
          <w:szCs w:val="20"/>
          <w:lang w:val="en-US"/>
        </w:rPr>
      </w:pPr>
      <w:r w:rsidRPr="00C9465D">
        <w:rPr>
          <w:rFonts w:ascii="Verdana" w:hAnsi="Verdana"/>
          <w:sz w:val="20"/>
          <w:szCs w:val="20"/>
          <w:lang w:val="en-US"/>
        </w:rPr>
        <w:t xml:space="preserve">Therefore, </w:t>
      </w:r>
      <w:r w:rsidR="00DF2848" w:rsidRPr="00C9465D">
        <w:rPr>
          <w:rFonts w:ascii="Verdana" w:hAnsi="Verdana"/>
          <w:sz w:val="20"/>
          <w:szCs w:val="20"/>
          <w:lang w:val="en-US"/>
        </w:rPr>
        <w:t xml:space="preserve">it was in compliance with that mandate that </w:t>
      </w:r>
      <w:r w:rsidR="00193CBB" w:rsidRPr="00C9465D">
        <w:rPr>
          <w:rFonts w:ascii="Verdana" w:hAnsi="Verdana"/>
          <w:sz w:val="20"/>
          <w:szCs w:val="20"/>
          <w:lang w:val="en-US"/>
        </w:rPr>
        <w:t>Article</w:t>
      </w:r>
      <w:r w:rsidR="000A7745" w:rsidRPr="00C9465D">
        <w:rPr>
          <w:rFonts w:ascii="Verdana" w:hAnsi="Verdana"/>
          <w:sz w:val="20"/>
          <w:szCs w:val="20"/>
          <w:lang w:val="en-US"/>
        </w:rPr>
        <w:t xml:space="preserve"> 26 </w:t>
      </w:r>
      <w:r w:rsidR="00DF2848" w:rsidRPr="00C9465D">
        <w:rPr>
          <w:rFonts w:ascii="Verdana" w:hAnsi="Verdana"/>
          <w:sz w:val="20"/>
          <w:szCs w:val="20"/>
          <w:lang w:val="en-US"/>
        </w:rPr>
        <w:t>was included i</w:t>
      </w:r>
      <w:r w:rsidR="000A7745" w:rsidRPr="00C9465D">
        <w:rPr>
          <w:rFonts w:ascii="Verdana" w:hAnsi="Verdana"/>
          <w:sz w:val="20"/>
          <w:szCs w:val="20"/>
          <w:lang w:val="en-US"/>
        </w:rPr>
        <w:t xml:space="preserve">n </w:t>
      </w:r>
      <w:r w:rsidR="00193CBB" w:rsidRPr="00C9465D">
        <w:rPr>
          <w:rFonts w:ascii="Verdana" w:hAnsi="Verdana"/>
          <w:sz w:val="20"/>
          <w:szCs w:val="20"/>
          <w:lang w:val="en-US"/>
        </w:rPr>
        <w:t>the Convention</w:t>
      </w:r>
      <w:r w:rsidR="000A7745" w:rsidRPr="00C9465D">
        <w:rPr>
          <w:rFonts w:ascii="Verdana" w:hAnsi="Verdana"/>
          <w:sz w:val="20"/>
          <w:szCs w:val="20"/>
          <w:lang w:val="en-US"/>
        </w:rPr>
        <w:t xml:space="preserve"> </w:t>
      </w:r>
      <w:r w:rsidR="00DF2848" w:rsidRPr="00C9465D">
        <w:rPr>
          <w:rFonts w:ascii="Verdana" w:hAnsi="Verdana"/>
          <w:sz w:val="20"/>
          <w:szCs w:val="20"/>
          <w:lang w:val="en-US"/>
        </w:rPr>
        <w:t>in a separate chapter from that of the political and civil rights and, also, establishing a special obligation of the States Parties to the Convention, which did not exist with regard to</w:t>
      </w:r>
      <w:r w:rsidR="00E6346A" w:rsidRPr="00C9465D">
        <w:rPr>
          <w:rFonts w:ascii="Verdana" w:hAnsi="Verdana"/>
          <w:sz w:val="20"/>
          <w:szCs w:val="20"/>
          <w:lang w:val="en-US"/>
        </w:rPr>
        <w:t xml:space="preserve"> the</w:t>
      </w:r>
      <w:r w:rsidR="00DF2848" w:rsidRPr="00C9465D">
        <w:rPr>
          <w:rFonts w:ascii="Verdana" w:hAnsi="Verdana"/>
          <w:sz w:val="20"/>
          <w:szCs w:val="20"/>
          <w:lang w:val="en-US"/>
        </w:rPr>
        <w:t xml:space="preserve"> latter rights; that is, “to adopt measures, both internally and through international cooperation, especially those of an economic and technical nature, with a view to achieving progressively </w:t>
      </w:r>
      <w:r w:rsidR="00520411" w:rsidRPr="00C9465D">
        <w:rPr>
          <w:rFonts w:ascii="Verdana" w:hAnsi="Verdana"/>
          <w:sz w:val="20"/>
          <w:szCs w:val="20"/>
          <w:lang w:val="en-US"/>
        </w:rPr>
        <w:t>[…]</w:t>
      </w:r>
      <w:r w:rsidR="00DF2848" w:rsidRPr="00C9465D">
        <w:rPr>
          <w:rFonts w:ascii="Verdana" w:hAnsi="Verdana"/>
          <w:sz w:val="20"/>
          <w:szCs w:val="20"/>
          <w:lang w:val="en-US"/>
        </w:rPr>
        <w:t xml:space="preserve"> the full realization of the rights” to which it referred, and this, “by legislation or other appropriate means and subject to available resources.”</w:t>
      </w:r>
    </w:p>
    <w:p w14:paraId="00B04E40" w14:textId="77777777" w:rsidR="000A7745" w:rsidRPr="00C9465D" w:rsidRDefault="000A7745" w:rsidP="00760D70">
      <w:pPr>
        <w:spacing w:line="240" w:lineRule="auto"/>
        <w:ind w:right="48"/>
        <w:contextualSpacing/>
        <w:rPr>
          <w:rFonts w:ascii="Verdana" w:hAnsi="Verdana"/>
          <w:sz w:val="20"/>
          <w:szCs w:val="20"/>
          <w:lang w:val="en-US"/>
        </w:rPr>
      </w:pPr>
    </w:p>
    <w:p w14:paraId="0E9C2D5D" w14:textId="11991375" w:rsidR="00B4633B" w:rsidRPr="00C9465D" w:rsidRDefault="00B4633B" w:rsidP="00B4633B">
      <w:pPr>
        <w:numPr>
          <w:ilvl w:val="0"/>
          <w:numId w:val="18"/>
        </w:numPr>
        <w:spacing w:line="240" w:lineRule="auto"/>
        <w:ind w:left="0" w:right="48" w:firstLine="0"/>
        <w:contextualSpacing/>
        <w:jc w:val="both"/>
        <w:rPr>
          <w:rFonts w:ascii="Verdana" w:hAnsi="Verdana"/>
          <w:sz w:val="20"/>
          <w:szCs w:val="20"/>
          <w:lang w:val="en-US"/>
        </w:rPr>
      </w:pPr>
      <w:r w:rsidRPr="00C9465D">
        <w:rPr>
          <w:rFonts w:ascii="Verdana" w:hAnsi="Verdana"/>
          <w:sz w:val="20"/>
          <w:szCs w:val="20"/>
          <w:lang w:val="en-US"/>
        </w:rPr>
        <w:t xml:space="preserve">In other words, the object and purpose </w:t>
      </w:r>
      <w:r w:rsidR="007A3CA5" w:rsidRPr="00C9465D">
        <w:rPr>
          <w:rFonts w:ascii="Verdana" w:hAnsi="Verdana"/>
          <w:sz w:val="20"/>
          <w:szCs w:val="20"/>
          <w:lang w:val="en-US"/>
        </w:rPr>
        <w:t>of Article</w:t>
      </w:r>
      <w:r w:rsidR="000A7745" w:rsidRPr="00C9465D">
        <w:rPr>
          <w:rFonts w:ascii="Verdana" w:hAnsi="Verdana"/>
          <w:sz w:val="20"/>
          <w:szCs w:val="20"/>
          <w:lang w:val="en-US"/>
        </w:rPr>
        <w:t xml:space="preserve"> 26 </w:t>
      </w:r>
      <w:r w:rsidRPr="00C9465D">
        <w:rPr>
          <w:rFonts w:ascii="Verdana" w:hAnsi="Verdana"/>
          <w:sz w:val="20"/>
          <w:szCs w:val="20"/>
          <w:lang w:val="en-US"/>
        </w:rPr>
        <w:t>is that the States Parties take the measures indicated to achieve the realization of the rights that it indicates and not that these are enforceable immediately and, in particular, that they are justiciable before the Court, as the judgment asserts.</w:t>
      </w:r>
      <w:r w:rsidR="000A7745" w:rsidRPr="00C9465D">
        <w:rPr>
          <w:rStyle w:val="FootnoteReference"/>
          <w:rFonts w:ascii="Verdana" w:hAnsi="Verdana"/>
          <w:sz w:val="20"/>
          <w:szCs w:val="20"/>
          <w:lang w:val="en-US"/>
        </w:rPr>
        <w:footnoteReference w:id="424"/>
      </w:r>
      <w:r w:rsidRPr="00C9465D">
        <w:rPr>
          <w:rFonts w:ascii="Verdana" w:hAnsi="Verdana"/>
          <w:sz w:val="20"/>
          <w:szCs w:val="20"/>
          <w:lang w:val="en-US"/>
        </w:rPr>
        <w:t xml:space="preserve"> In this regard, it should be recalled that the very title of the article is “Progressive Development” and that the title of Chapter III, of which it is the only article, is “Economic, Social and Cultural Rights,” which indicates that what this article establishes – its object and purpose – is that measures are adopted to achieve, progressively, the realization of the rights to which it refers and not that these are in effect.</w:t>
      </w:r>
    </w:p>
    <w:p w14:paraId="277D2E88" w14:textId="77777777" w:rsidR="000A7745" w:rsidRPr="00C9465D" w:rsidRDefault="000A7745" w:rsidP="00760D70">
      <w:pPr>
        <w:spacing w:line="240" w:lineRule="auto"/>
        <w:ind w:right="48"/>
        <w:contextualSpacing/>
        <w:rPr>
          <w:rFonts w:ascii="Verdana" w:hAnsi="Verdana"/>
          <w:sz w:val="20"/>
          <w:szCs w:val="20"/>
          <w:lang w:val="en-US"/>
        </w:rPr>
      </w:pPr>
    </w:p>
    <w:p w14:paraId="086ECC1F" w14:textId="797A46D9" w:rsidR="000A7745" w:rsidRPr="00C9465D" w:rsidRDefault="0041297D" w:rsidP="00895093">
      <w:pPr>
        <w:numPr>
          <w:ilvl w:val="0"/>
          <w:numId w:val="18"/>
        </w:numPr>
        <w:spacing w:line="240" w:lineRule="auto"/>
        <w:ind w:left="0" w:right="48" w:firstLine="0"/>
        <w:contextualSpacing/>
        <w:jc w:val="both"/>
        <w:rPr>
          <w:rFonts w:ascii="Verdana" w:hAnsi="Verdana"/>
          <w:sz w:val="20"/>
          <w:szCs w:val="20"/>
          <w:lang w:val="en-US"/>
        </w:rPr>
      </w:pPr>
      <w:r w:rsidRPr="00C9465D">
        <w:rPr>
          <w:rFonts w:ascii="Verdana" w:hAnsi="Verdana"/>
          <w:sz w:val="20"/>
          <w:szCs w:val="20"/>
          <w:lang w:val="en-US"/>
        </w:rPr>
        <w:t xml:space="preserve">If it were accepted that, in order to interpret a specific provision </w:t>
      </w:r>
      <w:r w:rsidR="00193CBB" w:rsidRPr="00C9465D">
        <w:rPr>
          <w:rFonts w:ascii="Verdana" w:hAnsi="Verdana"/>
          <w:sz w:val="20"/>
          <w:szCs w:val="20"/>
          <w:lang w:val="en-US"/>
        </w:rPr>
        <w:t>of the Convention</w:t>
      </w:r>
      <w:r w:rsidR="000A7745" w:rsidRPr="00C9465D">
        <w:rPr>
          <w:rFonts w:ascii="Verdana" w:hAnsi="Verdana"/>
          <w:sz w:val="20"/>
          <w:szCs w:val="20"/>
          <w:lang w:val="en-US"/>
        </w:rPr>
        <w:t xml:space="preserve">, </w:t>
      </w:r>
      <w:r w:rsidRPr="00C9465D">
        <w:rPr>
          <w:rFonts w:ascii="Verdana" w:hAnsi="Verdana"/>
          <w:sz w:val="20"/>
          <w:szCs w:val="20"/>
          <w:lang w:val="en-US"/>
        </w:rPr>
        <w:t xml:space="preserve">it was sufficient to cite the general object and purpose of this treaty – which is fairly broad, vague and imprecise – this would infringe the legal certainty and security that should characterize </w:t>
      </w:r>
      <w:r w:rsidR="00895093" w:rsidRPr="00C9465D">
        <w:rPr>
          <w:rFonts w:ascii="Verdana" w:hAnsi="Verdana"/>
          <w:sz w:val="20"/>
          <w:szCs w:val="20"/>
          <w:lang w:val="en-US"/>
        </w:rPr>
        <w:t xml:space="preserve">any ruling by the Court, because it would leave to its discretion, with a significant margin of appreciation, determination of the rights derived from the said provisions </w:t>
      </w:r>
      <w:r w:rsidR="00260D95" w:rsidRPr="00C9465D">
        <w:rPr>
          <w:rFonts w:ascii="Verdana" w:hAnsi="Verdana"/>
          <w:sz w:val="20"/>
          <w:szCs w:val="20"/>
          <w:lang w:val="en-US"/>
        </w:rPr>
        <w:t>of the OAS Charte</w:t>
      </w:r>
      <w:r w:rsidR="00895093" w:rsidRPr="00C9465D">
        <w:rPr>
          <w:rFonts w:ascii="Verdana" w:hAnsi="Verdana"/>
          <w:sz w:val="20"/>
          <w:szCs w:val="20"/>
          <w:lang w:val="en-US"/>
        </w:rPr>
        <w:t>r. And, therefore, prior to the corresponding proceedings, the States Parties to the Convention</w:t>
      </w:r>
      <w:r w:rsidR="000A7745" w:rsidRPr="00C9465D">
        <w:rPr>
          <w:rFonts w:ascii="Verdana" w:hAnsi="Verdana"/>
          <w:sz w:val="20"/>
          <w:szCs w:val="20"/>
          <w:lang w:val="en-US"/>
        </w:rPr>
        <w:t xml:space="preserve"> </w:t>
      </w:r>
      <w:r w:rsidR="00895093" w:rsidRPr="00C9465D">
        <w:rPr>
          <w:rFonts w:ascii="Verdana" w:hAnsi="Verdana"/>
          <w:sz w:val="20"/>
          <w:szCs w:val="20"/>
          <w:lang w:val="en-US"/>
        </w:rPr>
        <w:t>would not know which th</w:t>
      </w:r>
      <w:r w:rsidR="00E6346A" w:rsidRPr="00C9465D">
        <w:rPr>
          <w:rFonts w:ascii="Verdana" w:hAnsi="Verdana"/>
          <w:sz w:val="20"/>
          <w:szCs w:val="20"/>
          <w:lang w:val="en-US"/>
        </w:rPr>
        <w:t>ose rights</w:t>
      </w:r>
      <w:r w:rsidR="00895093" w:rsidRPr="00C9465D">
        <w:rPr>
          <w:rFonts w:ascii="Verdana" w:hAnsi="Verdana"/>
          <w:sz w:val="20"/>
          <w:szCs w:val="20"/>
          <w:lang w:val="en-US"/>
        </w:rPr>
        <w:t xml:space="preserve"> were.</w:t>
      </w:r>
    </w:p>
    <w:p w14:paraId="06EB9EF3" w14:textId="71E10ED3" w:rsidR="0071460F" w:rsidRPr="00C9465D" w:rsidRDefault="00895093" w:rsidP="00895093">
      <w:pPr>
        <w:pStyle w:val="ListParagraph"/>
        <w:numPr>
          <w:ilvl w:val="0"/>
          <w:numId w:val="18"/>
        </w:numPr>
        <w:spacing w:line="240" w:lineRule="auto"/>
        <w:ind w:left="0" w:right="48" w:firstLine="0"/>
        <w:rPr>
          <w:lang w:val="en-US"/>
        </w:rPr>
      </w:pPr>
      <w:r w:rsidRPr="00C9465D">
        <w:rPr>
          <w:lang w:val="en-US"/>
        </w:rPr>
        <w:t>This is why the undersigned is unable to share the approach adopted by the Court’s case law that, based on the contents of Articles 1 and 2 of the Convention, Article 26 makes a distinction between “</w:t>
      </w:r>
      <w:r w:rsidR="0071460F" w:rsidRPr="00C9465D">
        <w:rPr>
          <w:lang w:val="en-US"/>
        </w:rPr>
        <w:t>aspects that may be required immediately and those that are of a progressive nature,”</w:t>
      </w:r>
      <w:r w:rsidR="000A7745" w:rsidRPr="00C9465D">
        <w:rPr>
          <w:rStyle w:val="FootnoteReference"/>
          <w:lang w:val="en-US"/>
        </w:rPr>
        <w:footnoteReference w:id="425"/>
      </w:r>
      <w:r w:rsidR="0071460F" w:rsidRPr="00C9465D">
        <w:rPr>
          <w:lang w:val="en-US"/>
        </w:rPr>
        <w:t xml:space="preserve"> because this differs significantly from what is envisioned in the said articles which establish that the rights to which they refer are only those </w:t>
      </w:r>
      <w:r w:rsidR="00CB6768" w:rsidRPr="00C9465D">
        <w:rPr>
          <w:lang w:val="en-US"/>
        </w:rPr>
        <w:t>“recognized</w:t>
      </w:r>
      <w:r w:rsidR="00F169E3" w:rsidRPr="00C9465D">
        <w:rPr>
          <w:lang w:val="en-US"/>
        </w:rPr>
        <w:t>,”</w:t>
      </w:r>
      <w:r w:rsidR="00F169E3" w:rsidRPr="00C9465D">
        <w:rPr>
          <w:rFonts w:cs="Times New Roman"/>
          <w:lang w:val="en-US"/>
        </w:rPr>
        <w:t xml:space="preserve"> </w:t>
      </w:r>
      <w:r w:rsidR="00F169E3" w:rsidRPr="00C9465D">
        <w:rPr>
          <w:lang w:val="en-US"/>
        </w:rPr>
        <w:t xml:space="preserve">“established,” “guaranteed,” “set forth” or “protected” </w:t>
      </w:r>
      <w:r w:rsidR="00F169E3" w:rsidRPr="00C9465D">
        <w:rPr>
          <w:rFonts w:cs="Times New Roman"/>
          <w:lang w:val="en-US"/>
        </w:rPr>
        <w:t xml:space="preserve">in or by the Convention, which is not the case of those mentioned by Article 26. In addition, the said distinction made by the Court’s case law would, in </w:t>
      </w:r>
      <w:r w:rsidR="00E6346A" w:rsidRPr="00C9465D">
        <w:rPr>
          <w:rFonts w:cs="Times New Roman"/>
          <w:lang w:val="en-US"/>
        </w:rPr>
        <w:t>itself,</w:t>
      </w:r>
      <w:r w:rsidR="00F169E3" w:rsidRPr="00C9465D">
        <w:rPr>
          <w:rFonts w:cs="Times New Roman"/>
          <w:lang w:val="en-US"/>
        </w:rPr>
        <w:t xml:space="preserve"> be confusing and even contradictory because, on the one hand, it would not be possible to know with certainty and before the proceedings, which aspects or, more exactly, which rights alluded to in Article 26 were enforceable immediately and which would be enforceable progressively and, on the other hand, the former would not require the adoption of measures to be enforceable, while the other could not be enforceable until measures were adopted.  </w:t>
      </w:r>
    </w:p>
    <w:p w14:paraId="24C28584" w14:textId="77777777" w:rsidR="000A7745" w:rsidRPr="00C9465D" w:rsidRDefault="000A7745" w:rsidP="00760D70">
      <w:pPr>
        <w:pStyle w:val="ListParagraph"/>
        <w:spacing w:line="240" w:lineRule="auto"/>
        <w:ind w:left="0" w:right="48"/>
        <w:rPr>
          <w:lang w:val="en-US"/>
        </w:rPr>
      </w:pPr>
    </w:p>
    <w:p w14:paraId="5588ED5C" w14:textId="6068CEEC" w:rsidR="000A7745" w:rsidRPr="00C9465D" w:rsidRDefault="00F169E3" w:rsidP="00D47F8D">
      <w:pPr>
        <w:numPr>
          <w:ilvl w:val="0"/>
          <w:numId w:val="18"/>
        </w:numPr>
        <w:spacing w:line="240" w:lineRule="auto"/>
        <w:ind w:left="0" w:right="48" w:firstLine="0"/>
        <w:contextualSpacing/>
        <w:jc w:val="both"/>
        <w:rPr>
          <w:rFonts w:ascii="Verdana" w:hAnsi="Verdana"/>
          <w:sz w:val="20"/>
          <w:szCs w:val="20"/>
          <w:lang w:val="en-US"/>
        </w:rPr>
      </w:pPr>
      <w:r w:rsidRPr="00C9465D">
        <w:rPr>
          <w:rFonts w:ascii="Verdana" w:hAnsi="Verdana"/>
          <w:sz w:val="20"/>
          <w:szCs w:val="20"/>
          <w:lang w:val="en-US"/>
        </w:rPr>
        <w:t xml:space="preserve">Moreover, an approach such as the one mentioned would lead the Court to assume the international normative function which, in the case of </w:t>
      </w:r>
      <w:r w:rsidR="00193CBB" w:rsidRPr="00C9465D">
        <w:rPr>
          <w:rFonts w:ascii="Verdana" w:hAnsi="Verdana"/>
          <w:sz w:val="20"/>
          <w:szCs w:val="20"/>
          <w:lang w:val="en-US"/>
        </w:rPr>
        <w:t>the Convention</w:t>
      </w:r>
      <w:r w:rsidR="000A7745" w:rsidRPr="00C9465D">
        <w:rPr>
          <w:rFonts w:ascii="Verdana" w:hAnsi="Verdana"/>
          <w:sz w:val="20"/>
          <w:szCs w:val="20"/>
          <w:lang w:val="en-US"/>
        </w:rPr>
        <w:t xml:space="preserve">, </w:t>
      </w:r>
      <w:r w:rsidRPr="00C9465D">
        <w:rPr>
          <w:rFonts w:ascii="Verdana" w:hAnsi="Verdana"/>
          <w:sz w:val="20"/>
          <w:szCs w:val="20"/>
          <w:lang w:val="en-US"/>
        </w:rPr>
        <w:t xml:space="preserve">corresponds only to its </w:t>
      </w:r>
      <w:r w:rsidR="00DA115D" w:rsidRPr="00C9465D">
        <w:rPr>
          <w:rFonts w:ascii="Verdana" w:hAnsi="Verdana"/>
          <w:sz w:val="20"/>
          <w:szCs w:val="20"/>
          <w:lang w:val="en-US"/>
        </w:rPr>
        <w:t>States Parties</w:t>
      </w:r>
      <w:r w:rsidRPr="00C9465D">
        <w:rPr>
          <w:rFonts w:ascii="Verdana" w:hAnsi="Verdana"/>
          <w:sz w:val="20"/>
          <w:szCs w:val="20"/>
          <w:lang w:val="en-US"/>
        </w:rPr>
        <w:t>.</w:t>
      </w:r>
      <w:r w:rsidR="000A7745" w:rsidRPr="00C9465D">
        <w:rPr>
          <w:rFonts w:ascii="Verdana" w:hAnsi="Verdana"/>
          <w:sz w:val="20"/>
          <w:szCs w:val="20"/>
          <w:vertAlign w:val="superscript"/>
          <w:lang w:val="en-US"/>
        </w:rPr>
        <w:footnoteReference w:id="426"/>
      </w:r>
      <w:r w:rsidRPr="00C9465D">
        <w:rPr>
          <w:rFonts w:ascii="Verdana" w:hAnsi="Verdana"/>
          <w:sz w:val="20"/>
          <w:szCs w:val="20"/>
          <w:lang w:val="en-US"/>
        </w:rPr>
        <w:t xml:space="preserve"> And this because, in the absence of the definition</w:t>
      </w:r>
      <w:r w:rsidR="00617A49" w:rsidRPr="00C9465D">
        <w:rPr>
          <w:rFonts w:ascii="Verdana" w:hAnsi="Verdana"/>
          <w:sz w:val="20"/>
          <w:szCs w:val="20"/>
          <w:lang w:val="en-US"/>
        </w:rPr>
        <w:t xml:space="preserve"> </w:t>
      </w:r>
      <w:r w:rsidRPr="00C9465D">
        <w:rPr>
          <w:rFonts w:ascii="Verdana" w:hAnsi="Verdana"/>
          <w:sz w:val="20"/>
          <w:szCs w:val="20"/>
          <w:lang w:val="en-US"/>
        </w:rPr>
        <w:t xml:space="preserve">of the rights derived </w:t>
      </w:r>
      <w:r w:rsidRPr="00C9465D">
        <w:rPr>
          <w:rFonts w:ascii="Verdana" w:hAnsi="Verdana"/>
          <w:sz w:val="20"/>
          <w:szCs w:val="20"/>
          <w:lang w:val="en-US"/>
        </w:rPr>
        <w:lastRenderedPageBreak/>
        <w:t xml:space="preserve">from the </w:t>
      </w:r>
      <w:r w:rsidR="00E6346A" w:rsidRPr="00C9465D">
        <w:rPr>
          <w:rFonts w:ascii="Verdana" w:hAnsi="Verdana"/>
          <w:sz w:val="20"/>
          <w:szCs w:val="20"/>
          <w:lang w:val="en-US"/>
        </w:rPr>
        <w:t>criteria</w:t>
      </w:r>
      <w:r w:rsidRPr="00C9465D">
        <w:rPr>
          <w:rFonts w:ascii="Verdana" w:hAnsi="Verdana"/>
          <w:sz w:val="20"/>
          <w:szCs w:val="20"/>
          <w:lang w:val="en-US"/>
        </w:rPr>
        <w:t xml:space="preserve"> </w:t>
      </w:r>
      <w:r w:rsidR="00260D95" w:rsidRPr="00C9465D">
        <w:rPr>
          <w:rFonts w:ascii="Verdana" w:hAnsi="Verdana"/>
          <w:sz w:val="20"/>
          <w:szCs w:val="20"/>
          <w:lang w:val="en-US"/>
        </w:rPr>
        <w:t>of the OAS Charter</w:t>
      </w:r>
      <w:r w:rsidR="000A7745" w:rsidRPr="00C9465D">
        <w:rPr>
          <w:rFonts w:ascii="Verdana" w:hAnsi="Verdana"/>
          <w:sz w:val="20"/>
          <w:szCs w:val="20"/>
          <w:lang w:val="en-US"/>
        </w:rPr>
        <w:t xml:space="preserve">, </w:t>
      </w:r>
      <w:r w:rsidR="00193CBB" w:rsidRPr="00C9465D">
        <w:rPr>
          <w:rFonts w:ascii="Verdana" w:hAnsi="Verdana"/>
          <w:sz w:val="20"/>
          <w:szCs w:val="20"/>
          <w:lang w:val="en-US"/>
        </w:rPr>
        <w:t>the Court</w:t>
      </w:r>
      <w:r w:rsidR="000A7745" w:rsidRPr="00C9465D">
        <w:rPr>
          <w:rFonts w:ascii="Verdana" w:hAnsi="Verdana"/>
          <w:sz w:val="20"/>
          <w:szCs w:val="20"/>
          <w:lang w:val="en-US"/>
        </w:rPr>
        <w:t xml:space="preserve"> </w:t>
      </w:r>
      <w:r w:rsidRPr="00C9465D">
        <w:rPr>
          <w:rFonts w:ascii="Verdana" w:hAnsi="Verdana"/>
          <w:sz w:val="20"/>
          <w:szCs w:val="20"/>
          <w:lang w:val="en-US"/>
        </w:rPr>
        <w:t xml:space="preserve">could establish rights that were not explicitly envisioned in the said </w:t>
      </w:r>
      <w:r w:rsidR="00E6346A" w:rsidRPr="00C9465D">
        <w:rPr>
          <w:rFonts w:ascii="Verdana" w:hAnsi="Verdana"/>
          <w:sz w:val="20"/>
          <w:szCs w:val="20"/>
          <w:lang w:val="en-US"/>
        </w:rPr>
        <w:t>criteria</w:t>
      </w:r>
      <w:r w:rsidRPr="00C9465D">
        <w:rPr>
          <w:rFonts w:ascii="Verdana" w:hAnsi="Verdana"/>
          <w:sz w:val="20"/>
          <w:szCs w:val="20"/>
          <w:lang w:val="en-US"/>
        </w:rPr>
        <w:t xml:space="preserve"> and establish that these </w:t>
      </w:r>
      <w:r w:rsidR="00E6346A" w:rsidRPr="00C9465D">
        <w:rPr>
          <w:rFonts w:ascii="Verdana" w:hAnsi="Verdana"/>
          <w:sz w:val="20"/>
          <w:szCs w:val="20"/>
          <w:lang w:val="en-US"/>
        </w:rPr>
        <w:t>we</w:t>
      </w:r>
      <w:r w:rsidRPr="00C9465D">
        <w:rPr>
          <w:rFonts w:ascii="Verdana" w:hAnsi="Verdana"/>
          <w:sz w:val="20"/>
          <w:szCs w:val="20"/>
          <w:lang w:val="en-US"/>
        </w:rPr>
        <w:t>re justiciable before it.</w:t>
      </w:r>
    </w:p>
    <w:p w14:paraId="0106C0CC" w14:textId="77777777" w:rsidR="000A7745" w:rsidRPr="00C9465D" w:rsidRDefault="000A7745" w:rsidP="00760D70">
      <w:pPr>
        <w:spacing w:line="240" w:lineRule="auto"/>
        <w:ind w:right="48"/>
        <w:contextualSpacing/>
        <w:rPr>
          <w:rFonts w:ascii="Verdana" w:hAnsi="Verdana"/>
          <w:sz w:val="20"/>
          <w:szCs w:val="20"/>
          <w:lang w:val="en-US"/>
        </w:rPr>
      </w:pPr>
    </w:p>
    <w:p w14:paraId="7B1F1026" w14:textId="534B55A6" w:rsidR="000A7745" w:rsidRPr="00C9465D" w:rsidRDefault="00617A49" w:rsidP="00617A49">
      <w:pPr>
        <w:numPr>
          <w:ilvl w:val="0"/>
          <w:numId w:val="18"/>
        </w:numPr>
        <w:spacing w:line="240" w:lineRule="auto"/>
        <w:ind w:left="0" w:right="48" w:firstLine="0"/>
        <w:contextualSpacing/>
        <w:jc w:val="both"/>
        <w:rPr>
          <w:rFonts w:ascii="Verdana" w:hAnsi="Verdana"/>
          <w:sz w:val="20"/>
          <w:szCs w:val="20"/>
          <w:lang w:val="en-US"/>
        </w:rPr>
      </w:pPr>
      <w:r w:rsidRPr="00C9465D">
        <w:rPr>
          <w:rFonts w:ascii="Verdana" w:hAnsi="Verdana"/>
          <w:sz w:val="20"/>
          <w:szCs w:val="20"/>
          <w:lang w:val="en-US"/>
        </w:rPr>
        <w:t xml:space="preserve">As a supplementary comment, it is necessary to indicate that the fact that </w:t>
      </w:r>
      <w:r w:rsidR="00193CBB" w:rsidRPr="00C9465D">
        <w:rPr>
          <w:rFonts w:ascii="Verdana" w:hAnsi="Verdana"/>
          <w:sz w:val="20"/>
          <w:szCs w:val="20"/>
          <w:lang w:val="en-US"/>
        </w:rPr>
        <w:t>Article</w:t>
      </w:r>
      <w:r w:rsidR="000A7745" w:rsidRPr="00C9465D">
        <w:rPr>
          <w:rFonts w:ascii="Verdana" w:hAnsi="Verdana"/>
          <w:sz w:val="20"/>
          <w:szCs w:val="20"/>
          <w:lang w:val="en-US"/>
        </w:rPr>
        <w:t xml:space="preserve"> 1</w:t>
      </w:r>
      <w:r w:rsidR="00193CBB" w:rsidRPr="00C9465D">
        <w:rPr>
          <w:rFonts w:ascii="Verdana" w:hAnsi="Verdana"/>
          <w:sz w:val="20"/>
          <w:szCs w:val="20"/>
          <w:lang w:val="en-US"/>
        </w:rPr>
        <w:t xml:space="preserve"> of the Convention</w:t>
      </w:r>
      <w:r w:rsidR="000A7745" w:rsidRPr="00C9465D">
        <w:rPr>
          <w:rFonts w:ascii="Verdana" w:hAnsi="Verdana"/>
          <w:sz w:val="20"/>
          <w:szCs w:val="20"/>
          <w:lang w:val="en-US"/>
        </w:rPr>
        <w:t xml:space="preserve"> establ</w:t>
      </w:r>
      <w:r w:rsidRPr="00C9465D">
        <w:rPr>
          <w:rFonts w:ascii="Verdana" w:hAnsi="Verdana"/>
          <w:sz w:val="20"/>
          <w:szCs w:val="20"/>
          <w:lang w:val="en-US"/>
        </w:rPr>
        <w:t xml:space="preserve">ishes the obligation of its </w:t>
      </w:r>
      <w:r w:rsidR="00DA115D" w:rsidRPr="00C9465D">
        <w:rPr>
          <w:rFonts w:ascii="Verdana" w:hAnsi="Verdana"/>
          <w:sz w:val="20"/>
          <w:szCs w:val="20"/>
          <w:lang w:val="en-US"/>
        </w:rPr>
        <w:t>States Parties</w:t>
      </w:r>
      <w:r w:rsidR="000A7745" w:rsidRPr="00C9465D">
        <w:rPr>
          <w:rFonts w:ascii="Verdana" w:hAnsi="Verdana"/>
          <w:sz w:val="20"/>
          <w:szCs w:val="20"/>
          <w:lang w:val="en-US"/>
        </w:rPr>
        <w:t xml:space="preserve"> </w:t>
      </w:r>
      <w:r w:rsidRPr="00C9465D">
        <w:rPr>
          <w:rFonts w:ascii="Verdana" w:hAnsi="Verdana"/>
          <w:sz w:val="20"/>
          <w:szCs w:val="20"/>
          <w:lang w:val="en-US"/>
        </w:rPr>
        <w:t>to respect and to ensure respect for the rights that it establishes</w:t>
      </w:r>
      <w:r w:rsidR="000A7745" w:rsidRPr="00C9465D">
        <w:rPr>
          <w:rStyle w:val="FootnoteReference"/>
          <w:rFonts w:ascii="Verdana" w:hAnsi="Verdana"/>
          <w:sz w:val="20"/>
          <w:szCs w:val="20"/>
          <w:lang w:val="en-US"/>
        </w:rPr>
        <w:footnoteReference w:id="427"/>
      </w:r>
      <w:r w:rsidR="00193CBB" w:rsidRPr="00C9465D">
        <w:rPr>
          <w:rFonts w:ascii="Verdana" w:hAnsi="Verdana"/>
          <w:sz w:val="20"/>
          <w:szCs w:val="20"/>
          <w:lang w:val="en-US"/>
        </w:rPr>
        <w:t xml:space="preserve"> and </w:t>
      </w:r>
      <w:r w:rsidRPr="00C9465D">
        <w:rPr>
          <w:rFonts w:ascii="Verdana" w:hAnsi="Verdana"/>
          <w:sz w:val="20"/>
          <w:szCs w:val="20"/>
          <w:lang w:val="en-US"/>
        </w:rPr>
        <w:t>that</w:t>
      </w:r>
      <w:r w:rsidR="000A7745" w:rsidRPr="00C9465D">
        <w:rPr>
          <w:rFonts w:ascii="Verdana" w:hAnsi="Verdana"/>
          <w:sz w:val="20"/>
          <w:szCs w:val="20"/>
          <w:lang w:val="en-US"/>
        </w:rPr>
        <w:t xml:space="preserve"> </w:t>
      </w:r>
      <w:r w:rsidR="00193CBB" w:rsidRPr="00C9465D">
        <w:rPr>
          <w:rFonts w:ascii="Verdana" w:hAnsi="Verdana"/>
          <w:sz w:val="20"/>
          <w:szCs w:val="20"/>
          <w:lang w:val="en-US"/>
        </w:rPr>
        <w:t>Article</w:t>
      </w:r>
      <w:r w:rsidR="000A7745" w:rsidRPr="00C9465D">
        <w:rPr>
          <w:rFonts w:ascii="Verdana" w:hAnsi="Verdana"/>
          <w:sz w:val="20"/>
          <w:szCs w:val="20"/>
          <w:lang w:val="en-US"/>
        </w:rPr>
        <w:t xml:space="preserve"> 2 </w:t>
      </w:r>
      <w:r w:rsidRPr="00C9465D">
        <w:rPr>
          <w:rFonts w:ascii="Verdana" w:hAnsi="Verdana"/>
          <w:sz w:val="20"/>
          <w:szCs w:val="20"/>
          <w:lang w:val="en-US"/>
        </w:rPr>
        <w:t>of this instrument indicate that, if such rights are not already ensured, those State must adopt the necessary measure to give effect to them,</w:t>
      </w:r>
      <w:r w:rsidR="000A7745" w:rsidRPr="00C9465D">
        <w:rPr>
          <w:rStyle w:val="FootnoteReference"/>
          <w:rFonts w:ascii="Verdana" w:hAnsi="Verdana"/>
          <w:sz w:val="20"/>
          <w:szCs w:val="20"/>
          <w:lang w:val="en-US"/>
        </w:rPr>
        <w:footnoteReference w:id="428"/>
      </w:r>
      <w:r w:rsidRPr="00C9465D">
        <w:rPr>
          <w:rFonts w:ascii="Verdana" w:hAnsi="Verdana"/>
          <w:sz w:val="20"/>
          <w:szCs w:val="20"/>
          <w:lang w:val="en-US"/>
        </w:rPr>
        <w:t xml:space="preserve"> does not reveal that those articles establish that</w:t>
      </w:r>
      <w:r w:rsidR="000A7745" w:rsidRPr="00C9465D">
        <w:rPr>
          <w:rFonts w:ascii="Verdana" w:hAnsi="Verdana"/>
          <w:sz w:val="20"/>
          <w:szCs w:val="20"/>
          <w:lang w:val="en-US"/>
        </w:rPr>
        <w:t xml:space="preserve"> </w:t>
      </w:r>
      <w:r w:rsidR="00183C22" w:rsidRPr="00C9465D">
        <w:rPr>
          <w:rFonts w:ascii="Verdana" w:hAnsi="Verdana"/>
          <w:sz w:val="20"/>
          <w:szCs w:val="20"/>
          <w:lang w:val="en-US"/>
        </w:rPr>
        <w:t>the violation</w:t>
      </w:r>
      <w:r w:rsidR="0027794F" w:rsidRPr="00C9465D">
        <w:rPr>
          <w:rFonts w:ascii="Verdana" w:hAnsi="Verdana"/>
          <w:sz w:val="20"/>
          <w:szCs w:val="20"/>
          <w:lang w:val="en-US"/>
        </w:rPr>
        <w:t xml:space="preserve"> of those</w:t>
      </w:r>
      <w:r w:rsidRPr="00C9465D">
        <w:rPr>
          <w:rFonts w:ascii="Verdana" w:hAnsi="Verdana"/>
          <w:sz w:val="20"/>
          <w:szCs w:val="20"/>
          <w:lang w:val="en-US"/>
        </w:rPr>
        <w:t xml:space="preserve"> rights or all of them may be s</w:t>
      </w:r>
      <w:r w:rsidR="00E6346A" w:rsidRPr="00C9465D">
        <w:rPr>
          <w:rFonts w:ascii="Verdana" w:hAnsi="Verdana"/>
          <w:sz w:val="20"/>
          <w:szCs w:val="20"/>
          <w:lang w:val="en-US"/>
        </w:rPr>
        <w:t>ub</w:t>
      </w:r>
      <w:r w:rsidRPr="00C9465D">
        <w:rPr>
          <w:rFonts w:ascii="Verdana" w:hAnsi="Verdana"/>
          <w:sz w:val="20"/>
          <w:szCs w:val="20"/>
          <w:lang w:val="en-US"/>
        </w:rPr>
        <w:t>mitted to the consideration and decision</w:t>
      </w:r>
      <w:r w:rsidR="00193CBB" w:rsidRPr="00C9465D">
        <w:rPr>
          <w:rFonts w:ascii="Verdana" w:hAnsi="Verdana"/>
          <w:sz w:val="20"/>
          <w:szCs w:val="20"/>
          <w:lang w:val="en-US"/>
        </w:rPr>
        <w:t xml:space="preserve"> of the Court</w:t>
      </w:r>
      <w:r w:rsidR="000A7745" w:rsidRPr="00C9465D">
        <w:rPr>
          <w:rFonts w:ascii="Verdana" w:hAnsi="Verdana"/>
          <w:sz w:val="20"/>
          <w:szCs w:val="20"/>
          <w:lang w:val="en-US"/>
        </w:rPr>
        <w:t xml:space="preserve">. </w:t>
      </w:r>
      <w:r w:rsidRPr="00C9465D">
        <w:rPr>
          <w:rFonts w:ascii="Verdana" w:hAnsi="Verdana"/>
          <w:sz w:val="20"/>
          <w:szCs w:val="20"/>
          <w:lang w:val="en-US"/>
        </w:rPr>
        <w:t>They only establish the obligation to respect and to ensure respect for those rights.</w:t>
      </w:r>
    </w:p>
    <w:p w14:paraId="31C090E2" w14:textId="12B95C78" w:rsidR="00617A49" w:rsidRPr="00C9465D" w:rsidRDefault="00617A49" w:rsidP="00D47F8D">
      <w:pPr>
        <w:pStyle w:val="ListParagraph"/>
        <w:numPr>
          <w:ilvl w:val="0"/>
          <w:numId w:val="18"/>
        </w:numPr>
        <w:spacing w:line="240" w:lineRule="auto"/>
        <w:ind w:left="0" w:right="48" w:firstLine="0"/>
        <w:rPr>
          <w:rFonts w:eastAsia="Batang"/>
          <w:b/>
          <w:lang w:val="en-US"/>
        </w:rPr>
      </w:pPr>
      <w:r w:rsidRPr="00C9465D">
        <w:rPr>
          <w:lang w:val="en-US"/>
        </w:rPr>
        <w:t>Ultimately, therefore, it can be asserted that the application of the functional or teleological me</w:t>
      </w:r>
      <w:r w:rsidR="0027794F" w:rsidRPr="00C9465D">
        <w:rPr>
          <w:lang w:val="en-US"/>
        </w:rPr>
        <w:t>ans</w:t>
      </w:r>
      <w:r w:rsidRPr="00C9465D">
        <w:rPr>
          <w:lang w:val="en-US"/>
        </w:rPr>
        <w:t xml:space="preserve"> for the interpretation of treaties to Article 26 of the Convention leads to the same conclusion as was reached by using the other means for the interpretation of treaties; in other words, that the purpose of this article is not to establish any human right but merely to establish the obligation of the States Parties to the Convention to adopt measures to realize the economic, social and cultural rights “derived” from the OAS Charter</w:t>
      </w:r>
      <w:r w:rsidR="0027794F" w:rsidRPr="00C9465D">
        <w:rPr>
          <w:lang w:val="en-US"/>
        </w:rPr>
        <w:t>.</w:t>
      </w:r>
    </w:p>
    <w:p w14:paraId="3E020BD8" w14:textId="77777777" w:rsidR="000A7745" w:rsidRPr="00C9465D" w:rsidRDefault="000A7745" w:rsidP="00760D70">
      <w:pPr>
        <w:pStyle w:val="ListParagraph"/>
        <w:spacing w:line="240" w:lineRule="auto"/>
        <w:ind w:left="-567" w:right="48"/>
        <w:rPr>
          <w:lang w:val="en-US"/>
        </w:rPr>
      </w:pPr>
    </w:p>
    <w:p w14:paraId="6F8D4026" w14:textId="08A35237" w:rsidR="000A7745" w:rsidRPr="00C9465D" w:rsidRDefault="00617A49" w:rsidP="00D47F8D">
      <w:pPr>
        <w:pStyle w:val="ListParagraph"/>
        <w:numPr>
          <w:ilvl w:val="0"/>
          <w:numId w:val="15"/>
        </w:numPr>
        <w:spacing w:line="240" w:lineRule="auto"/>
        <w:ind w:left="567" w:right="48" w:firstLine="0"/>
        <w:rPr>
          <w:rFonts w:eastAsia="Batang"/>
          <w:b/>
          <w:lang w:val="en-US"/>
        </w:rPr>
      </w:pPr>
      <w:r w:rsidRPr="00C9465D">
        <w:rPr>
          <w:rFonts w:eastAsia="Batang"/>
          <w:b/>
          <w:bCs/>
          <w:lang w:val="en-US"/>
        </w:rPr>
        <w:t>Supplementary means</w:t>
      </w:r>
    </w:p>
    <w:p w14:paraId="18E2D41D" w14:textId="77777777" w:rsidR="000A7745" w:rsidRPr="00C9465D" w:rsidRDefault="000A7745" w:rsidP="00760D70">
      <w:pPr>
        <w:pStyle w:val="ListParagraph"/>
        <w:spacing w:line="240" w:lineRule="auto"/>
        <w:ind w:left="-207" w:right="48"/>
        <w:rPr>
          <w:rFonts w:eastAsia="Batang"/>
          <w:b/>
          <w:lang w:val="en-US"/>
        </w:rPr>
      </w:pPr>
    </w:p>
    <w:p w14:paraId="50F01C00" w14:textId="6C1D21F6" w:rsidR="000A7745" w:rsidRPr="00C9465D" w:rsidRDefault="00617A49" w:rsidP="00617A49">
      <w:pPr>
        <w:pStyle w:val="ListParagraph"/>
        <w:numPr>
          <w:ilvl w:val="0"/>
          <w:numId w:val="18"/>
        </w:numPr>
        <w:spacing w:line="240" w:lineRule="auto"/>
        <w:ind w:left="0" w:right="48" w:firstLine="0"/>
        <w:rPr>
          <w:lang w:val="en-US"/>
        </w:rPr>
      </w:pPr>
      <w:r w:rsidRPr="00C9465D">
        <w:rPr>
          <w:lang w:val="en-US"/>
        </w:rPr>
        <w:t>With regard to the supplementary means of interpretation of treaties,</w:t>
      </w:r>
      <w:r w:rsidR="000A7745" w:rsidRPr="00C9465D">
        <w:rPr>
          <w:lang w:val="en-US"/>
        </w:rPr>
        <w:t xml:space="preserve"> </w:t>
      </w:r>
      <w:r w:rsidRPr="00C9465D">
        <w:rPr>
          <w:lang w:val="en-US"/>
        </w:rPr>
        <w:t xml:space="preserve">it should be underscored that, during the 1969 </w:t>
      </w:r>
      <w:r w:rsidRPr="00C9465D">
        <w:rPr>
          <w:spacing w:val="-3"/>
          <w:lang w:val="en-US"/>
        </w:rPr>
        <w:t>Inter</w:t>
      </w:r>
      <w:r w:rsidRPr="00C9465D">
        <w:rPr>
          <w:spacing w:val="-3"/>
          <w:lang w:val="en-US"/>
        </w:rPr>
        <w:noBreakHyphen/>
        <w:t xml:space="preserve">American Specialized Conference on Human Rights </w:t>
      </w:r>
      <w:r w:rsidR="00370C93" w:rsidRPr="00C9465D">
        <w:rPr>
          <w:spacing w:val="-3"/>
          <w:lang w:val="en-US"/>
        </w:rPr>
        <w:t xml:space="preserve">at </w:t>
      </w:r>
      <w:r w:rsidRPr="00C9465D">
        <w:rPr>
          <w:spacing w:val="-3"/>
          <w:lang w:val="en-US"/>
        </w:rPr>
        <w:t>which the definitive text of the Convention was adopted,</w:t>
      </w:r>
      <w:r w:rsidR="00370C93" w:rsidRPr="00C9465D">
        <w:rPr>
          <w:spacing w:val="-3"/>
          <w:lang w:val="en-US"/>
        </w:rPr>
        <w:t xml:space="preserve"> two articles on this matter were proposed. On was the number 26 in the terms that appear in the Convention. This article was adopted.</w:t>
      </w:r>
      <w:r w:rsidR="000A7745" w:rsidRPr="00C9465D">
        <w:rPr>
          <w:vertAlign w:val="superscript"/>
          <w:lang w:val="en-US"/>
        </w:rPr>
        <w:footnoteReference w:id="429"/>
      </w:r>
    </w:p>
    <w:p w14:paraId="768EBD34" w14:textId="77777777" w:rsidR="00370C93" w:rsidRPr="00C9465D" w:rsidRDefault="00370C93" w:rsidP="00370C93">
      <w:pPr>
        <w:pStyle w:val="ListParagraph"/>
        <w:spacing w:line="240" w:lineRule="auto"/>
        <w:ind w:left="0" w:right="48"/>
        <w:rPr>
          <w:lang w:val="en-US"/>
        </w:rPr>
      </w:pPr>
    </w:p>
    <w:p w14:paraId="479CC171" w14:textId="1560BD5C" w:rsidR="00370C93" w:rsidRPr="00C9465D" w:rsidRDefault="00370C93" w:rsidP="00760D70">
      <w:pPr>
        <w:pStyle w:val="ListParagraph"/>
        <w:numPr>
          <w:ilvl w:val="0"/>
          <w:numId w:val="18"/>
        </w:numPr>
        <w:spacing w:line="240" w:lineRule="auto"/>
        <w:ind w:left="0" w:right="48" w:firstLine="0"/>
        <w:rPr>
          <w:lang w:val="en-US"/>
        </w:rPr>
      </w:pPr>
      <w:r w:rsidRPr="00C9465D">
        <w:rPr>
          <w:lang w:val="en-US"/>
        </w:rPr>
        <w:t>The other proposed article stated: Article 27: “Monitoring Compliance with the Obligations. The States Parties shall transmit to the Inter-American Commission of Human Rights a copy of each of the reports and studies that they submit annually to the Executive Committees of the Inter-American Economic and Social Council and the Inter-American Council for Education, Science and Culture, in their respective fields, so that the Commission can verify their compliance with the obligations determined previously, which are the essential basis for the exercise of the other rights enshrined in this Convention.” </w:t>
      </w:r>
    </w:p>
    <w:p w14:paraId="52AEBF9B" w14:textId="77777777" w:rsidR="00370C93" w:rsidRPr="00C9465D" w:rsidRDefault="00370C93" w:rsidP="00760D70">
      <w:pPr>
        <w:spacing w:line="240" w:lineRule="auto"/>
        <w:ind w:right="48"/>
        <w:contextualSpacing/>
        <w:rPr>
          <w:rFonts w:ascii="Verdana" w:eastAsia="Batang" w:hAnsi="Verdana"/>
          <w:sz w:val="20"/>
          <w:szCs w:val="20"/>
          <w:lang w:val="en-US"/>
        </w:rPr>
      </w:pPr>
    </w:p>
    <w:p w14:paraId="208F3599" w14:textId="2D62AB32" w:rsidR="00370C93" w:rsidRPr="00C9465D" w:rsidRDefault="00370C93" w:rsidP="00370C93">
      <w:pPr>
        <w:numPr>
          <w:ilvl w:val="0"/>
          <w:numId w:val="18"/>
        </w:numPr>
        <w:spacing w:line="240" w:lineRule="auto"/>
        <w:ind w:left="0" w:right="48" w:firstLine="0"/>
        <w:contextualSpacing/>
        <w:jc w:val="both"/>
        <w:rPr>
          <w:rFonts w:ascii="Verdana" w:hAnsi="Verdana"/>
          <w:iCs/>
          <w:sz w:val="20"/>
          <w:szCs w:val="20"/>
          <w:lang w:val="en-US"/>
        </w:rPr>
      </w:pPr>
      <w:r w:rsidRPr="00C9465D">
        <w:rPr>
          <w:rFonts w:ascii="Verdana" w:hAnsi="Verdana"/>
          <w:sz w:val="20"/>
          <w:szCs w:val="20"/>
          <w:lang w:val="en-US"/>
        </w:rPr>
        <w:t>It should be noted that the said draft article 27, which was not adopted,</w:t>
      </w:r>
      <w:r w:rsidR="000A7745" w:rsidRPr="00C9465D">
        <w:rPr>
          <w:rFonts w:ascii="Verdana" w:hAnsi="Verdana"/>
          <w:sz w:val="20"/>
          <w:szCs w:val="20"/>
          <w:vertAlign w:val="superscript"/>
          <w:lang w:val="en-US"/>
        </w:rPr>
        <w:footnoteReference w:id="430"/>
      </w:r>
      <w:r w:rsidR="000A7745" w:rsidRPr="00C9465D">
        <w:rPr>
          <w:rFonts w:ascii="Verdana" w:hAnsi="Verdana"/>
          <w:sz w:val="20"/>
          <w:szCs w:val="20"/>
          <w:lang w:val="en-US"/>
        </w:rPr>
        <w:t xml:space="preserve"> </w:t>
      </w:r>
      <w:r w:rsidRPr="00C9465D">
        <w:rPr>
          <w:rFonts w:ascii="Verdana" w:hAnsi="Verdana"/>
          <w:sz w:val="20"/>
          <w:szCs w:val="20"/>
          <w:lang w:val="en-US"/>
        </w:rPr>
        <w:t xml:space="preserve">referred to “reports and studies” for the Commission to verify compliance with the said obligations and therefore distinguished between “the obligations determined previously” – evidently in Article 26 – that is, those relating to the rights that derive from “the economic, social, </w:t>
      </w:r>
      <w:r w:rsidRPr="00C9465D">
        <w:rPr>
          <w:rFonts w:ascii="Verdana" w:hAnsi="Verdana"/>
          <w:spacing w:val="-3"/>
          <w:sz w:val="20"/>
          <w:szCs w:val="20"/>
          <w:lang w:val="en-US"/>
        </w:rPr>
        <w:t xml:space="preserve">educational, scientific, and cultural standards set forth in the Charter of the Organization of American States </w:t>
      </w:r>
      <w:r w:rsidRPr="00C9465D">
        <w:rPr>
          <w:rFonts w:ascii="Verdana" w:hAnsi="Verdana"/>
          <w:spacing w:val="-3"/>
          <w:sz w:val="20"/>
          <w:szCs w:val="20"/>
          <w:lang w:val="en-US"/>
        </w:rPr>
        <w:lastRenderedPageBreak/>
        <w:t xml:space="preserve">as amended by the Protocol of Buenos Aires” </w:t>
      </w:r>
      <w:r w:rsidRPr="00C9465D">
        <w:rPr>
          <w:rFonts w:ascii="Verdana" w:hAnsi="Verdana"/>
          <w:sz w:val="20"/>
          <w:szCs w:val="20"/>
          <w:lang w:val="en-US"/>
        </w:rPr>
        <w:t>and, on the other hand, the “other rights enshrined in this Convention”; that is, the “civil and political rights.”</w:t>
      </w:r>
    </w:p>
    <w:p w14:paraId="7C50CCCF" w14:textId="77777777" w:rsidR="000A7745" w:rsidRPr="00C9465D" w:rsidRDefault="000A7745" w:rsidP="00760D70">
      <w:pPr>
        <w:spacing w:line="240" w:lineRule="auto"/>
        <w:ind w:right="48"/>
        <w:contextualSpacing/>
        <w:rPr>
          <w:rFonts w:ascii="Verdana" w:hAnsi="Verdana"/>
          <w:sz w:val="20"/>
          <w:szCs w:val="20"/>
          <w:lang w:val="en-US"/>
        </w:rPr>
      </w:pPr>
    </w:p>
    <w:p w14:paraId="42CE2140" w14:textId="34ACC750" w:rsidR="000A7745" w:rsidRPr="00C9465D" w:rsidRDefault="00FE2B01" w:rsidP="0027794F">
      <w:pPr>
        <w:numPr>
          <w:ilvl w:val="0"/>
          <w:numId w:val="18"/>
        </w:numPr>
        <w:spacing w:after="0" w:line="240" w:lineRule="auto"/>
        <w:ind w:left="0" w:right="48" w:firstLine="0"/>
        <w:contextualSpacing/>
        <w:jc w:val="both"/>
        <w:rPr>
          <w:rFonts w:ascii="Verdana" w:hAnsi="Verdana"/>
          <w:sz w:val="20"/>
          <w:szCs w:val="20"/>
          <w:lang w:val="en-US"/>
        </w:rPr>
      </w:pPr>
      <w:r w:rsidRPr="00C9465D">
        <w:rPr>
          <w:rFonts w:ascii="Verdana" w:hAnsi="Verdana"/>
          <w:sz w:val="20"/>
          <w:szCs w:val="20"/>
          <w:lang w:val="en-US"/>
        </w:rPr>
        <w:t xml:space="preserve">Therefore, the adoption of </w:t>
      </w:r>
      <w:r w:rsidR="007A3CA5" w:rsidRPr="00C9465D">
        <w:rPr>
          <w:rFonts w:ascii="Verdana" w:hAnsi="Verdana"/>
          <w:sz w:val="20"/>
          <w:szCs w:val="20"/>
          <w:lang w:val="en-US"/>
        </w:rPr>
        <w:t>Article</w:t>
      </w:r>
      <w:r w:rsidR="000A7745" w:rsidRPr="00C9465D">
        <w:rPr>
          <w:rFonts w:ascii="Verdana" w:hAnsi="Verdana"/>
          <w:sz w:val="20"/>
          <w:szCs w:val="20"/>
          <w:lang w:val="en-US"/>
        </w:rPr>
        <w:t xml:space="preserve"> 26</w:t>
      </w:r>
      <w:r w:rsidRPr="00C9465D">
        <w:rPr>
          <w:rFonts w:ascii="Verdana" w:hAnsi="Verdana"/>
          <w:sz w:val="20"/>
          <w:szCs w:val="20"/>
          <w:lang w:val="en-US"/>
        </w:rPr>
        <w:t xml:space="preserve"> was not intended to incorporate the economic, social, </w:t>
      </w:r>
      <w:r w:rsidRPr="00C9465D">
        <w:rPr>
          <w:rFonts w:ascii="Verdana" w:hAnsi="Verdana"/>
          <w:spacing w:val="-3"/>
          <w:sz w:val="20"/>
          <w:szCs w:val="20"/>
          <w:lang w:val="en-US"/>
        </w:rPr>
        <w:t xml:space="preserve">educational, scientific, and cultural rights into the protection system established in the Convention. The only suggestion in this regard was that compliance with the obligations relating to those rights should be verified by the organs of the OAS, considering that such compliance was the basis for the realization of the civil and political rights. And, as indicated, this proposal was not adopted. This confirms that </w:t>
      </w:r>
      <w:r w:rsidRPr="00C9465D">
        <w:rPr>
          <w:rFonts w:ascii="Verdana" w:hAnsi="Verdana"/>
          <w:sz w:val="20"/>
          <w:szCs w:val="20"/>
          <w:lang w:val="en-US"/>
        </w:rPr>
        <w:t xml:space="preserve">the </w:t>
      </w:r>
      <w:r w:rsidR="00895093" w:rsidRPr="00C9465D">
        <w:rPr>
          <w:rFonts w:ascii="Verdana" w:hAnsi="Verdana"/>
          <w:sz w:val="20"/>
          <w:szCs w:val="20"/>
          <w:lang w:val="en-US"/>
        </w:rPr>
        <w:t>States Parties to the Convention</w:t>
      </w:r>
      <w:r w:rsidR="000A7745" w:rsidRPr="00C9465D">
        <w:rPr>
          <w:rFonts w:ascii="Verdana" w:hAnsi="Verdana"/>
          <w:sz w:val="20"/>
          <w:szCs w:val="20"/>
          <w:lang w:val="en-US"/>
        </w:rPr>
        <w:t xml:space="preserve"> </w:t>
      </w:r>
      <w:r w:rsidRPr="00C9465D">
        <w:rPr>
          <w:rFonts w:ascii="Verdana" w:hAnsi="Verdana"/>
          <w:sz w:val="20"/>
          <w:szCs w:val="20"/>
          <w:lang w:val="en-US"/>
        </w:rPr>
        <w:t>had no intention of including the economic, social and cultural rights in the protection system that it does establish for the civil and political rights.</w:t>
      </w:r>
      <w:r w:rsidR="000A7745" w:rsidRPr="00C9465D">
        <w:rPr>
          <w:rFonts w:ascii="Verdana" w:hAnsi="Verdana"/>
          <w:sz w:val="20"/>
          <w:szCs w:val="20"/>
          <w:vertAlign w:val="superscript"/>
          <w:lang w:val="en-US"/>
        </w:rPr>
        <w:footnoteReference w:id="431"/>
      </w:r>
    </w:p>
    <w:p w14:paraId="63672618" w14:textId="77777777" w:rsidR="0027794F" w:rsidRPr="00C9465D" w:rsidRDefault="0027794F" w:rsidP="0027794F">
      <w:pPr>
        <w:spacing w:after="0" w:line="240" w:lineRule="auto"/>
        <w:ind w:right="48"/>
        <w:contextualSpacing/>
        <w:jc w:val="both"/>
        <w:rPr>
          <w:rFonts w:ascii="Verdana" w:hAnsi="Verdana"/>
          <w:sz w:val="20"/>
          <w:szCs w:val="20"/>
          <w:lang w:val="en-US"/>
        </w:rPr>
      </w:pPr>
    </w:p>
    <w:p w14:paraId="78DE7E6C" w14:textId="563B9DAB" w:rsidR="000A7745" w:rsidRPr="00C9465D" w:rsidRDefault="000A7745" w:rsidP="0027794F">
      <w:pPr>
        <w:pStyle w:val="ListParagraph"/>
        <w:spacing w:line="240" w:lineRule="auto"/>
        <w:ind w:left="0" w:right="48"/>
        <w:rPr>
          <w:rFonts w:eastAsia="Batang"/>
          <w:b/>
          <w:bCs/>
          <w:lang w:val="en-US"/>
        </w:rPr>
      </w:pPr>
      <w:r w:rsidRPr="00C9465D">
        <w:rPr>
          <w:rFonts w:eastAsia="Batang"/>
          <w:b/>
          <w:bCs/>
          <w:lang w:val="en-US"/>
        </w:rPr>
        <w:t xml:space="preserve">V.  </w:t>
      </w:r>
      <w:r w:rsidRPr="00C9465D">
        <w:rPr>
          <w:rFonts w:eastAsia="Batang"/>
          <w:b/>
          <w:bCs/>
          <w:lang w:val="en-US"/>
        </w:rPr>
        <w:tab/>
      </w:r>
      <w:r w:rsidR="00260D95" w:rsidRPr="00C9465D">
        <w:rPr>
          <w:rFonts w:eastAsia="Batang"/>
          <w:b/>
          <w:bCs/>
          <w:lang w:val="en-US"/>
        </w:rPr>
        <w:t>THE OAS CHARTER</w:t>
      </w:r>
    </w:p>
    <w:p w14:paraId="481C9086" w14:textId="77777777" w:rsidR="0091026A" w:rsidRPr="00C9465D" w:rsidRDefault="0091026A" w:rsidP="0027794F">
      <w:pPr>
        <w:pStyle w:val="ListParagraph"/>
        <w:spacing w:line="240" w:lineRule="auto"/>
        <w:ind w:left="0" w:right="48"/>
        <w:rPr>
          <w:rFonts w:eastAsia="Batang"/>
          <w:b/>
          <w:bCs/>
          <w:lang w:val="en-US"/>
        </w:rPr>
      </w:pPr>
    </w:p>
    <w:p w14:paraId="0AA4DDD6" w14:textId="32CA120D" w:rsidR="000A7745" w:rsidRPr="00C9465D" w:rsidRDefault="006B76D8" w:rsidP="0027794F">
      <w:pPr>
        <w:numPr>
          <w:ilvl w:val="0"/>
          <w:numId w:val="18"/>
        </w:numPr>
        <w:spacing w:after="0" w:line="240" w:lineRule="auto"/>
        <w:ind w:left="0" w:right="48" w:firstLine="0"/>
        <w:contextualSpacing/>
        <w:jc w:val="both"/>
        <w:rPr>
          <w:rFonts w:ascii="Verdana" w:hAnsi="Verdana"/>
          <w:sz w:val="20"/>
          <w:szCs w:val="20"/>
          <w:lang w:val="en-US"/>
        </w:rPr>
      </w:pPr>
      <w:r w:rsidRPr="00C9465D">
        <w:rPr>
          <w:rFonts w:ascii="Verdana" w:hAnsi="Verdana"/>
          <w:bCs/>
          <w:sz w:val="20"/>
          <w:szCs w:val="20"/>
          <w:lang w:val="en-US"/>
        </w:rPr>
        <w:t>That said, based on</w:t>
      </w:r>
      <w:r w:rsidR="0027794F" w:rsidRPr="00C9465D">
        <w:rPr>
          <w:rFonts w:ascii="Verdana" w:hAnsi="Verdana"/>
          <w:bCs/>
          <w:sz w:val="20"/>
          <w:szCs w:val="20"/>
          <w:lang w:val="en-US"/>
        </w:rPr>
        <w:t xml:space="preserve"> the</w:t>
      </w:r>
      <w:r w:rsidRPr="00C9465D">
        <w:rPr>
          <w:rFonts w:ascii="Verdana" w:hAnsi="Verdana"/>
          <w:bCs/>
          <w:sz w:val="20"/>
          <w:szCs w:val="20"/>
          <w:lang w:val="en-US"/>
        </w:rPr>
        <w:t xml:space="preserve"> fact that </w:t>
      </w:r>
      <w:r w:rsidR="00193CBB" w:rsidRPr="00C9465D">
        <w:rPr>
          <w:rFonts w:ascii="Verdana" w:hAnsi="Verdana"/>
          <w:sz w:val="20"/>
          <w:szCs w:val="20"/>
          <w:lang w:val="en-US"/>
        </w:rPr>
        <w:t>Article</w:t>
      </w:r>
      <w:r w:rsidR="000A7745" w:rsidRPr="00C9465D">
        <w:rPr>
          <w:rFonts w:ascii="Verdana" w:hAnsi="Verdana"/>
          <w:sz w:val="20"/>
          <w:szCs w:val="20"/>
          <w:lang w:val="en-US"/>
        </w:rPr>
        <w:t xml:space="preserve"> 26 </w:t>
      </w:r>
      <w:r w:rsidRPr="00C9465D">
        <w:rPr>
          <w:rFonts w:ascii="Verdana" w:hAnsi="Verdana"/>
          <w:sz w:val="20"/>
          <w:szCs w:val="20"/>
          <w:lang w:val="en-US"/>
        </w:rPr>
        <w:t>refers to the</w:t>
      </w:r>
      <w:r w:rsidR="000A7745" w:rsidRPr="00C9465D">
        <w:rPr>
          <w:rFonts w:ascii="Verdana" w:eastAsia="Batang" w:hAnsi="Verdana"/>
          <w:i/>
          <w:sz w:val="20"/>
          <w:szCs w:val="20"/>
          <w:lang w:val="en-US"/>
        </w:rPr>
        <w:t xml:space="preserve"> </w:t>
      </w:r>
      <w:r w:rsidRPr="00C9465D">
        <w:rPr>
          <w:rFonts w:ascii="Verdana" w:hAnsi="Verdana"/>
          <w:sz w:val="20"/>
          <w:szCs w:val="20"/>
          <w:lang w:val="en-US"/>
        </w:rPr>
        <w:t xml:space="preserve">“the economic, social, </w:t>
      </w:r>
      <w:r w:rsidRPr="00C9465D">
        <w:rPr>
          <w:rFonts w:ascii="Verdana" w:hAnsi="Verdana"/>
          <w:spacing w:val="-3"/>
          <w:sz w:val="20"/>
          <w:szCs w:val="20"/>
          <w:lang w:val="en-US"/>
        </w:rPr>
        <w:t xml:space="preserve">educational, scientific, and cultural standards set forth in the Charter of the Organization of American States as amended by the Protocol of Buenos Aires,” </w:t>
      </w:r>
      <w:r w:rsidRPr="00C9465D">
        <w:rPr>
          <w:rFonts w:ascii="Verdana" w:hAnsi="Verdana"/>
          <w:sz w:val="20"/>
          <w:szCs w:val="20"/>
          <w:lang w:val="en-US"/>
        </w:rPr>
        <w:t>it is essential, in order to know the scope of the latter, to refer to the content of the same standards and, in particular, those cited in the judgment.</w:t>
      </w:r>
    </w:p>
    <w:p w14:paraId="71DF2418" w14:textId="77777777" w:rsidR="000A7745" w:rsidRPr="00C9465D" w:rsidRDefault="000A7745" w:rsidP="0027794F">
      <w:pPr>
        <w:spacing w:after="0" w:line="240" w:lineRule="auto"/>
        <w:ind w:right="48"/>
        <w:contextualSpacing/>
        <w:rPr>
          <w:rFonts w:ascii="Verdana" w:hAnsi="Verdana"/>
          <w:sz w:val="20"/>
          <w:szCs w:val="20"/>
          <w:lang w:val="en-US"/>
        </w:rPr>
      </w:pPr>
    </w:p>
    <w:p w14:paraId="1878A641" w14:textId="48F94BC5" w:rsidR="000A7745" w:rsidRPr="00C9465D" w:rsidRDefault="006B76D8" w:rsidP="0027794F">
      <w:pPr>
        <w:numPr>
          <w:ilvl w:val="0"/>
          <w:numId w:val="18"/>
        </w:numPr>
        <w:spacing w:after="0" w:line="240" w:lineRule="auto"/>
        <w:ind w:left="0" w:right="48" w:firstLine="0"/>
        <w:contextualSpacing/>
        <w:jc w:val="both"/>
        <w:rPr>
          <w:rFonts w:ascii="Verdana" w:hAnsi="Verdana"/>
          <w:sz w:val="20"/>
          <w:szCs w:val="20"/>
          <w:lang w:val="en-US"/>
        </w:rPr>
      </w:pPr>
      <w:r w:rsidRPr="00C9465D">
        <w:rPr>
          <w:rFonts w:ascii="Verdana" w:eastAsia="Batang" w:hAnsi="Verdana"/>
          <w:sz w:val="20"/>
          <w:szCs w:val="20"/>
          <w:lang w:val="en-US"/>
        </w:rPr>
        <w:t>Regarding</w:t>
      </w:r>
      <w:r w:rsidR="000A7745" w:rsidRPr="00C9465D">
        <w:rPr>
          <w:rFonts w:ascii="Verdana" w:eastAsia="Batang" w:hAnsi="Verdana"/>
          <w:sz w:val="20"/>
          <w:szCs w:val="20"/>
          <w:lang w:val="en-US"/>
        </w:rPr>
        <w:t xml:space="preserve"> </w:t>
      </w:r>
      <w:r w:rsidR="00260D95" w:rsidRPr="00C9465D">
        <w:rPr>
          <w:rFonts w:ascii="Verdana" w:eastAsia="Batang" w:hAnsi="Verdana"/>
          <w:sz w:val="20"/>
          <w:szCs w:val="20"/>
          <w:lang w:val="en-US"/>
        </w:rPr>
        <w:t>the right to health</w:t>
      </w:r>
      <w:r w:rsidR="000A7745" w:rsidRPr="00C9465D">
        <w:rPr>
          <w:rFonts w:ascii="Verdana" w:eastAsia="Batang" w:hAnsi="Verdana"/>
          <w:sz w:val="20"/>
          <w:szCs w:val="20"/>
          <w:lang w:val="en-US"/>
        </w:rPr>
        <w:t xml:space="preserve">, </w:t>
      </w:r>
      <w:r w:rsidRPr="00C9465D">
        <w:rPr>
          <w:rFonts w:ascii="Verdana" w:eastAsia="Batang" w:hAnsi="Verdana"/>
          <w:sz w:val="20"/>
          <w:szCs w:val="20"/>
          <w:lang w:val="en-US"/>
        </w:rPr>
        <w:t>the judgment refers to</w:t>
      </w:r>
      <w:r w:rsidR="000A7745" w:rsidRPr="00C9465D">
        <w:rPr>
          <w:rFonts w:ascii="Verdana" w:eastAsia="Batang" w:hAnsi="Verdana"/>
          <w:sz w:val="20"/>
          <w:szCs w:val="20"/>
          <w:lang w:val="en-US"/>
        </w:rPr>
        <w:t xml:space="preserve"> </w:t>
      </w:r>
      <w:r w:rsidR="00193CBB" w:rsidRPr="00C9465D">
        <w:rPr>
          <w:rFonts w:ascii="Verdana" w:eastAsia="Batang" w:hAnsi="Verdana"/>
          <w:sz w:val="20"/>
          <w:szCs w:val="20"/>
          <w:lang w:val="en-US"/>
        </w:rPr>
        <w:t>Articles</w:t>
      </w:r>
      <w:bookmarkStart w:id="168" w:name="_Hlk68516143"/>
      <w:r w:rsidR="000A7745" w:rsidRPr="00C9465D">
        <w:rPr>
          <w:rFonts w:ascii="Verdana" w:eastAsia="Batang" w:hAnsi="Verdana"/>
          <w:sz w:val="20"/>
          <w:szCs w:val="20"/>
          <w:lang w:val="en-US"/>
        </w:rPr>
        <w:t xml:space="preserve"> </w:t>
      </w:r>
      <w:r w:rsidR="00260D95" w:rsidRPr="00C9465D">
        <w:rPr>
          <w:rFonts w:ascii="Verdana" w:hAnsi="Verdana"/>
          <w:sz w:val="20"/>
          <w:szCs w:val="20"/>
          <w:lang w:val="en-US"/>
        </w:rPr>
        <w:t>34(i)</w:t>
      </w:r>
      <w:r w:rsidRPr="00C9465D">
        <w:rPr>
          <w:rFonts w:ascii="Verdana" w:hAnsi="Verdana"/>
          <w:sz w:val="20"/>
          <w:szCs w:val="20"/>
          <w:lang w:val="en-US"/>
        </w:rPr>
        <w:t>,</w:t>
      </w:r>
      <w:r w:rsidR="000A7745" w:rsidRPr="00C9465D">
        <w:rPr>
          <w:rStyle w:val="FootnoteReference"/>
          <w:rFonts w:ascii="Verdana" w:hAnsi="Verdana"/>
          <w:sz w:val="20"/>
          <w:szCs w:val="20"/>
          <w:lang w:val="en-US"/>
        </w:rPr>
        <w:footnoteReference w:id="432"/>
      </w:r>
      <w:r w:rsidR="000A7745" w:rsidRPr="00C9465D">
        <w:rPr>
          <w:rFonts w:ascii="Verdana" w:hAnsi="Verdana"/>
          <w:sz w:val="20"/>
          <w:szCs w:val="20"/>
          <w:lang w:val="en-US"/>
        </w:rPr>
        <w:t xml:space="preserve"> </w:t>
      </w:r>
      <w:r w:rsidR="00260D95" w:rsidRPr="00C9465D">
        <w:rPr>
          <w:rFonts w:ascii="Verdana" w:hAnsi="Verdana"/>
          <w:sz w:val="20"/>
          <w:szCs w:val="20"/>
          <w:lang w:val="en-US"/>
        </w:rPr>
        <w:t>34(l)</w:t>
      </w:r>
      <w:r w:rsidR="000A7745" w:rsidRPr="00C9465D">
        <w:rPr>
          <w:rStyle w:val="FootnoteReference"/>
          <w:rFonts w:ascii="Verdana" w:hAnsi="Verdana"/>
          <w:sz w:val="20"/>
          <w:szCs w:val="20"/>
          <w:lang w:val="en-US"/>
        </w:rPr>
        <w:footnoteReference w:id="433"/>
      </w:r>
      <w:r w:rsidR="00193CBB" w:rsidRPr="00C9465D">
        <w:rPr>
          <w:rFonts w:ascii="Verdana" w:hAnsi="Verdana"/>
          <w:sz w:val="20"/>
          <w:szCs w:val="20"/>
          <w:lang w:val="en-US"/>
        </w:rPr>
        <w:t xml:space="preserve"> and </w:t>
      </w:r>
      <w:r w:rsidR="00260D95" w:rsidRPr="00C9465D">
        <w:rPr>
          <w:rFonts w:ascii="Verdana" w:hAnsi="Verdana"/>
          <w:sz w:val="20"/>
          <w:szCs w:val="20"/>
          <w:lang w:val="en-US"/>
        </w:rPr>
        <w:t>45(h)</w:t>
      </w:r>
      <w:r w:rsidR="000A7745" w:rsidRPr="00C9465D">
        <w:rPr>
          <w:rStyle w:val="FootnoteReference"/>
          <w:rFonts w:ascii="Verdana" w:hAnsi="Verdana"/>
          <w:sz w:val="20"/>
          <w:szCs w:val="20"/>
          <w:lang w:val="en-US"/>
        </w:rPr>
        <w:footnoteReference w:id="434"/>
      </w:r>
      <w:r w:rsidR="00260D95" w:rsidRPr="00C9465D">
        <w:rPr>
          <w:rFonts w:ascii="Verdana" w:hAnsi="Verdana"/>
          <w:sz w:val="20"/>
          <w:szCs w:val="20"/>
          <w:lang w:val="en-US"/>
        </w:rPr>
        <w:t xml:space="preserve"> of the </w:t>
      </w:r>
      <w:r w:rsidR="00260D95" w:rsidRPr="00C9465D">
        <w:rPr>
          <w:rFonts w:ascii="Verdana" w:eastAsia="Batang" w:hAnsi="Verdana"/>
          <w:sz w:val="20"/>
          <w:szCs w:val="20"/>
          <w:lang w:val="en-US"/>
        </w:rPr>
        <w:t>OAS Charter</w:t>
      </w:r>
      <w:r w:rsidRPr="00C9465D">
        <w:rPr>
          <w:rFonts w:ascii="Verdana" w:eastAsia="Batang" w:hAnsi="Verdana"/>
          <w:sz w:val="20"/>
          <w:szCs w:val="20"/>
          <w:lang w:val="en-US"/>
        </w:rPr>
        <w:t>,</w:t>
      </w:r>
      <w:r w:rsidR="000A7745" w:rsidRPr="00C9465D">
        <w:rPr>
          <w:rStyle w:val="FootnoteReference"/>
          <w:rFonts w:ascii="Verdana" w:eastAsia="Batang" w:hAnsi="Verdana"/>
          <w:sz w:val="20"/>
          <w:szCs w:val="20"/>
          <w:lang w:val="en-US"/>
        </w:rPr>
        <w:footnoteReference w:id="435"/>
      </w:r>
      <w:r w:rsidRPr="00C9465D">
        <w:rPr>
          <w:rFonts w:ascii="Verdana" w:eastAsia="Batang" w:hAnsi="Verdana"/>
          <w:sz w:val="20"/>
          <w:szCs w:val="20"/>
          <w:lang w:val="en-US"/>
        </w:rPr>
        <w:t xml:space="preserve"> adding that “the Court </w:t>
      </w:r>
      <w:r w:rsidRPr="00C9465D">
        <w:rPr>
          <w:rFonts w:ascii="Verdana" w:hAnsi="Verdana"/>
          <w:sz w:val="20"/>
          <w:szCs w:val="20"/>
          <w:lang w:val="en-US"/>
        </w:rPr>
        <w:t xml:space="preserve">in various precedents has recognized the right to health as a right protected by Article 26 of the Convention” and that “[i]n addition, Article XI of the American Declaration allows the right to health to be identified when stating that ‘[e]veryone has the right </w:t>
      </w:r>
      <w:r w:rsidRPr="00C9465D">
        <w:rPr>
          <w:rFonts w:ascii="Verdana" w:hAnsi="Verdana" w:cs="Verdana"/>
          <w:sz w:val="20"/>
          <w:szCs w:val="20"/>
          <w:lang w:val="en-US"/>
        </w:rPr>
        <w:t xml:space="preserve">to the preservation of his health through sanitary and social measures relating to </w:t>
      </w:r>
      <w:r w:rsidR="00520411" w:rsidRPr="00C9465D">
        <w:rPr>
          <w:rFonts w:ascii="Verdana" w:hAnsi="Verdana"/>
          <w:sz w:val="20"/>
          <w:szCs w:val="20"/>
          <w:lang w:val="en-US"/>
        </w:rPr>
        <w:t>[…]</w:t>
      </w:r>
      <w:r w:rsidRPr="00C9465D">
        <w:rPr>
          <w:rFonts w:ascii="Verdana" w:hAnsi="Verdana"/>
          <w:sz w:val="20"/>
          <w:szCs w:val="20"/>
          <w:lang w:val="en-US"/>
        </w:rPr>
        <w:t xml:space="preserve"> </w:t>
      </w:r>
      <w:r w:rsidRPr="00C9465D">
        <w:rPr>
          <w:rFonts w:ascii="Verdana" w:hAnsi="Verdana" w:cs="Verdana"/>
          <w:sz w:val="20"/>
          <w:szCs w:val="20"/>
          <w:lang w:val="en-US"/>
        </w:rPr>
        <w:t>medical care, to the extent</w:t>
      </w:r>
      <w:r w:rsidRPr="00C9465D">
        <w:rPr>
          <w:rFonts w:ascii="Verdana" w:hAnsi="Verdana"/>
          <w:sz w:val="20"/>
          <w:szCs w:val="20"/>
          <w:lang w:val="en-US"/>
        </w:rPr>
        <w:t xml:space="preserve"> </w:t>
      </w:r>
      <w:r w:rsidRPr="00C9465D">
        <w:rPr>
          <w:rFonts w:ascii="Verdana" w:hAnsi="Verdana" w:cs="Verdana"/>
          <w:sz w:val="20"/>
          <w:szCs w:val="20"/>
          <w:lang w:val="en-US"/>
        </w:rPr>
        <w:t>permitted by public and community resources.’”</w:t>
      </w:r>
      <w:bookmarkEnd w:id="168"/>
      <w:r w:rsidR="002E0781" w:rsidRPr="00C9465D">
        <w:rPr>
          <w:rStyle w:val="FootnoteReference"/>
          <w:rFonts w:ascii="Verdana" w:hAnsi="Verdana"/>
          <w:sz w:val="20"/>
          <w:szCs w:val="20"/>
          <w:lang w:val="en-US"/>
        </w:rPr>
        <w:footnoteReference w:id="436"/>
      </w:r>
      <w:r w:rsidRPr="00C9465D">
        <w:rPr>
          <w:rFonts w:ascii="Verdana" w:hAnsi="Verdana" w:cs="Verdana"/>
          <w:sz w:val="20"/>
          <w:szCs w:val="20"/>
          <w:lang w:val="en-US"/>
        </w:rPr>
        <w:t xml:space="preserve"> Similarly, the judgment cites </w:t>
      </w:r>
      <w:r w:rsidR="00193CBB" w:rsidRPr="00C9465D">
        <w:rPr>
          <w:rFonts w:ascii="Verdana" w:hAnsi="Verdana"/>
          <w:sz w:val="20"/>
          <w:szCs w:val="20"/>
          <w:lang w:val="en-US"/>
        </w:rPr>
        <w:t>Article</w:t>
      </w:r>
      <w:r w:rsidR="000A7745" w:rsidRPr="00C9465D">
        <w:rPr>
          <w:rFonts w:ascii="Verdana" w:hAnsi="Verdana"/>
          <w:sz w:val="20"/>
          <w:szCs w:val="20"/>
          <w:lang w:val="en-US"/>
        </w:rPr>
        <w:t xml:space="preserve"> 10</w:t>
      </w:r>
      <w:r w:rsidR="00260D95" w:rsidRPr="00C9465D">
        <w:rPr>
          <w:rFonts w:ascii="Verdana" w:hAnsi="Verdana"/>
          <w:sz w:val="20"/>
          <w:szCs w:val="20"/>
          <w:lang w:val="en-US"/>
        </w:rPr>
        <w:t xml:space="preserve"> of the Protocol of San</w:t>
      </w:r>
      <w:r w:rsidR="000A7745" w:rsidRPr="00C9465D">
        <w:rPr>
          <w:rFonts w:ascii="Verdana" w:hAnsi="Verdana"/>
          <w:sz w:val="20"/>
          <w:szCs w:val="20"/>
          <w:lang w:val="en-US"/>
        </w:rPr>
        <w:t xml:space="preserve"> Salvador</w:t>
      </w:r>
      <w:r w:rsidRPr="00C9465D">
        <w:rPr>
          <w:rFonts w:ascii="Verdana" w:hAnsi="Verdana"/>
          <w:sz w:val="20"/>
          <w:szCs w:val="20"/>
          <w:lang w:val="en-US"/>
        </w:rPr>
        <w:t xml:space="preserve"> which establishes that “everyone has the right to health, understood </w:t>
      </w:r>
      <w:r w:rsidRPr="00C9465D">
        <w:rPr>
          <w:rFonts w:ascii="Verdana" w:eastAsia="Times New Roman" w:hAnsi="Verdana" w:cs="Tahoma"/>
          <w:sz w:val="20"/>
          <w:szCs w:val="20"/>
          <w:lang w:val="en-US"/>
        </w:rPr>
        <w:t>to mean the enjoyment of the highest level of physical, mental and social well-being</w:t>
      </w:r>
      <w:r w:rsidRPr="00C9465D">
        <w:rPr>
          <w:rFonts w:ascii="Verdana" w:hAnsi="Verdana"/>
          <w:sz w:val="20"/>
          <w:szCs w:val="20"/>
          <w:lang w:val="en-US"/>
        </w:rPr>
        <w:t>, and indicates that health is a public good.”</w:t>
      </w:r>
      <w:r w:rsidR="000A7745" w:rsidRPr="00C9465D">
        <w:rPr>
          <w:rStyle w:val="FootnoteReference"/>
          <w:rFonts w:ascii="Verdana" w:hAnsi="Verdana"/>
          <w:sz w:val="20"/>
          <w:szCs w:val="20"/>
          <w:lang w:val="en-US"/>
        </w:rPr>
        <w:footnoteReference w:id="437"/>
      </w:r>
    </w:p>
    <w:p w14:paraId="678ED710" w14:textId="082C4ECB" w:rsidR="000A7745" w:rsidRPr="00C9465D" w:rsidRDefault="0002051C" w:rsidP="0002051C">
      <w:pPr>
        <w:pStyle w:val="ListParagraph"/>
        <w:numPr>
          <w:ilvl w:val="0"/>
          <w:numId w:val="18"/>
        </w:numPr>
        <w:spacing w:line="240" w:lineRule="auto"/>
        <w:ind w:left="0" w:right="48" w:firstLine="0"/>
        <w:rPr>
          <w:lang w:val="en-US"/>
        </w:rPr>
      </w:pPr>
      <w:r w:rsidRPr="00C9465D">
        <w:rPr>
          <w:lang w:val="en-US"/>
        </w:rPr>
        <w:t>And, it is based on these provisions that the judgment asserts that: “[a]</w:t>
      </w:r>
      <w:r w:rsidRPr="00C9465D">
        <w:rPr>
          <w:snapToGrid w:val="0"/>
          <w:lang w:val="en-US"/>
        </w:rPr>
        <w:t>s it has reiterated in its recent case law, the Court considers that the nature and scope of the obligations derived from the protection of</w:t>
      </w:r>
      <w:r w:rsidRPr="00C9465D">
        <w:rPr>
          <w:lang w:val="en-US"/>
        </w:rPr>
        <w:t xml:space="preserve"> the right to health include aspects that may be required immediately and those that are of a progressive nature</w:t>
      </w:r>
      <w:r w:rsidRPr="00C9465D">
        <w:rPr>
          <w:i/>
          <w:iCs/>
          <w:snapToGrid w:val="0"/>
          <w:lang w:val="en-US"/>
        </w:rPr>
        <w:t>,</w:t>
      </w:r>
      <w:r w:rsidR="000A7745" w:rsidRPr="00C9465D">
        <w:rPr>
          <w:lang w:val="en-US"/>
        </w:rPr>
        <w:t>”</w:t>
      </w:r>
      <w:r w:rsidRPr="00C9465D">
        <w:rPr>
          <w:lang w:val="en-US"/>
        </w:rPr>
        <w:t xml:space="preserve"> adding that, “[i]n this </w:t>
      </w:r>
      <w:r w:rsidRPr="00C9465D">
        <w:rPr>
          <w:lang w:val="en-US"/>
        </w:rPr>
        <w:lastRenderedPageBreak/>
        <w:t xml:space="preserve">regard, the Court recalls that, regarding the former (obligations that may be required immediately), States must adopt effective measures to ensure access without discrimination to the services recognized by the right to health, ensure equality of rights between men and women and, in general, make progress towards the full effectiveness of the ESCER,” </w:t>
      </w:r>
      <w:r w:rsidR="000A7745" w:rsidRPr="00C9465D">
        <w:rPr>
          <w:lang w:val="en-US"/>
        </w:rPr>
        <w:t>a</w:t>
      </w:r>
      <w:r w:rsidRPr="00C9465D">
        <w:rPr>
          <w:lang w:val="en-US"/>
        </w:rPr>
        <w:t xml:space="preserve">nd that  “[r]egarding the latter (obligations of a progressive nature), progressive realization means that the States Parties have the concrete and constant obligation to advance as expeditiously and efficiently as possible towards the full effectiveness of the said right, to the extent of their available resources, by legislation or other appropriate means.”  And concludes by </w:t>
      </w:r>
      <w:r w:rsidR="00D8209E" w:rsidRPr="00C9465D">
        <w:rPr>
          <w:lang w:val="en-US"/>
        </w:rPr>
        <w:t>asserting</w:t>
      </w:r>
      <w:r w:rsidRPr="00C9465D">
        <w:rPr>
          <w:lang w:val="en-US"/>
        </w:rPr>
        <w:t xml:space="preserve"> that “[i]n addition, there is an obligation of non-retrogressivity in relation to the rights achieved. In light of the above, the treaty-based obligations to respect and to ensure rights, as well as to adopt domestic legal provisions (Articles 1(1) and 2), are essential to achieve their effectiveness.</w:t>
      </w:r>
      <w:r w:rsidR="000A7745" w:rsidRPr="00C9465D">
        <w:rPr>
          <w:i/>
          <w:iCs/>
          <w:lang w:val="en-US"/>
        </w:rPr>
        <w:t>”</w:t>
      </w:r>
      <w:r w:rsidR="000A7745" w:rsidRPr="00C9465D">
        <w:rPr>
          <w:rStyle w:val="FootnoteReference"/>
          <w:i/>
          <w:iCs/>
          <w:lang w:val="en-US"/>
        </w:rPr>
        <w:footnoteReference w:id="438"/>
      </w:r>
    </w:p>
    <w:p w14:paraId="6DDD7DA4" w14:textId="77777777" w:rsidR="000A7745" w:rsidRPr="00C9465D" w:rsidRDefault="000A7745" w:rsidP="00760D70">
      <w:pPr>
        <w:spacing w:line="240" w:lineRule="auto"/>
        <w:ind w:right="48"/>
        <w:contextualSpacing/>
        <w:rPr>
          <w:rFonts w:ascii="Verdana" w:hAnsi="Verdana"/>
          <w:sz w:val="20"/>
          <w:szCs w:val="20"/>
          <w:lang w:val="en-US"/>
        </w:rPr>
      </w:pPr>
    </w:p>
    <w:p w14:paraId="53ABA256" w14:textId="168AA0ED" w:rsidR="0002051C" w:rsidRPr="00C9465D" w:rsidRDefault="0002051C" w:rsidP="00D47F8D">
      <w:pPr>
        <w:numPr>
          <w:ilvl w:val="0"/>
          <w:numId w:val="18"/>
        </w:numPr>
        <w:spacing w:line="240" w:lineRule="auto"/>
        <w:ind w:left="0" w:right="48" w:firstLine="0"/>
        <w:contextualSpacing/>
        <w:jc w:val="both"/>
        <w:rPr>
          <w:rFonts w:ascii="Verdana" w:hAnsi="Verdana"/>
          <w:sz w:val="20"/>
          <w:szCs w:val="20"/>
          <w:lang w:val="en-US"/>
        </w:rPr>
      </w:pPr>
      <w:r w:rsidRPr="00C9465D">
        <w:rPr>
          <w:rFonts w:ascii="Verdana" w:hAnsi="Verdana"/>
          <w:sz w:val="20"/>
          <w:szCs w:val="20"/>
          <w:lang w:val="en-US"/>
        </w:rPr>
        <w:t>The foregoing is transcribed in order to record, on the one hand,</w:t>
      </w:r>
      <w:r w:rsidR="00AF6A9C" w:rsidRPr="00C9465D">
        <w:rPr>
          <w:rFonts w:ascii="Verdana" w:hAnsi="Verdana"/>
          <w:sz w:val="20"/>
          <w:szCs w:val="20"/>
          <w:lang w:val="en-US"/>
        </w:rPr>
        <w:t xml:space="preserve"> that the judgment d</w:t>
      </w:r>
      <w:r w:rsidRPr="00C9465D">
        <w:rPr>
          <w:rFonts w:ascii="Verdana" w:hAnsi="Verdana"/>
          <w:sz w:val="20"/>
          <w:szCs w:val="20"/>
          <w:lang w:val="en-US"/>
        </w:rPr>
        <w:t xml:space="preserve">oes not indicate which obligations can be required immediately are which are of a progressive nature or the criterion for distinguishing between one and the other and, on the other hand, </w:t>
      </w:r>
      <w:r w:rsidR="001B0793" w:rsidRPr="00C9465D">
        <w:rPr>
          <w:rFonts w:ascii="Verdana" w:hAnsi="Verdana"/>
          <w:sz w:val="20"/>
          <w:szCs w:val="20"/>
          <w:lang w:val="en-US"/>
        </w:rPr>
        <w:t xml:space="preserve">that, in reality, it is recognizing, at least </w:t>
      </w:r>
      <w:r w:rsidR="00AF6A9C" w:rsidRPr="00C9465D">
        <w:rPr>
          <w:rFonts w:ascii="Verdana" w:hAnsi="Verdana"/>
          <w:sz w:val="20"/>
          <w:szCs w:val="20"/>
          <w:lang w:val="en-US"/>
        </w:rPr>
        <w:t>undoubtedly in part</w:t>
      </w:r>
      <w:r w:rsidR="001B0793" w:rsidRPr="00C9465D">
        <w:rPr>
          <w:rFonts w:ascii="Verdana" w:hAnsi="Verdana"/>
          <w:sz w:val="20"/>
          <w:szCs w:val="20"/>
          <w:lang w:val="en-US"/>
        </w:rPr>
        <w:t xml:space="preserve">, that the right to health is not judicially enforceable before the Court, insofar as </w:t>
      </w:r>
      <w:r w:rsidR="00AF6A9C" w:rsidRPr="00C9465D">
        <w:rPr>
          <w:rFonts w:ascii="Verdana" w:hAnsi="Verdana"/>
          <w:sz w:val="20"/>
          <w:szCs w:val="20"/>
          <w:lang w:val="en-US"/>
        </w:rPr>
        <w:t>this right</w:t>
      </w:r>
      <w:r w:rsidR="001B0793" w:rsidRPr="00C9465D">
        <w:rPr>
          <w:rFonts w:ascii="Verdana" w:hAnsi="Verdana"/>
          <w:sz w:val="20"/>
          <w:szCs w:val="20"/>
          <w:lang w:val="en-US"/>
        </w:rPr>
        <w:t xml:space="preserve"> depends on its </w:t>
      </w:r>
      <w:r w:rsidR="00AF6A9C" w:rsidRPr="00C9465D">
        <w:rPr>
          <w:rFonts w:ascii="Verdana" w:hAnsi="Verdana"/>
          <w:sz w:val="20"/>
          <w:szCs w:val="20"/>
          <w:lang w:val="en-US"/>
        </w:rPr>
        <w:t>realization</w:t>
      </w:r>
      <w:r w:rsidR="001B0793" w:rsidRPr="00C9465D">
        <w:rPr>
          <w:rFonts w:ascii="Verdana" w:hAnsi="Verdana"/>
          <w:sz w:val="20"/>
          <w:szCs w:val="20"/>
          <w:lang w:val="en-US"/>
        </w:rPr>
        <w:t xml:space="preserve"> which, in turn, depends on the availability of resources and on the adoption of other measures by the State concerned.</w:t>
      </w:r>
    </w:p>
    <w:p w14:paraId="4A3F6819" w14:textId="2ACD6BF0" w:rsidR="001B0793" w:rsidRPr="00C9465D" w:rsidRDefault="001B0793" w:rsidP="00D47F8D">
      <w:pPr>
        <w:pStyle w:val="ListParagraph"/>
        <w:numPr>
          <w:ilvl w:val="0"/>
          <w:numId w:val="18"/>
        </w:numPr>
        <w:spacing w:line="240" w:lineRule="auto"/>
        <w:ind w:left="0" w:right="48" w:firstLine="0"/>
        <w:rPr>
          <w:lang w:val="en-US"/>
        </w:rPr>
      </w:pPr>
      <w:r w:rsidRPr="00C9465D">
        <w:rPr>
          <w:lang w:val="en-US"/>
        </w:rPr>
        <w:t>That said, it is based on the provisions of the said</w:t>
      </w:r>
      <w:r w:rsidR="000A7745" w:rsidRPr="00C9465D">
        <w:rPr>
          <w:rFonts w:eastAsia="Batang"/>
          <w:lang w:val="en-US"/>
        </w:rPr>
        <w:t xml:space="preserve"> </w:t>
      </w:r>
      <w:r w:rsidR="00193CBB" w:rsidRPr="00C9465D">
        <w:rPr>
          <w:rFonts w:eastAsia="Batang"/>
          <w:lang w:val="en-US"/>
        </w:rPr>
        <w:t>Article</w:t>
      </w:r>
      <w:r w:rsidR="000A7745" w:rsidRPr="00C9465D">
        <w:rPr>
          <w:rFonts w:eastAsia="Batang"/>
          <w:lang w:val="en-US"/>
        </w:rPr>
        <w:t xml:space="preserve">s </w:t>
      </w:r>
      <w:r w:rsidR="00260D95" w:rsidRPr="00C9465D">
        <w:rPr>
          <w:lang w:val="en-US"/>
        </w:rPr>
        <w:t>34(i)</w:t>
      </w:r>
      <w:r w:rsidR="000A7745" w:rsidRPr="00C9465D">
        <w:rPr>
          <w:lang w:val="en-US"/>
        </w:rPr>
        <w:t xml:space="preserve">, </w:t>
      </w:r>
      <w:r w:rsidR="00260D95" w:rsidRPr="00C9465D">
        <w:rPr>
          <w:lang w:val="en-US"/>
        </w:rPr>
        <w:t>34(l)</w:t>
      </w:r>
      <w:r w:rsidR="00193CBB" w:rsidRPr="00C9465D">
        <w:rPr>
          <w:lang w:val="en-US"/>
        </w:rPr>
        <w:t xml:space="preserve"> and </w:t>
      </w:r>
      <w:r w:rsidR="00260D95" w:rsidRPr="00C9465D">
        <w:rPr>
          <w:lang w:val="en-US"/>
        </w:rPr>
        <w:t xml:space="preserve">45(h) of the </w:t>
      </w:r>
      <w:r w:rsidR="00260D95" w:rsidRPr="00C9465D">
        <w:rPr>
          <w:rFonts w:eastAsia="Batang"/>
          <w:lang w:val="en-US"/>
        </w:rPr>
        <w:t>OAS Charter</w:t>
      </w:r>
      <w:r w:rsidR="000A7745" w:rsidRPr="00C9465D">
        <w:rPr>
          <w:rFonts w:eastAsia="Batang"/>
          <w:lang w:val="en-US"/>
        </w:rPr>
        <w:t xml:space="preserve">, </w:t>
      </w:r>
      <w:r w:rsidRPr="00C9465D">
        <w:rPr>
          <w:rFonts w:eastAsia="Batang"/>
          <w:lang w:val="en-US"/>
        </w:rPr>
        <w:t>that</w:t>
      </w:r>
      <w:r w:rsidR="000A7745" w:rsidRPr="00C9465D">
        <w:rPr>
          <w:rFonts w:eastAsia="Batang"/>
          <w:lang w:val="en-US"/>
        </w:rPr>
        <w:t xml:space="preserve"> </w:t>
      </w:r>
      <w:r w:rsidR="00193CBB" w:rsidRPr="00C9465D">
        <w:rPr>
          <w:rFonts w:eastAsia="Batang"/>
          <w:lang w:val="en-US"/>
        </w:rPr>
        <w:t>Article</w:t>
      </w:r>
      <w:r w:rsidR="000A7745" w:rsidRPr="00C9465D">
        <w:rPr>
          <w:rFonts w:eastAsia="Batang"/>
          <w:lang w:val="en-US"/>
        </w:rPr>
        <w:t xml:space="preserve"> 26</w:t>
      </w:r>
      <w:r w:rsidRPr="00C9465D">
        <w:rPr>
          <w:rFonts w:eastAsia="Batang"/>
          <w:lang w:val="en-US"/>
        </w:rPr>
        <w:t xml:space="preserve"> is said to have been violated</w:t>
      </w:r>
      <w:r w:rsidR="000A7745" w:rsidRPr="00C9465D">
        <w:rPr>
          <w:rFonts w:eastAsia="Batang"/>
          <w:lang w:val="en-US"/>
        </w:rPr>
        <w:t xml:space="preserve">, </w:t>
      </w:r>
      <w:r w:rsidRPr="00C9465D">
        <w:rPr>
          <w:rFonts w:eastAsia="Batang"/>
          <w:lang w:val="en-US"/>
        </w:rPr>
        <w:t xml:space="preserve">in circumstances in which, as in the case of </w:t>
      </w:r>
      <w:r w:rsidR="00AF6A9C" w:rsidRPr="00C9465D">
        <w:rPr>
          <w:rFonts w:eastAsia="Batang"/>
          <w:lang w:val="en-US"/>
        </w:rPr>
        <w:t>Article 26</w:t>
      </w:r>
      <w:r w:rsidRPr="00C9465D">
        <w:rPr>
          <w:rFonts w:eastAsia="Batang"/>
          <w:lang w:val="en-US"/>
        </w:rPr>
        <w:t>, they very clearly</w:t>
      </w:r>
      <w:r w:rsidR="00AF6A9C" w:rsidRPr="00C9465D">
        <w:rPr>
          <w:rFonts w:eastAsia="Batang"/>
          <w:lang w:val="en-US"/>
        </w:rPr>
        <w:t xml:space="preserve"> establish</w:t>
      </w:r>
      <w:r w:rsidRPr="00C9465D">
        <w:rPr>
          <w:rFonts w:eastAsia="Batang"/>
          <w:lang w:val="en-US"/>
        </w:rPr>
        <w:t xml:space="preserve"> obligation</w:t>
      </w:r>
      <w:r w:rsidR="00AF6A9C" w:rsidRPr="00C9465D">
        <w:rPr>
          <w:rFonts w:eastAsia="Batang"/>
          <w:lang w:val="en-US"/>
        </w:rPr>
        <w:t>s</w:t>
      </w:r>
      <w:r w:rsidRPr="00C9465D">
        <w:rPr>
          <w:rFonts w:eastAsia="Batang"/>
          <w:lang w:val="en-US"/>
        </w:rPr>
        <w:t xml:space="preserve"> of conduct and action expressed as the “utmost efforts” that States must </w:t>
      </w:r>
      <w:r w:rsidR="00AF6A9C" w:rsidRPr="00C9465D">
        <w:rPr>
          <w:rFonts w:eastAsia="Batang"/>
          <w:lang w:val="en-US"/>
        </w:rPr>
        <w:t>make</w:t>
      </w:r>
      <w:r w:rsidRPr="00C9465D">
        <w:rPr>
          <w:rFonts w:eastAsia="Batang"/>
          <w:lang w:val="en-US"/>
        </w:rPr>
        <w:t xml:space="preserve"> in order </w:t>
      </w:r>
      <w:r w:rsidR="00AF6A9C" w:rsidRPr="00C9465D">
        <w:rPr>
          <w:rFonts w:eastAsia="Batang"/>
          <w:lang w:val="en-US"/>
        </w:rPr>
        <w:t xml:space="preserve">to </w:t>
      </w:r>
      <w:r w:rsidRPr="00C9465D">
        <w:rPr>
          <w:rFonts w:eastAsia="Batang"/>
          <w:lang w:val="en-US"/>
        </w:rPr>
        <w:t>achieve the application of “principles” and “mechanisms.” It should not be forgotten that all the articles cited are in Chapter VII of the Charter, entitled “Integral Development.” Thus, these articles do not establish obligations of result; that is, they do not establish that the human rights derived from the said articles should be respected, but</w:t>
      </w:r>
      <w:r w:rsidR="00AF6A9C" w:rsidRPr="00C9465D">
        <w:rPr>
          <w:rFonts w:eastAsia="Batang"/>
          <w:lang w:val="en-US"/>
        </w:rPr>
        <w:t xml:space="preserve"> rather</w:t>
      </w:r>
      <w:r w:rsidRPr="00C9465D">
        <w:rPr>
          <w:rFonts w:eastAsia="Batang"/>
          <w:lang w:val="en-US"/>
        </w:rPr>
        <w:t xml:space="preserve"> that the utmost efforts should be made to achieve the </w:t>
      </w:r>
      <w:r w:rsidRPr="00C9465D">
        <w:rPr>
          <w:rFonts w:eastAsia="Batang"/>
          <w:i/>
          <w:iCs/>
          <w:lang w:val="en-US"/>
        </w:rPr>
        <w:t>principles, mechanisms and goals</w:t>
      </w:r>
      <w:r w:rsidRPr="00C9465D">
        <w:rPr>
          <w:rFonts w:eastAsia="Batang"/>
          <w:lang w:val="en-US"/>
        </w:rPr>
        <w:t xml:space="preserve"> that they indicate.</w:t>
      </w:r>
    </w:p>
    <w:p w14:paraId="7A30A76C" w14:textId="77777777" w:rsidR="000A7745" w:rsidRPr="00C9465D" w:rsidRDefault="000A7745" w:rsidP="00760D70">
      <w:pPr>
        <w:spacing w:line="240" w:lineRule="auto"/>
        <w:ind w:right="48"/>
        <w:contextualSpacing/>
        <w:rPr>
          <w:rFonts w:ascii="Verdana" w:hAnsi="Verdana"/>
          <w:bCs/>
          <w:sz w:val="20"/>
          <w:szCs w:val="20"/>
          <w:lang w:val="en-US"/>
        </w:rPr>
      </w:pPr>
    </w:p>
    <w:p w14:paraId="3793CD40" w14:textId="5A4DB981" w:rsidR="000A7745" w:rsidRPr="00C9465D" w:rsidRDefault="001B0793" w:rsidP="001B0793">
      <w:pPr>
        <w:numPr>
          <w:ilvl w:val="0"/>
          <w:numId w:val="18"/>
        </w:numPr>
        <w:spacing w:line="240" w:lineRule="auto"/>
        <w:ind w:left="0" w:right="48" w:firstLine="0"/>
        <w:contextualSpacing/>
        <w:jc w:val="both"/>
        <w:rPr>
          <w:rFonts w:ascii="Verdana" w:hAnsi="Verdana"/>
          <w:bCs/>
          <w:sz w:val="20"/>
          <w:szCs w:val="20"/>
          <w:lang w:val="en-US"/>
        </w:rPr>
      </w:pPr>
      <w:r w:rsidRPr="00C9465D">
        <w:rPr>
          <w:rFonts w:ascii="Verdana" w:eastAsia="Batang" w:hAnsi="Verdana"/>
          <w:sz w:val="20"/>
          <w:szCs w:val="20"/>
          <w:lang w:val="en-US"/>
        </w:rPr>
        <w:t xml:space="preserve">With this in mind, if the approach recently adopted by the Court’s case law is continued, </w:t>
      </w:r>
      <w:r w:rsidR="00210D7C" w:rsidRPr="00C9465D">
        <w:rPr>
          <w:rFonts w:ascii="Verdana" w:eastAsia="Batang" w:hAnsi="Verdana"/>
          <w:sz w:val="20"/>
          <w:szCs w:val="20"/>
          <w:lang w:val="en-US"/>
        </w:rPr>
        <w:t xml:space="preserve">the range of possibilities from which the interpreter could derive human rights that are not explicitly contemplated in any international norm would be enormous, and even limitless. If the Court continues in this direction and takes it to its extreme, all the States Parties to the Convention that have accepted its jurisdiction could eventually </w:t>
      </w:r>
      <w:r w:rsidR="00AF6A9C" w:rsidRPr="00C9465D">
        <w:rPr>
          <w:rFonts w:ascii="Verdana" w:eastAsia="Batang" w:hAnsi="Verdana"/>
          <w:sz w:val="20"/>
          <w:szCs w:val="20"/>
          <w:lang w:val="en-US"/>
        </w:rPr>
        <w:t xml:space="preserve">be </w:t>
      </w:r>
      <w:r w:rsidR="00210D7C" w:rsidRPr="00C9465D">
        <w:rPr>
          <w:rFonts w:ascii="Verdana" w:eastAsia="Batang" w:hAnsi="Verdana"/>
          <w:sz w:val="20"/>
          <w:szCs w:val="20"/>
          <w:lang w:val="en-US"/>
        </w:rPr>
        <w:t>brought before it because they have not fully achieved the “principles,” “goals” or “mechanisms” contemplated in the OAS Charter from which the judgment derives rights, which, plainly, would appear to be very far from what</w:t>
      </w:r>
      <w:r w:rsidR="00210D7C" w:rsidRPr="00C9465D">
        <w:rPr>
          <w:rFonts w:ascii="Verdana" w:hAnsi="Verdana"/>
          <w:bCs/>
          <w:sz w:val="20"/>
          <w:szCs w:val="20"/>
          <w:lang w:val="en-US"/>
        </w:rPr>
        <w:t xml:space="preserve"> the </w:t>
      </w:r>
      <w:r w:rsidR="00DA115D" w:rsidRPr="00C9465D">
        <w:rPr>
          <w:rFonts w:ascii="Verdana" w:eastAsia="Batang" w:hAnsi="Verdana"/>
          <w:sz w:val="20"/>
          <w:szCs w:val="20"/>
          <w:lang w:val="en-US"/>
        </w:rPr>
        <w:t>States Parties</w:t>
      </w:r>
      <w:r w:rsidR="000A7745" w:rsidRPr="00C9465D">
        <w:rPr>
          <w:rFonts w:ascii="Verdana" w:eastAsia="Batang" w:hAnsi="Verdana"/>
          <w:sz w:val="20"/>
          <w:szCs w:val="20"/>
          <w:lang w:val="en-US"/>
        </w:rPr>
        <w:t xml:space="preserve"> </w:t>
      </w:r>
      <w:r w:rsidR="00210D7C" w:rsidRPr="00C9465D">
        <w:rPr>
          <w:rFonts w:ascii="Verdana" w:eastAsia="Batang" w:hAnsi="Verdana"/>
          <w:sz w:val="20"/>
          <w:szCs w:val="20"/>
          <w:lang w:val="en-US"/>
        </w:rPr>
        <w:t xml:space="preserve">intended when they signed </w:t>
      </w:r>
      <w:r w:rsidR="00193CBB" w:rsidRPr="00C9465D">
        <w:rPr>
          <w:rFonts w:ascii="Verdana" w:eastAsia="Batang" w:hAnsi="Verdana"/>
          <w:sz w:val="20"/>
          <w:szCs w:val="20"/>
          <w:lang w:val="en-US"/>
        </w:rPr>
        <w:t>the Convention</w:t>
      </w:r>
      <w:r w:rsidR="000A7745" w:rsidRPr="00C9465D">
        <w:rPr>
          <w:rFonts w:ascii="Verdana" w:eastAsia="Batang" w:hAnsi="Verdana"/>
          <w:sz w:val="20"/>
          <w:szCs w:val="20"/>
          <w:lang w:val="en-US"/>
        </w:rPr>
        <w:t xml:space="preserve"> o</w:t>
      </w:r>
      <w:r w:rsidR="00210D7C" w:rsidRPr="00C9465D">
        <w:rPr>
          <w:rFonts w:ascii="Verdana" w:eastAsia="Batang" w:hAnsi="Verdana"/>
          <w:sz w:val="20"/>
          <w:szCs w:val="20"/>
          <w:lang w:val="en-US"/>
        </w:rPr>
        <w:t>r, at least, from the logic implicit in it, especially owing to the way in which the said Chapter</w:t>
      </w:r>
      <w:r w:rsidR="000A7745" w:rsidRPr="00C9465D">
        <w:rPr>
          <w:rFonts w:ascii="Verdana" w:eastAsia="Batang" w:hAnsi="Verdana"/>
          <w:sz w:val="20"/>
          <w:szCs w:val="20"/>
          <w:lang w:val="en-US"/>
        </w:rPr>
        <w:t xml:space="preserve"> VII</w:t>
      </w:r>
      <w:r w:rsidR="00260D95" w:rsidRPr="00C9465D">
        <w:rPr>
          <w:rFonts w:ascii="Verdana" w:eastAsia="Batang" w:hAnsi="Verdana"/>
          <w:sz w:val="20"/>
          <w:szCs w:val="20"/>
          <w:lang w:val="en-US"/>
        </w:rPr>
        <w:t xml:space="preserve"> of the OAS Charter</w:t>
      </w:r>
      <w:r w:rsidR="00210D7C" w:rsidRPr="00C9465D">
        <w:rPr>
          <w:rFonts w:ascii="Verdana" w:eastAsia="Batang" w:hAnsi="Verdana"/>
          <w:sz w:val="20"/>
          <w:szCs w:val="20"/>
          <w:lang w:val="en-US"/>
        </w:rPr>
        <w:t xml:space="preserve"> is drafted</w:t>
      </w:r>
      <w:r w:rsidR="000A7745" w:rsidRPr="00C9465D">
        <w:rPr>
          <w:rFonts w:ascii="Verdana" w:eastAsia="Batang" w:hAnsi="Verdana"/>
          <w:sz w:val="20"/>
          <w:szCs w:val="20"/>
          <w:lang w:val="en-US"/>
        </w:rPr>
        <w:t xml:space="preserve">. </w:t>
      </w:r>
    </w:p>
    <w:p w14:paraId="3C35E332" w14:textId="77777777" w:rsidR="000A7745" w:rsidRPr="00C9465D" w:rsidRDefault="000A7745" w:rsidP="00760D70">
      <w:pPr>
        <w:spacing w:line="240" w:lineRule="auto"/>
        <w:ind w:right="48"/>
        <w:contextualSpacing/>
        <w:rPr>
          <w:rFonts w:ascii="Verdana" w:eastAsia="Batang" w:hAnsi="Verdana"/>
          <w:bCs/>
          <w:sz w:val="20"/>
          <w:szCs w:val="20"/>
          <w:lang w:val="en-US"/>
        </w:rPr>
      </w:pPr>
    </w:p>
    <w:p w14:paraId="7A59D1EC" w14:textId="13326D36" w:rsidR="000A7745" w:rsidRPr="00C9465D" w:rsidRDefault="00210D7C" w:rsidP="00A64D16">
      <w:pPr>
        <w:numPr>
          <w:ilvl w:val="0"/>
          <w:numId w:val="18"/>
        </w:numPr>
        <w:spacing w:after="0" w:line="240" w:lineRule="auto"/>
        <w:ind w:left="0" w:right="48" w:firstLine="0"/>
        <w:contextualSpacing/>
        <w:jc w:val="both"/>
        <w:rPr>
          <w:rFonts w:ascii="Verdana" w:hAnsi="Verdana"/>
          <w:bCs/>
          <w:sz w:val="20"/>
          <w:szCs w:val="20"/>
          <w:lang w:val="en-US"/>
        </w:rPr>
      </w:pPr>
      <w:r w:rsidRPr="00C9465D">
        <w:rPr>
          <w:rFonts w:ascii="Verdana" w:eastAsia="Batang" w:hAnsi="Verdana"/>
          <w:bCs/>
          <w:sz w:val="20"/>
          <w:szCs w:val="20"/>
          <w:lang w:val="en-US"/>
        </w:rPr>
        <w:t xml:space="preserve">Consequently, it is evident that </w:t>
      </w:r>
      <w:r w:rsidR="00A64D16" w:rsidRPr="00C9465D">
        <w:rPr>
          <w:rFonts w:ascii="Verdana" w:hAnsi="Verdana"/>
          <w:sz w:val="20"/>
          <w:szCs w:val="20"/>
          <w:lang w:val="en-US"/>
        </w:rPr>
        <w:t>it is not possible to determine</w:t>
      </w:r>
      <w:r w:rsidRPr="00C9465D">
        <w:rPr>
          <w:rFonts w:ascii="Verdana" w:hAnsi="Verdana"/>
          <w:sz w:val="20"/>
          <w:szCs w:val="20"/>
          <w:lang w:val="en-US"/>
        </w:rPr>
        <w:t xml:space="preserve"> </w:t>
      </w:r>
      <w:r w:rsidRPr="00C9465D">
        <w:rPr>
          <w:rFonts w:ascii="Verdana" w:eastAsia="Batang" w:hAnsi="Verdana"/>
          <w:bCs/>
          <w:sz w:val="20"/>
          <w:szCs w:val="20"/>
          <w:lang w:val="en-US"/>
        </w:rPr>
        <w:t xml:space="preserve">the Court’s competence to examine and decide eventual violations derived </w:t>
      </w:r>
      <w:r w:rsidR="00AF6A9C" w:rsidRPr="00C9465D">
        <w:rPr>
          <w:rFonts w:ascii="Verdana" w:eastAsia="Batang" w:hAnsi="Verdana"/>
          <w:bCs/>
          <w:sz w:val="20"/>
          <w:szCs w:val="20"/>
          <w:lang w:val="en-US"/>
        </w:rPr>
        <w:t>“</w:t>
      </w:r>
      <w:r w:rsidR="00AF6A9C" w:rsidRPr="00C9465D">
        <w:rPr>
          <w:rFonts w:ascii="Verdana" w:hAnsi="Verdana"/>
          <w:sz w:val="20"/>
          <w:szCs w:val="20"/>
          <w:lang w:val="en-US"/>
        </w:rPr>
        <w:t>from the economic, social, educational, scientific, and cultural standards set forth in the Charter of the Organization of American States as amended by the Protocol of Buenos Aires” to which Article 26 refers.</w:t>
      </w:r>
    </w:p>
    <w:p w14:paraId="62D745FD" w14:textId="77777777" w:rsidR="000A7745" w:rsidRPr="00C9465D" w:rsidRDefault="000A7745" w:rsidP="0091026A">
      <w:pPr>
        <w:spacing w:after="0" w:line="240" w:lineRule="auto"/>
        <w:ind w:right="48"/>
        <w:rPr>
          <w:rFonts w:ascii="Verdana" w:eastAsia="Batang" w:hAnsi="Verdana"/>
          <w:b/>
          <w:sz w:val="20"/>
          <w:szCs w:val="20"/>
          <w:lang w:val="en-US"/>
        </w:rPr>
      </w:pPr>
    </w:p>
    <w:p w14:paraId="77A4F377" w14:textId="4F985D29" w:rsidR="000A7745" w:rsidRPr="00C9465D" w:rsidRDefault="000A7745" w:rsidP="0091026A">
      <w:pPr>
        <w:spacing w:after="0" w:line="240" w:lineRule="auto"/>
        <w:ind w:right="48"/>
        <w:rPr>
          <w:rFonts w:ascii="Verdana" w:eastAsia="Batang" w:hAnsi="Verdana"/>
          <w:b/>
          <w:sz w:val="20"/>
          <w:szCs w:val="20"/>
          <w:lang w:val="en-US"/>
        </w:rPr>
      </w:pPr>
      <w:r w:rsidRPr="00C9465D">
        <w:rPr>
          <w:rFonts w:ascii="Verdana" w:eastAsia="Batang" w:hAnsi="Verdana"/>
          <w:b/>
          <w:sz w:val="20"/>
          <w:szCs w:val="20"/>
          <w:lang w:val="en-US"/>
        </w:rPr>
        <w:t xml:space="preserve">VI. </w:t>
      </w:r>
      <w:r w:rsidRPr="00C9465D">
        <w:rPr>
          <w:rFonts w:ascii="Verdana" w:eastAsia="Batang" w:hAnsi="Verdana"/>
          <w:b/>
          <w:sz w:val="20"/>
          <w:szCs w:val="20"/>
          <w:lang w:val="en-US"/>
        </w:rPr>
        <w:tab/>
      </w:r>
      <w:r w:rsidR="00260D95" w:rsidRPr="00C9465D">
        <w:rPr>
          <w:rFonts w:ascii="Verdana" w:eastAsia="Batang" w:hAnsi="Verdana"/>
          <w:b/>
          <w:sz w:val="20"/>
          <w:szCs w:val="20"/>
          <w:lang w:val="en-US"/>
        </w:rPr>
        <w:t>THE PROTOCOL OF SAN</w:t>
      </w:r>
      <w:r w:rsidRPr="00C9465D">
        <w:rPr>
          <w:rFonts w:ascii="Verdana" w:eastAsia="Batang" w:hAnsi="Verdana"/>
          <w:b/>
          <w:sz w:val="20"/>
          <w:szCs w:val="20"/>
          <w:lang w:val="en-US"/>
        </w:rPr>
        <w:t xml:space="preserve"> SALVADOR</w:t>
      </w:r>
    </w:p>
    <w:p w14:paraId="0E1D2667" w14:textId="77777777" w:rsidR="000A7745" w:rsidRPr="00C9465D" w:rsidRDefault="000A7745" w:rsidP="0091026A">
      <w:pPr>
        <w:pStyle w:val="ListParagraph"/>
        <w:spacing w:line="240" w:lineRule="auto"/>
        <w:ind w:left="-567" w:right="48"/>
        <w:rPr>
          <w:lang w:val="en-US"/>
        </w:rPr>
      </w:pPr>
    </w:p>
    <w:p w14:paraId="0F56EECD" w14:textId="380DE2EF" w:rsidR="000A7745" w:rsidRPr="00C9465D" w:rsidRDefault="00A64D16" w:rsidP="00A64D16">
      <w:pPr>
        <w:pStyle w:val="ListParagraph"/>
        <w:numPr>
          <w:ilvl w:val="0"/>
          <w:numId w:val="18"/>
        </w:numPr>
        <w:spacing w:line="240" w:lineRule="auto"/>
        <w:ind w:left="0" w:right="48" w:firstLine="0"/>
        <w:rPr>
          <w:lang w:val="en-US"/>
        </w:rPr>
      </w:pPr>
      <w:r w:rsidRPr="00C9465D">
        <w:rPr>
          <w:lang w:val="en-US"/>
        </w:rPr>
        <w:t>In addition to the foregoing, it is necessary to refer to the</w:t>
      </w:r>
      <w:r w:rsidR="000A7745" w:rsidRPr="00C9465D">
        <w:rPr>
          <w:lang w:val="en-US"/>
        </w:rPr>
        <w:t xml:space="preserve"> “</w:t>
      </w:r>
      <w:r w:rsidRPr="00C9465D">
        <w:rPr>
          <w:lang w:val="en-US"/>
        </w:rPr>
        <w:t xml:space="preserve">Additional Protocol to the </w:t>
      </w:r>
      <w:hyperlink r:id="rId9" w:tgtFrame="_blank" w:history="1">
        <w:r w:rsidR="00193CBB" w:rsidRPr="00C9465D">
          <w:rPr>
            <w:rFonts w:eastAsia="Batang"/>
            <w:shd w:val="clear" w:color="auto" w:fill="FFFFFF"/>
            <w:lang w:val="en-US"/>
          </w:rPr>
          <w:t xml:space="preserve"> American Convention on Human Rights</w:t>
        </w:r>
        <w:r w:rsidR="000A7745" w:rsidRPr="00C9465D">
          <w:rPr>
            <w:rFonts w:eastAsia="Batang"/>
            <w:shd w:val="clear" w:color="auto" w:fill="FFFFFF"/>
            <w:lang w:val="en-US"/>
          </w:rPr>
          <w:t xml:space="preserve"> </w:t>
        </w:r>
        <w:r w:rsidRPr="00C9465D">
          <w:rPr>
            <w:rFonts w:eastAsia="Batang"/>
            <w:shd w:val="clear" w:color="auto" w:fill="FFFFFF"/>
            <w:lang w:val="en-US"/>
          </w:rPr>
          <w:t>in the Area of Economic, Social and Cultural Rights</w:t>
        </w:r>
        <w:r w:rsidR="00AF6A9C" w:rsidRPr="00C9465D">
          <w:rPr>
            <w:rFonts w:eastAsia="Batang"/>
            <w:shd w:val="clear" w:color="auto" w:fill="FFFFFF"/>
            <w:lang w:val="en-US"/>
          </w:rPr>
          <w:t>,</w:t>
        </w:r>
        <w:r w:rsidR="000A7745" w:rsidRPr="00C9465D">
          <w:rPr>
            <w:rFonts w:eastAsia="Batang"/>
            <w:shd w:val="clear" w:color="auto" w:fill="FFFFFF"/>
            <w:lang w:val="en-US"/>
          </w:rPr>
          <w:t xml:space="preserve"> </w:t>
        </w:r>
        <w:r w:rsidR="000A7745" w:rsidRPr="00C9465D">
          <w:rPr>
            <w:rFonts w:eastAsia="Batang"/>
            <w:shd w:val="clear" w:color="auto" w:fill="FFFFFF"/>
            <w:lang w:val="en-US"/>
          </w:rPr>
          <w:lastRenderedPageBreak/>
          <w:t>Protocol</w:t>
        </w:r>
        <w:r w:rsidR="0091026A" w:rsidRPr="00C9465D">
          <w:rPr>
            <w:rFonts w:eastAsia="Batang"/>
            <w:shd w:val="clear" w:color="auto" w:fill="FFFFFF"/>
            <w:lang w:val="en-US"/>
          </w:rPr>
          <w:t xml:space="preserve"> of</w:t>
        </w:r>
        <w:r w:rsidR="000A7745" w:rsidRPr="00C9465D">
          <w:rPr>
            <w:rFonts w:eastAsia="Batang"/>
            <w:shd w:val="clear" w:color="auto" w:fill="FFFFFF"/>
            <w:lang w:val="en-US"/>
          </w:rPr>
          <w:t xml:space="preserve"> San Salvador</w:t>
        </w:r>
      </w:hyperlink>
      <w:r w:rsidRPr="00C9465D">
        <w:rPr>
          <w:rFonts w:eastAsia="Batang"/>
          <w:shd w:val="clear" w:color="auto" w:fill="FFFFFF"/>
          <w:lang w:val="en-US"/>
        </w:rPr>
        <w:t>,</w:t>
      </w:r>
      <w:r w:rsidR="000A7745" w:rsidRPr="00C9465D">
        <w:rPr>
          <w:rFonts w:eastAsia="Batang"/>
          <w:lang w:val="en-US"/>
        </w:rPr>
        <w:t>”</w:t>
      </w:r>
      <w:r w:rsidRPr="00C9465D">
        <w:rPr>
          <w:rFonts w:eastAsia="Batang"/>
          <w:lang w:val="en-US"/>
        </w:rPr>
        <w:t xml:space="preserve"> which is also cited in the judgment to support its interpretation </w:t>
      </w:r>
      <w:r w:rsidR="007A3CA5" w:rsidRPr="00C9465D">
        <w:rPr>
          <w:rFonts w:eastAsia="Batang"/>
          <w:lang w:val="en-US"/>
        </w:rPr>
        <w:t>of Article</w:t>
      </w:r>
      <w:r w:rsidR="000A7745" w:rsidRPr="00C9465D">
        <w:rPr>
          <w:rFonts w:eastAsia="Batang"/>
          <w:lang w:val="en-US"/>
        </w:rPr>
        <w:t xml:space="preserve"> 26</w:t>
      </w:r>
      <w:r w:rsidRPr="00C9465D">
        <w:rPr>
          <w:rFonts w:eastAsia="Batang"/>
          <w:lang w:val="en-US"/>
        </w:rPr>
        <w:t>,</w:t>
      </w:r>
      <w:r w:rsidR="000A7745" w:rsidRPr="00C9465D">
        <w:rPr>
          <w:rStyle w:val="FootnoteReference"/>
          <w:rFonts w:eastAsia="Batang"/>
          <w:lang w:val="en-US"/>
        </w:rPr>
        <w:footnoteReference w:id="439"/>
      </w:r>
      <w:r w:rsidRPr="00C9465D">
        <w:rPr>
          <w:rFonts w:eastAsia="Batang"/>
          <w:lang w:val="en-US"/>
        </w:rPr>
        <w:t xml:space="preserve"> but which</w:t>
      </w:r>
      <w:r w:rsidR="00AF6A9C" w:rsidRPr="00C9465D">
        <w:rPr>
          <w:rFonts w:eastAsia="Batang"/>
          <w:lang w:val="en-US"/>
        </w:rPr>
        <w:t>, to the contrary,</w:t>
      </w:r>
      <w:r w:rsidRPr="00C9465D">
        <w:rPr>
          <w:rFonts w:eastAsia="Batang"/>
          <w:lang w:val="en-US"/>
        </w:rPr>
        <w:t xml:space="preserve"> the undersigned considers that its signature and validity</w:t>
      </w:r>
      <w:r w:rsidR="000A7745" w:rsidRPr="00C9465D">
        <w:rPr>
          <w:rFonts w:eastAsia="Batang"/>
          <w:lang w:val="en-US"/>
        </w:rPr>
        <w:t xml:space="preserve"> </w:t>
      </w:r>
      <w:r w:rsidRPr="00C9465D">
        <w:rPr>
          <w:rFonts w:eastAsia="Batang"/>
          <w:lang w:val="en-US"/>
        </w:rPr>
        <w:t>support his assertions in this opinion.</w:t>
      </w:r>
    </w:p>
    <w:p w14:paraId="1513D67D" w14:textId="77777777" w:rsidR="000A7745" w:rsidRPr="00C9465D" w:rsidRDefault="000A7745" w:rsidP="00760D70">
      <w:pPr>
        <w:pStyle w:val="ListParagraph"/>
        <w:spacing w:line="240" w:lineRule="auto"/>
        <w:ind w:left="0" w:right="48"/>
        <w:rPr>
          <w:lang w:val="en-US"/>
        </w:rPr>
      </w:pPr>
    </w:p>
    <w:p w14:paraId="35182CBD" w14:textId="314CB70F" w:rsidR="000A7745" w:rsidRPr="00C9465D" w:rsidRDefault="00A64D16" w:rsidP="00D47F8D">
      <w:pPr>
        <w:pStyle w:val="ListParagraph"/>
        <w:numPr>
          <w:ilvl w:val="0"/>
          <w:numId w:val="18"/>
        </w:numPr>
        <w:spacing w:after="160" w:line="240" w:lineRule="auto"/>
        <w:ind w:left="0" w:right="48" w:firstLine="0"/>
        <w:rPr>
          <w:lang w:val="en-US"/>
        </w:rPr>
      </w:pPr>
      <w:r w:rsidRPr="00C9465D">
        <w:rPr>
          <w:rFonts w:eastAsia="Batang"/>
          <w:lang w:val="en-US"/>
        </w:rPr>
        <w:t>This instrument</w:t>
      </w:r>
      <w:r w:rsidR="000A7745" w:rsidRPr="00C9465D">
        <w:rPr>
          <w:rStyle w:val="FootnoteReference"/>
          <w:rFonts w:eastAsia="Batang"/>
          <w:lang w:val="en-US"/>
        </w:rPr>
        <w:footnoteReference w:id="440"/>
      </w:r>
      <w:r w:rsidR="000A7745" w:rsidRPr="00C9465D">
        <w:rPr>
          <w:rFonts w:eastAsia="Batang"/>
          <w:lang w:val="en-US"/>
        </w:rPr>
        <w:t xml:space="preserve"> </w:t>
      </w:r>
      <w:r w:rsidRPr="00C9465D">
        <w:rPr>
          <w:rFonts w:eastAsia="Batang"/>
          <w:lang w:val="en-US"/>
        </w:rPr>
        <w:t xml:space="preserve">was adopted on the basis of the provisions of </w:t>
      </w:r>
      <w:r w:rsidR="00193CBB" w:rsidRPr="00C9465D">
        <w:rPr>
          <w:rFonts w:eastAsia="Batang"/>
          <w:lang w:val="en-US"/>
        </w:rPr>
        <w:t>Articles</w:t>
      </w:r>
      <w:r w:rsidR="000A7745" w:rsidRPr="00C9465D">
        <w:rPr>
          <w:rFonts w:eastAsia="Batang"/>
          <w:lang w:val="en-US"/>
        </w:rPr>
        <w:t xml:space="preserve"> 31, 76</w:t>
      </w:r>
      <w:r w:rsidR="00193CBB" w:rsidRPr="00C9465D">
        <w:rPr>
          <w:rFonts w:eastAsia="Batang"/>
          <w:lang w:val="en-US"/>
        </w:rPr>
        <w:t xml:space="preserve"> and </w:t>
      </w:r>
      <w:r w:rsidR="000A7745" w:rsidRPr="00C9465D">
        <w:rPr>
          <w:rFonts w:eastAsia="Batang"/>
          <w:lang w:val="en-US"/>
        </w:rPr>
        <w:t>77</w:t>
      </w:r>
      <w:r w:rsidR="000A7745" w:rsidRPr="00C9465D">
        <w:rPr>
          <w:vertAlign w:val="superscript"/>
          <w:lang w:val="en-US"/>
        </w:rPr>
        <w:footnoteReference w:id="441"/>
      </w:r>
      <w:r w:rsidR="00193CBB" w:rsidRPr="00C9465D">
        <w:rPr>
          <w:rFonts w:eastAsia="Batang"/>
          <w:lang w:val="en-US"/>
        </w:rPr>
        <w:t xml:space="preserve"> of the Convention</w:t>
      </w:r>
      <w:r w:rsidRPr="00C9465D">
        <w:rPr>
          <w:rFonts w:eastAsia="Batang"/>
          <w:lang w:val="en-US"/>
        </w:rPr>
        <w:t xml:space="preserve">, as indicated in its </w:t>
      </w:r>
      <w:r w:rsidR="00651251" w:rsidRPr="00C9465D">
        <w:rPr>
          <w:rFonts w:eastAsia="Batang"/>
          <w:lang w:val="en-US"/>
        </w:rPr>
        <w:t>Preamble</w:t>
      </w:r>
      <w:r w:rsidR="000A7745" w:rsidRPr="00C9465D">
        <w:rPr>
          <w:rFonts w:eastAsia="Batang"/>
          <w:lang w:val="en-US"/>
        </w:rPr>
        <w:t xml:space="preserve">, </w:t>
      </w:r>
      <w:r w:rsidRPr="00C9465D">
        <w:rPr>
          <w:rFonts w:eastAsia="Batang"/>
          <w:lang w:val="en-US"/>
        </w:rPr>
        <w:t>which indicates that:</w:t>
      </w:r>
      <w:r w:rsidR="000A7745" w:rsidRPr="00C9465D">
        <w:rPr>
          <w:rFonts w:eastAsia="Batang"/>
          <w:lang w:val="en-US"/>
        </w:rPr>
        <w:t xml:space="preserve"> </w:t>
      </w:r>
    </w:p>
    <w:p w14:paraId="7B791264" w14:textId="426E8696" w:rsidR="000A7745" w:rsidRPr="00C9465D" w:rsidRDefault="000A7745" w:rsidP="00A64D16">
      <w:pPr>
        <w:tabs>
          <w:tab w:val="left" w:pos="2340"/>
        </w:tabs>
        <w:spacing w:after="0" w:line="240" w:lineRule="auto"/>
        <w:ind w:left="810" w:right="404"/>
        <w:jc w:val="both"/>
        <w:rPr>
          <w:rFonts w:ascii="Verdana" w:eastAsia="Times New Roman" w:hAnsi="Verdana" w:cs="Times New Roman"/>
          <w:sz w:val="18"/>
          <w:szCs w:val="18"/>
          <w:lang w:val="en-US"/>
        </w:rPr>
      </w:pPr>
      <w:r w:rsidRPr="00C9465D">
        <w:rPr>
          <w:rFonts w:ascii="Verdana" w:eastAsia="Batang" w:hAnsi="Verdana"/>
          <w:i/>
          <w:sz w:val="18"/>
          <w:szCs w:val="18"/>
          <w:lang w:val="en-US"/>
        </w:rPr>
        <w:t>“</w:t>
      </w:r>
      <w:r w:rsidR="0091026A" w:rsidRPr="00C9465D">
        <w:rPr>
          <w:rFonts w:ascii="Verdana" w:eastAsia="Times New Roman" w:hAnsi="Verdana" w:cs="Tahoma"/>
          <w:sz w:val="18"/>
          <w:szCs w:val="18"/>
          <w:lang w:val="en-US"/>
        </w:rPr>
        <w:t>Bearing in mind that, although fundamental economic, social and cultural rights have been recognized in earlier international instruments of both world and regional scope, it is essential that those rights be reaffirmed, developed, perfected and protected in order to consolidate in America, on the basis of full respect for the rights of the individual, the democratic representative form of government as well as the right of its peoples to development, self-determination, and the free disposal of their wealth and natural resources, and Considering that the American Convention on Human Rights provides that draft additional protocols to that Convention may be submitted for consideration to the States Parties, meeting together on the occasion of the General Assembly of the Organization of American States, for the purpose of gradually incorporating other rights and freedoms into the protective system thereof.”</w:t>
      </w:r>
    </w:p>
    <w:p w14:paraId="6EC38E52" w14:textId="77777777" w:rsidR="000A7745" w:rsidRPr="00C9465D" w:rsidRDefault="000A7745" w:rsidP="00760D70">
      <w:pPr>
        <w:tabs>
          <w:tab w:val="left" w:pos="709"/>
        </w:tabs>
        <w:spacing w:after="0" w:line="240" w:lineRule="auto"/>
        <w:ind w:left="567" w:right="48"/>
        <w:rPr>
          <w:rFonts w:ascii="Verdana" w:eastAsia="Batang" w:hAnsi="Verdana"/>
          <w:iCs/>
          <w:sz w:val="20"/>
          <w:szCs w:val="20"/>
          <w:lang w:val="en-US"/>
        </w:rPr>
      </w:pPr>
    </w:p>
    <w:p w14:paraId="5F37D3B4" w14:textId="59E5ADD8" w:rsidR="000A7745" w:rsidRPr="00C9465D" w:rsidRDefault="00116E32" w:rsidP="00D47F8D">
      <w:pPr>
        <w:pStyle w:val="ListParagraph"/>
        <w:numPr>
          <w:ilvl w:val="0"/>
          <w:numId w:val="18"/>
        </w:numPr>
        <w:spacing w:after="160" w:line="240" w:lineRule="auto"/>
        <w:ind w:left="0" w:right="48" w:firstLine="0"/>
        <w:rPr>
          <w:rFonts w:eastAsia="Batang"/>
          <w:lang w:val="en-US"/>
        </w:rPr>
      </w:pPr>
      <w:r w:rsidRPr="00C9465D">
        <w:rPr>
          <w:rFonts w:eastAsia="Batang"/>
          <w:lang w:val="en-US"/>
        </w:rPr>
        <w:t>C</w:t>
      </w:r>
      <w:r w:rsidR="00D669F9" w:rsidRPr="00C9465D">
        <w:rPr>
          <w:rFonts w:eastAsia="Batang"/>
          <w:lang w:val="en-US"/>
        </w:rPr>
        <w:t xml:space="preserve">onsequently, </w:t>
      </w:r>
      <w:r w:rsidRPr="00C9465D">
        <w:rPr>
          <w:rFonts w:eastAsia="Batang"/>
          <w:lang w:val="en-US"/>
        </w:rPr>
        <w:t xml:space="preserve">the foregoing reveals </w:t>
      </w:r>
      <w:r w:rsidR="00D669F9" w:rsidRPr="00C9465D">
        <w:rPr>
          <w:rFonts w:eastAsia="Batang"/>
          <w:lang w:val="en-US"/>
        </w:rPr>
        <w:t xml:space="preserve">that it is an agreement additional to the Convention, with the specific purpose of reaffirming, developing, perfecting and protecting the economic, social and cultural rights and of progressively incorporating them into its protection system and achieving their full realization. </w:t>
      </w:r>
    </w:p>
    <w:p w14:paraId="7BC17A3A" w14:textId="77777777" w:rsidR="000A7745" w:rsidRPr="00C9465D" w:rsidRDefault="000A7745" w:rsidP="00760D70">
      <w:pPr>
        <w:pStyle w:val="ListParagraph"/>
        <w:spacing w:line="240" w:lineRule="auto"/>
        <w:ind w:left="0" w:right="48"/>
        <w:rPr>
          <w:rFonts w:eastAsia="Batang"/>
          <w:lang w:val="en-US"/>
        </w:rPr>
      </w:pPr>
    </w:p>
    <w:p w14:paraId="31001459" w14:textId="12390169" w:rsidR="000A7745" w:rsidRPr="00C9465D" w:rsidRDefault="00D669F9" w:rsidP="00760D70">
      <w:pPr>
        <w:pStyle w:val="ListParagraph"/>
        <w:numPr>
          <w:ilvl w:val="0"/>
          <w:numId w:val="18"/>
        </w:numPr>
        <w:spacing w:after="160" w:line="240" w:lineRule="auto"/>
        <w:ind w:left="0" w:right="48" w:firstLine="0"/>
        <w:rPr>
          <w:rFonts w:eastAsia="Batang"/>
          <w:lang w:val="en-US"/>
        </w:rPr>
      </w:pPr>
      <w:r w:rsidRPr="00C9465D">
        <w:rPr>
          <w:rFonts w:eastAsia="Batang"/>
          <w:lang w:val="en-US"/>
        </w:rPr>
        <w:t xml:space="preserve">In other words, the Protocol was adopted because, when it was signed, the economic, social and cultural rights had not been reaffirmed, developed, perfected and protected, or incorporated into the Convention’s protection system. And this means that neither were they fully effective by virtue of Article 26. Otherwise, neither the purpose </w:t>
      </w:r>
      <w:r w:rsidR="00D8209E" w:rsidRPr="00C9465D">
        <w:rPr>
          <w:rFonts w:eastAsia="Batang"/>
          <w:lang w:val="en-US"/>
        </w:rPr>
        <w:t>nor</w:t>
      </w:r>
      <w:r w:rsidRPr="00C9465D">
        <w:rPr>
          <w:rFonts w:eastAsia="Batang"/>
          <w:lang w:val="en-US"/>
        </w:rPr>
        <w:t xml:space="preserve"> desirability of the Protocol could be understood.</w:t>
      </w:r>
    </w:p>
    <w:p w14:paraId="6B19767E" w14:textId="141F0B5B" w:rsidR="000A7745" w:rsidRPr="00C9465D" w:rsidRDefault="00D669F9" w:rsidP="00D47F8D">
      <w:pPr>
        <w:pStyle w:val="ListParagraph"/>
        <w:numPr>
          <w:ilvl w:val="0"/>
          <w:numId w:val="18"/>
        </w:numPr>
        <w:spacing w:after="160" w:line="240" w:lineRule="auto"/>
        <w:ind w:left="0" w:right="48" w:firstLine="0"/>
        <w:rPr>
          <w:rFonts w:eastAsia="Batang"/>
          <w:lang w:val="en-US"/>
        </w:rPr>
      </w:pPr>
      <w:r w:rsidRPr="00C9465D">
        <w:rPr>
          <w:rFonts w:eastAsia="Batang"/>
          <w:lang w:val="en-US"/>
        </w:rPr>
        <w:lastRenderedPageBreak/>
        <w:t xml:space="preserve">Thus, the Protocol </w:t>
      </w:r>
      <w:bookmarkStart w:id="169" w:name="_Hlk31858222"/>
      <w:r w:rsidR="000A7745" w:rsidRPr="00C9465D">
        <w:rPr>
          <w:rFonts w:eastAsia="Batang"/>
          <w:lang w:val="en-US"/>
        </w:rPr>
        <w:t>“reco</w:t>
      </w:r>
      <w:r w:rsidRPr="00C9465D">
        <w:rPr>
          <w:rFonts w:eastAsia="Batang"/>
          <w:lang w:val="en-US"/>
        </w:rPr>
        <w:t>gniz</w:t>
      </w:r>
      <w:r w:rsidR="000A7745" w:rsidRPr="00C9465D">
        <w:rPr>
          <w:rFonts w:eastAsia="Batang"/>
          <w:lang w:val="en-US"/>
        </w:rPr>
        <w:t>e</w:t>
      </w:r>
      <w:r w:rsidRPr="00C9465D">
        <w:rPr>
          <w:rFonts w:eastAsia="Batang"/>
          <w:lang w:val="en-US"/>
        </w:rPr>
        <w:t>s,</w:t>
      </w:r>
      <w:r w:rsidR="000A7745" w:rsidRPr="00C9465D">
        <w:rPr>
          <w:rFonts w:eastAsia="Batang"/>
          <w:lang w:val="en-US"/>
        </w:rPr>
        <w:t>”</w:t>
      </w:r>
      <w:r w:rsidR="000A7745" w:rsidRPr="00C9465D">
        <w:rPr>
          <w:vertAlign w:val="superscript"/>
          <w:lang w:val="en-US"/>
        </w:rPr>
        <w:footnoteReference w:id="442"/>
      </w:r>
      <w:r w:rsidR="000A7745" w:rsidRPr="00C9465D">
        <w:rPr>
          <w:rFonts w:eastAsia="Batang"/>
          <w:lang w:val="en-US"/>
        </w:rPr>
        <w:t xml:space="preserve"> “</w:t>
      </w:r>
      <w:r w:rsidR="00260D95" w:rsidRPr="00C9465D">
        <w:rPr>
          <w:rFonts w:eastAsia="Batang"/>
          <w:lang w:val="en-US"/>
        </w:rPr>
        <w:t>establishes</w:t>
      </w:r>
      <w:r w:rsidRPr="00C9465D">
        <w:rPr>
          <w:rFonts w:eastAsia="Batang"/>
          <w:lang w:val="en-US"/>
        </w:rPr>
        <w:t>,</w:t>
      </w:r>
      <w:r w:rsidR="000A7745" w:rsidRPr="00C9465D">
        <w:rPr>
          <w:rFonts w:eastAsia="Batang"/>
          <w:lang w:val="en-US"/>
        </w:rPr>
        <w:t>”</w:t>
      </w:r>
      <w:r w:rsidR="000A7745" w:rsidRPr="00C9465D">
        <w:rPr>
          <w:vertAlign w:val="superscript"/>
          <w:lang w:val="en-US"/>
        </w:rPr>
        <w:footnoteReference w:id="443"/>
      </w:r>
      <w:r w:rsidR="000A7745" w:rsidRPr="00C9465D">
        <w:rPr>
          <w:rFonts w:eastAsia="Batang"/>
          <w:lang w:val="en-US"/>
        </w:rPr>
        <w:t xml:space="preserve"> “</w:t>
      </w:r>
      <w:r w:rsidR="006F051B" w:rsidRPr="00C9465D">
        <w:rPr>
          <w:rFonts w:eastAsia="Batang"/>
          <w:lang w:val="en-US"/>
        </w:rPr>
        <w:t>sets forth</w:t>
      </w:r>
      <w:r w:rsidR="000A7745" w:rsidRPr="00C9465D">
        <w:rPr>
          <w:rFonts w:eastAsia="Batang"/>
          <w:lang w:val="en-US"/>
        </w:rPr>
        <w:t>”</w:t>
      </w:r>
      <w:r w:rsidR="000A7745" w:rsidRPr="00C9465D">
        <w:rPr>
          <w:vertAlign w:val="superscript"/>
          <w:lang w:val="en-US"/>
        </w:rPr>
        <w:footnoteReference w:id="444"/>
      </w:r>
      <w:r w:rsidR="000A7745" w:rsidRPr="00C9465D">
        <w:rPr>
          <w:rFonts w:eastAsia="Batang"/>
          <w:lang w:val="en-US"/>
        </w:rPr>
        <w:t xml:space="preserve"> o</w:t>
      </w:r>
      <w:r w:rsidRPr="00C9465D">
        <w:rPr>
          <w:rFonts w:eastAsia="Batang"/>
          <w:lang w:val="en-US"/>
        </w:rPr>
        <w:t>r</w:t>
      </w:r>
      <w:r w:rsidR="000A7745" w:rsidRPr="00C9465D">
        <w:rPr>
          <w:rFonts w:eastAsia="Batang"/>
          <w:lang w:val="en-US"/>
        </w:rPr>
        <w:t xml:space="preserve"> “</w:t>
      </w:r>
      <w:r w:rsidR="006F051B" w:rsidRPr="00C9465D">
        <w:rPr>
          <w:rFonts w:eastAsia="Batang"/>
          <w:lang w:val="en-US"/>
        </w:rPr>
        <w:t>sets forth” [</w:t>
      </w:r>
      <w:r w:rsidR="000A7745" w:rsidRPr="00C9465D">
        <w:rPr>
          <w:rFonts w:eastAsia="Batang"/>
          <w:i/>
          <w:iCs/>
          <w:lang w:val="en-US"/>
        </w:rPr>
        <w:t>consagra</w:t>
      </w:r>
      <w:r w:rsidR="006F051B" w:rsidRPr="00C9465D">
        <w:rPr>
          <w:rFonts w:eastAsia="Batang"/>
          <w:i/>
          <w:iCs/>
          <w:lang w:val="en-US"/>
        </w:rPr>
        <w:t xml:space="preserve"> </w:t>
      </w:r>
      <w:r w:rsidR="006F051B" w:rsidRPr="00C9465D">
        <w:rPr>
          <w:rFonts w:eastAsia="Batang"/>
          <w:lang w:val="en-US"/>
        </w:rPr>
        <w:t>in the original Spanish]</w:t>
      </w:r>
      <w:r w:rsidR="000A7745" w:rsidRPr="00C9465D">
        <w:rPr>
          <w:rFonts w:eastAsia="Batang"/>
          <w:i/>
          <w:iCs/>
          <w:lang w:val="en-US"/>
        </w:rPr>
        <w:t>”</w:t>
      </w:r>
      <w:r w:rsidR="000A7745" w:rsidRPr="00C9465D">
        <w:rPr>
          <w:vertAlign w:val="superscript"/>
          <w:lang w:val="en-US"/>
        </w:rPr>
        <w:footnoteReference w:id="445"/>
      </w:r>
      <w:r w:rsidR="000A7745" w:rsidRPr="00C9465D">
        <w:rPr>
          <w:rFonts w:eastAsia="Batang"/>
          <w:lang w:val="en-US"/>
        </w:rPr>
        <w:t xml:space="preserve"> </w:t>
      </w:r>
      <w:bookmarkEnd w:id="169"/>
      <w:r w:rsidRPr="00C9465D">
        <w:rPr>
          <w:rFonts w:eastAsia="Batang"/>
          <w:lang w:val="en-US"/>
        </w:rPr>
        <w:t>the following rights</w:t>
      </w:r>
      <w:r w:rsidR="00FD3AF6" w:rsidRPr="00C9465D">
        <w:rPr>
          <w:rFonts w:eastAsia="Batang"/>
          <w:lang w:val="en-US"/>
        </w:rPr>
        <w:t>:</w:t>
      </w:r>
      <w:r w:rsidR="00917BF6" w:rsidRPr="00C9465D">
        <w:rPr>
          <w:rFonts w:eastAsia="Batang"/>
          <w:lang w:val="en-US"/>
        </w:rPr>
        <w:t xml:space="preserve"> </w:t>
      </w:r>
      <w:r w:rsidRPr="00C9465D">
        <w:rPr>
          <w:rFonts w:eastAsia="Batang"/>
          <w:lang w:val="en-US"/>
        </w:rPr>
        <w:t xml:space="preserve">Right to Work </w:t>
      </w:r>
      <w:r w:rsidR="000A7745" w:rsidRPr="00C9465D">
        <w:rPr>
          <w:rFonts w:eastAsia="Batang" w:cs="Tahoma"/>
          <w:bCs/>
          <w:lang w:val="en-US"/>
        </w:rPr>
        <w:t>(</w:t>
      </w:r>
      <w:r w:rsidR="0041721A" w:rsidRPr="00C9465D">
        <w:rPr>
          <w:rFonts w:eastAsia="Batang" w:cs="Tahoma"/>
          <w:bCs/>
          <w:lang w:val="en-US"/>
        </w:rPr>
        <w:t>Art.</w:t>
      </w:r>
      <w:r w:rsidRPr="00C9465D">
        <w:rPr>
          <w:rFonts w:eastAsia="Batang" w:cs="Tahoma"/>
          <w:bCs/>
          <w:lang w:val="en-US"/>
        </w:rPr>
        <w:t xml:space="preserve"> </w:t>
      </w:r>
      <w:r w:rsidR="000A7745" w:rsidRPr="00C9465D">
        <w:rPr>
          <w:rFonts w:eastAsia="Batang" w:cs="Tahoma"/>
          <w:bCs/>
          <w:lang w:val="en-US"/>
        </w:rPr>
        <w:t>6)</w:t>
      </w:r>
      <w:r w:rsidRPr="00C9465D">
        <w:rPr>
          <w:rFonts w:eastAsia="Batang" w:cs="Tahoma"/>
          <w:bCs/>
          <w:lang w:val="en-US"/>
        </w:rPr>
        <w:t xml:space="preserve">; Just, Equitable and Satisfactory Conditions of Work </w:t>
      </w:r>
      <w:r w:rsidR="000A7745" w:rsidRPr="00C9465D">
        <w:rPr>
          <w:rFonts w:eastAsia="Batang" w:cs="Tahoma"/>
          <w:bCs/>
          <w:lang w:val="en-US"/>
        </w:rPr>
        <w:t>(</w:t>
      </w:r>
      <w:r w:rsidR="0041721A" w:rsidRPr="00C9465D">
        <w:rPr>
          <w:rFonts w:eastAsia="Batang" w:cs="Tahoma"/>
          <w:bCs/>
          <w:lang w:val="en-US"/>
        </w:rPr>
        <w:t>Art.</w:t>
      </w:r>
      <w:r w:rsidRPr="00C9465D">
        <w:rPr>
          <w:rFonts w:eastAsia="Batang" w:cs="Tahoma"/>
          <w:bCs/>
          <w:lang w:val="en-US"/>
        </w:rPr>
        <w:t xml:space="preserve"> </w:t>
      </w:r>
      <w:r w:rsidR="000A7745" w:rsidRPr="00C9465D">
        <w:rPr>
          <w:rFonts w:eastAsia="Batang" w:cs="Tahoma"/>
          <w:bCs/>
          <w:lang w:val="en-US"/>
        </w:rPr>
        <w:t>7)</w:t>
      </w:r>
      <w:r w:rsidRPr="00C9465D">
        <w:rPr>
          <w:rFonts w:eastAsia="Batang" w:cs="Tahoma"/>
          <w:bCs/>
          <w:lang w:val="en-US"/>
        </w:rPr>
        <w:t>;</w:t>
      </w:r>
      <w:r w:rsidR="000A7745" w:rsidRPr="00C9465D">
        <w:rPr>
          <w:rFonts w:eastAsia="Batang" w:cs="Tahoma"/>
          <w:bCs/>
          <w:lang w:val="en-US"/>
        </w:rPr>
        <w:t xml:space="preserve"> </w:t>
      </w:r>
      <w:r w:rsidRPr="00C9465D">
        <w:rPr>
          <w:rFonts w:eastAsia="Batang" w:cs="Tahoma"/>
          <w:bCs/>
          <w:lang w:val="en-US"/>
        </w:rPr>
        <w:t>Trade Union Rights</w:t>
      </w:r>
      <w:r w:rsidR="000A7745" w:rsidRPr="00C9465D">
        <w:rPr>
          <w:rFonts w:eastAsia="Batang" w:cs="Tahoma"/>
          <w:bCs/>
          <w:lang w:val="en-US"/>
        </w:rPr>
        <w:t xml:space="preserve"> (</w:t>
      </w:r>
      <w:r w:rsidR="0041721A" w:rsidRPr="00C9465D">
        <w:rPr>
          <w:rFonts w:eastAsia="Batang" w:cs="Tahoma"/>
          <w:bCs/>
          <w:lang w:val="en-US"/>
        </w:rPr>
        <w:t>Art.</w:t>
      </w:r>
      <w:r w:rsidRPr="00C9465D">
        <w:rPr>
          <w:rFonts w:eastAsia="Batang" w:cs="Tahoma"/>
          <w:bCs/>
          <w:lang w:val="en-US"/>
        </w:rPr>
        <w:t xml:space="preserve"> </w:t>
      </w:r>
      <w:r w:rsidR="000A7745" w:rsidRPr="00C9465D">
        <w:rPr>
          <w:rFonts w:eastAsia="Batang" w:cs="Tahoma"/>
          <w:bCs/>
          <w:lang w:val="en-US"/>
        </w:rPr>
        <w:t>8)</w:t>
      </w:r>
      <w:r w:rsidRPr="00C9465D">
        <w:rPr>
          <w:rFonts w:eastAsia="Batang" w:cs="Tahoma"/>
          <w:bCs/>
          <w:lang w:val="en-US"/>
        </w:rPr>
        <w:t>; Right to Social Security</w:t>
      </w:r>
      <w:r w:rsidR="000A7745" w:rsidRPr="00C9465D">
        <w:rPr>
          <w:rFonts w:eastAsia="Batang" w:cs="Tahoma"/>
          <w:bCs/>
          <w:lang w:val="en-US"/>
        </w:rPr>
        <w:t xml:space="preserve"> (</w:t>
      </w:r>
      <w:r w:rsidR="0041721A" w:rsidRPr="00C9465D">
        <w:rPr>
          <w:rFonts w:eastAsia="Batang" w:cs="Tahoma"/>
          <w:bCs/>
          <w:lang w:val="en-US"/>
        </w:rPr>
        <w:t>Art.</w:t>
      </w:r>
      <w:r w:rsidRPr="00C9465D">
        <w:rPr>
          <w:rFonts w:eastAsia="Batang" w:cs="Tahoma"/>
          <w:bCs/>
          <w:lang w:val="en-US"/>
        </w:rPr>
        <w:t xml:space="preserve"> </w:t>
      </w:r>
      <w:r w:rsidR="000A7745" w:rsidRPr="00C9465D">
        <w:rPr>
          <w:rFonts w:eastAsia="Batang" w:cs="Tahoma"/>
          <w:bCs/>
          <w:lang w:val="en-US"/>
        </w:rPr>
        <w:t>9)</w:t>
      </w:r>
      <w:r w:rsidRPr="00C9465D">
        <w:rPr>
          <w:rFonts w:eastAsia="Batang" w:cs="Tahoma"/>
          <w:bCs/>
          <w:lang w:val="en-US"/>
        </w:rPr>
        <w:t>; R</w:t>
      </w:r>
      <w:r w:rsidR="00260D95" w:rsidRPr="00C9465D">
        <w:rPr>
          <w:rFonts w:eastAsia="Batang" w:cs="Tahoma"/>
          <w:bCs/>
          <w:lang w:val="en-US"/>
        </w:rPr>
        <w:t xml:space="preserve">ight to </w:t>
      </w:r>
      <w:r w:rsidRPr="00C9465D">
        <w:rPr>
          <w:rFonts w:eastAsia="Batang" w:cs="Tahoma"/>
          <w:bCs/>
          <w:lang w:val="en-US"/>
        </w:rPr>
        <w:t>H</w:t>
      </w:r>
      <w:r w:rsidR="00260D95" w:rsidRPr="00C9465D">
        <w:rPr>
          <w:rFonts w:eastAsia="Batang" w:cs="Tahoma"/>
          <w:bCs/>
          <w:lang w:val="en-US"/>
        </w:rPr>
        <w:t>ealth</w:t>
      </w:r>
      <w:r w:rsidR="000A7745" w:rsidRPr="00C9465D">
        <w:rPr>
          <w:rFonts w:eastAsia="Batang" w:cs="Tahoma"/>
          <w:bCs/>
          <w:lang w:val="en-US"/>
        </w:rPr>
        <w:t xml:space="preserve"> (</w:t>
      </w:r>
      <w:r w:rsidR="0041721A" w:rsidRPr="00C9465D">
        <w:rPr>
          <w:rFonts w:eastAsia="Batang" w:cs="Tahoma"/>
          <w:bCs/>
          <w:lang w:val="en-US"/>
        </w:rPr>
        <w:t>Art.</w:t>
      </w:r>
      <w:r w:rsidRPr="00C9465D">
        <w:rPr>
          <w:rFonts w:eastAsia="Batang" w:cs="Tahoma"/>
          <w:bCs/>
          <w:lang w:val="en-US"/>
        </w:rPr>
        <w:t xml:space="preserve"> </w:t>
      </w:r>
      <w:r w:rsidR="000A7745" w:rsidRPr="00C9465D">
        <w:rPr>
          <w:rFonts w:eastAsia="Batang" w:cs="Tahoma"/>
          <w:bCs/>
          <w:lang w:val="en-US"/>
        </w:rPr>
        <w:t>10)</w:t>
      </w:r>
      <w:r w:rsidR="00917BF6" w:rsidRPr="00C9465D">
        <w:rPr>
          <w:rFonts w:eastAsia="Batang" w:cs="Tahoma"/>
          <w:bCs/>
          <w:lang w:val="en-US"/>
        </w:rPr>
        <w:t xml:space="preserve">; </w:t>
      </w:r>
      <w:r w:rsidRPr="00C9465D">
        <w:rPr>
          <w:rFonts w:eastAsia="Batang" w:cs="Tahoma"/>
          <w:bCs/>
          <w:lang w:val="en-US"/>
        </w:rPr>
        <w:t>Right to a Health</w:t>
      </w:r>
      <w:r w:rsidR="00917BF6" w:rsidRPr="00C9465D">
        <w:rPr>
          <w:rFonts w:eastAsia="Batang" w:cs="Tahoma"/>
          <w:bCs/>
          <w:lang w:val="en-US"/>
        </w:rPr>
        <w:t>y</w:t>
      </w:r>
      <w:r w:rsidRPr="00C9465D">
        <w:rPr>
          <w:rFonts w:eastAsia="Batang" w:cs="Tahoma"/>
          <w:bCs/>
          <w:lang w:val="en-US"/>
        </w:rPr>
        <w:t xml:space="preserve"> Environment </w:t>
      </w:r>
      <w:r w:rsidR="000A7745" w:rsidRPr="00C9465D">
        <w:rPr>
          <w:rFonts w:eastAsia="Batang" w:cs="Tahoma"/>
          <w:bCs/>
          <w:lang w:val="en-US"/>
        </w:rPr>
        <w:t>(</w:t>
      </w:r>
      <w:r w:rsidR="0041721A" w:rsidRPr="00C9465D">
        <w:rPr>
          <w:rFonts w:eastAsia="Batang" w:cs="Tahoma"/>
          <w:bCs/>
          <w:lang w:val="en-US"/>
        </w:rPr>
        <w:t>Art.</w:t>
      </w:r>
      <w:r w:rsidRPr="00C9465D">
        <w:rPr>
          <w:rFonts w:eastAsia="Batang" w:cs="Tahoma"/>
          <w:bCs/>
          <w:lang w:val="en-US"/>
        </w:rPr>
        <w:t xml:space="preserve"> </w:t>
      </w:r>
      <w:r w:rsidR="000A7745" w:rsidRPr="00C9465D">
        <w:rPr>
          <w:rFonts w:eastAsia="Batang" w:cs="Tahoma"/>
          <w:bCs/>
          <w:lang w:val="en-US"/>
        </w:rPr>
        <w:t>11)</w:t>
      </w:r>
      <w:r w:rsidR="00917BF6" w:rsidRPr="00C9465D">
        <w:rPr>
          <w:rFonts w:eastAsia="Batang" w:cs="Tahoma"/>
          <w:bCs/>
          <w:lang w:val="en-US"/>
        </w:rPr>
        <w:t>;</w:t>
      </w:r>
      <w:r w:rsidR="000A7745" w:rsidRPr="00C9465D">
        <w:rPr>
          <w:rFonts w:eastAsia="Batang" w:cs="Tahoma"/>
          <w:bCs/>
          <w:lang w:val="en-US"/>
        </w:rPr>
        <w:t xml:space="preserve"> </w:t>
      </w:r>
      <w:r w:rsidRPr="00C9465D">
        <w:rPr>
          <w:rFonts w:eastAsia="Batang" w:cs="Tahoma"/>
          <w:bCs/>
          <w:lang w:val="en-US"/>
        </w:rPr>
        <w:t xml:space="preserve">Right to Food </w:t>
      </w:r>
      <w:r w:rsidR="000A7745" w:rsidRPr="00C9465D">
        <w:rPr>
          <w:rFonts w:eastAsia="Batang" w:cs="Tahoma"/>
          <w:bCs/>
          <w:lang w:val="en-US"/>
        </w:rPr>
        <w:t>(</w:t>
      </w:r>
      <w:r w:rsidR="0041721A" w:rsidRPr="00C9465D">
        <w:rPr>
          <w:rFonts w:eastAsia="Batang" w:cs="Tahoma"/>
          <w:bCs/>
          <w:lang w:val="en-US"/>
        </w:rPr>
        <w:t>Art.</w:t>
      </w:r>
      <w:r w:rsidRPr="00C9465D">
        <w:rPr>
          <w:rFonts w:eastAsia="Batang" w:cs="Tahoma"/>
          <w:bCs/>
          <w:lang w:val="en-US"/>
        </w:rPr>
        <w:t xml:space="preserve"> </w:t>
      </w:r>
      <w:r w:rsidR="000A7745" w:rsidRPr="00C9465D">
        <w:rPr>
          <w:rFonts w:eastAsia="Batang" w:cs="Tahoma"/>
          <w:bCs/>
          <w:lang w:val="en-US"/>
        </w:rPr>
        <w:t>12)</w:t>
      </w:r>
      <w:r w:rsidR="00917BF6" w:rsidRPr="00C9465D">
        <w:rPr>
          <w:rFonts w:eastAsia="Batang" w:cs="Tahoma"/>
          <w:bCs/>
          <w:lang w:val="en-US"/>
        </w:rPr>
        <w:t>;</w:t>
      </w:r>
      <w:r w:rsidR="000A7745" w:rsidRPr="00C9465D">
        <w:rPr>
          <w:rFonts w:eastAsia="Batang" w:cs="Tahoma"/>
          <w:bCs/>
          <w:lang w:val="en-US"/>
        </w:rPr>
        <w:t xml:space="preserve"> </w:t>
      </w:r>
      <w:r w:rsidRPr="00C9465D">
        <w:rPr>
          <w:rFonts w:eastAsia="Batang" w:cs="Tahoma"/>
          <w:bCs/>
          <w:lang w:val="en-US"/>
        </w:rPr>
        <w:t xml:space="preserve">Right to Education </w:t>
      </w:r>
      <w:r w:rsidR="000A7745" w:rsidRPr="00C9465D">
        <w:rPr>
          <w:rFonts w:eastAsia="Batang" w:cs="Tahoma"/>
          <w:bCs/>
          <w:lang w:val="en-US"/>
        </w:rPr>
        <w:t>(</w:t>
      </w:r>
      <w:r w:rsidR="0041721A" w:rsidRPr="00C9465D">
        <w:rPr>
          <w:rFonts w:eastAsia="Batang" w:cs="Tahoma"/>
          <w:bCs/>
          <w:lang w:val="en-US"/>
        </w:rPr>
        <w:t>Art.</w:t>
      </w:r>
      <w:r w:rsidRPr="00C9465D">
        <w:rPr>
          <w:rFonts w:eastAsia="Batang" w:cs="Tahoma"/>
          <w:bCs/>
          <w:lang w:val="en-US"/>
        </w:rPr>
        <w:t xml:space="preserve"> </w:t>
      </w:r>
      <w:r w:rsidR="000A7745" w:rsidRPr="00C9465D">
        <w:rPr>
          <w:rFonts w:eastAsia="Batang" w:cs="Tahoma"/>
          <w:bCs/>
          <w:lang w:val="en-US"/>
        </w:rPr>
        <w:t>13)</w:t>
      </w:r>
      <w:r w:rsidRPr="00C9465D">
        <w:rPr>
          <w:rFonts w:eastAsia="Batang" w:cs="Tahoma"/>
          <w:bCs/>
          <w:lang w:val="en-US"/>
        </w:rPr>
        <w:t xml:space="preserve">; Right to the Benefits of Culture </w:t>
      </w:r>
      <w:r w:rsidR="000A7745" w:rsidRPr="00C9465D">
        <w:rPr>
          <w:rFonts w:eastAsia="Batang" w:cs="Tahoma"/>
          <w:bCs/>
          <w:lang w:val="en-US"/>
        </w:rPr>
        <w:t>(</w:t>
      </w:r>
      <w:r w:rsidR="0041721A" w:rsidRPr="00C9465D">
        <w:rPr>
          <w:rFonts w:eastAsia="Batang" w:cs="Tahoma"/>
          <w:bCs/>
          <w:lang w:val="en-US"/>
        </w:rPr>
        <w:t>Art.</w:t>
      </w:r>
      <w:r w:rsidRPr="00C9465D">
        <w:rPr>
          <w:rFonts w:eastAsia="Batang" w:cs="Tahoma"/>
          <w:bCs/>
          <w:lang w:val="en-US"/>
        </w:rPr>
        <w:t xml:space="preserve"> </w:t>
      </w:r>
      <w:r w:rsidR="000A7745" w:rsidRPr="00C9465D">
        <w:rPr>
          <w:rFonts w:eastAsia="Batang" w:cs="Tahoma"/>
          <w:bCs/>
          <w:lang w:val="en-US"/>
        </w:rPr>
        <w:t>14)</w:t>
      </w:r>
      <w:r w:rsidR="00917BF6" w:rsidRPr="00C9465D">
        <w:rPr>
          <w:rFonts w:eastAsia="Batang" w:cs="Tahoma"/>
          <w:bCs/>
          <w:lang w:val="en-US"/>
        </w:rPr>
        <w:t>;</w:t>
      </w:r>
      <w:r w:rsidR="000A7745" w:rsidRPr="00C9465D">
        <w:rPr>
          <w:rFonts w:eastAsia="Batang" w:cs="Tahoma"/>
          <w:bCs/>
          <w:lang w:val="en-US"/>
        </w:rPr>
        <w:t xml:space="preserve"> </w:t>
      </w:r>
      <w:r w:rsidRPr="00C9465D">
        <w:rPr>
          <w:rFonts w:eastAsia="Batang" w:cs="Tahoma"/>
          <w:bCs/>
          <w:lang w:val="en-US"/>
        </w:rPr>
        <w:t xml:space="preserve">Right </w:t>
      </w:r>
      <w:r w:rsidR="00917BF6" w:rsidRPr="00C9465D">
        <w:rPr>
          <w:rFonts w:eastAsia="Batang" w:cs="Tahoma"/>
          <w:bCs/>
          <w:lang w:val="en-US"/>
        </w:rPr>
        <w:t xml:space="preserve">to the Formation and the Protection of Families </w:t>
      </w:r>
      <w:r w:rsidR="000A7745" w:rsidRPr="00C9465D">
        <w:rPr>
          <w:rFonts w:eastAsia="Batang" w:cs="Tahoma"/>
          <w:bCs/>
          <w:lang w:val="en-US"/>
        </w:rPr>
        <w:t>(</w:t>
      </w:r>
      <w:r w:rsidR="0041721A" w:rsidRPr="00C9465D">
        <w:rPr>
          <w:rFonts w:eastAsia="Batang" w:cs="Tahoma"/>
          <w:bCs/>
          <w:lang w:val="en-US"/>
        </w:rPr>
        <w:t>Art.</w:t>
      </w:r>
      <w:r w:rsidRPr="00C9465D">
        <w:rPr>
          <w:rFonts w:eastAsia="Batang" w:cs="Tahoma"/>
          <w:bCs/>
          <w:lang w:val="en-US"/>
        </w:rPr>
        <w:t xml:space="preserve"> </w:t>
      </w:r>
      <w:r w:rsidR="000A7745" w:rsidRPr="00C9465D">
        <w:rPr>
          <w:rFonts w:eastAsia="Batang" w:cs="Tahoma"/>
          <w:bCs/>
          <w:lang w:val="en-US"/>
        </w:rPr>
        <w:t>15)</w:t>
      </w:r>
      <w:r w:rsidR="00917BF6" w:rsidRPr="00C9465D">
        <w:rPr>
          <w:rFonts w:eastAsia="Batang" w:cs="Tahoma"/>
          <w:bCs/>
          <w:lang w:val="en-US"/>
        </w:rPr>
        <w:t>;</w:t>
      </w:r>
      <w:r w:rsidR="000A7745" w:rsidRPr="00C9465D">
        <w:rPr>
          <w:rFonts w:eastAsia="Batang" w:cs="Tahoma"/>
          <w:bCs/>
          <w:lang w:val="en-US"/>
        </w:rPr>
        <w:t xml:space="preserve"> </w:t>
      </w:r>
      <w:r w:rsidR="00917BF6" w:rsidRPr="00C9465D">
        <w:rPr>
          <w:rFonts w:eastAsia="Batang" w:cs="Tahoma"/>
          <w:bCs/>
          <w:lang w:val="en-US"/>
        </w:rPr>
        <w:t>Rights of Children</w:t>
      </w:r>
      <w:r w:rsidR="000A7745" w:rsidRPr="00C9465D">
        <w:rPr>
          <w:rFonts w:eastAsia="Batang" w:cs="Tahoma"/>
          <w:bCs/>
          <w:lang w:val="en-US"/>
        </w:rPr>
        <w:t xml:space="preserve"> (</w:t>
      </w:r>
      <w:r w:rsidR="0041721A" w:rsidRPr="00C9465D">
        <w:rPr>
          <w:rFonts w:eastAsia="Batang" w:cs="Tahoma"/>
          <w:bCs/>
          <w:lang w:val="en-US"/>
        </w:rPr>
        <w:t>Art.</w:t>
      </w:r>
      <w:r w:rsidRPr="00C9465D">
        <w:rPr>
          <w:rFonts w:eastAsia="Batang" w:cs="Tahoma"/>
          <w:bCs/>
          <w:lang w:val="en-US"/>
        </w:rPr>
        <w:t xml:space="preserve"> </w:t>
      </w:r>
      <w:r w:rsidR="000A7745" w:rsidRPr="00C9465D">
        <w:rPr>
          <w:rFonts w:eastAsia="Batang" w:cs="Tahoma"/>
          <w:bCs/>
          <w:lang w:val="en-US"/>
        </w:rPr>
        <w:t>16)</w:t>
      </w:r>
      <w:r w:rsidR="00917BF6" w:rsidRPr="00C9465D">
        <w:rPr>
          <w:rFonts w:eastAsia="Batang" w:cs="Tahoma"/>
          <w:bCs/>
          <w:lang w:val="en-US"/>
        </w:rPr>
        <w:t>;</w:t>
      </w:r>
      <w:r w:rsidR="000A7745" w:rsidRPr="00C9465D">
        <w:rPr>
          <w:rFonts w:eastAsia="Batang" w:cs="Tahoma"/>
          <w:bCs/>
          <w:lang w:val="en-US"/>
        </w:rPr>
        <w:t xml:space="preserve"> Protec</w:t>
      </w:r>
      <w:r w:rsidR="00917BF6" w:rsidRPr="00C9465D">
        <w:rPr>
          <w:rFonts w:eastAsia="Batang" w:cs="Tahoma"/>
          <w:bCs/>
          <w:lang w:val="en-US"/>
        </w:rPr>
        <w:t>tio</w:t>
      </w:r>
      <w:r w:rsidR="000A7745" w:rsidRPr="00C9465D">
        <w:rPr>
          <w:rFonts w:eastAsia="Batang" w:cs="Tahoma"/>
          <w:bCs/>
          <w:lang w:val="en-US"/>
        </w:rPr>
        <w:t xml:space="preserve">n </w:t>
      </w:r>
      <w:r w:rsidR="00917BF6" w:rsidRPr="00C9465D">
        <w:rPr>
          <w:rFonts w:eastAsia="Batang" w:cs="Tahoma"/>
          <w:bCs/>
          <w:lang w:val="en-US"/>
        </w:rPr>
        <w:t>of the Elderly</w:t>
      </w:r>
      <w:r w:rsidR="000A7745" w:rsidRPr="00C9465D">
        <w:rPr>
          <w:rFonts w:eastAsia="Batang" w:cs="Tahoma"/>
          <w:bCs/>
          <w:lang w:val="en-US"/>
        </w:rPr>
        <w:t xml:space="preserve"> (</w:t>
      </w:r>
      <w:r w:rsidR="0041721A" w:rsidRPr="00C9465D">
        <w:rPr>
          <w:rFonts w:eastAsia="Batang" w:cs="Tahoma"/>
          <w:bCs/>
          <w:lang w:val="en-US"/>
        </w:rPr>
        <w:t>Art.</w:t>
      </w:r>
      <w:r w:rsidRPr="00C9465D">
        <w:rPr>
          <w:rFonts w:eastAsia="Batang" w:cs="Tahoma"/>
          <w:bCs/>
          <w:lang w:val="en-US"/>
        </w:rPr>
        <w:t xml:space="preserve"> </w:t>
      </w:r>
      <w:r w:rsidR="000A7745" w:rsidRPr="00C9465D">
        <w:rPr>
          <w:rFonts w:eastAsia="Batang" w:cs="Tahoma"/>
          <w:bCs/>
          <w:lang w:val="en-US"/>
        </w:rPr>
        <w:t>17)</w:t>
      </w:r>
      <w:r w:rsidR="00FD3AF6" w:rsidRPr="00C9465D">
        <w:rPr>
          <w:rFonts w:eastAsia="Batang" w:cs="Tahoma"/>
          <w:bCs/>
          <w:lang w:val="en-US"/>
        </w:rPr>
        <w:t xml:space="preserve">, </w:t>
      </w:r>
      <w:r w:rsidR="00193CBB" w:rsidRPr="00C9465D">
        <w:rPr>
          <w:rFonts w:eastAsia="Batang" w:cs="Tahoma"/>
          <w:bCs/>
          <w:lang w:val="en-US"/>
        </w:rPr>
        <w:t xml:space="preserve">and </w:t>
      </w:r>
      <w:r w:rsidR="000A7745" w:rsidRPr="00C9465D">
        <w:rPr>
          <w:rFonts w:eastAsia="Batang" w:cs="Tahoma"/>
          <w:bCs/>
          <w:lang w:val="en-US"/>
        </w:rPr>
        <w:t>Protec</w:t>
      </w:r>
      <w:r w:rsidR="00917BF6" w:rsidRPr="00C9465D">
        <w:rPr>
          <w:rFonts w:eastAsia="Batang" w:cs="Tahoma"/>
          <w:bCs/>
          <w:lang w:val="en-US"/>
        </w:rPr>
        <w:t xml:space="preserve">tion of the Handicapped </w:t>
      </w:r>
      <w:r w:rsidR="000A7745" w:rsidRPr="00C9465D">
        <w:rPr>
          <w:rFonts w:eastAsia="Batang" w:cs="Tahoma"/>
          <w:bCs/>
          <w:lang w:val="en-US"/>
        </w:rPr>
        <w:t>(</w:t>
      </w:r>
      <w:r w:rsidR="0041721A" w:rsidRPr="00C9465D">
        <w:rPr>
          <w:rFonts w:eastAsia="Batang" w:cs="Tahoma"/>
          <w:bCs/>
          <w:lang w:val="en-US"/>
        </w:rPr>
        <w:t>Art.</w:t>
      </w:r>
      <w:r w:rsidRPr="00C9465D">
        <w:rPr>
          <w:rFonts w:eastAsia="Batang" w:cs="Tahoma"/>
          <w:bCs/>
          <w:lang w:val="en-US"/>
        </w:rPr>
        <w:t xml:space="preserve"> </w:t>
      </w:r>
      <w:r w:rsidR="000A7745" w:rsidRPr="00C9465D">
        <w:rPr>
          <w:rFonts w:eastAsia="Batang" w:cs="Tahoma"/>
          <w:bCs/>
          <w:lang w:val="en-US"/>
        </w:rPr>
        <w:t>18</w:t>
      </w:r>
      <w:r w:rsidR="00917BF6" w:rsidRPr="00C9465D">
        <w:rPr>
          <w:rFonts w:eastAsia="Batang" w:cs="Tahoma"/>
          <w:bCs/>
          <w:lang w:val="en-US"/>
        </w:rPr>
        <w:t>).</w:t>
      </w:r>
      <w:r w:rsidR="000A7745" w:rsidRPr="00C9465D">
        <w:rPr>
          <w:rFonts w:eastAsia="Batang" w:cs="Tahoma"/>
          <w:b/>
          <w:bCs/>
          <w:lang w:val="en-US"/>
        </w:rPr>
        <w:t xml:space="preserve"> </w:t>
      </w:r>
      <w:r w:rsidR="00917BF6" w:rsidRPr="00C9465D">
        <w:rPr>
          <w:rFonts w:eastAsia="Batang" w:cs="Tahoma"/>
          <w:bCs/>
          <w:lang w:val="en-US"/>
        </w:rPr>
        <w:t xml:space="preserve">And remember that, to the contrary, </w:t>
      </w:r>
      <w:r w:rsidR="00193CBB" w:rsidRPr="00C9465D">
        <w:rPr>
          <w:rFonts w:eastAsia="Batang" w:cs="Tahoma"/>
          <w:bCs/>
          <w:lang w:val="en-US"/>
        </w:rPr>
        <w:t>Article</w:t>
      </w:r>
      <w:r w:rsidR="000A7745" w:rsidRPr="00C9465D">
        <w:rPr>
          <w:rFonts w:eastAsia="Batang" w:cs="Tahoma"/>
          <w:bCs/>
          <w:lang w:val="en-US"/>
        </w:rPr>
        <w:t xml:space="preserve"> 26 </w:t>
      </w:r>
      <w:r w:rsidR="00917BF6" w:rsidRPr="00C9465D">
        <w:rPr>
          <w:rFonts w:eastAsia="Batang" w:cs="Tahoma"/>
          <w:bCs/>
          <w:lang w:val="en-US"/>
        </w:rPr>
        <w:t>does not establish or recognize any rights, it merely refers to those derived from</w:t>
      </w:r>
      <w:r w:rsidR="00260D95" w:rsidRPr="00C9465D">
        <w:rPr>
          <w:rFonts w:eastAsia="Batang" w:cs="Tahoma"/>
          <w:bCs/>
          <w:lang w:val="en-US"/>
        </w:rPr>
        <w:t xml:space="preserve"> the OAS Charter</w:t>
      </w:r>
      <w:r w:rsidR="000A7745" w:rsidRPr="00C9465D">
        <w:rPr>
          <w:rFonts w:eastAsia="Batang" w:cs="Tahoma"/>
          <w:bCs/>
          <w:lang w:val="en-US"/>
        </w:rPr>
        <w:t>.</w:t>
      </w:r>
    </w:p>
    <w:p w14:paraId="4AE3A9A6" w14:textId="77777777" w:rsidR="000A7745" w:rsidRPr="00C9465D" w:rsidRDefault="000A7745" w:rsidP="00760D70">
      <w:pPr>
        <w:pStyle w:val="ListParagraph"/>
        <w:spacing w:line="240" w:lineRule="auto"/>
        <w:ind w:left="0" w:right="48"/>
        <w:rPr>
          <w:rFonts w:eastAsia="Batang" w:cs="Tahoma"/>
          <w:bCs/>
          <w:lang w:val="en-US"/>
        </w:rPr>
      </w:pPr>
    </w:p>
    <w:p w14:paraId="1AF0121C" w14:textId="5E4EF5AA" w:rsidR="000A7745" w:rsidRPr="00C9465D" w:rsidRDefault="0041721A" w:rsidP="00D47F8D">
      <w:pPr>
        <w:pStyle w:val="ListParagraph"/>
        <w:numPr>
          <w:ilvl w:val="0"/>
          <w:numId w:val="18"/>
        </w:numPr>
        <w:spacing w:after="160" w:line="240" w:lineRule="auto"/>
        <w:ind w:left="0" w:right="48" w:firstLine="0"/>
        <w:rPr>
          <w:rFonts w:eastAsia="Batang"/>
          <w:lang w:val="en-US"/>
        </w:rPr>
      </w:pPr>
      <w:r w:rsidRPr="00C9465D">
        <w:rPr>
          <w:rFonts w:eastAsia="Batang" w:cs="Tahoma"/>
          <w:bCs/>
          <w:lang w:val="en-US"/>
        </w:rPr>
        <w:t xml:space="preserve">Regarding the rights recognized by the Protocol, the </w:t>
      </w:r>
      <w:r w:rsidR="00DA115D" w:rsidRPr="00C9465D">
        <w:rPr>
          <w:rFonts w:eastAsia="Batang" w:cs="Tahoma"/>
          <w:bCs/>
          <w:lang w:val="en-US"/>
        </w:rPr>
        <w:t>States Parties</w:t>
      </w:r>
      <w:r w:rsidR="000A7745" w:rsidRPr="00C9465D">
        <w:rPr>
          <w:rFonts w:eastAsia="Batang" w:cs="Tahoma"/>
          <w:bCs/>
          <w:lang w:val="en-US"/>
        </w:rPr>
        <w:t xml:space="preserve"> </w:t>
      </w:r>
      <w:r w:rsidRPr="00C9465D">
        <w:rPr>
          <w:rFonts w:eastAsia="Batang" w:cs="Tahoma"/>
          <w:bCs/>
          <w:lang w:val="en-US"/>
        </w:rPr>
        <w:t xml:space="preserve">undertook to adopt, progressively, measures to ensure their full realization </w:t>
      </w:r>
      <w:r w:rsidR="000A7745" w:rsidRPr="00C9465D">
        <w:rPr>
          <w:rFonts w:eastAsia="Batang" w:cs="Tahoma"/>
          <w:bCs/>
          <w:lang w:val="en-US"/>
        </w:rPr>
        <w:t>(</w:t>
      </w:r>
      <w:r w:rsidRPr="00C9465D">
        <w:rPr>
          <w:rFonts w:eastAsia="Batang" w:cs="Tahoma"/>
          <w:bCs/>
          <w:lang w:val="en-US"/>
        </w:rPr>
        <w:t>A</w:t>
      </w:r>
      <w:r w:rsidR="000A7745" w:rsidRPr="00C9465D">
        <w:rPr>
          <w:rFonts w:eastAsia="Batang" w:cs="Tahoma"/>
          <w:bCs/>
          <w:lang w:val="en-US"/>
        </w:rPr>
        <w:t>rts.</w:t>
      </w:r>
      <w:r w:rsidRPr="00C9465D">
        <w:rPr>
          <w:rFonts w:eastAsia="Batang" w:cs="Tahoma"/>
          <w:bCs/>
          <w:lang w:val="en-US"/>
        </w:rPr>
        <w:t xml:space="preserve"> </w:t>
      </w:r>
      <w:r w:rsidR="000A7745" w:rsidRPr="00C9465D">
        <w:rPr>
          <w:rFonts w:eastAsia="Batang" w:cs="Tahoma"/>
          <w:bCs/>
          <w:lang w:val="en-US"/>
        </w:rPr>
        <w:t>6</w:t>
      </w:r>
      <w:r w:rsidRPr="00C9465D">
        <w:rPr>
          <w:rFonts w:eastAsia="Batang" w:cs="Tahoma"/>
          <w:bCs/>
          <w:lang w:val="en-US"/>
        </w:rPr>
        <w:t>(</w:t>
      </w:r>
      <w:r w:rsidR="000A7745" w:rsidRPr="00C9465D">
        <w:rPr>
          <w:rFonts w:eastAsia="Batang" w:cs="Tahoma"/>
          <w:bCs/>
          <w:lang w:val="en-US"/>
        </w:rPr>
        <w:t>2</w:t>
      </w:r>
      <w:r w:rsidRPr="00C9465D">
        <w:rPr>
          <w:rFonts w:eastAsia="Batang" w:cs="Tahoma"/>
          <w:bCs/>
          <w:lang w:val="en-US"/>
        </w:rPr>
        <w:t>)</w:t>
      </w:r>
      <w:r w:rsidR="000A7745" w:rsidRPr="00C9465D">
        <w:rPr>
          <w:rFonts w:eastAsia="Batang" w:cs="Tahoma"/>
          <w:bCs/>
          <w:lang w:val="en-US"/>
        </w:rPr>
        <w:t>, 10</w:t>
      </w:r>
      <w:r w:rsidRPr="00C9465D">
        <w:rPr>
          <w:rFonts w:eastAsia="Batang" w:cs="Tahoma"/>
          <w:bCs/>
          <w:lang w:val="en-US"/>
        </w:rPr>
        <w:t>(</w:t>
      </w:r>
      <w:r w:rsidR="000A7745" w:rsidRPr="00C9465D">
        <w:rPr>
          <w:rFonts w:eastAsia="Batang" w:cs="Tahoma"/>
          <w:bCs/>
          <w:lang w:val="en-US"/>
        </w:rPr>
        <w:t>2</w:t>
      </w:r>
      <w:r w:rsidRPr="00C9465D">
        <w:rPr>
          <w:rFonts w:eastAsia="Batang" w:cs="Tahoma"/>
          <w:bCs/>
          <w:lang w:val="en-US"/>
        </w:rPr>
        <w:t>)</w:t>
      </w:r>
      <w:r w:rsidR="000A7745" w:rsidRPr="00C9465D">
        <w:rPr>
          <w:rFonts w:eastAsia="Batang" w:cs="Tahoma"/>
          <w:bCs/>
          <w:lang w:val="en-US"/>
        </w:rPr>
        <w:t>, 11</w:t>
      </w:r>
      <w:r w:rsidRPr="00C9465D">
        <w:rPr>
          <w:rFonts w:eastAsia="Batang" w:cs="Tahoma"/>
          <w:bCs/>
          <w:lang w:val="en-US"/>
        </w:rPr>
        <w:t>(</w:t>
      </w:r>
      <w:r w:rsidR="000A7745" w:rsidRPr="00C9465D">
        <w:rPr>
          <w:rFonts w:eastAsia="Batang" w:cs="Tahoma"/>
          <w:bCs/>
          <w:lang w:val="en-US"/>
        </w:rPr>
        <w:t>2</w:t>
      </w:r>
      <w:r w:rsidRPr="00C9465D">
        <w:rPr>
          <w:rFonts w:eastAsia="Batang" w:cs="Tahoma"/>
          <w:bCs/>
          <w:lang w:val="en-US"/>
        </w:rPr>
        <w:t>)</w:t>
      </w:r>
      <w:r w:rsidR="00193CBB" w:rsidRPr="00C9465D">
        <w:rPr>
          <w:rFonts w:eastAsia="Batang" w:cs="Tahoma"/>
          <w:bCs/>
          <w:lang w:val="en-US"/>
        </w:rPr>
        <w:t xml:space="preserve"> and </w:t>
      </w:r>
      <w:r w:rsidR="000A7745" w:rsidRPr="00C9465D">
        <w:rPr>
          <w:rFonts w:eastAsia="Batang" w:cs="Tahoma"/>
          <w:bCs/>
          <w:lang w:val="en-US"/>
        </w:rPr>
        <w:t>12</w:t>
      </w:r>
      <w:r w:rsidRPr="00C9465D">
        <w:rPr>
          <w:rFonts w:eastAsia="Batang" w:cs="Tahoma"/>
          <w:bCs/>
          <w:lang w:val="en-US"/>
        </w:rPr>
        <w:t>(</w:t>
      </w:r>
      <w:r w:rsidR="000A7745" w:rsidRPr="00C9465D">
        <w:rPr>
          <w:rFonts w:eastAsia="Batang" w:cs="Tahoma"/>
          <w:bCs/>
          <w:lang w:val="en-US"/>
        </w:rPr>
        <w:t>2</w:t>
      </w:r>
      <w:r w:rsidRPr="00C9465D">
        <w:rPr>
          <w:rFonts w:eastAsia="Batang" w:cs="Tahoma"/>
          <w:bCs/>
          <w:lang w:val="en-US"/>
        </w:rPr>
        <w:t>)</w:t>
      </w:r>
      <w:r w:rsidR="000A7745" w:rsidRPr="00C9465D">
        <w:rPr>
          <w:rFonts w:eastAsia="Batang" w:cs="Tahoma"/>
          <w:bCs/>
          <w:lang w:val="en-US"/>
        </w:rPr>
        <w:t xml:space="preserve">). </w:t>
      </w:r>
      <w:r w:rsidRPr="00C9465D">
        <w:rPr>
          <w:rFonts w:eastAsia="Batang" w:cs="Tahoma"/>
          <w:bCs/>
          <w:lang w:val="en-US"/>
        </w:rPr>
        <w:t>This is consistent with the provisions of</w:t>
      </w:r>
      <w:r w:rsidR="000A7745" w:rsidRPr="00C9465D">
        <w:rPr>
          <w:rFonts w:eastAsia="Batang" w:cs="Tahoma"/>
          <w:bCs/>
          <w:lang w:val="en-US"/>
        </w:rPr>
        <w:t xml:space="preserve"> </w:t>
      </w:r>
      <w:r w:rsidR="00193CBB" w:rsidRPr="00C9465D">
        <w:rPr>
          <w:rFonts w:eastAsia="Batang" w:cs="Tahoma"/>
          <w:bCs/>
          <w:lang w:val="en-US"/>
        </w:rPr>
        <w:t>Article</w:t>
      </w:r>
      <w:r w:rsidR="000A7745" w:rsidRPr="00C9465D">
        <w:rPr>
          <w:rFonts w:eastAsia="Batang" w:cs="Tahoma"/>
          <w:bCs/>
          <w:lang w:val="en-US"/>
        </w:rPr>
        <w:t xml:space="preserve"> 26</w:t>
      </w:r>
      <w:r w:rsidRPr="00C9465D">
        <w:rPr>
          <w:rFonts w:eastAsia="Batang" w:cs="Tahoma"/>
          <w:bCs/>
          <w:lang w:val="en-US"/>
        </w:rPr>
        <w:t>; that is, both the Protocol and that article re</w:t>
      </w:r>
      <w:r w:rsidR="00116E32" w:rsidRPr="00C9465D">
        <w:rPr>
          <w:rFonts w:eastAsia="Batang" w:cs="Tahoma"/>
          <w:bCs/>
          <w:lang w:val="en-US"/>
        </w:rPr>
        <w:t>fer</w:t>
      </w:r>
      <w:r w:rsidRPr="00C9465D">
        <w:rPr>
          <w:rFonts w:eastAsia="Batang" w:cs="Tahoma"/>
          <w:bCs/>
          <w:lang w:val="en-US"/>
        </w:rPr>
        <w:t xml:space="preserve"> to rights that have not been realized or else not fully</w:t>
      </w:r>
      <w:r w:rsidR="000A7745" w:rsidRPr="00C9465D">
        <w:rPr>
          <w:rFonts w:eastAsia="Batang" w:cs="Tahoma"/>
          <w:bCs/>
          <w:lang w:val="en-US"/>
        </w:rPr>
        <w:t>.</w:t>
      </w:r>
    </w:p>
    <w:p w14:paraId="06F3769F" w14:textId="77777777" w:rsidR="000A7745" w:rsidRPr="00C9465D" w:rsidRDefault="000A7745" w:rsidP="00760D70">
      <w:pPr>
        <w:pStyle w:val="ListParagraph"/>
        <w:spacing w:line="240" w:lineRule="auto"/>
        <w:ind w:left="0" w:right="48"/>
        <w:rPr>
          <w:rFonts w:eastAsia="Batang" w:cs="Tahoma"/>
          <w:bCs/>
          <w:lang w:val="en-US"/>
        </w:rPr>
      </w:pPr>
    </w:p>
    <w:p w14:paraId="451A58F3" w14:textId="4A442320" w:rsidR="000A7745" w:rsidRPr="00C9465D" w:rsidRDefault="0041721A" w:rsidP="0041721A">
      <w:pPr>
        <w:pStyle w:val="ListParagraph"/>
        <w:numPr>
          <w:ilvl w:val="0"/>
          <w:numId w:val="18"/>
        </w:numPr>
        <w:spacing w:after="160" w:line="240" w:lineRule="auto"/>
        <w:ind w:left="0" w:right="48" w:firstLine="0"/>
        <w:rPr>
          <w:rFonts w:eastAsia="Batang"/>
          <w:lang w:val="en-US"/>
        </w:rPr>
      </w:pPr>
      <w:r w:rsidRPr="00C9465D">
        <w:rPr>
          <w:rFonts w:eastAsia="Batang" w:cs="Tahoma"/>
          <w:bCs/>
          <w:lang w:val="en-US"/>
        </w:rPr>
        <w:t xml:space="preserve">The Protocol also includes a provision, </w:t>
      </w:r>
      <w:r w:rsidR="00193CBB" w:rsidRPr="00C9465D">
        <w:rPr>
          <w:rFonts w:eastAsia="Batang" w:cs="Tahoma"/>
          <w:bCs/>
          <w:lang w:val="en-US"/>
        </w:rPr>
        <w:t>Article</w:t>
      </w:r>
      <w:r w:rsidR="000A7745" w:rsidRPr="00C9465D">
        <w:rPr>
          <w:rFonts w:eastAsia="Batang" w:cs="Tahoma"/>
          <w:bCs/>
          <w:lang w:val="en-US"/>
        </w:rPr>
        <w:t xml:space="preserve"> 19, </w:t>
      </w:r>
      <w:r w:rsidRPr="00C9465D">
        <w:rPr>
          <w:rFonts w:eastAsia="Batang" w:cs="Tahoma"/>
          <w:bCs/>
          <w:lang w:val="en-US"/>
        </w:rPr>
        <w:t>concerning the means of protection of the above rights. These means consist in reports that the States Parties must submit to the OAS General Assembly “</w:t>
      </w:r>
      <w:r w:rsidRPr="00C9465D">
        <w:rPr>
          <w:rFonts w:eastAsia="Times New Roman" w:cs="Tahoma"/>
          <w:lang w:val="en-US"/>
        </w:rPr>
        <w:t>on the progressive measures they have taken to ensure due respect for the rights set forth in this Protocol</w:t>
      </w:r>
      <w:r w:rsidR="00116E32" w:rsidRPr="00C9465D">
        <w:rPr>
          <w:rFonts w:eastAsia="Times New Roman" w:cs="Tahoma"/>
          <w:lang w:val="en-US"/>
        </w:rPr>
        <w:t>,</w:t>
      </w:r>
      <w:r w:rsidRPr="00C9465D">
        <w:rPr>
          <w:rFonts w:eastAsia="Times New Roman" w:cs="Tahoma"/>
          <w:lang w:val="en-US"/>
        </w:rPr>
        <w:t xml:space="preserve">” the treatment to be given to these reports by the Inter-American Economic and Social Council and the Inter-American Council for Education, Science and Culture, and the </w:t>
      </w:r>
      <w:r w:rsidR="00DF29DA" w:rsidRPr="00C9465D">
        <w:rPr>
          <w:rFonts w:eastAsia="Times New Roman" w:cs="Tahoma"/>
          <w:lang w:val="en-US"/>
        </w:rPr>
        <w:t>observations that eventually may be issued on this matter by the Commission</w:t>
      </w:r>
      <w:r w:rsidR="00DF29DA" w:rsidRPr="00C9465D">
        <w:rPr>
          <w:rFonts w:eastAsia="Batang"/>
          <w:lang w:val="en-US"/>
        </w:rPr>
        <w:t>.</w:t>
      </w:r>
      <w:r w:rsidR="000A7745" w:rsidRPr="00C9465D">
        <w:rPr>
          <w:rFonts w:cs="Arial"/>
          <w:vertAlign w:val="superscript"/>
          <w:lang w:val="en-US"/>
        </w:rPr>
        <w:footnoteReference w:id="446"/>
      </w:r>
      <w:r w:rsidR="00DF29DA" w:rsidRPr="00C9465D">
        <w:rPr>
          <w:rFonts w:cs="Arial"/>
          <w:lang w:val="en-US"/>
        </w:rPr>
        <w:t xml:space="preserve"> It should be noted that this provision is similar</w:t>
      </w:r>
      <w:r w:rsidR="000A7745" w:rsidRPr="00C9465D">
        <w:rPr>
          <w:rFonts w:cs="Arial"/>
          <w:lang w:val="en-US"/>
        </w:rPr>
        <w:t xml:space="preserve"> </w:t>
      </w:r>
      <w:r w:rsidR="00DF29DA" w:rsidRPr="00C9465D">
        <w:rPr>
          <w:rFonts w:cs="Arial"/>
          <w:lang w:val="en-US"/>
        </w:rPr>
        <w:t>to draft article</w:t>
      </w:r>
      <w:r w:rsidR="000A7745" w:rsidRPr="00C9465D">
        <w:rPr>
          <w:rFonts w:cs="Arial"/>
          <w:lang w:val="en-US"/>
        </w:rPr>
        <w:t xml:space="preserve"> 27</w:t>
      </w:r>
      <w:r w:rsidR="00193CBB" w:rsidRPr="00C9465D">
        <w:rPr>
          <w:rFonts w:cs="Arial"/>
          <w:lang w:val="en-US"/>
        </w:rPr>
        <w:t xml:space="preserve"> of the Convention</w:t>
      </w:r>
      <w:r w:rsidR="000A7745" w:rsidRPr="00C9465D">
        <w:rPr>
          <w:rFonts w:cs="Arial"/>
          <w:lang w:val="en-US"/>
        </w:rPr>
        <w:t xml:space="preserve">, </w:t>
      </w:r>
      <w:r w:rsidR="00DF29DA" w:rsidRPr="00C9465D">
        <w:rPr>
          <w:rFonts w:cs="Arial"/>
          <w:lang w:val="en-US"/>
        </w:rPr>
        <w:t>which was rejected by the corresponding Conference.</w:t>
      </w:r>
    </w:p>
    <w:p w14:paraId="1ED33C0B" w14:textId="73C12F7D" w:rsidR="000A7745" w:rsidRPr="00C9465D" w:rsidRDefault="004828D2" w:rsidP="00D47F8D">
      <w:pPr>
        <w:numPr>
          <w:ilvl w:val="0"/>
          <w:numId w:val="18"/>
        </w:numPr>
        <w:spacing w:line="240" w:lineRule="auto"/>
        <w:ind w:left="0" w:right="48" w:firstLine="0"/>
        <w:contextualSpacing/>
        <w:jc w:val="both"/>
        <w:rPr>
          <w:rFonts w:ascii="Verdana" w:eastAsia="Batang" w:hAnsi="Verdana"/>
          <w:sz w:val="20"/>
          <w:szCs w:val="20"/>
          <w:lang w:val="en-US"/>
        </w:rPr>
      </w:pPr>
      <w:r w:rsidRPr="00C9465D">
        <w:rPr>
          <w:rFonts w:ascii="Verdana" w:hAnsi="Verdana" w:cs="Arial"/>
          <w:sz w:val="20"/>
          <w:szCs w:val="20"/>
          <w:lang w:val="en-US"/>
        </w:rPr>
        <w:lastRenderedPageBreak/>
        <w:t>All of this means, first, that</w:t>
      </w:r>
      <w:r w:rsidR="00B80A25" w:rsidRPr="00C9465D">
        <w:rPr>
          <w:rFonts w:ascii="Verdana" w:hAnsi="Verdana" w:cs="Arial"/>
          <w:sz w:val="20"/>
          <w:szCs w:val="20"/>
          <w:lang w:val="en-US"/>
        </w:rPr>
        <w:t xml:space="preserve"> for the</w:t>
      </w:r>
      <w:r w:rsidRPr="00C9465D">
        <w:rPr>
          <w:rFonts w:ascii="Verdana" w:hAnsi="Verdana" w:cs="Arial"/>
          <w:sz w:val="20"/>
          <w:szCs w:val="20"/>
          <w:lang w:val="en-US"/>
        </w:rPr>
        <w:t xml:space="preserve"> </w:t>
      </w:r>
      <w:r w:rsidR="00DA115D" w:rsidRPr="00C9465D">
        <w:rPr>
          <w:rFonts w:ascii="Verdana" w:hAnsi="Verdana" w:cs="Arial"/>
          <w:sz w:val="20"/>
          <w:szCs w:val="20"/>
          <w:lang w:val="en-US"/>
        </w:rPr>
        <w:t>States Parties</w:t>
      </w:r>
      <w:r w:rsidR="000A7745" w:rsidRPr="00C9465D">
        <w:rPr>
          <w:rFonts w:ascii="Verdana" w:hAnsi="Verdana" w:cs="Arial"/>
          <w:sz w:val="20"/>
          <w:szCs w:val="20"/>
          <w:lang w:val="en-US"/>
        </w:rPr>
        <w:t xml:space="preserve"> </w:t>
      </w:r>
      <w:r w:rsidR="00B80A25" w:rsidRPr="00C9465D">
        <w:rPr>
          <w:rFonts w:ascii="Verdana" w:hAnsi="Verdana" w:cs="Arial"/>
          <w:sz w:val="20"/>
          <w:szCs w:val="20"/>
          <w:lang w:val="en-US"/>
        </w:rPr>
        <w:t xml:space="preserve">to the Protocol, the realization of the economic, social and cultural rights is of a progressive nature; thus, </w:t>
      </w:r>
      <w:r w:rsidR="000A7745" w:rsidRPr="00C9465D">
        <w:rPr>
          <w:rFonts w:ascii="Verdana" w:hAnsi="Verdana" w:cs="Arial"/>
          <w:i/>
          <w:sz w:val="20"/>
          <w:szCs w:val="20"/>
          <w:lang w:val="en-US"/>
        </w:rPr>
        <w:t xml:space="preserve">a contrario sensu, </w:t>
      </w:r>
      <w:r w:rsidR="00B80A25" w:rsidRPr="00C9465D">
        <w:rPr>
          <w:rFonts w:ascii="Verdana" w:hAnsi="Verdana" w:cs="Arial"/>
          <w:sz w:val="20"/>
          <w:szCs w:val="20"/>
          <w:lang w:val="en-US"/>
        </w:rPr>
        <w:t>they are not in force or, at least not fully in force.</w:t>
      </w:r>
    </w:p>
    <w:p w14:paraId="7F2C7C89" w14:textId="48ACBACA" w:rsidR="000A7745" w:rsidRPr="00C9465D" w:rsidRDefault="00B80A25" w:rsidP="00E408E0">
      <w:pPr>
        <w:pStyle w:val="ListParagraph"/>
        <w:numPr>
          <w:ilvl w:val="0"/>
          <w:numId w:val="18"/>
        </w:numPr>
        <w:spacing w:line="240" w:lineRule="auto"/>
        <w:ind w:left="0" w:right="48" w:firstLine="0"/>
        <w:rPr>
          <w:rFonts w:cs="Arial"/>
          <w:lang w:val="en-US"/>
        </w:rPr>
      </w:pPr>
      <w:r w:rsidRPr="00C9465D">
        <w:rPr>
          <w:rFonts w:cs="Arial"/>
          <w:lang w:val="en-US"/>
        </w:rPr>
        <w:t>Second, consequently, this means that for the said States, Article 26 mean</w:t>
      </w:r>
      <w:r w:rsidR="00116E32" w:rsidRPr="00C9465D">
        <w:rPr>
          <w:rFonts w:cs="Arial"/>
          <w:lang w:val="en-US"/>
        </w:rPr>
        <w:t>s</w:t>
      </w:r>
      <w:r w:rsidRPr="00C9465D">
        <w:rPr>
          <w:rFonts w:cs="Arial"/>
          <w:lang w:val="en-US"/>
        </w:rPr>
        <w:t xml:space="preserve"> that the said rights are not included among those to which the protection system established in the Convention applies, or that are in force, because, otherwise, the adoption of the Protocol would have been unnecessary.</w:t>
      </w:r>
    </w:p>
    <w:p w14:paraId="018F5DB8" w14:textId="77777777" w:rsidR="00B80A25" w:rsidRPr="00C9465D" w:rsidRDefault="00B80A25" w:rsidP="00B80A25">
      <w:pPr>
        <w:pStyle w:val="ListParagraph"/>
        <w:spacing w:line="240" w:lineRule="auto"/>
        <w:ind w:left="0" w:right="48"/>
        <w:rPr>
          <w:rFonts w:cs="Arial"/>
          <w:lang w:val="en-US"/>
        </w:rPr>
      </w:pPr>
    </w:p>
    <w:p w14:paraId="68B287FB" w14:textId="2586C5FB" w:rsidR="000A7745" w:rsidRPr="00C9465D" w:rsidRDefault="00B80A25" w:rsidP="00D47F8D">
      <w:pPr>
        <w:pStyle w:val="ListParagraph"/>
        <w:numPr>
          <w:ilvl w:val="0"/>
          <w:numId w:val="18"/>
        </w:numPr>
        <w:spacing w:line="240" w:lineRule="auto"/>
        <w:ind w:left="0" w:right="48" w:firstLine="0"/>
        <w:rPr>
          <w:rFonts w:cs="Arial"/>
          <w:lang w:val="en-US"/>
        </w:rPr>
      </w:pPr>
      <w:r w:rsidRPr="00C9465D">
        <w:rPr>
          <w:rFonts w:eastAsia="Batang"/>
          <w:lang w:val="en-US"/>
        </w:rPr>
        <w:t xml:space="preserve">It should be recalled that the OAS created the Working Group to Examine the Periodic Reports of the </w:t>
      </w:r>
      <w:r w:rsidR="00DA115D" w:rsidRPr="00C9465D">
        <w:rPr>
          <w:rFonts w:cs="Arial"/>
          <w:shd w:val="clear" w:color="auto" w:fill="FFFFFF"/>
          <w:lang w:val="en-US"/>
        </w:rPr>
        <w:t>States Parties</w:t>
      </w:r>
      <w:r w:rsidR="000A7745" w:rsidRPr="00C9465D">
        <w:rPr>
          <w:rFonts w:cs="Arial"/>
          <w:shd w:val="clear" w:color="auto" w:fill="FFFFFF"/>
          <w:lang w:val="en-US"/>
        </w:rPr>
        <w:t xml:space="preserve"> </w:t>
      </w:r>
      <w:r w:rsidRPr="00C9465D">
        <w:rPr>
          <w:rFonts w:cs="Arial"/>
          <w:shd w:val="clear" w:color="auto" w:fill="FFFFFF"/>
          <w:lang w:val="en-US"/>
        </w:rPr>
        <w:t>to the</w:t>
      </w:r>
      <w:r w:rsidR="000A7745" w:rsidRPr="00C9465D">
        <w:rPr>
          <w:rFonts w:cs="Arial"/>
          <w:shd w:val="clear" w:color="auto" w:fill="FFFFFF"/>
          <w:lang w:val="en-US"/>
        </w:rPr>
        <w:t xml:space="preserve"> Protocol</w:t>
      </w:r>
      <w:r w:rsidRPr="00C9465D">
        <w:rPr>
          <w:rFonts w:cs="Arial"/>
          <w:shd w:val="clear" w:color="auto" w:fill="FFFFFF"/>
          <w:lang w:val="en-US"/>
        </w:rPr>
        <w:t>,</w:t>
      </w:r>
      <w:r w:rsidR="000A7745" w:rsidRPr="00C9465D">
        <w:rPr>
          <w:shd w:val="clear" w:color="auto" w:fill="FFFFFF"/>
          <w:vertAlign w:val="superscript"/>
          <w:lang w:val="en-US"/>
        </w:rPr>
        <w:footnoteReference w:id="447"/>
      </w:r>
      <w:r w:rsidRPr="00C9465D">
        <w:rPr>
          <w:rFonts w:cs="Arial"/>
          <w:shd w:val="clear" w:color="auto" w:fill="FFFFFF"/>
          <w:lang w:val="en-US"/>
        </w:rPr>
        <w:t xml:space="preserve"> as a mechanism to oversee compliance with the commitments made on this matter in that instrument. This confirms that, undoubtedly, the intention of the said State</w:t>
      </w:r>
      <w:r w:rsidR="00116E32" w:rsidRPr="00C9465D">
        <w:rPr>
          <w:rFonts w:cs="Arial"/>
          <w:shd w:val="clear" w:color="auto" w:fill="FFFFFF"/>
          <w:lang w:val="en-US"/>
        </w:rPr>
        <w:t>s</w:t>
      </w:r>
      <w:r w:rsidRPr="00C9465D">
        <w:rPr>
          <w:rFonts w:cs="Arial"/>
          <w:shd w:val="clear" w:color="auto" w:fill="FFFFFF"/>
          <w:lang w:val="en-US"/>
        </w:rPr>
        <w:t xml:space="preserve"> was to create a non-jurisdictional mechanism for the international monitoring of compliance with the Protocol</w:t>
      </w:r>
      <w:r w:rsidR="000A7745" w:rsidRPr="00C9465D">
        <w:rPr>
          <w:rFonts w:cs="Arial"/>
          <w:shd w:val="clear" w:color="auto" w:fill="FFFFFF"/>
          <w:lang w:val="en-US"/>
        </w:rPr>
        <w:t>.</w:t>
      </w:r>
    </w:p>
    <w:p w14:paraId="24179DE6" w14:textId="77777777" w:rsidR="000A7745" w:rsidRPr="00C9465D" w:rsidRDefault="000A7745" w:rsidP="00760D70">
      <w:pPr>
        <w:spacing w:line="240" w:lineRule="auto"/>
        <w:ind w:right="48"/>
        <w:contextualSpacing/>
        <w:rPr>
          <w:rFonts w:ascii="Verdana" w:eastAsia="Batang" w:hAnsi="Verdana"/>
          <w:sz w:val="20"/>
          <w:szCs w:val="20"/>
          <w:lang w:val="en-US"/>
        </w:rPr>
      </w:pPr>
    </w:p>
    <w:p w14:paraId="391141BE" w14:textId="12916D3D" w:rsidR="000A7745" w:rsidRPr="00C9465D" w:rsidRDefault="00B80A25" w:rsidP="00D47F8D">
      <w:pPr>
        <w:numPr>
          <w:ilvl w:val="0"/>
          <w:numId w:val="18"/>
        </w:numPr>
        <w:spacing w:after="0" w:line="240" w:lineRule="auto"/>
        <w:ind w:left="0" w:right="48" w:firstLine="0"/>
        <w:contextualSpacing/>
        <w:jc w:val="both"/>
        <w:rPr>
          <w:rFonts w:ascii="Verdana" w:eastAsia="Batang" w:hAnsi="Verdana"/>
          <w:sz w:val="20"/>
          <w:szCs w:val="20"/>
          <w:lang w:val="en-US"/>
        </w:rPr>
      </w:pPr>
      <w:r w:rsidRPr="00C9465D">
        <w:rPr>
          <w:rFonts w:ascii="Verdana" w:hAnsi="Verdana"/>
          <w:sz w:val="20"/>
          <w:szCs w:val="20"/>
          <w:lang w:val="en-US"/>
        </w:rPr>
        <w:t xml:space="preserve">The only exception to this system is established in </w:t>
      </w:r>
      <w:r w:rsidR="007A3CA5" w:rsidRPr="00C9465D">
        <w:rPr>
          <w:rFonts w:ascii="Verdana" w:hAnsi="Verdana"/>
          <w:sz w:val="20"/>
          <w:szCs w:val="20"/>
          <w:lang w:val="en-US"/>
        </w:rPr>
        <w:t>Article</w:t>
      </w:r>
      <w:r w:rsidR="000A7745" w:rsidRPr="00C9465D">
        <w:rPr>
          <w:rFonts w:ascii="Verdana" w:hAnsi="Verdana"/>
          <w:sz w:val="20"/>
          <w:szCs w:val="20"/>
          <w:lang w:val="en-US"/>
        </w:rPr>
        <w:t xml:space="preserve"> 19</w:t>
      </w:r>
      <w:r w:rsidRPr="00C9465D">
        <w:rPr>
          <w:rFonts w:ascii="Verdana" w:hAnsi="Verdana"/>
          <w:sz w:val="20"/>
          <w:szCs w:val="20"/>
          <w:lang w:val="en-US"/>
        </w:rPr>
        <w:t>(6); namely that</w:t>
      </w:r>
      <w:r w:rsidR="000A7745" w:rsidRPr="00C9465D">
        <w:rPr>
          <w:rFonts w:ascii="Verdana" w:hAnsi="Verdana"/>
          <w:sz w:val="20"/>
          <w:szCs w:val="20"/>
          <w:lang w:val="en-US"/>
        </w:rPr>
        <w:t xml:space="preserve">: </w:t>
      </w:r>
    </w:p>
    <w:p w14:paraId="6613F0E9" w14:textId="77777777" w:rsidR="000A7745" w:rsidRPr="00C9465D" w:rsidRDefault="000A7745" w:rsidP="00760D70">
      <w:pPr>
        <w:spacing w:line="240" w:lineRule="auto"/>
        <w:ind w:right="48"/>
        <w:contextualSpacing/>
        <w:rPr>
          <w:rFonts w:ascii="Verdana" w:hAnsi="Verdana"/>
          <w:sz w:val="18"/>
          <w:szCs w:val="18"/>
          <w:lang w:val="en-US"/>
        </w:rPr>
      </w:pPr>
    </w:p>
    <w:p w14:paraId="4F10A684" w14:textId="77777777" w:rsidR="00A62BBE" w:rsidRPr="00C9465D" w:rsidRDefault="00A62BBE" w:rsidP="00A62BBE">
      <w:pPr>
        <w:spacing w:after="0" w:line="240" w:lineRule="auto"/>
        <w:ind w:left="709" w:right="404"/>
        <w:contextualSpacing/>
        <w:jc w:val="both"/>
        <w:rPr>
          <w:rFonts w:ascii="Verdana" w:eastAsia="Times New Roman" w:hAnsi="Verdana" w:cs="Tahoma"/>
          <w:sz w:val="18"/>
          <w:szCs w:val="18"/>
          <w:lang w:val="en-US"/>
        </w:rPr>
      </w:pPr>
      <w:r w:rsidRPr="00C9465D">
        <w:rPr>
          <w:rFonts w:ascii="Verdana" w:eastAsia="Times New Roman" w:hAnsi="Verdana" w:cs="Tahoma"/>
          <w:sz w:val="18"/>
          <w:szCs w:val="18"/>
          <w:lang w:val="en-US"/>
        </w:rPr>
        <w:t>Any instance in which the rights established in paragraph a) of Article 8</w:t>
      </w:r>
      <w:r w:rsidRPr="00C9465D">
        <w:rPr>
          <w:rFonts w:ascii="Verdana" w:hAnsi="Verdana"/>
          <w:i/>
          <w:iCs/>
          <w:sz w:val="20"/>
          <w:szCs w:val="20"/>
          <w:vertAlign w:val="superscript"/>
          <w:lang w:val="en-US"/>
        </w:rPr>
        <w:footnoteReference w:id="448"/>
      </w:r>
      <w:r w:rsidRPr="00C9465D">
        <w:rPr>
          <w:rFonts w:ascii="Verdana" w:eastAsia="Times New Roman" w:hAnsi="Verdana" w:cs="Tahoma"/>
          <w:sz w:val="18"/>
          <w:szCs w:val="18"/>
          <w:lang w:val="en-US"/>
        </w:rPr>
        <w:t xml:space="preserve"> and in Article 13</w:t>
      </w:r>
      <w:r w:rsidRPr="00C9465D">
        <w:rPr>
          <w:rFonts w:ascii="Verdana" w:hAnsi="Verdana"/>
          <w:i/>
          <w:iCs/>
          <w:sz w:val="20"/>
          <w:szCs w:val="20"/>
          <w:vertAlign w:val="superscript"/>
          <w:lang w:val="en-US"/>
        </w:rPr>
        <w:footnoteReference w:id="449"/>
      </w:r>
      <w:r w:rsidRPr="00C9465D">
        <w:rPr>
          <w:rFonts w:ascii="Verdana" w:eastAsia="Times New Roman" w:hAnsi="Verdana" w:cs="Tahoma"/>
          <w:sz w:val="18"/>
          <w:szCs w:val="18"/>
          <w:lang w:val="en-US"/>
        </w:rPr>
        <w:t xml:space="preserve"> are violated by action directly attributable to a State Party to this Protocol may give rise, </w:t>
      </w:r>
      <w:r w:rsidRPr="00C9465D">
        <w:rPr>
          <w:rFonts w:ascii="Verdana" w:eastAsia="Times New Roman" w:hAnsi="Verdana" w:cs="Tahoma"/>
          <w:sz w:val="18"/>
          <w:szCs w:val="18"/>
          <w:lang w:val="en-US"/>
        </w:rPr>
        <w:lastRenderedPageBreak/>
        <w:t>through participation of the Inter-American Commission on Human Rights and, when applicable, of the Inter-American Court of Human Rights, to application of the system of individual petitions governed by Article 44 through 51 and 61 through 69 of the American Convention on Human Rights.</w:t>
      </w:r>
    </w:p>
    <w:p w14:paraId="024ED4DE" w14:textId="77777777" w:rsidR="000A7745" w:rsidRPr="00C9465D" w:rsidRDefault="000A7745" w:rsidP="00760D70">
      <w:pPr>
        <w:spacing w:line="240" w:lineRule="auto"/>
        <w:ind w:right="48"/>
        <w:contextualSpacing/>
        <w:rPr>
          <w:rFonts w:ascii="Verdana" w:eastAsia="Batang" w:hAnsi="Verdana" w:cs="Arial"/>
          <w:sz w:val="20"/>
          <w:szCs w:val="20"/>
          <w:lang w:val="en-US"/>
        </w:rPr>
      </w:pPr>
    </w:p>
    <w:p w14:paraId="2548F5C2" w14:textId="0F41E7D7" w:rsidR="000A7745" w:rsidRPr="00C9465D" w:rsidRDefault="00A62BBE" w:rsidP="00D47F8D">
      <w:pPr>
        <w:numPr>
          <w:ilvl w:val="0"/>
          <w:numId w:val="18"/>
        </w:numPr>
        <w:spacing w:line="240" w:lineRule="auto"/>
        <w:ind w:left="0" w:right="48" w:firstLine="0"/>
        <w:contextualSpacing/>
        <w:jc w:val="both"/>
        <w:rPr>
          <w:rFonts w:ascii="Verdana" w:eastAsia="Batang" w:hAnsi="Verdana"/>
          <w:sz w:val="20"/>
          <w:szCs w:val="20"/>
          <w:lang w:val="en-US"/>
        </w:rPr>
      </w:pPr>
      <w:r w:rsidRPr="00C9465D">
        <w:rPr>
          <w:rFonts w:ascii="Verdana" w:hAnsi="Verdana" w:cs="Arial"/>
          <w:sz w:val="20"/>
          <w:szCs w:val="20"/>
          <w:lang w:val="en-US"/>
        </w:rPr>
        <w:t>This means that only in the event of violation</w:t>
      </w:r>
      <w:r w:rsidR="00116E32" w:rsidRPr="00C9465D">
        <w:rPr>
          <w:rFonts w:ascii="Verdana" w:hAnsi="Verdana" w:cs="Arial"/>
          <w:sz w:val="20"/>
          <w:szCs w:val="20"/>
          <w:lang w:val="en-US"/>
        </w:rPr>
        <w:t>s</w:t>
      </w:r>
      <w:r w:rsidRPr="00C9465D">
        <w:rPr>
          <w:rFonts w:ascii="Verdana" w:hAnsi="Verdana" w:cs="Arial"/>
          <w:sz w:val="20"/>
          <w:szCs w:val="20"/>
          <w:lang w:val="en-US"/>
        </w:rPr>
        <w:t xml:space="preserve"> of the rights relating to trade unions and to education </w:t>
      </w:r>
      <w:r w:rsidR="00116E32" w:rsidRPr="00C9465D">
        <w:rPr>
          <w:rFonts w:ascii="Verdana" w:hAnsi="Verdana" w:cs="Arial"/>
          <w:sz w:val="20"/>
          <w:szCs w:val="20"/>
          <w:lang w:val="en-US"/>
        </w:rPr>
        <w:t xml:space="preserve">are </w:t>
      </w:r>
      <w:r w:rsidRPr="00C9465D">
        <w:rPr>
          <w:rFonts w:ascii="Verdana" w:hAnsi="Verdana" w:cs="Arial"/>
          <w:sz w:val="20"/>
          <w:szCs w:val="20"/>
          <w:lang w:val="en-US"/>
        </w:rPr>
        <w:t>the pertinent cases justiciable before the Court. To the contrary, regarding the</w:t>
      </w:r>
      <w:r w:rsidR="000A7745" w:rsidRPr="00C9465D">
        <w:rPr>
          <w:rFonts w:ascii="Verdana" w:hAnsi="Verdana" w:cs="Arial"/>
          <w:sz w:val="20"/>
          <w:szCs w:val="20"/>
          <w:lang w:val="en-US"/>
        </w:rPr>
        <w:t xml:space="preserve"> </w:t>
      </w:r>
      <w:r w:rsidR="00183C22" w:rsidRPr="00C9465D">
        <w:rPr>
          <w:rFonts w:ascii="Verdana" w:hAnsi="Verdana" w:cs="Arial"/>
          <w:sz w:val="20"/>
          <w:szCs w:val="20"/>
          <w:lang w:val="en-US"/>
        </w:rPr>
        <w:t>violation</w:t>
      </w:r>
      <w:r w:rsidR="000A7745" w:rsidRPr="00C9465D">
        <w:rPr>
          <w:rFonts w:ascii="Verdana" w:hAnsi="Verdana" w:cs="Arial"/>
          <w:sz w:val="20"/>
          <w:szCs w:val="20"/>
          <w:lang w:val="en-US"/>
        </w:rPr>
        <w:t xml:space="preserve"> </w:t>
      </w:r>
      <w:r w:rsidRPr="00C9465D">
        <w:rPr>
          <w:rFonts w:ascii="Verdana" w:hAnsi="Verdana" w:cs="Arial"/>
          <w:sz w:val="20"/>
          <w:szCs w:val="20"/>
          <w:lang w:val="en-US"/>
        </w:rPr>
        <w:t xml:space="preserve">of the other rights, including </w:t>
      </w:r>
      <w:r w:rsidR="00AC1354" w:rsidRPr="00C9465D">
        <w:rPr>
          <w:rFonts w:ascii="Verdana" w:hAnsi="Verdana" w:cs="Arial"/>
          <w:sz w:val="20"/>
          <w:szCs w:val="20"/>
          <w:lang w:val="en-US"/>
        </w:rPr>
        <w:t>the right</w:t>
      </w:r>
      <w:r w:rsidR="00260D95" w:rsidRPr="00C9465D">
        <w:rPr>
          <w:rFonts w:ascii="Verdana" w:eastAsia="Batang" w:hAnsi="Verdana"/>
          <w:bCs/>
          <w:sz w:val="20"/>
          <w:szCs w:val="20"/>
          <w:lang w:val="en-US"/>
        </w:rPr>
        <w:t xml:space="preserve"> to health</w:t>
      </w:r>
      <w:r w:rsidR="000A7745" w:rsidRPr="00C9465D">
        <w:rPr>
          <w:rFonts w:ascii="Verdana" w:hAnsi="Verdana" w:cs="Arial"/>
          <w:sz w:val="20"/>
          <w:szCs w:val="20"/>
          <w:lang w:val="en-US"/>
        </w:rPr>
        <w:t xml:space="preserve">, </w:t>
      </w:r>
      <w:r w:rsidRPr="00C9465D">
        <w:rPr>
          <w:rFonts w:ascii="Verdana" w:hAnsi="Verdana" w:cs="Arial"/>
          <w:sz w:val="20"/>
          <w:szCs w:val="20"/>
          <w:lang w:val="en-US"/>
        </w:rPr>
        <w:t xml:space="preserve">only the report system established in </w:t>
      </w:r>
      <w:r w:rsidR="00193CBB" w:rsidRPr="00C9465D">
        <w:rPr>
          <w:rFonts w:ascii="Verdana" w:hAnsi="Verdana" w:cs="Arial"/>
          <w:sz w:val="20"/>
          <w:szCs w:val="20"/>
          <w:lang w:val="en-US"/>
        </w:rPr>
        <w:t>Article</w:t>
      </w:r>
      <w:r w:rsidR="000A7745" w:rsidRPr="00C9465D">
        <w:rPr>
          <w:rFonts w:ascii="Verdana" w:hAnsi="Verdana" w:cs="Arial"/>
          <w:sz w:val="20"/>
          <w:szCs w:val="20"/>
          <w:lang w:val="en-US"/>
        </w:rPr>
        <w:t xml:space="preserve"> 19 </w:t>
      </w:r>
      <w:r w:rsidRPr="00C9465D">
        <w:rPr>
          <w:rFonts w:ascii="Verdana" w:hAnsi="Verdana" w:cs="Arial"/>
          <w:sz w:val="20"/>
          <w:szCs w:val="20"/>
          <w:lang w:val="en-US"/>
        </w:rPr>
        <w:t>of the Protocol</w:t>
      </w:r>
      <w:r w:rsidR="000A7745" w:rsidRPr="00C9465D">
        <w:rPr>
          <w:rFonts w:ascii="Verdana" w:hAnsi="Verdana" w:cs="Arial"/>
          <w:sz w:val="20"/>
          <w:szCs w:val="20"/>
          <w:lang w:val="en-US"/>
        </w:rPr>
        <w:t xml:space="preserve"> </w:t>
      </w:r>
      <w:r w:rsidRPr="00C9465D">
        <w:rPr>
          <w:rFonts w:ascii="Verdana" w:hAnsi="Verdana" w:cs="Arial"/>
          <w:sz w:val="20"/>
          <w:szCs w:val="20"/>
          <w:lang w:val="en-US"/>
        </w:rPr>
        <w:t xml:space="preserve">is </w:t>
      </w:r>
      <w:r w:rsidR="00116E32" w:rsidRPr="00C9465D">
        <w:rPr>
          <w:rFonts w:ascii="Verdana" w:hAnsi="Verdana" w:cs="Arial"/>
          <w:sz w:val="20"/>
          <w:szCs w:val="20"/>
          <w:lang w:val="en-US"/>
        </w:rPr>
        <w:t>applicable.</w:t>
      </w:r>
    </w:p>
    <w:p w14:paraId="7B08D44A" w14:textId="77777777" w:rsidR="000A7745" w:rsidRPr="00C9465D" w:rsidRDefault="000A7745" w:rsidP="00760D70">
      <w:pPr>
        <w:spacing w:line="240" w:lineRule="auto"/>
        <w:ind w:right="48"/>
        <w:contextualSpacing/>
        <w:rPr>
          <w:rFonts w:ascii="Verdana" w:eastAsia="Batang" w:hAnsi="Verdana"/>
          <w:sz w:val="20"/>
          <w:szCs w:val="20"/>
          <w:lang w:val="en-US"/>
        </w:rPr>
      </w:pPr>
    </w:p>
    <w:p w14:paraId="1CC5104C" w14:textId="09BD3099" w:rsidR="000A7745" w:rsidRPr="00C9465D" w:rsidRDefault="00A62BBE" w:rsidP="00633E69">
      <w:pPr>
        <w:numPr>
          <w:ilvl w:val="0"/>
          <w:numId w:val="18"/>
        </w:numPr>
        <w:spacing w:line="240" w:lineRule="auto"/>
        <w:ind w:left="0" w:right="48" w:firstLine="0"/>
        <w:contextualSpacing/>
        <w:jc w:val="both"/>
        <w:rPr>
          <w:rFonts w:ascii="Verdana" w:eastAsia="Batang" w:hAnsi="Verdana"/>
          <w:sz w:val="20"/>
          <w:szCs w:val="20"/>
          <w:lang w:val="en-US"/>
        </w:rPr>
      </w:pPr>
      <w:r w:rsidRPr="00C9465D">
        <w:rPr>
          <w:rFonts w:ascii="Verdana" w:eastAsia="Times" w:hAnsi="Verdana" w:cs="Arial"/>
          <w:sz w:val="20"/>
          <w:szCs w:val="20"/>
          <w:lang w:val="en-US"/>
        </w:rPr>
        <w:t xml:space="preserve">Consequently, </w:t>
      </w:r>
      <w:r w:rsidR="00633E69" w:rsidRPr="00C9465D">
        <w:rPr>
          <w:rFonts w:ascii="Verdana" w:eastAsia="Times" w:hAnsi="Verdana" w:cs="Arial"/>
          <w:sz w:val="20"/>
          <w:szCs w:val="20"/>
          <w:lang w:val="en-US"/>
        </w:rPr>
        <w:t>the Protocol is an amendment to the Convention. This is revealed by its text where it is considered a protocol, a device expressly established in the Convention.</w:t>
      </w:r>
      <w:r w:rsidR="000A7745" w:rsidRPr="00C9465D">
        <w:rPr>
          <w:rStyle w:val="FootnoteReference"/>
          <w:rFonts w:ascii="Verdana" w:eastAsia="Times" w:hAnsi="Verdana" w:cs="Arial"/>
          <w:sz w:val="20"/>
          <w:szCs w:val="20"/>
          <w:lang w:val="en-US"/>
        </w:rPr>
        <w:footnoteReference w:id="450"/>
      </w:r>
      <w:r w:rsidR="000A7745" w:rsidRPr="00C9465D">
        <w:rPr>
          <w:rFonts w:ascii="Verdana" w:eastAsia="Times" w:hAnsi="Verdana" w:cs="Arial"/>
          <w:sz w:val="20"/>
          <w:szCs w:val="20"/>
          <w:vertAlign w:val="superscript"/>
          <w:lang w:val="en-US"/>
        </w:rPr>
        <w:t xml:space="preserve"> </w:t>
      </w:r>
      <w:r w:rsidR="00633E69" w:rsidRPr="00C9465D">
        <w:rPr>
          <w:rFonts w:ascii="Verdana" w:hAnsi="Verdana"/>
          <w:sz w:val="20"/>
          <w:szCs w:val="20"/>
          <w:lang w:val="en-US"/>
        </w:rPr>
        <w:t>It should be stressed that, in its Preamble, it places on record that it is adopted considering that the Convention provides for that possibility.</w:t>
      </w:r>
      <w:r w:rsidR="000A7745" w:rsidRPr="00C9465D">
        <w:rPr>
          <w:rFonts w:ascii="Verdana" w:hAnsi="Verdana"/>
          <w:sz w:val="20"/>
          <w:szCs w:val="20"/>
          <w:vertAlign w:val="superscript"/>
          <w:lang w:val="en-US"/>
        </w:rPr>
        <w:footnoteReference w:id="451"/>
      </w:r>
      <w:r w:rsidR="004244BC" w:rsidRPr="00C9465D">
        <w:rPr>
          <w:rFonts w:ascii="Verdana" w:hAnsi="Verdana"/>
          <w:sz w:val="20"/>
          <w:szCs w:val="20"/>
          <w:lang w:val="en-US"/>
        </w:rPr>
        <w:t xml:space="preserve"> In other words, it is an “additional protocol” to the Convention, signed “</w:t>
      </w:r>
      <w:r w:rsidR="004244BC" w:rsidRPr="00C9465D">
        <w:rPr>
          <w:rFonts w:ascii="Verdana" w:eastAsia="Times New Roman" w:hAnsi="Verdana" w:cs="Tahoma"/>
          <w:sz w:val="20"/>
          <w:szCs w:val="20"/>
          <w:lang w:val="en-US"/>
        </w:rPr>
        <w:t xml:space="preserve">for the purpose of gradually incorporating other rights and freedoms into the protective system thereof,” which, therefore, </w:t>
      </w:r>
      <w:r w:rsidR="00116E32" w:rsidRPr="00C9465D">
        <w:rPr>
          <w:rFonts w:ascii="Verdana" w:eastAsia="Times New Roman" w:hAnsi="Verdana" w:cs="Tahoma"/>
          <w:sz w:val="20"/>
          <w:szCs w:val="20"/>
          <w:lang w:val="en-US"/>
        </w:rPr>
        <w:t>the Convention itself</w:t>
      </w:r>
      <w:r w:rsidR="004244BC" w:rsidRPr="00C9465D">
        <w:rPr>
          <w:rFonts w:ascii="Verdana" w:eastAsia="Times New Roman" w:hAnsi="Verdana" w:cs="Tahoma"/>
          <w:sz w:val="20"/>
          <w:szCs w:val="20"/>
          <w:lang w:val="en-US"/>
        </w:rPr>
        <w:t xml:space="preserve"> did not include.</w:t>
      </w:r>
    </w:p>
    <w:p w14:paraId="4F0EFF5C" w14:textId="7D125941" w:rsidR="000A7745" w:rsidRPr="00C9465D" w:rsidRDefault="004244BC" w:rsidP="00D47F8D">
      <w:pPr>
        <w:pStyle w:val="ListParagraph"/>
        <w:numPr>
          <w:ilvl w:val="0"/>
          <w:numId w:val="18"/>
        </w:numPr>
        <w:spacing w:line="240" w:lineRule="auto"/>
        <w:ind w:left="0" w:right="48" w:firstLine="0"/>
        <w:rPr>
          <w:rFonts w:eastAsia="Batang"/>
          <w:lang w:val="en-US"/>
        </w:rPr>
      </w:pPr>
      <w:r w:rsidRPr="00C9465D">
        <w:rPr>
          <w:lang w:val="en-US"/>
        </w:rPr>
        <w:t xml:space="preserve">Thus, by establishing in its </w:t>
      </w:r>
      <w:r w:rsidR="00193CBB" w:rsidRPr="00C9465D">
        <w:rPr>
          <w:lang w:val="en-US"/>
        </w:rPr>
        <w:t>Article</w:t>
      </w:r>
      <w:r w:rsidR="000A7745" w:rsidRPr="00C9465D">
        <w:rPr>
          <w:lang w:val="en-US"/>
        </w:rPr>
        <w:t xml:space="preserve"> 19 </w:t>
      </w:r>
      <w:r w:rsidRPr="00C9465D">
        <w:rPr>
          <w:lang w:val="en-US"/>
        </w:rPr>
        <w:t xml:space="preserve">the Court’s competence to </w:t>
      </w:r>
      <w:r w:rsidR="00D8209E" w:rsidRPr="00C9465D">
        <w:rPr>
          <w:lang w:val="en-US"/>
        </w:rPr>
        <w:t>examine</w:t>
      </w:r>
      <w:r w:rsidRPr="00C9465D">
        <w:rPr>
          <w:lang w:val="en-US"/>
        </w:rPr>
        <w:t xml:space="preserve"> eventual violations of the rights of trade unions and to education, </w:t>
      </w:r>
      <w:r w:rsidR="00116E32" w:rsidRPr="00C9465D">
        <w:rPr>
          <w:lang w:val="en-US"/>
        </w:rPr>
        <w:t xml:space="preserve">this instrument </w:t>
      </w:r>
      <w:r w:rsidRPr="00C9465D">
        <w:rPr>
          <w:lang w:val="en-US"/>
        </w:rPr>
        <w:t xml:space="preserve">is not restricting the Court, but </w:t>
      </w:r>
      <w:r w:rsidR="00116E32" w:rsidRPr="00C9465D">
        <w:rPr>
          <w:lang w:val="en-US"/>
        </w:rPr>
        <w:t xml:space="preserve">rather </w:t>
      </w:r>
      <w:r w:rsidRPr="00C9465D">
        <w:rPr>
          <w:lang w:val="en-US"/>
        </w:rPr>
        <w:t>expanding its competence. If the Protocol did not exist, the Court would be unable to examine the eventual violation of those rights.</w:t>
      </w:r>
    </w:p>
    <w:p w14:paraId="0D675EC4" w14:textId="77777777" w:rsidR="000A7745" w:rsidRPr="00C9465D" w:rsidRDefault="000A7745" w:rsidP="00760D70">
      <w:pPr>
        <w:pStyle w:val="ListParagraph"/>
        <w:spacing w:line="240" w:lineRule="auto"/>
        <w:ind w:left="0" w:right="48"/>
        <w:rPr>
          <w:rFonts w:eastAsia="Batang"/>
          <w:lang w:val="en-US"/>
        </w:rPr>
      </w:pPr>
    </w:p>
    <w:p w14:paraId="2849CB04" w14:textId="278A8204" w:rsidR="004244BC" w:rsidRPr="00C9465D" w:rsidRDefault="004244BC" w:rsidP="00D47F8D">
      <w:pPr>
        <w:pStyle w:val="ListParagraph"/>
        <w:numPr>
          <w:ilvl w:val="0"/>
          <w:numId w:val="18"/>
        </w:numPr>
        <w:spacing w:line="240" w:lineRule="auto"/>
        <w:ind w:left="0" w:right="48" w:firstLine="0"/>
        <w:rPr>
          <w:rFonts w:eastAsia="Batang"/>
          <w:lang w:val="en-US"/>
        </w:rPr>
      </w:pPr>
      <w:r w:rsidRPr="00C9465D">
        <w:rPr>
          <w:rFonts w:cs="Arial"/>
          <w:lang w:val="en-US"/>
        </w:rPr>
        <w:t xml:space="preserve">All the foregoing is, consequently, extremely clear evidence that, for the </w:t>
      </w:r>
      <w:r w:rsidR="00DA115D" w:rsidRPr="00C9465D">
        <w:rPr>
          <w:rFonts w:cs="Arial"/>
          <w:lang w:val="en-US"/>
        </w:rPr>
        <w:t>States Parties</w:t>
      </w:r>
      <w:r w:rsidR="000A7745" w:rsidRPr="00C9465D">
        <w:rPr>
          <w:rFonts w:cs="Arial"/>
          <w:lang w:val="en-US"/>
        </w:rPr>
        <w:t xml:space="preserve"> </w:t>
      </w:r>
      <w:r w:rsidRPr="00C9465D">
        <w:rPr>
          <w:rFonts w:cs="Arial"/>
          <w:lang w:val="en-US"/>
        </w:rPr>
        <w:t>to the</w:t>
      </w:r>
      <w:r w:rsidR="000A7745" w:rsidRPr="00C9465D">
        <w:rPr>
          <w:rFonts w:cs="Arial"/>
          <w:lang w:val="en-US"/>
        </w:rPr>
        <w:t xml:space="preserve"> Protocol, </w:t>
      </w:r>
      <w:r w:rsidRPr="00C9465D">
        <w:rPr>
          <w:rFonts w:cs="Arial"/>
          <w:lang w:val="en-US"/>
        </w:rPr>
        <w:t>the provisions of</w:t>
      </w:r>
      <w:r w:rsidR="000A7745" w:rsidRPr="00C9465D">
        <w:rPr>
          <w:rFonts w:cs="Arial"/>
          <w:lang w:val="en-US"/>
        </w:rPr>
        <w:t xml:space="preserve"> </w:t>
      </w:r>
      <w:r w:rsidR="00193CBB" w:rsidRPr="00C9465D">
        <w:rPr>
          <w:rFonts w:cs="Arial"/>
          <w:lang w:val="en-US"/>
        </w:rPr>
        <w:t>Article</w:t>
      </w:r>
      <w:r w:rsidR="000A7745" w:rsidRPr="00C9465D">
        <w:rPr>
          <w:rFonts w:cs="Arial"/>
          <w:lang w:val="en-US"/>
        </w:rPr>
        <w:t xml:space="preserve"> 26</w:t>
      </w:r>
      <w:r w:rsidR="00193CBB" w:rsidRPr="00C9465D">
        <w:rPr>
          <w:rFonts w:cs="Arial"/>
          <w:lang w:val="en-US"/>
        </w:rPr>
        <w:t xml:space="preserve"> of the Convention</w:t>
      </w:r>
      <w:r w:rsidRPr="00C9465D">
        <w:rPr>
          <w:rFonts w:cs="Arial"/>
          <w:lang w:val="en-US"/>
        </w:rPr>
        <w:t xml:space="preserve"> cannot be interpreted in order to establish or recognize economic, social or cultural rights or that it authorizes submitting a case of their violation to the consideration of the Court. It should be reiterated that, if that had been established, evidently there would have </w:t>
      </w:r>
      <w:r w:rsidR="00116E32" w:rsidRPr="00C9465D">
        <w:rPr>
          <w:rFonts w:cs="Arial"/>
          <w:lang w:val="en-US"/>
        </w:rPr>
        <w:t xml:space="preserve">been </w:t>
      </w:r>
      <w:r w:rsidRPr="00C9465D">
        <w:rPr>
          <w:rFonts w:cs="Arial"/>
          <w:lang w:val="en-US"/>
        </w:rPr>
        <w:t>no need to conclude the Protocol. And</w:t>
      </w:r>
      <w:r w:rsidR="00116E32" w:rsidRPr="00C9465D">
        <w:rPr>
          <w:rFonts w:cs="Arial"/>
          <w:lang w:val="en-US"/>
        </w:rPr>
        <w:t xml:space="preserve"> that was why </w:t>
      </w:r>
      <w:r w:rsidRPr="00C9465D">
        <w:rPr>
          <w:rFonts w:cs="Arial"/>
          <w:lang w:val="en-US"/>
        </w:rPr>
        <w:t xml:space="preserve">it was necessary. </w:t>
      </w:r>
      <w:r w:rsidR="00D8209E" w:rsidRPr="00C9465D">
        <w:rPr>
          <w:rFonts w:cs="Arial"/>
          <w:lang w:val="en-US"/>
        </w:rPr>
        <w:t>Its</w:t>
      </w:r>
      <w:r w:rsidRPr="00C9465D">
        <w:rPr>
          <w:rFonts w:cs="Arial"/>
          <w:lang w:val="en-US"/>
        </w:rPr>
        <w:t xml:space="preserve"> adoption cannot be explained in any other way.</w:t>
      </w:r>
    </w:p>
    <w:p w14:paraId="31B870BA" w14:textId="77777777" w:rsidR="000A7745" w:rsidRPr="00C9465D" w:rsidRDefault="000A7745" w:rsidP="00760D70">
      <w:pPr>
        <w:pStyle w:val="ListParagraph"/>
        <w:spacing w:line="240" w:lineRule="auto"/>
        <w:ind w:left="0" w:right="48"/>
        <w:rPr>
          <w:rFonts w:eastAsia="Batang"/>
          <w:lang w:val="en-US"/>
        </w:rPr>
      </w:pPr>
    </w:p>
    <w:p w14:paraId="0BC96538" w14:textId="20FCBEC1" w:rsidR="000A7745" w:rsidRPr="00C9465D" w:rsidRDefault="004244BC" w:rsidP="00D47F8D">
      <w:pPr>
        <w:pStyle w:val="ListParagraph"/>
        <w:numPr>
          <w:ilvl w:val="0"/>
          <w:numId w:val="18"/>
        </w:numPr>
        <w:spacing w:line="240" w:lineRule="auto"/>
        <w:ind w:left="0" w:right="48" w:firstLine="0"/>
        <w:rPr>
          <w:rFonts w:eastAsia="Batang"/>
          <w:lang w:val="en-US"/>
        </w:rPr>
      </w:pPr>
      <w:r w:rsidRPr="00C9465D">
        <w:rPr>
          <w:rFonts w:eastAsia="Batang"/>
          <w:lang w:val="en-US"/>
        </w:rPr>
        <w:t>Based on the above, it is possible to conclude that the Protocol provides clear proof that the provisions of</w:t>
      </w:r>
      <w:r w:rsidR="000A7745" w:rsidRPr="00C9465D">
        <w:rPr>
          <w:rFonts w:eastAsia="Batang"/>
          <w:lang w:val="en-US"/>
        </w:rPr>
        <w:t xml:space="preserve"> </w:t>
      </w:r>
      <w:r w:rsidR="00193CBB" w:rsidRPr="00C9465D">
        <w:rPr>
          <w:rFonts w:eastAsia="Batang"/>
          <w:lang w:val="en-US"/>
        </w:rPr>
        <w:t>Article</w:t>
      </w:r>
      <w:r w:rsidR="000A7745" w:rsidRPr="00C9465D">
        <w:rPr>
          <w:rFonts w:eastAsia="Batang"/>
          <w:lang w:val="en-US"/>
        </w:rPr>
        <w:t xml:space="preserve"> 26 </w:t>
      </w:r>
      <w:r w:rsidRPr="00C9465D">
        <w:rPr>
          <w:rFonts w:eastAsia="Batang"/>
          <w:lang w:val="en-US"/>
        </w:rPr>
        <w:t>do not</w:t>
      </w:r>
      <w:r w:rsidR="000A7745" w:rsidRPr="00C9465D">
        <w:rPr>
          <w:rFonts w:eastAsia="Batang"/>
          <w:lang w:val="en-US"/>
        </w:rPr>
        <w:t xml:space="preserve"> </w:t>
      </w:r>
      <w:r w:rsidR="00260D95" w:rsidRPr="00C9465D">
        <w:rPr>
          <w:rFonts w:eastAsia="Batang"/>
          <w:lang w:val="en-US"/>
        </w:rPr>
        <w:t>establish</w:t>
      </w:r>
      <w:r w:rsidRPr="00C9465D">
        <w:rPr>
          <w:rFonts w:eastAsia="Batang"/>
          <w:lang w:val="en-US"/>
        </w:rPr>
        <w:t xml:space="preserve"> any human right or, in particular, as maintained in this case, give</w:t>
      </w:r>
      <w:r w:rsidR="00D53666" w:rsidRPr="00C9465D">
        <w:rPr>
          <w:rFonts w:eastAsia="Batang"/>
          <w:lang w:val="en-US"/>
        </w:rPr>
        <w:t xml:space="preserve"> </w:t>
      </w:r>
      <w:r w:rsidR="00D53666" w:rsidRPr="00C9465D">
        <w:rPr>
          <w:rFonts w:eastAsia="Batang"/>
          <w:i/>
          <w:iCs/>
          <w:lang w:val="en-US"/>
        </w:rPr>
        <w:t>locus standi</w:t>
      </w:r>
      <w:r w:rsidR="00D53666" w:rsidRPr="00C9465D">
        <w:rPr>
          <w:rFonts w:eastAsia="Batang"/>
          <w:lang w:val="en-US"/>
        </w:rPr>
        <w:t xml:space="preserve"> before the Court for the violation of the economic, social and cultural rights to which it refers</w:t>
      </w:r>
      <w:r w:rsidR="000A7745" w:rsidRPr="00C9465D">
        <w:rPr>
          <w:rFonts w:eastAsia="Batang"/>
          <w:lang w:val="en-US"/>
        </w:rPr>
        <w:t>.</w:t>
      </w:r>
    </w:p>
    <w:p w14:paraId="483CBA0F" w14:textId="77777777" w:rsidR="000A7745" w:rsidRPr="00C9465D" w:rsidRDefault="000A7745" w:rsidP="00760D70">
      <w:pPr>
        <w:pStyle w:val="ListParagraph"/>
        <w:spacing w:line="240" w:lineRule="auto"/>
        <w:ind w:left="0" w:right="48"/>
        <w:rPr>
          <w:rFonts w:eastAsia="Batang"/>
          <w:lang w:val="en-US"/>
        </w:rPr>
      </w:pPr>
    </w:p>
    <w:p w14:paraId="5CBAAB70" w14:textId="1CC1BB00" w:rsidR="000A7745" w:rsidRPr="00C9465D" w:rsidRDefault="000A7745" w:rsidP="00760D70">
      <w:pPr>
        <w:spacing w:line="240" w:lineRule="auto"/>
        <w:ind w:right="48"/>
        <w:rPr>
          <w:rFonts w:ascii="Verdana" w:eastAsia="Batang" w:hAnsi="Verdana"/>
          <w:b/>
          <w:bCs/>
          <w:sz w:val="20"/>
          <w:szCs w:val="20"/>
          <w:lang w:val="en-US"/>
        </w:rPr>
      </w:pPr>
      <w:r w:rsidRPr="00C9465D">
        <w:rPr>
          <w:rFonts w:ascii="Verdana" w:eastAsia="Batang" w:hAnsi="Verdana"/>
          <w:b/>
          <w:bCs/>
          <w:sz w:val="20"/>
          <w:szCs w:val="20"/>
          <w:lang w:val="en-US"/>
        </w:rPr>
        <w:t>VII.</w:t>
      </w:r>
      <w:r w:rsidRPr="00C9465D">
        <w:rPr>
          <w:rFonts w:ascii="Verdana" w:eastAsia="Batang" w:hAnsi="Verdana"/>
          <w:b/>
          <w:bCs/>
          <w:sz w:val="20"/>
          <w:szCs w:val="20"/>
          <w:lang w:val="en-US"/>
        </w:rPr>
        <w:tab/>
        <w:t>CONCLUSION</w:t>
      </w:r>
      <w:r w:rsidR="004E6DB8" w:rsidRPr="00C9465D">
        <w:rPr>
          <w:rFonts w:ascii="Verdana" w:eastAsia="Batang" w:hAnsi="Verdana"/>
          <w:b/>
          <w:bCs/>
          <w:sz w:val="20"/>
          <w:szCs w:val="20"/>
          <w:lang w:val="en-US"/>
        </w:rPr>
        <w:t>S</w:t>
      </w:r>
      <w:r w:rsidRPr="00C9465D">
        <w:rPr>
          <w:rFonts w:ascii="Verdana" w:eastAsia="Batang" w:hAnsi="Verdana"/>
          <w:b/>
          <w:bCs/>
          <w:sz w:val="20"/>
          <w:szCs w:val="20"/>
          <w:lang w:val="en-US"/>
        </w:rPr>
        <w:t xml:space="preserve"> </w:t>
      </w:r>
    </w:p>
    <w:p w14:paraId="004FC74D" w14:textId="185D845E" w:rsidR="000A7745" w:rsidRPr="00C9465D" w:rsidRDefault="00D53666" w:rsidP="00D47F8D">
      <w:pPr>
        <w:pStyle w:val="ListParagraph"/>
        <w:numPr>
          <w:ilvl w:val="0"/>
          <w:numId w:val="18"/>
        </w:numPr>
        <w:spacing w:line="240" w:lineRule="auto"/>
        <w:ind w:left="0" w:right="48" w:firstLine="0"/>
        <w:rPr>
          <w:rFonts w:eastAsia="Batang"/>
          <w:b/>
          <w:bCs/>
          <w:lang w:val="en-US"/>
        </w:rPr>
      </w:pPr>
      <w:r w:rsidRPr="00C9465D">
        <w:rPr>
          <w:lang w:val="en-US"/>
        </w:rPr>
        <w:lastRenderedPageBreak/>
        <w:t xml:space="preserve">It is, therefore, based on all the above that I dissent partially from </w:t>
      </w:r>
      <w:r w:rsidR="008F17CD" w:rsidRPr="00C9465D">
        <w:rPr>
          <w:lang w:val="en-US"/>
        </w:rPr>
        <w:t>the judgment</w:t>
      </w:r>
      <w:r w:rsidRPr="00C9465D">
        <w:rPr>
          <w:lang w:val="en-US"/>
        </w:rPr>
        <w:t>; that is, from the contents of its first operative paragraph.</w:t>
      </w:r>
      <w:r w:rsidR="000A7745" w:rsidRPr="00C9465D">
        <w:rPr>
          <w:rStyle w:val="FootnoteReference"/>
          <w:lang w:val="en-US"/>
        </w:rPr>
        <w:footnoteReference w:id="452"/>
      </w:r>
    </w:p>
    <w:p w14:paraId="0F9D7FC3" w14:textId="77777777" w:rsidR="000A7745" w:rsidRPr="00C9465D" w:rsidRDefault="000A7745" w:rsidP="00760D70">
      <w:pPr>
        <w:pStyle w:val="ListParagraph"/>
        <w:spacing w:line="240" w:lineRule="auto"/>
        <w:ind w:left="0" w:right="48"/>
        <w:rPr>
          <w:rFonts w:eastAsia="Batang"/>
          <w:b/>
          <w:bCs/>
          <w:lang w:val="en-US"/>
        </w:rPr>
      </w:pPr>
    </w:p>
    <w:p w14:paraId="283B0474" w14:textId="7B926BC7" w:rsidR="000A7745" w:rsidRPr="00C9465D" w:rsidRDefault="00D53666" w:rsidP="00D47F8D">
      <w:pPr>
        <w:pStyle w:val="ListParagraph"/>
        <w:numPr>
          <w:ilvl w:val="0"/>
          <w:numId w:val="18"/>
        </w:numPr>
        <w:spacing w:line="240" w:lineRule="auto"/>
        <w:ind w:left="0" w:right="48" w:firstLine="0"/>
        <w:rPr>
          <w:rFonts w:eastAsia="Batang"/>
          <w:b/>
          <w:bCs/>
          <w:lang w:val="en-US"/>
        </w:rPr>
      </w:pPr>
      <w:r w:rsidRPr="00C9465D">
        <w:rPr>
          <w:lang w:val="en-US"/>
        </w:rPr>
        <w:t xml:space="preserve">In this regard, it is necessary to insist, one more time, that this opinion is not related to the existence </w:t>
      </w:r>
      <w:r w:rsidR="00AC1354" w:rsidRPr="00C9465D">
        <w:rPr>
          <w:lang w:val="en-US"/>
        </w:rPr>
        <w:t xml:space="preserve">of the </w:t>
      </w:r>
      <w:r w:rsidR="00AC1354" w:rsidRPr="00C9465D">
        <w:rPr>
          <w:rFonts w:cs="Verdana"/>
          <w:lang w:val="en-US"/>
        </w:rPr>
        <w:t>right</w:t>
      </w:r>
      <w:r w:rsidR="00260D95" w:rsidRPr="00C9465D">
        <w:rPr>
          <w:lang w:val="en-US"/>
        </w:rPr>
        <w:t xml:space="preserve"> to health</w:t>
      </w:r>
      <w:r w:rsidR="000A7745" w:rsidRPr="00C9465D">
        <w:rPr>
          <w:lang w:val="en-US"/>
        </w:rPr>
        <w:t xml:space="preserve">. </w:t>
      </w:r>
      <w:r w:rsidRPr="00C9465D">
        <w:rPr>
          <w:lang w:val="en-US"/>
        </w:rPr>
        <w:t xml:space="preserve">This falls outside its purpose. It merely states that </w:t>
      </w:r>
      <w:r w:rsidR="00116E32" w:rsidRPr="00C9465D">
        <w:rPr>
          <w:lang w:val="en-US"/>
        </w:rPr>
        <w:t>the</w:t>
      </w:r>
      <w:r w:rsidRPr="00C9465D">
        <w:rPr>
          <w:lang w:val="en-US"/>
        </w:rPr>
        <w:t xml:space="preserve"> possible violation </w:t>
      </w:r>
      <w:r w:rsidR="00116E32" w:rsidRPr="00C9465D">
        <w:rPr>
          <w:lang w:val="en-US"/>
        </w:rPr>
        <w:t xml:space="preserve">of this right </w:t>
      </w:r>
      <w:r w:rsidRPr="00C9465D">
        <w:rPr>
          <w:lang w:val="en-US"/>
        </w:rPr>
        <w:t>cannot be submitted to the consideration and de</w:t>
      </w:r>
      <w:r w:rsidR="00116E32" w:rsidRPr="00C9465D">
        <w:rPr>
          <w:lang w:val="en-US"/>
        </w:rPr>
        <w:t>termination</w:t>
      </w:r>
      <w:r w:rsidRPr="00C9465D">
        <w:rPr>
          <w:lang w:val="en-US"/>
        </w:rPr>
        <w:t xml:space="preserve"> </w:t>
      </w:r>
      <w:r w:rsidR="00193CBB" w:rsidRPr="00C9465D">
        <w:rPr>
          <w:lang w:val="en-US"/>
        </w:rPr>
        <w:t>of the Court</w:t>
      </w:r>
      <w:r w:rsidR="000A7745" w:rsidRPr="00C9465D">
        <w:rPr>
          <w:lang w:val="en-US"/>
        </w:rPr>
        <w:t xml:space="preserve">. </w:t>
      </w:r>
    </w:p>
    <w:p w14:paraId="7B26A937" w14:textId="77777777" w:rsidR="000A7745" w:rsidRPr="00C9465D" w:rsidRDefault="000A7745" w:rsidP="00760D70">
      <w:pPr>
        <w:spacing w:line="240" w:lineRule="auto"/>
        <w:ind w:right="48"/>
        <w:contextualSpacing/>
        <w:rPr>
          <w:rFonts w:ascii="Verdana" w:eastAsia="Batang" w:hAnsi="Verdana"/>
          <w:sz w:val="20"/>
          <w:szCs w:val="20"/>
          <w:lang w:val="en-US"/>
        </w:rPr>
      </w:pPr>
      <w:r w:rsidRPr="00C9465D">
        <w:rPr>
          <w:rFonts w:ascii="Verdana" w:hAnsi="Verdana"/>
          <w:sz w:val="20"/>
          <w:szCs w:val="20"/>
          <w:lang w:val="en-US"/>
        </w:rPr>
        <w:tab/>
      </w:r>
    </w:p>
    <w:p w14:paraId="1536958C" w14:textId="6377B2BA" w:rsidR="000A7745" w:rsidRPr="00C9465D" w:rsidRDefault="00D53666" w:rsidP="00D53666">
      <w:pPr>
        <w:numPr>
          <w:ilvl w:val="0"/>
          <w:numId w:val="18"/>
        </w:numPr>
        <w:spacing w:line="240" w:lineRule="auto"/>
        <w:ind w:left="0" w:right="48" w:firstLine="0"/>
        <w:contextualSpacing/>
        <w:jc w:val="both"/>
        <w:rPr>
          <w:rFonts w:ascii="Verdana" w:eastAsia="Batang" w:hAnsi="Verdana"/>
          <w:sz w:val="20"/>
          <w:szCs w:val="20"/>
          <w:lang w:val="en-US"/>
        </w:rPr>
      </w:pPr>
      <w:r w:rsidRPr="00C9465D">
        <w:rPr>
          <w:rFonts w:ascii="Verdana" w:hAnsi="Verdana"/>
          <w:sz w:val="20"/>
          <w:szCs w:val="20"/>
          <w:lang w:val="en-US"/>
        </w:rPr>
        <w:t>Furthermore, it is necessary to indicate that this opinion should not be understood to mean that</w:t>
      </w:r>
      <w:r w:rsidR="00116E32" w:rsidRPr="00C9465D">
        <w:rPr>
          <w:rFonts w:ascii="Verdana" w:hAnsi="Verdana"/>
          <w:sz w:val="20"/>
          <w:szCs w:val="20"/>
          <w:lang w:val="en-US"/>
        </w:rPr>
        <w:t xml:space="preserve"> </w:t>
      </w:r>
      <w:r w:rsidRPr="00C9465D">
        <w:rPr>
          <w:rFonts w:ascii="Verdana" w:hAnsi="Verdana"/>
          <w:sz w:val="20"/>
          <w:szCs w:val="20"/>
          <w:lang w:val="en-US"/>
        </w:rPr>
        <w:t>the undersigned would not be in favor of submitting violations of the economic, social and cultural rights to the consideration of the Court eventually. I</w:t>
      </w:r>
      <w:r w:rsidR="00C57BD6" w:rsidRPr="00C9465D">
        <w:rPr>
          <w:rFonts w:ascii="Verdana" w:hAnsi="Verdana"/>
          <w:sz w:val="20"/>
          <w:szCs w:val="20"/>
          <w:lang w:val="en-US"/>
        </w:rPr>
        <w:t>f</w:t>
      </w:r>
      <w:r w:rsidRPr="00C9465D">
        <w:rPr>
          <w:rFonts w:ascii="Verdana" w:hAnsi="Verdana"/>
          <w:sz w:val="20"/>
          <w:szCs w:val="20"/>
          <w:lang w:val="en-US"/>
        </w:rPr>
        <w:t xml:space="preserve"> this occurs, it should be </w:t>
      </w:r>
      <w:r w:rsidR="00C57BD6" w:rsidRPr="00C9465D">
        <w:rPr>
          <w:rFonts w:ascii="Verdana" w:hAnsi="Verdana"/>
          <w:sz w:val="20"/>
          <w:szCs w:val="20"/>
          <w:lang w:val="en-US"/>
        </w:rPr>
        <w:t>established</w:t>
      </w:r>
      <w:r w:rsidRPr="00C9465D">
        <w:rPr>
          <w:rFonts w:ascii="Verdana" w:hAnsi="Verdana"/>
          <w:sz w:val="20"/>
          <w:szCs w:val="20"/>
          <w:lang w:val="en-US"/>
        </w:rPr>
        <w:t xml:space="preserve"> by the entity that holds the responsibility for the international legislative function. It does not appear desirable that the organ entrusted with the inter-American judicial function should assume the international legislative function, especially when the States Parties to the Convention are democratic and are governed by the Inter-American Democratic Charter</w:t>
      </w:r>
      <w:r w:rsidRPr="00C9465D">
        <w:rPr>
          <w:rFonts w:ascii="Verdana" w:eastAsia="Batang" w:hAnsi="Verdana"/>
          <w:sz w:val="20"/>
          <w:szCs w:val="20"/>
          <w:lang w:val="en-US"/>
        </w:rPr>
        <w:t>,</w:t>
      </w:r>
      <w:r w:rsidR="000A7745" w:rsidRPr="00C9465D">
        <w:rPr>
          <w:rStyle w:val="FootnoteReference"/>
          <w:rFonts w:ascii="Verdana" w:hAnsi="Verdana"/>
          <w:sz w:val="20"/>
          <w:szCs w:val="20"/>
          <w:lang w:val="en-US"/>
        </w:rPr>
        <w:footnoteReference w:id="453"/>
      </w:r>
      <w:r w:rsidR="000A7745" w:rsidRPr="00C9465D">
        <w:rPr>
          <w:rFonts w:ascii="Verdana" w:hAnsi="Verdana"/>
          <w:sz w:val="20"/>
          <w:szCs w:val="20"/>
          <w:lang w:val="en-US"/>
        </w:rPr>
        <w:t xml:space="preserve"> </w:t>
      </w:r>
      <w:r w:rsidRPr="00C9465D">
        <w:rPr>
          <w:rFonts w:ascii="Verdana" w:hAnsi="Verdana"/>
          <w:sz w:val="20"/>
          <w:szCs w:val="20"/>
          <w:lang w:val="en-US"/>
        </w:rPr>
        <w:t>which establishes the separation of powers and citizen participation in public affairs</w:t>
      </w:r>
      <w:r w:rsidR="000A7745" w:rsidRPr="00C9465D">
        <w:rPr>
          <w:rFonts w:ascii="Verdana" w:hAnsi="Verdana"/>
          <w:sz w:val="20"/>
          <w:szCs w:val="20"/>
          <w:lang w:val="en-US"/>
        </w:rPr>
        <w:t>,</w:t>
      </w:r>
      <w:r w:rsidRPr="00C9465D">
        <w:rPr>
          <w:rFonts w:ascii="Verdana" w:hAnsi="Verdana"/>
          <w:sz w:val="20"/>
          <w:szCs w:val="20"/>
          <w:lang w:val="en-US"/>
        </w:rPr>
        <w:t xml:space="preserve"> which the Court should evidently respect, particularly with regard to those norms that concern the intervention of the citizen most directly.</w:t>
      </w:r>
    </w:p>
    <w:p w14:paraId="196963FE" w14:textId="692FDAA1" w:rsidR="00D53666" w:rsidRPr="00C9465D" w:rsidRDefault="00D53666" w:rsidP="00D47F8D">
      <w:pPr>
        <w:pStyle w:val="ListParagraph"/>
        <w:numPr>
          <w:ilvl w:val="0"/>
          <w:numId w:val="18"/>
        </w:numPr>
        <w:spacing w:line="240" w:lineRule="auto"/>
        <w:ind w:left="0" w:right="48" w:firstLine="0"/>
        <w:rPr>
          <w:rFonts w:eastAsia="Batang"/>
          <w:lang w:val="en-US"/>
        </w:rPr>
      </w:pPr>
      <w:r w:rsidRPr="00C9465D">
        <w:rPr>
          <w:rFonts w:eastAsia="Batang"/>
          <w:lang w:val="en-US"/>
        </w:rPr>
        <w:t xml:space="preserve">From this perspective, it is worth insisting that interpretation does not consist of determining the meaning and scope </w:t>
      </w:r>
      <w:r w:rsidR="00123E54" w:rsidRPr="00C9465D">
        <w:rPr>
          <w:rFonts w:eastAsia="Batang"/>
          <w:lang w:val="en-US"/>
        </w:rPr>
        <w:t xml:space="preserve">of a norm </w:t>
      </w:r>
      <w:r w:rsidR="00C57BD6" w:rsidRPr="00C9465D">
        <w:rPr>
          <w:rFonts w:eastAsia="Batang"/>
          <w:lang w:val="en-US"/>
        </w:rPr>
        <w:t>so that it</w:t>
      </w:r>
      <w:r w:rsidR="00123E54" w:rsidRPr="00C9465D">
        <w:rPr>
          <w:rFonts w:eastAsia="Batang"/>
          <w:lang w:val="en-US"/>
        </w:rPr>
        <w:t xml:space="preserve"> express</w:t>
      </w:r>
      <w:r w:rsidR="00C57BD6" w:rsidRPr="00C9465D">
        <w:rPr>
          <w:rFonts w:eastAsia="Batang"/>
          <w:lang w:val="en-US"/>
        </w:rPr>
        <w:t>es</w:t>
      </w:r>
      <w:r w:rsidR="00123E54" w:rsidRPr="00C9465D">
        <w:rPr>
          <w:rFonts w:eastAsia="Batang"/>
          <w:lang w:val="en-US"/>
        </w:rPr>
        <w:t xml:space="preserve"> what the interpreter wishes, but </w:t>
      </w:r>
      <w:r w:rsidR="00C57BD6" w:rsidRPr="00C9465D">
        <w:rPr>
          <w:rFonts w:eastAsia="Batang"/>
          <w:lang w:val="en-US"/>
        </w:rPr>
        <w:t xml:space="preserve">rather </w:t>
      </w:r>
      <w:r w:rsidR="00123E54" w:rsidRPr="00C9465D">
        <w:rPr>
          <w:rFonts w:eastAsia="Batang"/>
          <w:lang w:val="en-US"/>
        </w:rPr>
        <w:t xml:space="preserve">what it objectively stipulates or establishes. In the case of the Convention, this means </w:t>
      </w:r>
      <w:r w:rsidR="00C57BD6" w:rsidRPr="00C9465D">
        <w:rPr>
          <w:rFonts w:eastAsia="Batang"/>
          <w:lang w:val="en-US"/>
        </w:rPr>
        <w:t>clarifying</w:t>
      </w:r>
      <w:r w:rsidR="00123E54" w:rsidRPr="00C9465D">
        <w:rPr>
          <w:rFonts w:eastAsia="Batang"/>
          <w:lang w:val="en-US"/>
        </w:rPr>
        <w:t xml:space="preserve"> how what was agreed by its </w:t>
      </w:r>
      <w:r w:rsidR="00123E54" w:rsidRPr="00C9465D">
        <w:rPr>
          <w:lang w:val="en-US"/>
        </w:rPr>
        <w:t xml:space="preserve">States Parties can be applied in the times and circumstances in which the respective dispute arises; in other words, how to apply the </w:t>
      </w:r>
      <w:r w:rsidR="00123E54" w:rsidRPr="00C9465D">
        <w:rPr>
          <w:i/>
          <w:lang w:val="en-US"/>
        </w:rPr>
        <w:t>pacta sunt servanda</w:t>
      </w:r>
      <w:r w:rsidR="00123E54" w:rsidRPr="00C9465D">
        <w:rPr>
          <w:lang w:val="en-US"/>
        </w:rPr>
        <w:t xml:space="preserve"> principle in the times and circumstances in which the dispute occurs.</w:t>
      </w:r>
    </w:p>
    <w:p w14:paraId="1938F78D" w14:textId="77777777" w:rsidR="000A7745" w:rsidRPr="00C9465D" w:rsidRDefault="000A7745" w:rsidP="00760D70">
      <w:pPr>
        <w:pStyle w:val="ListParagraph"/>
        <w:spacing w:line="240" w:lineRule="auto"/>
        <w:ind w:left="0" w:right="48"/>
        <w:rPr>
          <w:rFonts w:eastAsia="Batang"/>
          <w:lang w:val="en-US"/>
        </w:rPr>
      </w:pPr>
    </w:p>
    <w:p w14:paraId="397D8882" w14:textId="38618493" w:rsidR="000A7745" w:rsidRPr="00C9465D" w:rsidRDefault="00123E54" w:rsidP="00123E54">
      <w:pPr>
        <w:numPr>
          <w:ilvl w:val="0"/>
          <w:numId w:val="18"/>
        </w:numPr>
        <w:spacing w:line="240" w:lineRule="auto"/>
        <w:ind w:left="0" w:right="48" w:firstLine="0"/>
        <w:contextualSpacing/>
        <w:jc w:val="both"/>
        <w:rPr>
          <w:rFonts w:ascii="Verdana" w:eastAsia="Batang" w:hAnsi="Verdana"/>
          <w:sz w:val="20"/>
          <w:szCs w:val="20"/>
          <w:lang w:val="en-US"/>
        </w:rPr>
      </w:pPr>
      <w:r w:rsidRPr="00C9465D">
        <w:rPr>
          <w:rFonts w:ascii="Verdana" w:hAnsi="Verdana"/>
          <w:sz w:val="20"/>
          <w:szCs w:val="20"/>
          <w:lang w:val="en-US"/>
        </w:rPr>
        <w:t xml:space="preserve">The </w:t>
      </w:r>
      <w:r w:rsidR="00C57BD6" w:rsidRPr="00C9465D">
        <w:rPr>
          <w:rFonts w:ascii="Verdana" w:hAnsi="Verdana"/>
          <w:sz w:val="20"/>
          <w:szCs w:val="20"/>
          <w:lang w:val="en-US"/>
        </w:rPr>
        <w:t>issue</w:t>
      </w:r>
      <w:r w:rsidRPr="00C9465D">
        <w:rPr>
          <w:rFonts w:ascii="Verdana" w:hAnsi="Verdana"/>
          <w:sz w:val="20"/>
          <w:szCs w:val="20"/>
          <w:lang w:val="en-US"/>
        </w:rPr>
        <w:t xml:space="preserve"> is, th</w:t>
      </w:r>
      <w:r w:rsidR="00C57BD6" w:rsidRPr="00C9465D">
        <w:rPr>
          <w:rFonts w:ascii="Verdana" w:hAnsi="Verdana"/>
          <w:sz w:val="20"/>
          <w:szCs w:val="20"/>
          <w:lang w:val="en-US"/>
        </w:rPr>
        <w:t>erefore</w:t>
      </w:r>
      <w:r w:rsidRPr="00C9465D">
        <w:rPr>
          <w:rFonts w:ascii="Verdana" w:hAnsi="Verdana"/>
          <w:sz w:val="20"/>
          <w:szCs w:val="20"/>
          <w:lang w:val="en-US"/>
        </w:rPr>
        <w:t>, how to ensure that human rights treaties are</w:t>
      </w:r>
      <w:r w:rsidR="000A7745" w:rsidRPr="00C9465D">
        <w:rPr>
          <w:rFonts w:ascii="Verdana" w:hAnsi="Verdana"/>
          <w:sz w:val="20"/>
          <w:szCs w:val="20"/>
          <w:lang w:val="en-US"/>
        </w:rPr>
        <w:t xml:space="preserve">, </w:t>
      </w:r>
      <w:r w:rsidR="000A7745" w:rsidRPr="00C9465D">
        <w:rPr>
          <w:rFonts w:ascii="Verdana" w:hAnsi="Verdana"/>
          <w:i/>
          <w:iCs/>
          <w:sz w:val="20"/>
          <w:szCs w:val="20"/>
          <w:lang w:val="en-US"/>
        </w:rPr>
        <w:t>per se,</w:t>
      </w:r>
      <w:r w:rsidR="000A7745" w:rsidRPr="00C9465D">
        <w:rPr>
          <w:rFonts w:ascii="Verdana" w:hAnsi="Verdana"/>
          <w:sz w:val="20"/>
          <w:szCs w:val="20"/>
          <w:lang w:val="en-US"/>
        </w:rPr>
        <w:t xml:space="preserve"> </w:t>
      </w:r>
      <w:r w:rsidR="00C57BD6" w:rsidRPr="00C9465D">
        <w:rPr>
          <w:rFonts w:ascii="Verdana" w:hAnsi="Verdana"/>
          <w:sz w:val="20"/>
          <w:szCs w:val="20"/>
          <w:lang w:val="en-US"/>
        </w:rPr>
        <w:t>truly</w:t>
      </w:r>
      <w:r w:rsidRPr="00C9465D">
        <w:rPr>
          <w:rFonts w:ascii="Verdana" w:hAnsi="Verdana"/>
          <w:sz w:val="20"/>
          <w:szCs w:val="20"/>
          <w:lang w:val="en-US"/>
        </w:rPr>
        <w:t xml:space="preserve"> living instruments; that is, they are able to understand or be applied to the new realities that arise and not that it is their interpretation, as if it </w:t>
      </w:r>
      <w:r w:rsidR="004C5E70" w:rsidRPr="00C9465D">
        <w:rPr>
          <w:rFonts w:ascii="Verdana" w:hAnsi="Verdana"/>
          <w:sz w:val="20"/>
          <w:szCs w:val="20"/>
          <w:lang w:val="en-US"/>
        </w:rPr>
        <w:t>were</w:t>
      </w:r>
      <w:r w:rsidRPr="00C9465D">
        <w:rPr>
          <w:rFonts w:ascii="Verdana" w:hAnsi="Verdana"/>
          <w:sz w:val="20"/>
          <w:szCs w:val="20"/>
          <w:lang w:val="en-US"/>
        </w:rPr>
        <w:t xml:space="preserve"> a separate entity, </w:t>
      </w:r>
      <w:r w:rsidR="00C57BD6" w:rsidRPr="00C9465D">
        <w:rPr>
          <w:rFonts w:ascii="Verdana" w:hAnsi="Verdana"/>
          <w:sz w:val="20"/>
          <w:szCs w:val="20"/>
          <w:lang w:val="en-US"/>
        </w:rPr>
        <w:t xml:space="preserve">that </w:t>
      </w:r>
      <w:r w:rsidRPr="00C9465D">
        <w:rPr>
          <w:rFonts w:ascii="Verdana" w:hAnsi="Verdana"/>
          <w:sz w:val="20"/>
          <w:szCs w:val="20"/>
          <w:lang w:val="en-US"/>
        </w:rPr>
        <w:t xml:space="preserve">evolves with the times and the current circumstances, altering their provisions. </w:t>
      </w:r>
      <w:r w:rsidR="00C57BD6" w:rsidRPr="00C9465D">
        <w:rPr>
          <w:rFonts w:ascii="Verdana" w:hAnsi="Verdana"/>
          <w:sz w:val="20"/>
          <w:szCs w:val="20"/>
          <w:lang w:val="en-US"/>
        </w:rPr>
        <w:t>The</w:t>
      </w:r>
      <w:r w:rsidRPr="00C9465D">
        <w:rPr>
          <w:rFonts w:ascii="Verdana" w:hAnsi="Verdana"/>
          <w:sz w:val="20"/>
          <w:szCs w:val="20"/>
          <w:lang w:val="en-US"/>
        </w:rPr>
        <w:t xml:space="preserve"> only way to achieve the said evolutive interpretation is to understand how the society</w:t>
      </w:r>
      <w:r w:rsidR="00C57BD6" w:rsidRPr="00C9465D">
        <w:rPr>
          <w:rFonts w:ascii="Verdana" w:hAnsi="Verdana"/>
          <w:sz w:val="20"/>
          <w:szCs w:val="20"/>
          <w:lang w:val="en-US"/>
        </w:rPr>
        <w:t xml:space="preserve"> regulated by the Convention, as an international treaty </w:t>
      </w:r>
      <w:r w:rsidRPr="00C9465D">
        <w:rPr>
          <w:rFonts w:ascii="Verdana" w:hAnsi="Verdana"/>
          <w:sz w:val="20"/>
          <w:szCs w:val="20"/>
          <w:lang w:val="en-US"/>
        </w:rPr>
        <w:t xml:space="preserve">– that is, </w:t>
      </w:r>
      <w:r w:rsidR="00C57BD6" w:rsidRPr="00C9465D">
        <w:rPr>
          <w:rFonts w:ascii="Verdana" w:hAnsi="Verdana"/>
          <w:sz w:val="20"/>
          <w:szCs w:val="20"/>
          <w:lang w:val="en-US"/>
        </w:rPr>
        <w:t xml:space="preserve">the </w:t>
      </w:r>
      <w:r w:rsidRPr="00C9465D">
        <w:rPr>
          <w:rFonts w:ascii="Verdana" w:hAnsi="Verdana"/>
          <w:sz w:val="20"/>
          <w:szCs w:val="20"/>
          <w:lang w:val="en-US"/>
        </w:rPr>
        <w:t>international society</w:t>
      </w:r>
      <w:r w:rsidR="00C57BD6" w:rsidRPr="00C9465D">
        <w:rPr>
          <w:rFonts w:ascii="Verdana" w:hAnsi="Verdana"/>
          <w:sz w:val="20"/>
          <w:szCs w:val="20"/>
          <w:lang w:val="en-US"/>
        </w:rPr>
        <w:t xml:space="preserve"> formed </w:t>
      </w:r>
      <w:r w:rsidRPr="00C9465D">
        <w:rPr>
          <w:rFonts w:ascii="Verdana" w:hAnsi="Verdana"/>
          <w:sz w:val="20"/>
          <w:szCs w:val="20"/>
          <w:lang w:val="en-US"/>
        </w:rPr>
        <w:t>basically by the States – has interpreted it and this is, precisely, the meaning of Article 31 of the Vienna Convention</w:t>
      </w:r>
      <w:r w:rsidR="00DA115D" w:rsidRPr="00C9465D">
        <w:rPr>
          <w:rFonts w:ascii="Verdana" w:hAnsi="Verdana"/>
          <w:sz w:val="20"/>
          <w:szCs w:val="20"/>
          <w:lang w:val="en-US"/>
        </w:rPr>
        <w:t>.</w:t>
      </w:r>
      <w:r w:rsidR="000A7745" w:rsidRPr="00C9465D">
        <w:rPr>
          <w:rStyle w:val="FootnoteReference"/>
          <w:rFonts w:ascii="Verdana" w:hAnsi="Verdana"/>
          <w:sz w:val="20"/>
          <w:szCs w:val="20"/>
          <w:lang w:val="en-US"/>
        </w:rPr>
        <w:footnoteReference w:id="454"/>
      </w:r>
    </w:p>
    <w:p w14:paraId="79E16575" w14:textId="67F4B812" w:rsidR="00C3175F" w:rsidRPr="00C9465D" w:rsidRDefault="00C3175F" w:rsidP="00D47F8D">
      <w:pPr>
        <w:pStyle w:val="ListParagraph"/>
        <w:numPr>
          <w:ilvl w:val="0"/>
          <w:numId w:val="18"/>
        </w:numPr>
        <w:spacing w:line="240" w:lineRule="auto"/>
        <w:ind w:left="0" w:right="48" w:firstLine="0"/>
        <w:rPr>
          <w:rFonts w:eastAsia="Batang"/>
          <w:lang w:val="en-US"/>
        </w:rPr>
      </w:pPr>
      <w:r w:rsidRPr="00C9465D">
        <w:rPr>
          <w:rFonts w:eastAsia="Batang"/>
          <w:lang w:val="en-US"/>
        </w:rPr>
        <w:t xml:space="preserve">Furthermore, it is essential to repeat that, if the Court persists in the course adopted by the judgment, the inter-American system of human rights as a whole could be seriously </w:t>
      </w:r>
      <w:r w:rsidR="00C57BD6" w:rsidRPr="00C9465D">
        <w:rPr>
          <w:rFonts w:eastAsia="Batang"/>
          <w:lang w:val="en-US"/>
        </w:rPr>
        <w:t>constricted</w:t>
      </w:r>
      <w:r w:rsidRPr="00C9465D">
        <w:rPr>
          <w:rFonts w:eastAsia="Batang"/>
          <w:lang w:val="en-US"/>
        </w:rPr>
        <w:t>. And this is because, very probably, on the one hand, the accession of new States to the Convention and the acceptance of the Court’s contentious jurisdiction by those</w:t>
      </w:r>
      <w:r w:rsidR="00C57BD6" w:rsidRPr="00C9465D">
        <w:rPr>
          <w:rFonts w:eastAsia="Batang"/>
          <w:lang w:val="en-US"/>
        </w:rPr>
        <w:t xml:space="preserve"> States</w:t>
      </w:r>
      <w:r w:rsidRPr="00C9465D">
        <w:rPr>
          <w:rFonts w:eastAsia="Batang"/>
          <w:lang w:val="en-US"/>
        </w:rPr>
        <w:t xml:space="preserve"> that have not done so would not be encouraged, but rather quite the reverse and, on the other hand, the tendency among the States Parties to the Convention not to comply fully and promptly with its rulings could be increased or renewed. In sum, the principle of legal certainty or security would be weakened, which, in the case of human rights, also benefits the victims of their violation by ensuring compliance with the court’s judgments because they are solidly supported by the </w:t>
      </w:r>
      <w:r w:rsidR="00C57BD6" w:rsidRPr="00C9465D">
        <w:rPr>
          <w:rFonts w:eastAsia="Batang"/>
          <w:lang w:val="en-US"/>
        </w:rPr>
        <w:t>commitments</w:t>
      </w:r>
      <w:r w:rsidRPr="00C9465D">
        <w:rPr>
          <w:rFonts w:eastAsia="Batang"/>
          <w:lang w:val="en-US"/>
        </w:rPr>
        <w:t xml:space="preserve"> sovereignly </w:t>
      </w:r>
      <w:r w:rsidR="00C57BD6" w:rsidRPr="00C9465D">
        <w:rPr>
          <w:rFonts w:eastAsia="Batang"/>
          <w:lang w:val="en-US"/>
        </w:rPr>
        <w:t>assumed</w:t>
      </w:r>
      <w:r w:rsidRPr="00C9465D">
        <w:rPr>
          <w:rFonts w:eastAsia="Batang"/>
          <w:lang w:val="en-US"/>
        </w:rPr>
        <w:t xml:space="preserve"> by the States.</w:t>
      </w:r>
    </w:p>
    <w:p w14:paraId="07A6D1EB" w14:textId="77777777" w:rsidR="000A7745" w:rsidRPr="00C9465D" w:rsidRDefault="000A7745" w:rsidP="00760D70">
      <w:pPr>
        <w:pStyle w:val="ListParagraph"/>
        <w:spacing w:line="240" w:lineRule="auto"/>
        <w:ind w:left="0" w:right="48"/>
        <w:rPr>
          <w:rFonts w:eastAsia="Batang"/>
          <w:lang w:val="en-US"/>
        </w:rPr>
      </w:pPr>
    </w:p>
    <w:p w14:paraId="25CFCEA2" w14:textId="006C3C0B" w:rsidR="000A7745" w:rsidRPr="00C9465D" w:rsidRDefault="00C3175F" w:rsidP="00D47F8D">
      <w:pPr>
        <w:pStyle w:val="ListParagraph"/>
        <w:numPr>
          <w:ilvl w:val="0"/>
          <w:numId w:val="18"/>
        </w:numPr>
        <w:spacing w:line="240" w:lineRule="auto"/>
        <w:ind w:left="0" w:right="48" w:firstLine="0"/>
        <w:rPr>
          <w:rFonts w:eastAsia="Batang"/>
          <w:lang w:val="en-US"/>
        </w:rPr>
      </w:pPr>
      <w:r w:rsidRPr="00C9465D">
        <w:rPr>
          <w:rFonts w:eastAsia="Batang"/>
          <w:lang w:val="en-US"/>
        </w:rPr>
        <w:t xml:space="preserve">In this regard, it should not be forgotten that, in practice and over and above any theoretical consideration, the Court’s function is, ultimately, to deliver judgments that re-establish, as soon as possible, respect for the violated human rights. It is not so sure that </w:t>
      </w:r>
      <w:r w:rsidRPr="00C9465D">
        <w:rPr>
          <w:rFonts w:eastAsia="Batang"/>
          <w:lang w:val="en-US"/>
        </w:rPr>
        <w:lastRenderedPageBreak/>
        <w:t xml:space="preserve">this is achieved with regard to human rights violations that </w:t>
      </w:r>
      <w:r w:rsidR="00193CBB" w:rsidRPr="00C9465D">
        <w:rPr>
          <w:rFonts w:eastAsia="Batang"/>
          <w:lang w:val="en-US"/>
        </w:rPr>
        <w:t>the Convention</w:t>
      </w:r>
      <w:r w:rsidR="000A7745" w:rsidRPr="00C9465D">
        <w:rPr>
          <w:rFonts w:eastAsia="Batang"/>
          <w:lang w:val="en-US"/>
        </w:rPr>
        <w:t xml:space="preserve"> </w:t>
      </w:r>
      <w:r w:rsidRPr="00C9465D">
        <w:rPr>
          <w:rFonts w:eastAsia="Batang"/>
          <w:lang w:val="en-US"/>
        </w:rPr>
        <w:t>did not consider</w:t>
      </w:r>
      <w:r w:rsidR="000A7745" w:rsidRPr="00C9465D">
        <w:rPr>
          <w:rFonts w:eastAsia="Batang"/>
          <w:lang w:val="en-US"/>
        </w:rPr>
        <w:t xml:space="preserve"> justiciables </w:t>
      </w:r>
      <w:r w:rsidRPr="00C9465D">
        <w:rPr>
          <w:rFonts w:eastAsia="Batang"/>
          <w:lang w:val="en-US"/>
        </w:rPr>
        <w:t>before</w:t>
      </w:r>
      <w:r w:rsidR="000A7745" w:rsidRPr="00C9465D">
        <w:rPr>
          <w:rFonts w:eastAsia="Batang"/>
          <w:lang w:val="en-US"/>
        </w:rPr>
        <w:t xml:space="preserve"> </w:t>
      </w:r>
      <w:r w:rsidR="00193CBB" w:rsidRPr="00C9465D">
        <w:rPr>
          <w:rFonts w:eastAsia="Batang"/>
          <w:lang w:val="en-US"/>
        </w:rPr>
        <w:t>the Court</w:t>
      </w:r>
      <w:r w:rsidR="000A7745" w:rsidRPr="00C9465D">
        <w:rPr>
          <w:rFonts w:eastAsia="Batang"/>
          <w:lang w:val="en-US"/>
        </w:rPr>
        <w:t>.</w:t>
      </w:r>
    </w:p>
    <w:p w14:paraId="3036E16A" w14:textId="77777777" w:rsidR="000A7745" w:rsidRPr="00C9465D" w:rsidRDefault="000A7745" w:rsidP="00760D70">
      <w:pPr>
        <w:spacing w:after="0" w:line="240" w:lineRule="auto"/>
        <w:ind w:right="48"/>
        <w:rPr>
          <w:rFonts w:ascii="Verdana" w:eastAsia="Batang" w:hAnsi="Verdana"/>
          <w:sz w:val="20"/>
          <w:szCs w:val="20"/>
          <w:lang w:val="en-US"/>
        </w:rPr>
      </w:pPr>
    </w:p>
    <w:p w14:paraId="4D93D22E" w14:textId="1DB8617F" w:rsidR="00C3175F" w:rsidRPr="00C9465D" w:rsidRDefault="00C3175F" w:rsidP="00D47F8D">
      <w:pPr>
        <w:pStyle w:val="ListParagraph"/>
        <w:numPr>
          <w:ilvl w:val="0"/>
          <w:numId w:val="18"/>
        </w:numPr>
        <w:spacing w:line="240" w:lineRule="auto"/>
        <w:ind w:left="0" w:right="48" w:firstLine="0"/>
        <w:rPr>
          <w:rFonts w:eastAsia="Batang"/>
          <w:lang w:val="en-US"/>
        </w:rPr>
      </w:pPr>
      <w:r w:rsidRPr="00C9465D">
        <w:rPr>
          <w:rFonts w:eastAsia="Batang"/>
          <w:lang w:val="en-US"/>
        </w:rPr>
        <w:t xml:space="preserve">Lastly, the undersigned </w:t>
      </w:r>
      <w:r w:rsidR="007D1A00" w:rsidRPr="00C9465D">
        <w:rPr>
          <w:rFonts w:eastAsia="Batang"/>
          <w:lang w:val="en-US"/>
        </w:rPr>
        <w:t>cannot refrain from mentioning that he sincerely regrets having to partially dissent in this case. This is because it involves a person with disabilities whose situation merited very special and prompt attention by the State.</w:t>
      </w:r>
    </w:p>
    <w:p w14:paraId="720E71E5" w14:textId="77777777" w:rsidR="000A7745" w:rsidRPr="00C9465D" w:rsidRDefault="000A7745" w:rsidP="00760D70">
      <w:pPr>
        <w:pStyle w:val="ListParagraph"/>
        <w:spacing w:line="240" w:lineRule="auto"/>
        <w:ind w:left="0" w:right="48"/>
        <w:rPr>
          <w:rFonts w:eastAsia="Batang"/>
          <w:lang w:val="en-US"/>
        </w:rPr>
      </w:pPr>
    </w:p>
    <w:p w14:paraId="5AB91B87" w14:textId="30826AB2" w:rsidR="007D1A00" w:rsidRPr="00C9465D" w:rsidRDefault="007D1A00" w:rsidP="00D47F8D">
      <w:pPr>
        <w:pStyle w:val="ListParagraph"/>
        <w:numPr>
          <w:ilvl w:val="0"/>
          <w:numId w:val="18"/>
        </w:numPr>
        <w:spacing w:line="240" w:lineRule="auto"/>
        <w:ind w:left="0" w:right="48" w:firstLine="0"/>
        <w:rPr>
          <w:rFonts w:eastAsia="Batang"/>
          <w:lang w:val="en-US"/>
        </w:rPr>
      </w:pPr>
      <w:r w:rsidRPr="00C9465D">
        <w:rPr>
          <w:rFonts w:eastAsia="Batang"/>
          <w:lang w:val="en-US"/>
        </w:rPr>
        <w:t>However, he has proceeded as indicated in this partially dissenting opinion because respect for human rights supposes strict compliance with the law – in this case, international law – and its component, inter-American human rights law, which assign</w:t>
      </w:r>
      <w:r w:rsidR="00644AA7" w:rsidRPr="00C9465D">
        <w:rPr>
          <w:rFonts w:eastAsia="Batang"/>
          <w:lang w:val="en-US"/>
        </w:rPr>
        <w:t>s</w:t>
      </w:r>
      <w:r w:rsidRPr="00C9465D">
        <w:rPr>
          <w:rFonts w:eastAsia="Batang"/>
          <w:lang w:val="en-US"/>
        </w:rPr>
        <w:t xml:space="preserve"> the Court the function of imparting justice in keeping with what the law establishes and not </w:t>
      </w:r>
      <w:r w:rsidR="00644AA7" w:rsidRPr="00C9465D">
        <w:rPr>
          <w:rFonts w:eastAsia="Batang"/>
          <w:lang w:val="en-US"/>
        </w:rPr>
        <w:t xml:space="preserve">with </w:t>
      </w:r>
      <w:r w:rsidRPr="00C9465D">
        <w:rPr>
          <w:rFonts w:eastAsia="Batang"/>
          <w:lang w:val="en-US"/>
        </w:rPr>
        <w:t>what it would like. Respect for this premise allows the principle of legal certainty and security to function to the benefit of human rights, by guaranteeing to all the parties who appear before the Court, the due and prior knowledge of the applicable norms, with all their strengths and weaknesses.</w:t>
      </w:r>
    </w:p>
    <w:p w14:paraId="06A5FF69" w14:textId="77777777" w:rsidR="000A7745" w:rsidRPr="00C9465D" w:rsidRDefault="000A7745" w:rsidP="000A7745">
      <w:pPr>
        <w:pStyle w:val="ListParagraph"/>
        <w:autoSpaceDE w:val="0"/>
        <w:autoSpaceDN w:val="0"/>
        <w:adjustRightInd w:val="0"/>
        <w:ind w:left="0" w:right="48"/>
        <w:rPr>
          <w:rFonts w:cs="Times New Roman"/>
          <w:b/>
          <w:bCs/>
          <w:iCs/>
          <w:lang w:val="en-US"/>
        </w:rPr>
      </w:pPr>
    </w:p>
    <w:p w14:paraId="29441971" w14:textId="77777777" w:rsidR="000A7745" w:rsidRPr="00C9465D" w:rsidRDefault="000A7745" w:rsidP="000A7745">
      <w:pPr>
        <w:pStyle w:val="ListParagraph"/>
        <w:autoSpaceDE w:val="0"/>
        <w:autoSpaceDN w:val="0"/>
        <w:adjustRightInd w:val="0"/>
        <w:ind w:left="0" w:right="48"/>
        <w:rPr>
          <w:rFonts w:cs="Times New Roman"/>
          <w:b/>
          <w:bCs/>
          <w:iCs/>
          <w:lang w:val="en-US"/>
        </w:rPr>
      </w:pPr>
    </w:p>
    <w:p w14:paraId="3490C3AA" w14:textId="77777777" w:rsidR="000A7745" w:rsidRPr="00C9465D" w:rsidRDefault="000A7745" w:rsidP="000A7745">
      <w:pPr>
        <w:pStyle w:val="ListParagraph"/>
        <w:autoSpaceDE w:val="0"/>
        <w:autoSpaceDN w:val="0"/>
        <w:adjustRightInd w:val="0"/>
        <w:ind w:left="0" w:right="48"/>
        <w:rPr>
          <w:rFonts w:cs="Times New Roman"/>
          <w:b/>
          <w:bCs/>
          <w:iCs/>
          <w:lang w:val="en-US"/>
        </w:rPr>
      </w:pPr>
    </w:p>
    <w:p w14:paraId="30AF32C4" w14:textId="77777777" w:rsidR="000A7745" w:rsidRPr="00C9465D" w:rsidRDefault="000A7745" w:rsidP="000A7745">
      <w:pPr>
        <w:spacing w:line="276" w:lineRule="auto"/>
        <w:ind w:right="48"/>
        <w:contextualSpacing/>
        <w:rPr>
          <w:rFonts w:ascii="Verdana" w:hAnsi="Verdana"/>
          <w:b/>
          <w:sz w:val="20"/>
          <w:szCs w:val="20"/>
          <w:lang w:val="en-US"/>
        </w:rPr>
      </w:pPr>
    </w:p>
    <w:p w14:paraId="4C3B5328" w14:textId="77777777" w:rsidR="000A7745" w:rsidRPr="00C9465D" w:rsidRDefault="000A7745" w:rsidP="000A7745">
      <w:pPr>
        <w:spacing w:after="0" w:line="240" w:lineRule="auto"/>
        <w:ind w:right="45"/>
        <w:jc w:val="right"/>
        <w:rPr>
          <w:rFonts w:ascii="Verdana" w:hAnsi="Verdana"/>
          <w:sz w:val="20"/>
          <w:szCs w:val="20"/>
          <w:lang w:val="en-US"/>
        </w:rPr>
      </w:pPr>
      <w:r w:rsidRPr="00C9465D">
        <w:rPr>
          <w:rFonts w:ascii="Verdana" w:hAnsi="Verdana"/>
          <w:sz w:val="20"/>
          <w:szCs w:val="20"/>
          <w:lang w:val="en-US"/>
        </w:rPr>
        <w:t>Eduardo Vio Grossi</w:t>
      </w:r>
    </w:p>
    <w:p w14:paraId="1AF20A16" w14:textId="5FBBE872" w:rsidR="000A7745" w:rsidRPr="00C9465D" w:rsidRDefault="00DA115D" w:rsidP="00DA115D">
      <w:pPr>
        <w:tabs>
          <w:tab w:val="left" w:pos="8100"/>
        </w:tabs>
        <w:spacing w:after="0" w:line="240" w:lineRule="auto"/>
        <w:ind w:right="45"/>
        <w:jc w:val="both"/>
        <w:rPr>
          <w:rFonts w:ascii="Verdana" w:hAnsi="Verdana"/>
          <w:sz w:val="20"/>
          <w:szCs w:val="20"/>
          <w:lang w:val="en-US"/>
        </w:rPr>
      </w:pPr>
      <w:r w:rsidRPr="00C9465D">
        <w:rPr>
          <w:rFonts w:ascii="Verdana" w:hAnsi="Verdana"/>
          <w:sz w:val="20"/>
          <w:szCs w:val="20"/>
          <w:lang w:val="en-US"/>
        </w:rPr>
        <w:tab/>
      </w:r>
      <w:r w:rsidR="00193CBB" w:rsidRPr="00C9465D">
        <w:rPr>
          <w:rFonts w:ascii="Verdana" w:hAnsi="Verdana"/>
          <w:sz w:val="20"/>
          <w:szCs w:val="20"/>
          <w:lang w:val="en-US"/>
        </w:rPr>
        <w:t>Judge</w:t>
      </w:r>
    </w:p>
    <w:p w14:paraId="5279BEB0" w14:textId="77777777" w:rsidR="000A7745" w:rsidRPr="00C9465D" w:rsidRDefault="000A7745" w:rsidP="000A7745">
      <w:pPr>
        <w:spacing w:line="276" w:lineRule="auto"/>
        <w:ind w:right="48"/>
        <w:rPr>
          <w:rFonts w:ascii="Verdana" w:hAnsi="Verdana"/>
          <w:sz w:val="20"/>
          <w:szCs w:val="20"/>
          <w:lang w:val="en-US"/>
        </w:rPr>
      </w:pPr>
    </w:p>
    <w:p w14:paraId="0FFAA77C" w14:textId="77777777" w:rsidR="000A7745" w:rsidRPr="00C9465D" w:rsidRDefault="000A7745" w:rsidP="00AD1EDB">
      <w:pPr>
        <w:spacing w:after="0" w:line="240" w:lineRule="auto"/>
        <w:rPr>
          <w:rFonts w:ascii="Verdana" w:eastAsia="Times New Roman" w:hAnsi="Verdana" w:cs="Times New Roman"/>
          <w:sz w:val="20"/>
          <w:szCs w:val="20"/>
          <w:lang w:val="en-US"/>
        </w:rPr>
        <w:sectPr w:rsidR="000A7745" w:rsidRPr="00C9465D" w:rsidSect="000A7745">
          <w:footnotePr>
            <w:numRestart w:val="eachSect"/>
          </w:footnotePr>
          <w:pgSz w:w="12240" w:h="15840"/>
          <w:pgMar w:top="1418" w:right="1418" w:bottom="1418" w:left="1418" w:header="709" w:footer="737" w:gutter="0"/>
          <w:pgNumType w:start="1"/>
          <w:cols w:space="708"/>
          <w:docGrid w:linePitch="360"/>
        </w:sectPr>
      </w:pPr>
    </w:p>
    <w:p w14:paraId="25321ACB" w14:textId="02C288E6" w:rsidR="000A7745" w:rsidRPr="00C9465D" w:rsidRDefault="00DA115D" w:rsidP="00496133">
      <w:pPr>
        <w:tabs>
          <w:tab w:val="left" w:pos="709"/>
        </w:tabs>
        <w:spacing w:after="0" w:line="240" w:lineRule="auto"/>
        <w:jc w:val="center"/>
        <w:rPr>
          <w:rFonts w:ascii="Verdana" w:hAnsi="Verdana"/>
          <w:b/>
          <w:szCs w:val="20"/>
          <w:lang w:val="en-US"/>
        </w:rPr>
      </w:pPr>
      <w:r w:rsidRPr="00C9465D">
        <w:rPr>
          <w:rFonts w:ascii="Verdana" w:hAnsi="Verdana"/>
          <w:b/>
          <w:szCs w:val="20"/>
          <w:lang w:val="en-US"/>
        </w:rPr>
        <w:lastRenderedPageBreak/>
        <w:t>CONCURRING AND PARTIALLY DISSENTING OPINION OF</w:t>
      </w:r>
      <w:r w:rsidR="000A7745" w:rsidRPr="00C9465D">
        <w:rPr>
          <w:rFonts w:ascii="Verdana" w:hAnsi="Verdana"/>
          <w:b/>
          <w:szCs w:val="20"/>
          <w:lang w:val="en-US"/>
        </w:rPr>
        <w:t xml:space="preserve"> </w:t>
      </w:r>
    </w:p>
    <w:p w14:paraId="0E3AB005" w14:textId="1DAD559D" w:rsidR="000A7745" w:rsidRPr="00C9465D" w:rsidRDefault="00193CBB" w:rsidP="00496133">
      <w:pPr>
        <w:tabs>
          <w:tab w:val="left" w:pos="709"/>
        </w:tabs>
        <w:spacing w:after="0" w:line="240" w:lineRule="auto"/>
        <w:jc w:val="center"/>
        <w:rPr>
          <w:rFonts w:ascii="Verdana" w:hAnsi="Verdana"/>
          <w:b/>
          <w:szCs w:val="20"/>
          <w:lang w:val="en-US"/>
        </w:rPr>
      </w:pPr>
      <w:r w:rsidRPr="00C9465D">
        <w:rPr>
          <w:rFonts w:ascii="Verdana" w:hAnsi="Verdana"/>
          <w:b/>
          <w:szCs w:val="20"/>
          <w:lang w:val="en-US"/>
        </w:rPr>
        <w:t>JUDGE</w:t>
      </w:r>
      <w:r w:rsidR="000A7745" w:rsidRPr="00C9465D">
        <w:rPr>
          <w:rFonts w:ascii="Verdana" w:hAnsi="Verdana"/>
          <w:b/>
          <w:szCs w:val="20"/>
          <w:lang w:val="en-US"/>
        </w:rPr>
        <w:t xml:space="preserve"> HUMBERTO ANTONIO SIERRA PORTO</w:t>
      </w:r>
    </w:p>
    <w:p w14:paraId="7C7F7439" w14:textId="77777777" w:rsidR="000A7745" w:rsidRPr="00C9465D" w:rsidRDefault="000A7745" w:rsidP="00496133">
      <w:pPr>
        <w:tabs>
          <w:tab w:val="left" w:pos="709"/>
        </w:tabs>
        <w:spacing w:after="0" w:line="240" w:lineRule="auto"/>
        <w:jc w:val="center"/>
        <w:rPr>
          <w:rFonts w:ascii="Verdana" w:hAnsi="Verdana"/>
          <w:b/>
          <w:szCs w:val="20"/>
          <w:lang w:val="en-US"/>
        </w:rPr>
      </w:pPr>
    </w:p>
    <w:p w14:paraId="409AA8B1" w14:textId="791EE7E6" w:rsidR="000A7745" w:rsidRPr="00C9465D" w:rsidRDefault="00BD26CF" w:rsidP="00496133">
      <w:pPr>
        <w:spacing w:after="0" w:line="240" w:lineRule="auto"/>
        <w:jc w:val="center"/>
        <w:rPr>
          <w:rFonts w:ascii="Verdana" w:eastAsia="MS Mincho" w:hAnsi="Verdana" w:cs="Times New Roman"/>
          <w:b/>
          <w:szCs w:val="20"/>
          <w:lang w:val="en-US" w:eastAsia="es-CR"/>
        </w:rPr>
      </w:pPr>
      <w:r w:rsidRPr="00C9465D">
        <w:rPr>
          <w:rFonts w:ascii="Verdana" w:eastAsia="MS Mincho" w:hAnsi="Verdana" w:cs="Times New Roman"/>
          <w:b/>
          <w:szCs w:val="20"/>
          <w:lang w:val="en-US" w:eastAsia="es-CR"/>
        </w:rPr>
        <w:t>INTER-AMERICAN COURT OF HUMAN RIGHTS</w:t>
      </w:r>
      <w:r w:rsidR="000A7745" w:rsidRPr="00C9465D">
        <w:rPr>
          <w:rFonts w:ascii="Verdana" w:eastAsia="MS Mincho" w:hAnsi="Verdana" w:cs="Times New Roman"/>
          <w:b/>
          <w:szCs w:val="20"/>
          <w:lang w:val="en-US" w:eastAsia="es-CR"/>
        </w:rPr>
        <w:tab/>
      </w:r>
    </w:p>
    <w:p w14:paraId="08465D0E" w14:textId="1643F433" w:rsidR="000A7745" w:rsidRPr="00C9465D" w:rsidRDefault="000A7745" w:rsidP="00496133">
      <w:pPr>
        <w:spacing w:after="0" w:line="240" w:lineRule="auto"/>
        <w:jc w:val="center"/>
        <w:rPr>
          <w:rFonts w:ascii="Verdana" w:eastAsia="MS Mincho" w:hAnsi="Verdana" w:cs="Times New Roman"/>
          <w:b/>
          <w:bCs/>
          <w:szCs w:val="20"/>
          <w:lang w:eastAsia="es-CR"/>
        </w:rPr>
      </w:pPr>
      <w:r w:rsidRPr="00C9465D">
        <w:rPr>
          <w:rFonts w:ascii="Verdana" w:eastAsia="MS Mincho" w:hAnsi="Verdana" w:cs="Times New Roman"/>
          <w:b/>
          <w:bCs/>
          <w:szCs w:val="20"/>
          <w:lang w:eastAsia="es-CR"/>
        </w:rPr>
        <w:t>CAS</w:t>
      </w:r>
      <w:r w:rsidR="00DA115D" w:rsidRPr="00C9465D">
        <w:rPr>
          <w:rFonts w:ascii="Verdana" w:eastAsia="MS Mincho" w:hAnsi="Verdana" w:cs="Times New Roman"/>
          <w:b/>
          <w:bCs/>
          <w:szCs w:val="20"/>
          <w:lang w:eastAsia="es-CR"/>
        </w:rPr>
        <w:t>E OF</w:t>
      </w:r>
      <w:r w:rsidRPr="00C9465D">
        <w:rPr>
          <w:rFonts w:ascii="Verdana" w:eastAsia="MS Mincho" w:hAnsi="Verdana" w:cs="Times New Roman"/>
          <w:b/>
          <w:bCs/>
          <w:szCs w:val="20"/>
          <w:lang w:eastAsia="es-CR"/>
        </w:rPr>
        <w:t xml:space="preserve"> GUACHALÁ </w:t>
      </w:r>
      <w:r w:rsidR="00193CBB" w:rsidRPr="00C9465D">
        <w:rPr>
          <w:rFonts w:ascii="Verdana" w:eastAsia="MS Mincho" w:hAnsi="Verdana" w:cs="Times New Roman"/>
          <w:b/>
          <w:bCs/>
          <w:szCs w:val="20"/>
          <w:lang w:eastAsia="es-CR"/>
        </w:rPr>
        <w:t xml:space="preserve">CHIMBO </w:t>
      </w:r>
      <w:r w:rsidR="00193CBB" w:rsidRPr="00C9465D">
        <w:rPr>
          <w:rFonts w:ascii="Verdana" w:eastAsia="MS Mincho" w:hAnsi="Verdana" w:cs="Times New Roman"/>
          <w:b/>
          <w:bCs/>
          <w:i/>
          <w:iCs/>
          <w:szCs w:val="20"/>
          <w:lang w:eastAsia="es-CR"/>
        </w:rPr>
        <w:t>ET AL.</w:t>
      </w:r>
      <w:r w:rsidRPr="00C9465D">
        <w:rPr>
          <w:rFonts w:ascii="Verdana" w:eastAsia="MS Mincho" w:hAnsi="Verdana" w:cs="Times New Roman"/>
          <w:b/>
          <w:bCs/>
          <w:i/>
          <w:iCs/>
          <w:szCs w:val="20"/>
          <w:lang w:eastAsia="es-CR"/>
        </w:rPr>
        <w:t xml:space="preserve"> V.</w:t>
      </w:r>
      <w:r w:rsidRPr="00C9465D">
        <w:rPr>
          <w:rFonts w:ascii="Verdana" w:eastAsia="MS Mincho" w:hAnsi="Verdana" w:cs="Times New Roman"/>
          <w:b/>
          <w:bCs/>
          <w:szCs w:val="20"/>
          <w:lang w:eastAsia="es-CR"/>
        </w:rPr>
        <w:t xml:space="preserve"> ECUADOR</w:t>
      </w:r>
    </w:p>
    <w:p w14:paraId="0E6C91E5" w14:textId="066029A8" w:rsidR="000A7745" w:rsidRPr="00C9465D" w:rsidRDefault="00BD26CF" w:rsidP="00496133">
      <w:pPr>
        <w:spacing w:after="0" w:line="240" w:lineRule="auto"/>
        <w:jc w:val="center"/>
        <w:rPr>
          <w:rFonts w:ascii="Verdana" w:eastAsia="MS Mincho" w:hAnsi="Verdana" w:cs="Times New Roman"/>
          <w:b/>
          <w:i/>
          <w:szCs w:val="20"/>
          <w:lang w:val="en-US" w:eastAsia="es-CR"/>
        </w:rPr>
      </w:pPr>
      <w:r w:rsidRPr="00C9465D">
        <w:rPr>
          <w:rFonts w:ascii="Verdana" w:eastAsia="MS Mincho" w:hAnsi="Verdana" w:cs="Times New Roman"/>
          <w:b/>
          <w:szCs w:val="20"/>
          <w:lang w:val="en-US" w:eastAsia="es-CR"/>
        </w:rPr>
        <w:t>JUDGMENT OF MARCH 26,</w:t>
      </w:r>
      <w:r w:rsidR="000A7745" w:rsidRPr="00C9465D">
        <w:rPr>
          <w:rFonts w:ascii="Verdana" w:eastAsia="MS Mincho" w:hAnsi="Verdana" w:cs="Times New Roman"/>
          <w:b/>
          <w:szCs w:val="20"/>
          <w:lang w:val="en-US" w:eastAsia="es-CR"/>
        </w:rPr>
        <w:t xml:space="preserve"> 2021</w:t>
      </w:r>
      <w:r w:rsidR="000A7745" w:rsidRPr="00C9465D">
        <w:rPr>
          <w:rFonts w:ascii="Verdana" w:eastAsia="MS Mincho" w:hAnsi="Verdana" w:cs="Times New Roman"/>
          <w:b/>
          <w:i/>
          <w:szCs w:val="20"/>
          <w:lang w:val="en-US" w:eastAsia="es-CR"/>
        </w:rPr>
        <w:t xml:space="preserve"> </w:t>
      </w:r>
    </w:p>
    <w:p w14:paraId="7625AD51" w14:textId="21FDD12F" w:rsidR="000A7745" w:rsidRPr="00C9465D" w:rsidRDefault="000A7745" w:rsidP="00496133">
      <w:pPr>
        <w:spacing w:before="120" w:line="240" w:lineRule="auto"/>
        <w:jc w:val="center"/>
        <w:rPr>
          <w:rFonts w:ascii="Verdana" w:eastAsia="Batang" w:hAnsi="Verdana" w:cs="Times"/>
          <w:b/>
          <w:i/>
          <w:smallCaps/>
          <w:szCs w:val="20"/>
          <w:lang w:val="en-US" w:eastAsia="es-CR"/>
        </w:rPr>
      </w:pPr>
      <w:r w:rsidRPr="00C9465D">
        <w:rPr>
          <w:rFonts w:ascii="Verdana" w:eastAsia="MS Mincho" w:hAnsi="Verdana" w:cs="Times New Roman"/>
          <w:b/>
          <w:i/>
          <w:szCs w:val="20"/>
          <w:lang w:val="en-US" w:eastAsia="es-CR"/>
        </w:rPr>
        <w:t>(</w:t>
      </w:r>
      <w:r w:rsidR="00193CBB" w:rsidRPr="00C9465D">
        <w:rPr>
          <w:rFonts w:ascii="Verdana" w:eastAsia="MS Mincho" w:hAnsi="Verdana" w:cs="Times New Roman"/>
          <w:b/>
          <w:i/>
          <w:szCs w:val="20"/>
          <w:lang w:val="en-US" w:eastAsia="es-CR"/>
        </w:rPr>
        <w:t>Merits, reparations and costs</w:t>
      </w:r>
      <w:r w:rsidRPr="00C9465D">
        <w:rPr>
          <w:rFonts w:ascii="Verdana" w:eastAsia="MS Mincho" w:hAnsi="Verdana" w:cs="Times New Roman"/>
          <w:b/>
          <w:i/>
          <w:szCs w:val="20"/>
          <w:lang w:val="en-US" w:eastAsia="es-CR"/>
        </w:rPr>
        <w:t>)</w:t>
      </w:r>
    </w:p>
    <w:p w14:paraId="1E77064C" w14:textId="77777777" w:rsidR="000A7745" w:rsidRPr="00C9465D" w:rsidRDefault="000A7745" w:rsidP="00496133">
      <w:pPr>
        <w:spacing w:before="120" w:line="240" w:lineRule="auto"/>
        <w:rPr>
          <w:rFonts w:ascii="Verdana" w:hAnsi="Verdana"/>
          <w:lang w:val="en-US"/>
        </w:rPr>
      </w:pPr>
    </w:p>
    <w:p w14:paraId="57394D7A" w14:textId="69A3A445" w:rsidR="000A7745" w:rsidRPr="00C9465D" w:rsidRDefault="009B4E86" w:rsidP="00D47F8D">
      <w:pPr>
        <w:pStyle w:val="ListParagraph"/>
        <w:numPr>
          <w:ilvl w:val="0"/>
          <w:numId w:val="22"/>
        </w:numPr>
        <w:autoSpaceDE w:val="0"/>
        <w:autoSpaceDN w:val="0"/>
        <w:adjustRightInd w:val="0"/>
        <w:spacing w:before="120" w:after="160" w:line="240" w:lineRule="auto"/>
        <w:ind w:left="0" w:firstLine="0"/>
        <w:rPr>
          <w:lang w:val="en-US"/>
        </w:rPr>
      </w:pPr>
      <w:r w:rsidRPr="00C9465D">
        <w:rPr>
          <w:rFonts w:cs="Times New Roman"/>
          <w:lang w:val="en-US"/>
        </w:rPr>
        <w:t>With my usual respect for the majority decisions</w:t>
      </w:r>
      <w:r w:rsidR="00193CBB" w:rsidRPr="00C9465D">
        <w:rPr>
          <w:lang w:val="en-US"/>
        </w:rPr>
        <w:t xml:space="preserve"> of the Inter-American Court of Human Rights</w:t>
      </w:r>
      <w:r w:rsidR="00DA115D" w:rsidRPr="00C9465D">
        <w:rPr>
          <w:lang w:val="en-US"/>
        </w:rPr>
        <w:t xml:space="preserve"> </w:t>
      </w:r>
      <w:r w:rsidR="000A7745" w:rsidRPr="00C9465D">
        <w:rPr>
          <w:lang w:val="en-US"/>
        </w:rPr>
        <w:t>(</w:t>
      </w:r>
      <w:r w:rsidR="00193CBB" w:rsidRPr="00C9465D">
        <w:rPr>
          <w:lang w:val="en-US"/>
        </w:rPr>
        <w:t>hereinafter</w:t>
      </w:r>
      <w:r w:rsidR="000A7745" w:rsidRPr="00C9465D">
        <w:rPr>
          <w:lang w:val="en-US"/>
        </w:rPr>
        <w:t xml:space="preserve"> “</w:t>
      </w:r>
      <w:r w:rsidR="00193CBB" w:rsidRPr="00C9465D">
        <w:rPr>
          <w:lang w:val="en-US"/>
        </w:rPr>
        <w:t>the Court</w:t>
      </w:r>
      <w:r w:rsidR="000A7745" w:rsidRPr="00C9465D">
        <w:rPr>
          <w:lang w:val="en-US"/>
        </w:rPr>
        <w:t xml:space="preserve">”), </w:t>
      </w:r>
      <w:r w:rsidRPr="00C9465D">
        <w:rPr>
          <w:lang w:val="en-US"/>
        </w:rPr>
        <w:t xml:space="preserve">the purpose of this opinion is to explain my partial dissent from the first operative paragraph in which the international responsibility </w:t>
      </w:r>
      <w:r w:rsidR="00193CBB" w:rsidRPr="00C9465D">
        <w:rPr>
          <w:lang w:val="en-US"/>
        </w:rPr>
        <w:t>of the State</w:t>
      </w:r>
      <w:r w:rsidR="000A7745" w:rsidRPr="00C9465D">
        <w:rPr>
          <w:lang w:val="en-US"/>
        </w:rPr>
        <w:t xml:space="preserve"> </w:t>
      </w:r>
      <w:r w:rsidR="00861B65" w:rsidRPr="00C9465D">
        <w:rPr>
          <w:lang w:val="en-US"/>
        </w:rPr>
        <w:t>of</w:t>
      </w:r>
      <w:r w:rsidR="000A7745" w:rsidRPr="00C9465D">
        <w:rPr>
          <w:lang w:val="en-US"/>
        </w:rPr>
        <w:t xml:space="preserve"> Ecuador (</w:t>
      </w:r>
      <w:r w:rsidR="00193CBB" w:rsidRPr="00C9465D">
        <w:rPr>
          <w:lang w:val="en-US"/>
        </w:rPr>
        <w:t>hereinafter</w:t>
      </w:r>
      <w:r w:rsidR="000A7745" w:rsidRPr="00C9465D">
        <w:rPr>
          <w:lang w:val="en-US"/>
        </w:rPr>
        <w:t xml:space="preserve"> “</w:t>
      </w:r>
      <w:r w:rsidR="00193CBB" w:rsidRPr="00C9465D">
        <w:rPr>
          <w:lang w:val="en-US"/>
        </w:rPr>
        <w:t>the State</w:t>
      </w:r>
      <w:r w:rsidR="000A7745" w:rsidRPr="00C9465D">
        <w:rPr>
          <w:lang w:val="en-US"/>
        </w:rPr>
        <w:t>” o</w:t>
      </w:r>
      <w:r w:rsidR="00DA115D" w:rsidRPr="00C9465D">
        <w:rPr>
          <w:lang w:val="en-US"/>
        </w:rPr>
        <w:t>r</w:t>
      </w:r>
      <w:r w:rsidR="000A7745" w:rsidRPr="00C9465D">
        <w:rPr>
          <w:lang w:val="en-US"/>
        </w:rPr>
        <w:t xml:space="preserve"> </w:t>
      </w:r>
      <w:r w:rsidR="00DA115D" w:rsidRPr="00C9465D">
        <w:rPr>
          <w:lang w:val="en-US"/>
        </w:rPr>
        <w:t>“</w:t>
      </w:r>
      <w:r w:rsidR="000A7745" w:rsidRPr="00C9465D">
        <w:rPr>
          <w:lang w:val="en-US"/>
        </w:rPr>
        <w:t>Ecuador</w:t>
      </w:r>
      <w:r w:rsidR="00DA115D" w:rsidRPr="00C9465D">
        <w:rPr>
          <w:lang w:val="en-US"/>
        </w:rPr>
        <w:t>”</w:t>
      </w:r>
      <w:r w:rsidR="000A7745" w:rsidRPr="00C9465D">
        <w:rPr>
          <w:lang w:val="en-US"/>
        </w:rPr>
        <w:t xml:space="preserve">) </w:t>
      </w:r>
      <w:r w:rsidRPr="00C9465D">
        <w:rPr>
          <w:lang w:val="en-US"/>
        </w:rPr>
        <w:t xml:space="preserve">is declared for the joint violation of the rights to </w:t>
      </w:r>
      <w:r w:rsidR="00D12C0E" w:rsidRPr="00C9465D">
        <w:rPr>
          <w:lang w:val="en-US"/>
        </w:rPr>
        <w:t>recognition of juridical personality</w:t>
      </w:r>
      <w:r w:rsidRPr="00C9465D">
        <w:rPr>
          <w:lang w:val="en-US"/>
        </w:rPr>
        <w:t>,</w:t>
      </w:r>
      <w:r w:rsidR="00D12C0E" w:rsidRPr="00C9465D">
        <w:rPr>
          <w:lang w:val="en-US"/>
        </w:rPr>
        <w:t xml:space="preserve"> life</w:t>
      </w:r>
      <w:r w:rsidR="000A7745" w:rsidRPr="00C9465D">
        <w:rPr>
          <w:lang w:val="en-US"/>
        </w:rPr>
        <w:t xml:space="preserve">, </w:t>
      </w:r>
      <w:r w:rsidR="00D12C0E" w:rsidRPr="00C9465D">
        <w:rPr>
          <w:lang w:val="en-US"/>
        </w:rPr>
        <w:t>personal integrity</w:t>
      </w:r>
      <w:r w:rsidR="000A7745" w:rsidRPr="00C9465D">
        <w:rPr>
          <w:lang w:val="en-US"/>
        </w:rPr>
        <w:t xml:space="preserve">, </w:t>
      </w:r>
      <w:r w:rsidR="00D12C0E" w:rsidRPr="00C9465D">
        <w:rPr>
          <w:lang w:val="en-US"/>
        </w:rPr>
        <w:t>personal liberty</w:t>
      </w:r>
      <w:r w:rsidR="000A7745" w:rsidRPr="00C9465D">
        <w:rPr>
          <w:lang w:val="en-US"/>
        </w:rPr>
        <w:t>,</w:t>
      </w:r>
      <w:r w:rsidRPr="00C9465D">
        <w:rPr>
          <w:lang w:val="en-US"/>
        </w:rPr>
        <w:t xml:space="preserve"> </w:t>
      </w:r>
      <w:r w:rsidR="00D12C0E" w:rsidRPr="00C9465D">
        <w:rPr>
          <w:lang w:val="en-US"/>
        </w:rPr>
        <w:t>access to information</w:t>
      </w:r>
      <w:r w:rsidR="000A7745" w:rsidRPr="00C9465D">
        <w:rPr>
          <w:lang w:val="en-US"/>
        </w:rPr>
        <w:t xml:space="preserve">, </w:t>
      </w:r>
      <w:r w:rsidR="00F42E0C" w:rsidRPr="00C9465D">
        <w:rPr>
          <w:lang w:val="en-US"/>
        </w:rPr>
        <w:t>equality before the law</w:t>
      </w:r>
      <w:r w:rsidR="00193CBB" w:rsidRPr="00C9465D">
        <w:rPr>
          <w:lang w:val="en-US"/>
        </w:rPr>
        <w:t xml:space="preserve"> and </w:t>
      </w:r>
      <w:r w:rsidR="00D12C0E" w:rsidRPr="00C9465D">
        <w:rPr>
          <w:lang w:val="en-US"/>
        </w:rPr>
        <w:t>health</w:t>
      </w:r>
      <w:r w:rsidR="000A7745" w:rsidRPr="00C9465D">
        <w:rPr>
          <w:lang w:val="en-US"/>
        </w:rPr>
        <w:t xml:space="preserve"> </w:t>
      </w:r>
      <w:r w:rsidRPr="00C9465D">
        <w:rPr>
          <w:lang w:val="en-US"/>
        </w:rPr>
        <w:t>of</w:t>
      </w:r>
      <w:r w:rsidR="000A7745" w:rsidRPr="00C9465D">
        <w:rPr>
          <w:lang w:val="en-US"/>
        </w:rPr>
        <w:t xml:space="preserve"> Luis Eduardo Guachalá. </w:t>
      </w:r>
      <w:r w:rsidRPr="00C9465D">
        <w:rPr>
          <w:lang w:val="en-US"/>
        </w:rPr>
        <w:t xml:space="preserve">This opinion supplements the position already indicated in my partially dissenting opinions in the cases of </w:t>
      </w:r>
      <w:r w:rsidR="000A7745" w:rsidRPr="00C9465D">
        <w:rPr>
          <w:i/>
          <w:lang w:val="en-US"/>
        </w:rPr>
        <w:t xml:space="preserve">Lagos del Campo </w:t>
      </w:r>
      <w:r w:rsidR="00193CBB" w:rsidRPr="00C9465D">
        <w:rPr>
          <w:i/>
          <w:lang w:val="en-US"/>
        </w:rPr>
        <w:t>v.</w:t>
      </w:r>
      <w:r w:rsidR="000A7745" w:rsidRPr="00C9465D">
        <w:rPr>
          <w:i/>
          <w:lang w:val="en-US"/>
        </w:rPr>
        <w:t xml:space="preserve"> </w:t>
      </w:r>
      <w:r w:rsidR="001902D2" w:rsidRPr="00C9465D">
        <w:rPr>
          <w:i/>
          <w:lang w:val="en-US"/>
        </w:rPr>
        <w:t>Peru</w:t>
      </w:r>
      <w:r w:rsidR="00DA115D" w:rsidRPr="00C9465D">
        <w:rPr>
          <w:i/>
          <w:lang w:val="en-US"/>
        </w:rPr>
        <w:t>,</w:t>
      </w:r>
      <w:r w:rsidR="000A7745" w:rsidRPr="00C9465D">
        <w:rPr>
          <w:vertAlign w:val="superscript"/>
          <w:lang w:val="en-US"/>
        </w:rPr>
        <w:footnoteReference w:id="455"/>
      </w:r>
      <w:r w:rsidR="000A7745" w:rsidRPr="00C9465D">
        <w:rPr>
          <w:lang w:val="en-US"/>
        </w:rPr>
        <w:t xml:space="preserve"> </w:t>
      </w:r>
      <w:r w:rsidR="00DA115D" w:rsidRPr="00C9465D">
        <w:rPr>
          <w:i/>
          <w:lang w:val="en-US"/>
        </w:rPr>
        <w:t>Dismissed Employees of</w:t>
      </w:r>
      <w:r w:rsidR="000A7745" w:rsidRPr="00C9465D">
        <w:rPr>
          <w:i/>
          <w:lang w:val="en-US"/>
        </w:rPr>
        <w:t xml:space="preserve"> Petro</w:t>
      </w:r>
      <w:r w:rsidR="001902D2" w:rsidRPr="00C9465D">
        <w:rPr>
          <w:i/>
          <w:lang w:val="en-US"/>
        </w:rPr>
        <w:t>Peru</w:t>
      </w:r>
      <w:r w:rsidR="00193CBB" w:rsidRPr="00C9465D">
        <w:rPr>
          <w:i/>
          <w:lang w:val="en-US"/>
        </w:rPr>
        <w:t xml:space="preserve"> </w:t>
      </w:r>
      <w:r w:rsidR="00DA115D" w:rsidRPr="00C9465D">
        <w:rPr>
          <w:i/>
          <w:lang w:val="en-US"/>
        </w:rPr>
        <w:t>et al.</w:t>
      </w:r>
      <w:r w:rsidR="000A7745" w:rsidRPr="00C9465D">
        <w:rPr>
          <w:i/>
          <w:lang w:val="en-US"/>
        </w:rPr>
        <w:t xml:space="preserve"> </w:t>
      </w:r>
      <w:r w:rsidR="00193CBB" w:rsidRPr="00C9465D">
        <w:rPr>
          <w:i/>
          <w:lang w:val="en-US"/>
        </w:rPr>
        <w:t>v.</w:t>
      </w:r>
      <w:r w:rsidR="000A7745" w:rsidRPr="00C9465D">
        <w:rPr>
          <w:i/>
          <w:lang w:val="en-US"/>
        </w:rPr>
        <w:t xml:space="preserve"> </w:t>
      </w:r>
      <w:r w:rsidR="001902D2" w:rsidRPr="00C9465D">
        <w:rPr>
          <w:i/>
          <w:lang w:val="en-US"/>
        </w:rPr>
        <w:t>Peru</w:t>
      </w:r>
      <w:r w:rsidR="00DA115D" w:rsidRPr="00C9465D">
        <w:rPr>
          <w:i/>
          <w:lang w:val="en-US"/>
        </w:rPr>
        <w:t>,</w:t>
      </w:r>
      <w:r w:rsidR="000A7745" w:rsidRPr="00C9465D">
        <w:rPr>
          <w:vertAlign w:val="superscript"/>
          <w:lang w:val="en-US"/>
        </w:rPr>
        <w:footnoteReference w:id="456"/>
      </w:r>
      <w:r w:rsidR="000A7745" w:rsidRPr="00C9465D">
        <w:rPr>
          <w:lang w:val="en-US"/>
        </w:rPr>
        <w:t xml:space="preserve"> </w:t>
      </w:r>
      <w:r w:rsidR="000A7745" w:rsidRPr="00C9465D">
        <w:rPr>
          <w:i/>
          <w:lang w:val="en-US"/>
        </w:rPr>
        <w:t>San Miguel Sosa</w:t>
      </w:r>
      <w:r w:rsidR="00193CBB" w:rsidRPr="00C9465D">
        <w:rPr>
          <w:i/>
          <w:lang w:val="en-US"/>
        </w:rPr>
        <w:t xml:space="preserve"> </w:t>
      </w:r>
      <w:r w:rsidR="00DA115D" w:rsidRPr="00C9465D">
        <w:rPr>
          <w:i/>
          <w:lang w:val="en-US"/>
        </w:rPr>
        <w:t>et al.</w:t>
      </w:r>
      <w:r w:rsidR="000A7745" w:rsidRPr="00C9465D">
        <w:rPr>
          <w:i/>
          <w:lang w:val="en-US"/>
        </w:rPr>
        <w:t xml:space="preserve"> </w:t>
      </w:r>
      <w:r w:rsidR="00193CBB" w:rsidRPr="00C9465D">
        <w:rPr>
          <w:i/>
          <w:lang w:val="en-US"/>
        </w:rPr>
        <w:t>v.</w:t>
      </w:r>
      <w:r w:rsidR="000A7745" w:rsidRPr="00C9465D">
        <w:rPr>
          <w:i/>
          <w:lang w:val="en-US"/>
        </w:rPr>
        <w:t xml:space="preserve"> Venezuela</w:t>
      </w:r>
      <w:r w:rsidR="00DA115D" w:rsidRPr="00C9465D">
        <w:rPr>
          <w:i/>
          <w:lang w:val="en-US"/>
        </w:rPr>
        <w:t>,</w:t>
      </w:r>
      <w:r w:rsidR="000A7745" w:rsidRPr="00C9465D">
        <w:rPr>
          <w:vertAlign w:val="superscript"/>
          <w:lang w:val="en-US"/>
        </w:rPr>
        <w:footnoteReference w:id="457"/>
      </w:r>
      <w:r w:rsidR="000A7745" w:rsidRPr="00C9465D">
        <w:rPr>
          <w:lang w:val="en-US"/>
        </w:rPr>
        <w:t xml:space="preserve"> </w:t>
      </w:r>
      <w:r w:rsidR="000A7745" w:rsidRPr="00C9465D">
        <w:rPr>
          <w:i/>
          <w:lang w:val="en-US"/>
        </w:rPr>
        <w:t>Cuscul Pivaral</w:t>
      </w:r>
      <w:r w:rsidR="00193CBB" w:rsidRPr="00C9465D">
        <w:rPr>
          <w:i/>
          <w:lang w:val="en-US"/>
        </w:rPr>
        <w:t xml:space="preserve"> </w:t>
      </w:r>
      <w:r w:rsidR="00DA115D" w:rsidRPr="00C9465D">
        <w:rPr>
          <w:i/>
          <w:lang w:val="en-US"/>
        </w:rPr>
        <w:t>et al.</w:t>
      </w:r>
      <w:r w:rsidR="000A7745" w:rsidRPr="00C9465D">
        <w:rPr>
          <w:i/>
          <w:lang w:val="en-US"/>
        </w:rPr>
        <w:t xml:space="preserve"> </w:t>
      </w:r>
      <w:r w:rsidR="00193CBB" w:rsidRPr="00C9465D">
        <w:rPr>
          <w:i/>
          <w:lang w:val="en-US"/>
        </w:rPr>
        <w:t>v.</w:t>
      </w:r>
      <w:r w:rsidR="000A7745" w:rsidRPr="00C9465D">
        <w:rPr>
          <w:i/>
          <w:lang w:val="en-US"/>
        </w:rPr>
        <w:t xml:space="preserve"> Guatemala</w:t>
      </w:r>
      <w:r w:rsidR="00DA115D" w:rsidRPr="00C9465D">
        <w:rPr>
          <w:i/>
          <w:lang w:val="en-US"/>
        </w:rPr>
        <w:t>,</w:t>
      </w:r>
      <w:r w:rsidR="000A7745" w:rsidRPr="00C9465D">
        <w:rPr>
          <w:bCs/>
          <w:vertAlign w:val="superscript"/>
          <w:lang w:val="en-US"/>
        </w:rPr>
        <w:footnoteReference w:id="458"/>
      </w:r>
      <w:r w:rsidR="000A7745" w:rsidRPr="00C9465D">
        <w:rPr>
          <w:lang w:val="en-US"/>
        </w:rPr>
        <w:t xml:space="preserve"> </w:t>
      </w:r>
      <w:r w:rsidR="000A7745" w:rsidRPr="00C9465D">
        <w:rPr>
          <w:i/>
          <w:lang w:val="en-US"/>
        </w:rPr>
        <w:t xml:space="preserve">Muelle Flores </w:t>
      </w:r>
      <w:r w:rsidR="00193CBB" w:rsidRPr="00C9465D">
        <w:rPr>
          <w:i/>
          <w:lang w:val="en-US"/>
        </w:rPr>
        <w:t>v.</w:t>
      </w:r>
      <w:r w:rsidR="000A7745" w:rsidRPr="00C9465D">
        <w:rPr>
          <w:i/>
          <w:lang w:val="en-US"/>
        </w:rPr>
        <w:t xml:space="preserve"> </w:t>
      </w:r>
      <w:r w:rsidR="001902D2" w:rsidRPr="00C9465D">
        <w:rPr>
          <w:i/>
          <w:lang w:val="en-US"/>
        </w:rPr>
        <w:t>Peru</w:t>
      </w:r>
      <w:r w:rsidR="00DA115D" w:rsidRPr="00C9465D">
        <w:rPr>
          <w:i/>
          <w:lang w:val="en-US"/>
        </w:rPr>
        <w:t>,</w:t>
      </w:r>
      <w:r w:rsidR="000A7745" w:rsidRPr="00C9465D">
        <w:rPr>
          <w:vertAlign w:val="superscript"/>
          <w:lang w:val="en-US"/>
        </w:rPr>
        <w:footnoteReference w:id="459"/>
      </w:r>
      <w:r w:rsidR="000A7745" w:rsidRPr="00C9465D">
        <w:rPr>
          <w:i/>
          <w:lang w:val="en-US"/>
        </w:rPr>
        <w:t xml:space="preserve"> </w:t>
      </w:r>
      <w:r w:rsidRPr="00C9465D">
        <w:rPr>
          <w:i/>
          <w:lang w:val="en-US"/>
        </w:rPr>
        <w:t>the National Association of Discharged and Retired Employees of the National Tax Administration Superintendence</w:t>
      </w:r>
      <w:r w:rsidR="000A7745" w:rsidRPr="00C9465D">
        <w:rPr>
          <w:i/>
          <w:lang w:val="en-US"/>
        </w:rPr>
        <w:t xml:space="preserve"> (ANCEJUB-SUNAT) </w:t>
      </w:r>
      <w:r w:rsidR="00193CBB" w:rsidRPr="00C9465D">
        <w:rPr>
          <w:i/>
          <w:lang w:val="en-US"/>
        </w:rPr>
        <w:t>v.</w:t>
      </w:r>
      <w:r w:rsidR="000A7745" w:rsidRPr="00C9465D">
        <w:rPr>
          <w:i/>
          <w:lang w:val="en-US"/>
        </w:rPr>
        <w:t xml:space="preserve"> </w:t>
      </w:r>
      <w:r w:rsidR="001902D2" w:rsidRPr="00C9465D">
        <w:rPr>
          <w:i/>
          <w:lang w:val="en-US"/>
        </w:rPr>
        <w:t>Peru</w:t>
      </w:r>
      <w:r w:rsidRPr="00C9465D">
        <w:rPr>
          <w:i/>
          <w:lang w:val="en-US"/>
        </w:rPr>
        <w:t>,</w:t>
      </w:r>
      <w:r w:rsidR="000A7745" w:rsidRPr="00C9465D">
        <w:rPr>
          <w:vertAlign w:val="superscript"/>
          <w:lang w:val="en-US"/>
        </w:rPr>
        <w:footnoteReference w:id="460"/>
      </w:r>
      <w:r w:rsidR="000A7745" w:rsidRPr="00C9465D">
        <w:rPr>
          <w:lang w:val="en-US"/>
        </w:rPr>
        <w:t xml:space="preserve"> </w:t>
      </w:r>
      <w:r w:rsidR="000A7745" w:rsidRPr="00C9465D">
        <w:rPr>
          <w:i/>
          <w:lang w:val="en-US"/>
        </w:rPr>
        <w:t xml:space="preserve">Hernández </w:t>
      </w:r>
      <w:r w:rsidR="00193CBB" w:rsidRPr="00C9465D">
        <w:rPr>
          <w:i/>
          <w:lang w:val="en-US"/>
        </w:rPr>
        <w:t>v.</w:t>
      </w:r>
      <w:r w:rsidR="000A7745" w:rsidRPr="00C9465D">
        <w:rPr>
          <w:i/>
          <w:lang w:val="en-US"/>
        </w:rPr>
        <w:t xml:space="preserve"> Argentina</w:t>
      </w:r>
      <w:r w:rsidR="000A7745" w:rsidRPr="00C9465D">
        <w:rPr>
          <w:vertAlign w:val="superscript"/>
          <w:lang w:val="en-US"/>
        </w:rPr>
        <w:footnoteReference w:id="461"/>
      </w:r>
      <w:r w:rsidR="00193CBB" w:rsidRPr="00C9465D">
        <w:rPr>
          <w:lang w:val="en-US"/>
        </w:rPr>
        <w:t xml:space="preserve"> and </w:t>
      </w:r>
      <w:r w:rsidRPr="00C9465D">
        <w:rPr>
          <w:i/>
          <w:lang w:val="en-US"/>
        </w:rPr>
        <w:t xml:space="preserve">Indigenous Communities of the </w:t>
      </w:r>
      <w:r w:rsidR="000A7745" w:rsidRPr="00C9465D">
        <w:rPr>
          <w:i/>
          <w:lang w:val="en-US"/>
        </w:rPr>
        <w:t>Lhaka Honhat (</w:t>
      </w:r>
      <w:r w:rsidRPr="00C9465D">
        <w:rPr>
          <w:i/>
          <w:lang w:val="en-US"/>
        </w:rPr>
        <w:t>Our Land</w:t>
      </w:r>
      <w:r w:rsidR="000A7745" w:rsidRPr="00C9465D">
        <w:rPr>
          <w:i/>
          <w:lang w:val="en-US"/>
        </w:rPr>
        <w:t>)</w:t>
      </w:r>
      <w:r w:rsidRPr="00C9465D">
        <w:rPr>
          <w:i/>
          <w:lang w:val="en-US"/>
        </w:rPr>
        <w:t xml:space="preserve"> Association</w:t>
      </w:r>
      <w:r w:rsidR="000A7745" w:rsidRPr="00C9465D">
        <w:rPr>
          <w:i/>
          <w:lang w:val="en-US"/>
        </w:rPr>
        <w:t xml:space="preserve"> </w:t>
      </w:r>
      <w:r w:rsidR="00193CBB" w:rsidRPr="00C9465D">
        <w:rPr>
          <w:i/>
          <w:lang w:val="en-US"/>
        </w:rPr>
        <w:t>v.</w:t>
      </w:r>
      <w:r w:rsidR="000A7745" w:rsidRPr="00C9465D">
        <w:rPr>
          <w:i/>
          <w:lang w:val="en-US"/>
        </w:rPr>
        <w:t xml:space="preserve"> Argentina</w:t>
      </w:r>
      <w:r w:rsidRPr="00C9465D">
        <w:rPr>
          <w:i/>
          <w:lang w:val="en-US"/>
        </w:rPr>
        <w:t>;</w:t>
      </w:r>
      <w:r w:rsidR="000A7745" w:rsidRPr="00C9465D">
        <w:rPr>
          <w:vertAlign w:val="superscript"/>
          <w:lang w:val="en-US"/>
        </w:rPr>
        <w:footnoteReference w:id="462"/>
      </w:r>
      <w:r w:rsidRPr="00C9465D">
        <w:rPr>
          <w:lang w:val="en-US"/>
        </w:rPr>
        <w:t xml:space="preserve"> as well as my concurring opinions in the cases of</w:t>
      </w:r>
      <w:r w:rsidR="000A7745" w:rsidRPr="00C9465D">
        <w:rPr>
          <w:lang w:val="en-US"/>
        </w:rPr>
        <w:t xml:space="preserve"> </w:t>
      </w:r>
      <w:r w:rsidR="000A7745" w:rsidRPr="00C9465D">
        <w:rPr>
          <w:i/>
          <w:lang w:val="en-US"/>
        </w:rPr>
        <w:t>Gonzales Lluy</w:t>
      </w:r>
      <w:r w:rsidR="00193CBB" w:rsidRPr="00C9465D">
        <w:rPr>
          <w:i/>
          <w:lang w:val="en-US"/>
        </w:rPr>
        <w:t xml:space="preserve"> </w:t>
      </w:r>
      <w:r w:rsidR="00DA115D" w:rsidRPr="00C9465D">
        <w:rPr>
          <w:i/>
          <w:lang w:val="en-US"/>
        </w:rPr>
        <w:t>et al.</w:t>
      </w:r>
      <w:r w:rsidR="000A7745" w:rsidRPr="00C9465D">
        <w:rPr>
          <w:i/>
          <w:lang w:val="en-US"/>
        </w:rPr>
        <w:t xml:space="preserve"> </w:t>
      </w:r>
      <w:r w:rsidR="00193CBB" w:rsidRPr="00C9465D">
        <w:rPr>
          <w:i/>
          <w:lang w:val="en-US"/>
        </w:rPr>
        <w:t>v.</w:t>
      </w:r>
      <w:r w:rsidR="000A7745" w:rsidRPr="00C9465D">
        <w:rPr>
          <w:i/>
          <w:lang w:val="en-US"/>
        </w:rPr>
        <w:t xml:space="preserve"> Ecuador</w:t>
      </w:r>
      <w:r w:rsidR="000A7745" w:rsidRPr="00C9465D">
        <w:rPr>
          <w:vertAlign w:val="superscript"/>
          <w:lang w:val="en-US"/>
        </w:rPr>
        <w:footnoteReference w:id="463"/>
      </w:r>
      <w:r w:rsidR="00193CBB" w:rsidRPr="00C9465D">
        <w:rPr>
          <w:lang w:val="en-US"/>
        </w:rPr>
        <w:t xml:space="preserve"> and </w:t>
      </w:r>
      <w:r w:rsidR="000A7745" w:rsidRPr="00C9465D">
        <w:rPr>
          <w:i/>
          <w:lang w:val="en-US"/>
        </w:rPr>
        <w:t>Poblete Vilches</w:t>
      </w:r>
      <w:r w:rsidR="00193CBB" w:rsidRPr="00C9465D">
        <w:rPr>
          <w:i/>
          <w:lang w:val="en-US"/>
        </w:rPr>
        <w:t xml:space="preserve"> </w:t>
      </w:r>
      <w:r w:rsidR="00DA115D" w:rsidRPr="00C9465D">
        <w:rPr>
          <w:i/>
          <w:lang w:val="en-US"/>
        </w:rPr>
        <w:t>et al.</w:t>
      </w:r>
      <w:r w:rsidR="000A7745" w:rsidRPr="00C9465D">
        <w:rPr>
          <w:i/>
          <w:lang w:val="en-US"/>
        </w:rPr>
        <w:t xml:space="preserve"> </w:t>
      </w:r>
      <w:r w:rsidR="00193CBB" w:rsidRPr="00C9465D">
        <w:rPr>
          <w:i/>
          <w:lang w:val="en-US"/>
        </w:rPr>
        <w:t>v.</w:t>
      </w:r>
      <w:r w:rsidR="000A7745" w:rsidRPr="00C9465D">
        <w:rPr>
          <w:i/>
          <w:lang w:val="en-US"/>
        </w:rPr>
        <w:t xml:space="preserve"> Chile</w:t>
      </w:r>
      <w:r w:rsidR="000A7745" w:rsidRPr="00C9465D">
        <w:rPr>
          <w:vertAlign w:val="superscript"/>
          <w:lang w:val="en-US"/>
        </w:rPr>
        <w:footnoteReference w:id="464"/>
      </w:r>
      <w:r w:rsidR="000A7745" w:rsidRPr="00C9465D">
        <w:rPr>
          <w:i/>
          <w:lang w:val="en-US"/>
        </w:rPr>
        <w:t xml:space="preserve"> </w:t>
      </w:r>
      <w:r w:rsidRPr="00C9465D">
        <w:rPr>
          <w:iCs/>
          <w:lang w:val="en-US"/>
        </w:rPr>
        <w:t>in relation to the justiciability</w:t>
      </w:r>
      <w:r w:rsidR="000A7745" w:rsidRPr="00C9465D">
        <w:rPr>
          <w:iCs/>
          <w:lang w:val="en-US"/>
        </w:rPr>
        <w:t xml:space="preserve"> </w:t>
      </w:r>
      <w:r w:rsidR="007A3CA5" w:rsidRPr="00C9465D">
        <w:rPr>
          <w:iCs/>
          <w:lang w:val="en-US"/>
        </w:rPr>
        <w:t>of Article</w:t>
      </w:r>
      <w:r w:rsidR="000A7745" w:rsidRPr="00C9465D">
        <w:rPr>
          <w:iCs/>
          <w:lang w:val="en-US"/>
        </w:rPr>
        <w:t xml:space="preserve"> 26</w:t>
      </w:r>
      <w:r w:rsidR="00193CBB" w:rsidRPr="00C9465D">
        <w:rPr>
          <w:iCs/>
          <w:lang w:val="en-US"/>
        </w:rPr>
        <w:t xml:space="preserve"> of the American Convention on Human Rights</w:t>
      </w:r>
      <w:r w:rsidR="000A7745" w:rsidRPr="00C9465D">
        <w:rPr>
          <w:lang w:val="en-US"/>
        </w:rPr>
        <w:t xml:space="preserve"> (</w:t>
      </w:r>
      <w:r w:rsidR="00193CBB" w:rsidRPr="00C9465D">
        <w:rPr>
          <w:lang w:val="en-US"/>
        </w:rPr>
        <w:t>hereinafter</w:t>
      </w:r>
      <w:r w:rsidR="000A7745" w:rsidRPr="00C9465D">
        <w:rPr>
          <w:lang w:val="en-US"/>
        </w:rPr>
        <w:t xml:space="preserve"> “</w:t>
      </w:r>
      <w:r w:rsidR="00193CBB" w:rsidRPr="00C9465D">
        <w:rPr>
          <w:lang w:val="en-US"/>
        </w:rPr>
        <w:t>the Convention</w:t>
      </w:r>
      <w:r w:rsidR="000A7745" w:rsidRPr="00C9465D">
        <w:rPr>
          <w:lang w:val="en-US"/>
        </w:rPr>
        <w:t>” o</w:t>
      </w:r>
      <w:r w:rsidRPr="00C9465D">
        <w:rPr>
          <w:lang w:val="en-US"/>
        </w:rPr>
        <w:t>r</w:t>
      </w:r>
      <w:r w:rsidR="000A7745" w:rsidRPr="00C9465D">
        <w:rPr>
          <w:lang w:val="en-US"/>
        </w:rPr>
        <w:t xml:space="preserve"> “</w:t>
      </w:r>
      <w:r w:rsidRPr="00C9465D">
        <w:rPr>
          <w:lang w:val="en-US"/>
        </w:rPr>
        <w:t>the ACHR</w:t>
      </w:r>
      <w:r w:rsidR="000A7745" w:rsidRPr="00C9465D">
        <w:rPr>
          <w:lang w:val="en-US"/>
        </w:rPr>
        <w:t>)</w:t>
      </w:r>
      <w:r w:rsidR="003B2005" w:rsidRPr="00C9465D">
        <w:rPr>
          <w:lang w:val="en-US"/>
        </w:rPr>
        <w:t>.</w:t>
      </w:r>
      <w:r w:rsidR="000A7745" w:rsidRPr="00C9465D">
        <w:rPr>
          <w:lang w:val="en-US"/>
        </w:rPr>
        <w:t>”</w:t>
      </w:r>
    </w:p>
    <w:p w14:paraId="4C5E202E" w14:textId="77777777" w:rsidR="000A7745" w:rsidRPr="00C9465D" w:rsidRDefault="000A7745" w:rsidP="00496133">
      <w:pPr>
        <w:pStyle w:val="ListParagraph"/>
        <w:spacing w:before="120" w:after="160" w:line="240" w:lineRule="auto"/>
        <w:ind w:left="0"/>
        <w:rPr>
          <w:lang w:val="en-US"/>
        </w:rPr>
      </w:pPr>
    </w:p>
    <w:p w14:paraId="52055CE7" w14:textId="6DB7A02E" w:rsidR="000A7745" w:rsidRPr="00C9465D" w:rsidRDefault="003B2005" w:rsidP="00D47F8D">
      <w:pPr>
        <w:pStyle w:val="ListParagraph"/>
        <w:numPr>
          <w:ilvl w:val="0"/>
          <w:numId w:val="22"/>
        </w:numPr>
        <w:autoSpaceDE w:val="0"/>
        <w:autoSpaceDN w:val="0"/>
        <w:adjustRightInd w:val="0"/>
        <w:spacing w:before="120" w:after="160" w:line="240" w:lineRule="auto"/>
        <w:ind w:left="0" w:firstLine="0"/>
        <w:rPr>
          <w:lang w:val="en-US"/>
        </w:rPr>
      </w:pPr>
      <w:r w:rsidRPr="00C9465D">
        <w:rPr>
          <w:lang w:val="en-US"/>
        </w:rPr>
        <w:t xml:space="preserve">Therefore, first, I will reiterate my position concerning the problems of interpretation and legal substantiation of the theory of justiciability </w:t>
      </w:r>
      <w:r w:rsidR="007A3CA5" w:rsidRPr="00C9465D">
        <w:rPr>
          <w:lang w:val="en-US"/>
        </w:rPr>
        <w:t>of Article</w:t>
      </w:r>
      <w:r w:rsidR="000A7745" w:rsidRPr="00C9465D">
        <w:rPr>
          <w:lang w:val="en-US"/>
        </w:rPr>
        <w:t xml:space="preserve"> 26</w:t>
      </w:r>
      <w:r w:rsidR="00193CBB" w:rsidRPr="00C9465D">
        <w:rPr>
          <w:lang w:val="en-US"/>
        </w:rPr>
        <w:t xml:space="preserve"> of the American Convention and </w:t>
      </w:r>
      <w:r w:rsidRPr="00C9465D">
        <w:rPr>
          <w:lang w:val="en-US"/>
        </w:rPr>
        <w:t xml:space="preserve">the </w:t>
      </w:r>
      <w:r w:rsidRPr="00C9465D">
        <w:rPr>
          <w:lang w:val="en-US"/>
        </w:rPr>
        <w:lastRenderedPageBreak/>
        <w:t xml:space="preserve">practice assumed by the Court of addressing its alleged violations in the same operative paragraph. Second, I will present some consideration on the nature </w:t>
      </w:r>
      <w:r w:rsidR="00AC1354" w:rsidRPr="00C9465D">
        <w:rPr>
          <w:lang w:val="en-US"/>
        </w:rPr>
        <w:t>of the right</w:t>
      </w:r>
      <w:r w:rsidR="00260D95" w:rsidRPr="00C9465D">
        <w:rPr>
          <w:lang w:val="en-US"/>
        </w:rPr>
        <w:t xml:space="preserve"> to health</w:t>
      </w:r>
      <w:r w:rsidR="00193CBB" w:rsidRPr="00C9465D">
        <w:rPr>
          <w:lang w:val="en-US"/>
        </w:rPr>
        <w:t xml:space="preserve"> and</w:t>
      </w:r>
      <w:r w:rsidRPr="00C9465D">
        <w:rPr>
          <w:lang w:val="en-US"/>
        </w:rPr>
        <w:t xml:space="preserve"> its effects on this case, particularly in relation to the model of access to health ordered by the majority </w:t>
      </w:r>
      <w:r w:rsidR="00183C22" w:rsidRPr="00C9465D">
        <w:rPr>
          <w:lang w:val="en-US"/>
        </w:rPr>
        <w:t>of the Court</w:t>
      </w:r>
      <w:r w:rsidR="000A7745" w:rsidRPr="00C9465D">
        <w:rPr>
          <w:lang w:val="en-US"/>
        </w:rPr>
        <w:t xml:space="preserve">. </w:t>
      </w:r>
    </w:p>
    <w:p w14:paraId="32C9DBBE" w14:textId="77777777" w:rsidR="000A7745" w:rsidRPr="00C9465D" w:rsidRDefault="000A7745" w:rsidP="00496133">
      <w:pPr>
        <w:pStyle w:val="ListParagraph"/>
        <w:spacing w:before="120" w:after="160" w:line="240" w:lineRule="auto"/>
        <w:ind w:left="0"/>
        <w:rPr>
          <w:lang w:val="en-US"/>
        </w:rPr>
      </w:pPr>
    </w:p>
    <w:p w14:paraId="04FFC8FD" w14:textId="7E3A3673" w:rsidR="000A7745" w:rsidRPr="00C9465D" w:rsidRDefault="009B4E86" w:rsidP="00D47F8D">
      <w:pPr>
        <w:pStyle w:val="ListParagraph"/>
        <w:widowControl w:val="0"/>
        <w:numPr>
          <w:ilvl w:val="0"/>
          <w:numId w:val="21"/>
        </w:numPr>
        <w:autoSpaceDE w:val="0"/>
        <w:autoSpaceDN w:val="0"/>
        <w:adjustRightInd w:val="0"/>
        <w:spacing w:before="120" w:after="160" w:line="240" w:lineRule="auto"/>
        <w:ind w:right="22"/>
        <w:outlineLvl w:val="0"/>
        <w:rPr>
          <w:rFonts w:cs="Arial"/>
          <w:b/>
          <w:lang w:val="en-US"/>
        </w:rPr>
      </w:pPr>
      <w:r w:rsidRPr="00C9465D">
        <w:rPr>
          <w:rFonts w:cs="Arial"/>
          <w:b/>
          <w:lang w:val="en-US"/>
        </w:rPr>
        <w:t xml:space="preserve">THE PROBLEMS CONCERNING THE JUSTICIABILITY OF </w:t>
      </w:r>
      <w:r w:rsidR="00834FCC" w:rsidRPr="00C9465D">
        <w:rPr>
          <w:rFonts w:cs="Arial"/>
          <w:b/>
          <w:lang w:val="en-US"/>
        </w:rPr>
        <w:t>ARTICLE</w:t>
      </w:r>
      <w:r w:rsidR="000A7745" w:rsidRPr="00C9465D">
        <w:rPr>
          <w:rFonts w:cs="Arial"/>
          <w:b/>
          <w:lang w:val="en-US"/>
        </w:rPr>
        <w:t xml:space="preserve"> 26</w:t>
      </w:r>
      <w:r w:rsidR="00193CBB" w:rsidRPr="00C9465D">
        <w:rPr>
          <w:rFonts w:cs="Arial"/>
          <w:b/>
          <w:lang w:val="en-US"/>
        </w:rPr>
        <w:t xml:space="preserve"> </w:t>
      </w:r>
      <w:r w:rsidRPr="00C9465D">
        <w:rPr>
          <w:rFonts w:cs="Arial"/>
          <w:b/>
          <w:lang w:val="en-US"/>
        </w:rPr>
        <w:t xml:space="preserve">OF THE </w:t>
      </w:r>
      <w:r w:rsidR="00193CBB" w:rsidRPr="00C9465D">
        <w:rPr>
          <w:rFonts w:cs="Arial"/>
          <w:b/>
          <w:lang w:val="en-US"/>
        </w:rPr>
        <w:t>AMERICAN CONVENTION</w:t>
      </w:r>
      <w:r w:rsidR="000A7745" w:rsidRPr="00C9465D">
        <w:rPr>
          <w:rFonts w:cs="Arial"/>
          <w:b/>
          <w:lang w:val="en-US"/>
        </w:rPr>
        <w:t xml:space="preserve"> </w:t>
      </w:r>
    </w:p>
    <w:p w14:paraId="63CE57E4" w14:textId="77777777" w:rsidR="000A7745" w:rsidRPr="00C9465D" w:rsidRDefault="000A7745" w:rsidP="00496133">
      <w:pPr>
        <w:pStyle w:val="ListParagraph"/>
        <w:spacing w:before="120" w:after="160" w:line="240" w:lineRule="auto"/>
        <w:ind w:left="1440"/>
        <w:outlineLvl w:val="0"/>
        <w:rPr>
          <w:rFonts w:cs="Arial"/>
          <w:b/>
          <w:lang w:val="en-US"/>
        </w:rPr>
      </w:pPr>
    </w:p>
    <w:p w14:paraId="7E0EB8B1" w14:textId="1DC1C340" w:rsidR="000A7745" w:rsidRPr="00C9465D" w:rsidRDefault="003B2005" w:rsidP="003B2005">
      <w:pPr>
        <w:pStyle w:val="ListParagraph"/>
        <w:numPr>
          <w:ilvl w:val="0"/>
          <w:numId w:val="22"/>
        </w:numPr>
        <w:autoSpaceDE w:val="0"/>
        <w:autoSpaceDN w:val="0"/>
        <w:adjustRightInd w:val="0"/>
        <w:spacing w:before="120" w:after="160" w:line="240" w:lineRule="auto"/>
        <w:ind w:left="0" w:firstLine="0"/>
        <w:rPr>
          <w:bCs/>
          <w:lang w:val="en-US"/>
        </w:rPr>
      </w:pPr>
      <w:r w:rsidRPr="00C9465D">
        <w:rPr>
          <w:lang w:val="en-US"/>
        </w:rPr>
        <w:t xml:space="preserve">In previous separate opinions, I have set out in detail numerous arguments that reveal the logical and legal contradictions and inconsistencies from which the theory of the direct and autonomous justiciability of economic, social, cultural and environmental rights (hereinafter “the ESCER”) via Article 26 of the American Convention suffers. Indeed, this position assumed by the majority of the Court’s judges since the case of </w:t>
      </w:r>
      <w:r w:rsidR="000A7745" w:rsidRPr="00C9465D">
        <w:rPr>
          <w:i/>
          <w:lang w:val="en-US"/>
        </w:rPr>
        <w:t xml:space="preserve">Lagos del Campo </w:t>
      </w:r>
      <w:r w:rsidR="00193CBB" w:rsidRPr="00C9465D">
        <w:rPr>
          <w:i/>
          <w:lang w:val="en-US"/>
        </w:rPr>
        <w:t>v.</w:t>
      </w:r>
      <w:r w:rsidR="000A7745" w:rsidRPr="00C9465D">
        <w:rPr>
          <w:i/>
          <w:lang w:val="en-US"/>
        </w:rPr>
        <w:t xml:space="preserve"> </w:t>
      </w:r>
      <w:r w:rsidR="001902D2" w:rsidRPr="00C9465D">
        <w:rPr>
          <w:i/>
          <w:lang w:val="en-US"/>
        </w:rPr>
        <w:t>Peru</w:t>
      </w:r>
      <w:r w:rsidR="000A7745" w:rsidRPr="00C9465D">
        <w:rPr>
          <w:i/>
          <w:lang w:val="en-US"/>
        </w:rPr>
        <w:t xml:space="preserve"> </w:t>
      </w:r>
      <w:r w:rsidR="000A7745" w:rsidRPr="00C9465D">
        <w:rPr>
          <w:iCs/>
          <w:lang w:val="en-US"/>
        </w:rPr>
        <w:t>d</w:t>
      </w:r>
      <w:r w:rsidRPr="00C9465D">
        <w:rPr>
          <w:iCs/>
          <w:lang w:val="en-US"/>
        </w:rPr>
        <w:t>isregards the</w:t>
      </w:r>
      <w:r w:rsidR="00C63263" w:rsidRPr="00C9465D">
        <w:rPr>
          <w:iCs/>
          <w:lang w:val="en-US"/>
        </w:rPr>
        <w:t xml:space="preserve"> ordinary</w:t>
      </w:r>
      <w:r w:rsidRPr="00C9465D">
        <w:rPr>
          <w:iCs/>
          <w:lang w:val="en-US"/>
        </w:rPr>
        <w:t xml:space="preserve"> meaning </w:t>
      </w:r>
      <w:r w:rsidR="00193CBB" w:rsidRPr="00C9465D">
        <w:rPr>
          <w:iCs/>
          <w:lang w:val="en-US"/>
        </w:rPr>
        <w:t>of the American Convention</w:t>
      </w:r>
      <w:r w:rsidR="000A7745" w:rsidRPr="00C9465D">
        <w:rPr>
          <w:iCs/>
          <w:lang w:val="en-US"/>
        </w:rPr>
        <w:t xml:space="preserve"> </w:t>
      </w:r>
      <w:r w:rsidRPr="00C9465D">
        <w:rPr>
          <w:iCs/>
          <w:lang w:val="en-US"/>
        </w:rPr>
        <w:t xml:space="preserve">as the treaty that grants competence to </w:t>
      </w:r>
      <w:r w:rsidR="00193CBB" w:rsidRPr="00C9465D">
        <w:rPr>
          <w:iCs/>
          <w:lang w:val="en-US"/>
        </w:rPr>
        <w:t>the Court</w:t>
      </w:r>
      <w:r w:rsidR="000A7745" w:rsidRPr="00C9465D">
        <w:rPr>
          <w:iCs/>
          <w:lang w:val="en-US"/>
        </w:rPr>
        <w:t>; ignor</w:t>
      </w:r>
      <w:r w:rsidRPr="00C9465D">
        <w:rPr>
          <w:iCs/>
          <w:lang w:val="en-US"/>
        </w:rPr>
        <w:t>es the rules of interpretation of the Vienna Convention on the Law of Treaties;</w:t>
      </w:r>
      <w:r w:rsidR="000A7745" w:rsidRPr="00C9465D">
        <w:rPr>
          <w:rStyle w:val="FootnoteReference"/>
          <w:iCs/>
          <w:lang w:val="en-US"/>
        </w:rPr>
        <w:footnoteReference w:id="465"/>
      </w:r>
      <w:r w:rsidRPr="00C9465D">
        <w:rPr>
          <w:iCs/>
          <w:lang w:val="en-US"/>
        </w:rPr>
        <w:t xml:space="preserve"> alters the nature of the obligation of progressivity clearly established in </w:t>
      </w:r>
      <w:r w:rsidR="00193CBB" w:rsidRPr="00C9465D">
        <w:rPr>
          <w:iCs/>
          <w:lang w:val="en-US"/>
        </w:rPr>
        <w:t>Article</w:t>
      </w:r>
      <w:r w:rsidR="000A7745" w:rsidRPr="00C9465D">
        <w:rPr>
          <w:iCs/>
          <w:lang w:val="en-US"/>
        </w:rPr>
        <w:t xml:space="preserve"> 26</w:t>
      </w:r>
      <w:r w:rsidRPr="00C9465D">
        <w:rPr>
          <w:iCs/>
          <w:lang w:val="en-US"/>
        </w:rPr>
        <w:t>;</w:t>
      </w:r>
      <w:r w:rsidR="000A7745" w:rsidRPr="00C9465D">
        <w:rPr>
          <w:rStyle w:val="FootnoteReference"/>
          <w:iCs/>
          <w:lang w:val="en-US"/>
        </w:rPr>
        <w:footnoteReference w:id="466"/>
      </w:r>
      <w:r w:rsidR="000A7745" w:rsidRPr="00C9465D">
        <w:rPr>
          <w:iCs/>
          <w:lang w:val="en-US"/>
        </w:rPr>
        <w:t xml:space="preserve"> ignor</w:t>
      </w:r>
      <w:r w:rsidRPr="00C9465D">
        <w:rPr>
          <w:iCs/>
          <w:lang w:val="en-US"/>
        </w:rPr>
        <w:t xml:space="preserve">es the intention of the States embodied in </w:t>
      </w:r>
      <w:r w:rsidR="00193CBB" w:rsidRPr="00C9465D">
        <w:rPr>
          <w:iCs/>
          <w:lang w:val="en-US"/>
        </w:rPr>
        <w:t>Article</w:t>
      </w:r>
      <w:r w:rsidR="000A7745" w:rsidRPr="00C9465D">
        <w:rPr>
          <w:iCs/>
          <w:lang w:val="en-US"/>
        </w:rPr>
        <w:t xml:space="preserve"> 19</w:t>
      </w:r>
      <w:r w:rsidR="00260D95" w:rsidRPr="00C9465D">
        <w:rPr>
          <w:iCs/>
          <w:lang w:val="en-US"/>
        </w:rPr>
        <w:t xml:space="preserve"> of the Protocol of San</w:t>
      </w:r>
      <w:r w:rsidR="000A7745" w:rsidRPr="00C9465D">
        <w:rPr>
          <w:iCs/>
          <w:lang w:val="en-US"/>
        </w:rPr>
        <w:t xml:space="preserve"> Salvador</w:t>
      </w:r>
      <w:r w:rsidR="000A7745" w:rsidRPr="00C9465D">
        <w:rPr>
          <w:rStyle w:val="FootnoteReference"/>
          <w:iCs/>
          <w:lang w:val="en-US"/>
        </w:rPr>
        <w:footnoteReference w:id="467"/>
      </w:r>
      <w:r w:rsidR="00193CBB" w:rsidRPr="00C9465D">
        <w:rPr>
          <w:iCs/>
          <w:lang w:val="en-US"/>
        </w:rPr>
        <w:t xml:space="preserve"> and</w:t>
      </w:r>
      <w:r w:rsidRPr="00C9465D">
        <w:rPr>
          <w:iCs/>
          <w:lang w:val="en-US"/>
        </w:rPr>
        <w:t xml:space="preserve"> undermines the Court’s legitimacy</w:t>
      </w:r>
      <w:r w:rsidR="00193CBB" w:rsidRPr="00C9465D">
        <w:rPr>
          <w:iCs/>
          <w:lang w:val="en-US"/>
        </w:rPr>
        <w:t xml:space="preserve"> </w:t>
      </w:r>
      <w:r w:rsidRPr="00C9465D">
        <w:rPr>
          <w:iCs/>
          <w:lang w:val="en-US"/>
        </w:rPr>
        <w:t>in the regional sphere,</w:t>
      </w:r>
      <w:r w:rsidR="000A7745" w:rsidRPr="00C9465D">
        <w:rPr>
          <w:rStyle w:val="FootnoteReference"/>
          <w:iCs/>
          <w:lang w:val="en-US"/>
        </w:rPr>
        <w:footnoteReference w:id="468"/>
      </w:r>
      <w:r w:rsidRPr="00C9465D">
        <w:rPr>
          <w:iCs/>
          <w:lang w:val="en-US"/>
        </w:rPr>
        <w:t xml:space="preserve"> to mention only some of the arguments.</w:t>
      </w:r>
    </w:p>
    <w:p w14:paraId="15D0499A" w14:textId="77777777" w:rsidR="000A7745" w:rsidRPr="00C9465D" w:rsidRDefault="000A7745" w:rsidP="00496133">
      <w:pPr>
        <w:pStyle w:val="ListParagraph"/>
        <w:spacing w:before="120" w:after="160" w:line="240" w:lineRule="auto"/>
        <w:ind w:left="0"/>
        <w:rPr>
          <w:bCs/>
          <w:lang w:val="en-US"/>
        </w:rPr>
      </w:pPr>
    </w:p>
    <w:p w14:paraId="72A4509D" w14:textId="42D7F350" w:rsidR="000A7745" w:rsidRPr="00C9465D" w:rsidRDefault="003B2005" w:rsidP="00D47F8D">
      <w:pPr>
        <w:pStyle w:val="ListParagraph"/>
        <w:numPr>
          <w:ilvl w:val="0"/>
          <w:numId w:val="22"/>
        </w:numPr>
        <w:autoSpaceDE w:val="0"/>
        <w:autoSpaceDN w:val="0"/>
        <w:adjustRightInd w:val="0"/>
        <w:spacing w:before="120" w:after="160" w:line="240" w:lineRule="auto"/>
        <w:ind w:left="0" w:firstLine="0"/>
        <w:rPr>
          <w:lang w:val="en-US"/>
        </w:rPr>
      </w:pPr>
      <w:r w:rsidRPr="00C9465D">
        <w:rPr>
          <w:lang w:val="en-US"/>
        </w:rPr>
        <w:t xml:space="preserve">On this occasion, it is not my intention to pursue this line of thought further, but rather to focus attention on a practice related to this legal position that is revealed when declaring the violations in the operative paragraphs, </w:t>
      </w:r>
      <w:r w:rsidR="00095E20" w:rsidRPr="00C9465D">
        <w:rPr>
          <w:lang w:val="en-US"/>
        </w:rPr>
        <w:t>and also when addressing the allegations in the one and the same chapter.</w:t>
      </w:r>
      <w:r w:rsidRPr="00C9465D">
        <w:rPr>
          <w:lang w:val="en-US"/>
        </w:rPr>
        <w:t xml:space="preserve"> </w:t>
      </w:r>
    </w:p>
    <w:p w14:paraId="24B595AA" w14:textId="77777777" w:rsidR="000A7745" w:rsidRPr="00C9465D" w:rsidRDefault="000A7745" w:rsidP="00496133">
      <w:pPr>
        <w:pStyle w:val="ListParagraph"/>
        <w:spacing w:line="240" w:lineRule="auto"/>
        <w:ind w:left="1440"/>
        <w:rPr>
          <w:lang w:val="en-US"/>
        </w:rPr>
      </w:pPr>
    </w:p>
    <w:p w14:paraId="653B73B2" w14:textId="63C2CE5B" w:rsidR="000A7745" w:rsidRPr="00C9465D" w:rsidRDefault="00095E20" w:rsidP="00095E20">
      <w:pPr>
        <w:pStyle w:val="ListParagraph"/>
        <w:numPr>
          <w:ilvl w:val="0"/>
          <w:numId w:val="22"/>
        </w:numPr>
        <w:autoSpaceDE w:val="0"/>
        <w:autoSpaceDN w:val="0"/>
        <w:adjustRightInd w:val="0"/>
        <w:spacing w:before="120" w:after="160" w:line="240" w:lineRule="auto"/>
        <w:ind w:left="0" w:firstLine="0"/>
        <w:rPr>
          <w:lang w:val="en-US"/>
        </w:rPr>
      </w:pPr>
      <w:r w:rsidRPr="00C9465D">
        <w:rPr>
          <w:lang w:val="en-US"/>
        </w:rPr>
        <w:t xml:space="preserve">As I pointed out in the cases of </w:t>
      </w:r>
      <w:r w:rsidR="000A7745" w:rsidRPr="00C9465D">
        <w:rPr>
          <w:i/>
          <w:iCs/>
          <w:lang w:val="en-US"/>
        </w:rPr>
        <w:t xml:space="preserve">ANCEJUB-SUNAT </w:t>
      </w:r>
      <w:r w:rsidRPr="00C9465D">
        <w:rPr>
          <w:i/>
          <w:iCs/>
          <w:lang w:val="en-US"/>
        </w:rPr>
        <w:t>v.</w:t>
      </w:r>
      <w:r w:rsidR="000A7745" w:rsidRPr="00C9465D">
        <w:rPr>
          <w:i/>
          <w:iCs/>
          <w:lang w:val="en-US"/>
        </w:rPr>
        <w:t xml:space="preserve"> </w:t>
      </w:r>
      <w:r w:rsidR="001902D2" w:rsidRPr="00C9465D">
        <w:rPr>
          <w:i/>
          <w:iCs/>
          <w:lang w:val="en-US"/>
        </w:rPr>
        <w:t>Peru</w:t>
      </w:r>
      <w:r w:rsidR="00644AA7" w:rsidRPr="00C9465D">
        <w:rPr>
          <w:i/>
          <w:iCs/>
          <w:lang w:val="en-US"/>
        </w:rPr>
        <w:t>,</w:t>
      </w:r>
      <w:r w:rsidR="000A7745" w:rsidRPr="00C9465D">
        <w:rPr>
          <w:rStyle w:val="FootnoteReference"/>
          <w:lang w:val="en-US"/>
        </w:rPr>
        <w:footnoteReference w:id="469"/>
      </w:r>
      <w:r w:rsidR="000A7745" w:rsidRPr="00C9465D">
        <w:rPr>
          <w:lang w:val="en-US"/>
        </w:rPr>
        <w:t xml:space="preserve"> </w:t>
      </w:r>
      <w:r w:rsidR="000A7745" w:rsidRPr="00C9465D">
        <w:rPr>
          <w:i/>
          <w:iCs/>
          <w:lang w:val="en-US"/>
        </w:rPr>
        <w:t xml:space="preserve">Hernández </w:t>
      </w:r>
      <w:r w:rsidRPr="00C9465D">
        <w:rPr>
          <w:i/>
          <w:iCs/>
          <w:lang w:val="en-US"/>
        </w:rPr>
        <w:t>v.</w:t>
      </w:r>
      <w:r w:rsidR="000A7745" w:rsidRPr="00C9465D">
        <w:rPr>
          <w:i/>
          <w:iCs/>
          <w:lang w:val="en-US"/>
        </w:rPr>
        <w:t xml:space="preserve"> Argentina</w:t>
      </w:r>
      <w:r w:rsidR="000A7745" w:rsidRPr="00C9465D">
        <w:rPr>
          <w:rStyle w:val="FootnoteReference"/>
          <w:lang w:val="en-US"/>
        </w:rPr>
        <w:footnoteReference w:id="470"/>
      </w:r>
      <w:r w:rsidR="00193CBB" w:rsidRPr="00C9465D">
        <w:rPr>
          <w:lang w:val="en-US"/>
        </w:rPr>
        <w:t xml:space="preserve"> and </w:t>
      </w:r>
      <w:r w:rsidR="000A7745" w:rsidRPr="00C9465D">
        <w:rPr>
          <w:i/>
          <w:iCs/>
          <w:lang w:val="en-US"/>
        </w:rPr>
        <w:t xml:space="preserve">Casas Nina </w:t>
      </w:r>
      <w:r w:rsidRPr="00C9465D">
        <w:rPr>
          <w:i/>
          <w:iCs/>
          <w:lang w:val="en-US"/>
        </w:rPr>
        <w:t>v.</w:t>
      </w:r>
      <w:r w:rsidR="000A7745" w:rsidRPr="00C9465D">
        <w:rPr>
          <w:i/>
          <w:iCs/>
          <w:lang w:val="en-US"/>
        </w:rPr>
        <w:t xml:space="preserve"> </w:t>
      </w:r>
      <w:r w:rsidR="001902D2" w:rsidRPr="00C9465D">
        <w:rPr>
          <w:i/>
          <w:iCs/>
          <w:lang w:val="en-US"/>
        </w:rPr>
        <w:t>Peru</w:t>
      </w:r>
      <w:r w:rsidRPr="00C9465D">
        <w:rPr>
          <w:i/>
          <w:iCs/>
          <w:lang w:val="en-US"/>
        </w:rPr>
        <w:t>,</w:t>
      </w:r>
      <w:r w:rsidR="000A7745" w:rsidRPr="00C9465D">
        <w:rPr>
          <w:rStyle w:val="FootnoteReference"/>
          <w:i/>
          <w:iCs/>
          <w:lang w:val="en-US"/>
        </w:rPr>
        <w:footnoteReference w:id="471"/>
      </w:r>
      <w:r w:rsidR="000A7745" w:rsidRPr="00C9465D">
        <w:rPr>
          <w:lang w:val="en-US"/>
        </w:rPr>
        <w:t xml:space="preserve"> </w:t>
      </w:r>
      <w:r w:rsidR="00183C22" w:rsidRPr="00C9465D">
        <w:rPr>
          <w:lang w:val="en-US"/>
        </w:rPr>
        <w:t>the Court</w:t>
      </w:r>
      <w:r w:rsidR="000A7745" w:rsidRPr="00C9465D">
        <w:rPr>
          <w:lang w:val="en-US"/>
        </w:rPr>
        <w:t xml:space="preserve"> </w:t>
      </w:r>
      <w:r w:rsidRPr="00C9465D">
        <w:rPr>
          <w:lang w:val="en-US"/>
        </w:rPr>
        <w:t xml:space="preserve">has </w:t>
      </w:r>
      <w:r w:rsidR="00644AA7" w:rsidRPr="00C9465D">
        <w:rPr>
          <w:lang w:val="en-US"/>
        </w:rPr>
        <w:t>modified</w:t>
      </w:r>
      <w:r w:rsidRPr="00C9465D">
        <w:rPr>
          <w:lang w:val="en-US"/>
        </w:rPr>
        <w:t xml:space="preserve"> randomly and without justification its method of determining the conclusions that it expresses in the operative paragraphs of the judgments delivered in contentious cases. This is especially problematic because it seeks to render invisible the internal disagreements on the scope of </w:t>
      </w:r>
      <w:r w:rsidR="007A3CA5" w:rsidRPr="00C9465D">
        <w:rPr>
          <w:lang w:val="en-US"/>
        </w:rPr>
        <w:t>Article</w:t>
      </w:r>
      <w:r w:rsidR="000A7745" w:rsidRPr="00C9465D">
        <w:rPr>
          <w:lang w:val="en-US"/>
        </w:rPr>
        <w:t xml:space="preserve"> 26 </w:t>
      </w:r>
      <w:r w:rsidRPr="00C9465D">
        <w:rPr>
          <w:lang w:val="en-US"/>
        </w:rPr>
        <w:t>of the Convention.</w:t>
      </w:r>
      <w:r w:rsidR="000A7745" w:rsidRPr="00C9465D">
        <w:rPr>
          <w:lang w:val="en-US"/>
        </w:rPr>
        <w:t xml:space="preserve"> </w:t>
      </w:r>
    </w:p>
    <w:p w14:paraId="34D264CF" w14:textId="77777777" w:rsidR="000A7745" w:rsidRPr="00C9465D" w:rsidRDefault="000A7745" w:rsidP="00496133">
      <w:pPr>
        <w:pStyle w:val="ListParagraph"/>
        <w:spacing w:line="240" w:lineRule="auto"/>
        <w:ind w:left="1440"/>
        <w:rPr>
          <w:lang w:val="en-US"/>
        </w:rPr>
      </w:pPr>
    </w:p>
    <w:p w14:paraId="06721752" w14:textId="5CC6C647" w:rsidR="000A7745" w:rsidRPr="00C9465D" w:rsidRDefault="00095E20" w:rsidP="00095E20">
      <w:pPr>
        <w:pStyle w:val="ListParagraph"/>
        <w:numPr>
          <w:ilvl w:val="0"/>
          <w:numId w:val="22"/>
        </w:numPr>
        <w:autoSpaceDE w:val="0"/>
        <w:autoSpaceDN w:val="0"/>
        <w:adjustRightInd w:val="0"/>
        <w:spacing w:before="120" w:after="160" w:line="240" w:lineRule="auto"/>
        <w:ind w:left="0" w:firstLine="0"/>
        <w:rPr>
          <w:lang w:val="en-US"/>
        </w:rPr>
      </w:pPr>
      <w:r w:rsidRPr="00C9465D">
        <w:rPr>
          <w:bCs/>
          <w:lang w:val="en-US"/>
        </w:rPr>
        <w:t xml:space="preserve">This method that assembles in a single operative paragraph all the violations that substantiate the international responsibility of the State, also reduces the legitimacy provided by the unanimous position of the Court. I refer to the fact that although the main or original legitimacy of the Court’s decisions is conferred by the majorities established in </w:t>
      </w:r>
      <w:r w:rsidR="00193CBB" w:rsidRPr="00C9465D">
        <w:rPr>
          <w:bCs/>
          <w:lang w:val="en-US"/>
        </w:rPr>
        <w:t>the Rules of Procedure</w:t>
      </w:r>
      <w:r w:rsidR="000A7745" w:rsidRPr="00C9465D">
        <w:rPr>
          <w:bCs/>
          <w:lang w:val="en-US"/>
        </w:rPr>
        <w:t xml:space="preserve">, </w:t>
      </w:r>
      <w:r w:rsidRPr="00C9465D">
        <w:rPr>
          <w:bCs/>
          <w:lang w:val="en-US"/>
        </w:rPr>
        <w:t xml:space="preserve">this is enhanced more effectively when all the judges agree on the final decision. In the instant case, </w:t>
      </w:r>
      <w:r w:rsidR="00644AA7" w:rsidRPr="00C9465D">
        <w:rPr>
          <w:bCs/>
          <w:lang w:val="en-US"/>
        </w:rPr>
        <w:t>by</w:t>
      </w:r>
      <w:r w:rsidRPr="00C9465D">
        <w:rPr>
          <w:bCs/>
          <w:lang w:val="en-US"/>
        </w:rPr>
        <w:t xml:space="preserve"> </w:t>
      </w:r>
      <w:r w:rsidR="00644AA7" w:rsidRPr="00C9465D">
        <w:rPr>
          <w:bCs/>
          <w:lang w:val="en-US"/>
        </w:rPr>
        <w:t>including</w:t>
      </w:r>
      <w:r w:rsidR="00C41D41" w:rsidRPr="00C9465D">
        <w:rPr>
          <w:bCs/>
          <w:lang w:val="en-US"/>
        </w:rPr>
        <w:t xml:space="preserve"> in a single operative paragraph the violations of</w:t>
      </w:r>
      <w:r w:rsidR="000A7745" w:rsidRPr="00C9465D">
        <w:rPr>
          <w:bCs/>
          <w:lang w:val="en-US"/>
        </w:rPr>
        <w:t xml:space="preserve"> </w:t>
      </w:r>
      <w:r w:rsidR="00193CBB" w:rsidRPr="00C9465D">
        <w:rPr>
          <w:bCs/>
          <w:lang w:val="en-US"/>
        </w:rPr>
        <w:t>Articles</w:t>
      </w:r>
      <w:r w:rsidR="000A7745" w:rsidRPr="00C9465D">
        <w:rPr>
          <w:bCs/>
          <w:lang w:val="en-US"/>
        </w:rPr>
        <w:t xml:space="preserve"> 3, 4, 5, 7, 11, 13, 24</w:t>
      </w:r>
      <w:r w:rsidR="00193CBB" w:rsidRPr="00C9465D">
        <w:rPr>
          <w:bCs/>
          <w:lang w:val="en-US"/>
        </w:rPr>
        <w:t xml:space="preserve"> and </w:t>
      </w:r>
      <w:r w:rsidR="000A7745" w:rsidRPr="00C9465D">
        <w:rPr>
          <w:bCs/>
          <w:lang w:val="en-US"/>
        </w:rPr>
        <w:t>26</w:t>
      </w:r>
      <w:r w:rsidR="00193CBB" w:rsidRPr="00C9465D">
        <w:rPr>
          <w:bCs/>
          <w:lang w:val="en-US"/>
        </w:rPr>
        <w:t xml:space="preserve"> of </w:t>
      </w:r>
      <w:r w:rsidR="00193CBB" w:rsidRPr="00C9465D">
        <w:rPr>
          <w:bCs/>
          <w:lang w:val="en-US"/>
        </w:rPr>
        <w:lastRenderedPageBreak/>
        <w:t>the American Convention</w:t>
      </w:r>
      <w:r w:rsidR="00C41D41" w:rsidRPr="00C9465D">
        <w:rPr>
          <w:bCs/>
          <w:lang w:val="en-US"/>
        </w:rPr>
        <w:t>,</w:t>
      </w:r>
      <w:r w:rsidR="000A7745" w:rsidRPr="00C9465D">
        <w:rPr>
          <w:bCs/>
          <w:lang w:val="en-US"/>
        </w:rPr>
        <w:t xml:space="preserve"> </w:t>
      </w:r>
      <w:r w:rsidR="00C41D41" w:rsidRPr="00C9465D">
        <w:rPr>
          <w:bCs/>
          <w:lang w:val="en-US"/>
        </w:rPr>
        <w:t xml:space="preserve">it was not possible to </w:t>
      </w:r>
      <w:r w:rsidR="00644AA7" w:rsidRPr="00C9465D">
        <w:rPr>
          <w:bCs/>
          <w:lang w:val="en-US"/>
        </w:rPr>
        <w:t>express</w:t>
      </w:r>
      <w:r w:rsidR="00C41D41" w:rsidRPr="00C9465D">
        <w:rPr>
          <w:bCs/>
          <w:lang w:val="en-US"/>
        </w:rPr>
        <w:t xml:space="preserve"> the </w:t>
      </w:r>
      <w:r w:rsidR="00644AA7" w:rsidRPr="00C9465D">
        <w:rPr>
          <w:bCs/>
          <w:lang w:val="en-US"/>
        </w:rPr>
        <w:t xml:space="preserve">Court’s </w:t>
      </w:r>
      <w:r w:rsidR="00C41D41" w:rsidRPr="00C9465D">
        <w:rPr>
          <w:bCs/>
          <w:lang w:val="en-US"/>
        </w:rPr>
        <w:t xml:space="preserve">unanimity </w:t>
      </w:r>
      <w:r w:rsidR="00644AA7" w:rsidRPr="00C9465D">
        <w:rPr>
          <w:bCs/>
          <w:lang w:val="en-US"/>
        </w:rPr>
        <w:t xml:space="preserve">in finding </w:t>
      </w:r>
      <w:r w:rsidR="00C41D41" w:rsidRPr="00C9465D">
        <w:rPr>
          <w:bCs/>
          <w:lang w:val="en-US"/>
        </w:rPr>
        <w:t xml:space="preserve">the State guilty, or the partial discrepancy </w:t>
      </w:r>
      <w:r w:rsidR="00F42E0C" w:rsidRPr="00C9465D">
        <w:rPr>
          <w:bCs/>
          <w:lang w:val="en-US"/>
        </w:rPr>
        <w:t>in relation to Article</w:t>
      </w:r>
      <w:r w:rsidR="000A7745" w:rsidRPr="00C9465D">
        <w:rPr>
          <w:bCs/>
          <w:lang w:val="en-US"/>
        </w:rPr>
        <w:t xml:space="preserve"> 26.  </w:t>
      </w:r>
    </w:p>
    <w:p w14:paraId="61F54827" w14:textId="77777777" w:rsidR="000A7745" w:rsidRPr="00C9465D" w:rsidRDefault="000A7745" w:rsidP="00496133">
      <w:pPr>
        <w:pStyle w:val="ListParagraph"/>
        <w:spacing w:line="240" w:lineRule="auto"/>
        <w:ind w:left="1440"/>
        <w:rPr>
          <w:lang w:val="en-US"/>
        </w:rPr>
      </w:pPr>
    </w:p>
    <w:p w14:paraId="733A1FC5" w14:textId="605742A6" w:rsidR="000A7745" w:rsidRPr="00C9465D" w:rsidRDefault="00C41D41" w:rsidP="00F371AF">
      <w:pPr>
        <w:pStyle w:val="ListParagraph"/>
        <w:numPr>
          <w:ilvl w:val="0"/>
          <w:numId w:val="22"/>
        </w:numPr>
        <w:autoSpaceDE w:val="0"/>
        <w:autoSpaceDN w:val="0"/>
        <w:adjustRightInd w:val="0"/>
        <w:spacing w:before="120" w:after="160" w:line="240" w:lineRule="auto"/>
        <w:ind w:left="0" w:firstLine="0"/>
        <w:outlineLvl w:val="0"/>
        <w:rPr>
          <w:rFonts w:cs="Arial"/>
          <w:b/>
          <w:lang w:val="en-US"/>
        </w:rPr>
      </w:pPr>
      <w:r w:rsidRPr="00C9465D">
        <w:rPr>
          <w:bCs/>
          <w:lang w:val="en-US"/>
        </w:rPr>
        <w:t>This is the reasoning behind my separate opinion because, although I agree with the Court declaring</w:t>
      </w:r>
      <w:r w:rsidR="000A7745" w:rsidRPr="00C9465D">
        <w:rPr>
          <w:bCs/>
          <w:lang w:val="en-US"/>
        </w:rPr>
        <w:t xml:space="preserve"> </w:t>
      </w:r>
      <w:r w:rsidR="00183C22" w:rsidRPr="00C9465D">
        <w:rPr>
          <w:bCs/>
          <w:lang w:val="en-US"/>
        </w:rPr>
        <w:t>the violation</w:t>
      </w:r>
      <w:r w:rsidR="000A7745" w:rsidRPr="00C9465D">
        <w:rPr>
          <w:bCs/>
          <w:lang w:val="en-US"/>
        </w:rPr>
        <w:t xml:space="preserve"> </w:t>
      </w:r>
      <w:r w:rsidRPr="00C9465D">
        <w:rPr>
          <w:bCs/>
          <w:lang w:val="en-US"/>
        </w:rPr>
        <w:t>of</w:t>
      </w:r>
      <w:r w:rsidR="000A7745" w:rsidRPr="00C9465D">
        <w:rPr>
          <w:bCs/>
          <w:lang w:val="en-US"/>
        </w:rPr>
        <w:t xml:space="preserve"> </w:t>
      </w:r>
      <w:r w:rsidR="00193CBB" w:rsidRPr="00C9465D">
        <w:rPr>
          <w:bCs/>
          <w:lang w:val="en-US"/>
        </w:rPr>
        <w:t>Articles</w:t>
      </w:r>
      <w:r w:rsidR="000A7745" w:rsidRPr="00C9465D">
        <w:rPr>
          <w:bCs/>
          <w:lang w:val="en-US"/>
        </w:rPr>
        <w:t xml:space="preserve"> 3, 4, 5, 7, 11, 13</w:t>
      </w:r>
      <w:r w:rsidR="00193CBB" w:rsidRPr="00C9465D">
        <w:rPr>
          <w:bCs/>
          <w:lang w:val="en-US"/>
        </w:rPr>
        <w:t xml:space="preserve"> and </w:t>
      </w:r>
      <w:r w:rsidR="000A7745" w:rsidRPr="00C9465D">
        <w:rPr>
          <w:bCs/>
          <w:lang w:val="en-US"/>
        </w:rPr>
        <w:t>24</w:t>
      </w:r>
      <w:r w:rsidR="00193CBB" w:rsidRPr="00C9465D">
        <w:rPr>
          <w:bCs/>
          <w:lang w:val="en-US"/>
        </w:rPr>
        <w:t xml:space="preserve"> and</w:t>
      </w:r>
      <w:r w:rsidRPr="00C9465D">
        <w:rPr>
          <w:bCs/>
          <w:lang w:val="en-US"/>
        </w:rPr>
        <w:t xml:space="preserve">, consequently, voted in favor of the first operative paragraph, the method used by the Court in this judgment did not allow me to express my legal position adequately in relation to the inadmissibility of the declaration of international responsibility for the violation </w:t>
      </w:r>
      <w:r w:rsidR="00AC1354" w:rsidRPr="00C9465D">
        <w:rPr>
          <w:bCs/>
          <w:lang w:val="en-US"/>
        </w:rPr>
        <w:t>of the right</w:t>
      </w:r>
      <w:r w:rsidR="00260D95" w:rsidRPr="00C9465D">
        <w:rPr>
          <w:bCs/>
          <w:lang w:val="en-US"/>
        </w:rPr>
        <w:t xml:space="preserve"> to health</w:t>
      </w:r>
      <w:r w:rsidR="000A7745" w:rsidRPr="00C9465D">
        <w:rPr>
          <w:bCs/>
          <w:lang w:val="en-US"/>
        </w:rPr>
        <w:t xml:space="preserve"> </w:t>
      </w:r>
      <w:r w:rsidRPr="00C9465D">
        <w:rPr>
          <w:bCs/>
          <w:lang w:val="en-US"/>
        </w:rPr>
        <w:t>in light</w:t>
      </w:r>
      <w:r w:rsidR="000A7745" w:rsidRPr="00C9465D">
        <w:rPr>
          <w:bCs/>
          <w:lang w:val="en-US"/>
        </w:rPr>
        <w:t xml:space="preserve"> </w:t>
      </w:r>
      <w:r w:rsidR="007A3CA5" w:rsidRPr="00C9465D">
        <w:rPr>
          <w:bCs/>
          <w:lang w:val="en-US"/>
        </w:rPr>
        <w:t>of Article</w:t>
      </w:r>
      <w:r w:rsidR="000A7745" w:rsidRPr="00C9465D">
        <w:rPr>
          <w:bCs/>
          <w:lang w:val="en-US"/>
        </w:rPr>
        <w:t xml:space="preserve"> 26</w:t>
      </w:r>
      <w:r w:rsidR="00193CBB" w:rsidRPr="00C9465D">
        <w:rPr>
          <w:bCs/>
          <w:lang w:val="en-US"/>
        </w:rPr>
        <w:t xml:space="preserve"> of the Convention</w:t>
      </w:r>
      <w:r w:rsidR="000A7745" w:rsidRPr="00C9465D">
        <w:rPr>
          <w:bCs/>
          <w:lang w:val="en-US"/>
        </w:rPr>
        <w:t xml:space="preserve"> </w:t>
      </w:r>
      <w:r w:rsidRPr="00C9465D">
        <w:rPr>
          <w:bCs/>
          <w:lang w:val="en-US"/>
        </w:rPr>
        <w:t>based on the arguments that I will set forth in the following section.</w:t>
      </w:r>
    </w:p>
    <w:p w14:paraId="0EA4D62A" w14:textId="77777777" w:rsidR="00C41D41" w:rsidRPr="00C9465D" w:rsidRDefault="00C41D41" w:rsidP="00C41D41">
      <w:pPr>
        <w:pStyle w:val="ListParagraph"/>
        <w:autoSpaceDE w:val="0"/>
        <w:autoSpaceDN w:val="0"/>
        <w:adjustRightInd w:val="0"/>
        <w:spacing w:before="120" w:after="160" w:line="240" w:lineRule="auto"/>
        <w:ind w:left="0"/>
        <w:outlineLvl w:val="0"/>
        <w:rPr>
          <w:rFonts w:cs="Arial"/>
          <w:b/>
          <w:lang w:val="en-US"/>
        </w:rPr>
      </w:pPr>
    </w:p>
    <w:p w14:paraId="17E1B956" w14:textId="63D1B61C" w:rsidR="000A7745" w:rsidRPr="00C9465D" w:rsidRDefault="00AC1354" w:rsidP="00D47F8D">
      <w:pPr>
        <w:pStyle w:val="ListParagraph"/>
        <w:widowControl w:val="0"/>
        <w:numPr>
          <w:ilvl w:val="0"/>
          <w:numId w:val="21"/>
        </w:numPr>
        <w:autoSpaceDE w:val="0"/>
        <w:autoSpaceDN w:val="0"/>
        <w:adjustRightInd w:val="0"/>
        <w:spacing w:before="120" w:after="160" w:line="240" w:lineRule="auto"/>
        <w:ind w:right="22"/>
        <w:outlineLvl w:val="0"/>
        <w:rPr>
          <w:rFonts w:cs="Arial"/>
          <w:b/>
          <w:lang w:val="en-US"/>
        </w:rPr>
      </w:pPr>
      <w:r w:rsidRPr="00C9465D">
        <w:rPr>
          <w:rFonts w:cs="Arial"/>
          <w:b/>
          <w:lang w:val="en-US"/>
        </w:rPr>
        <w:t>THE RIGHT</w:t>
      </w:r>
      <w:r w:rsidR="00260D95" w:rsidRPr="00C9465D">
        <w:rPr>
          <w:rFonts w:cs="Arial"/>
          <w:b/>
          <w:lang w:val="en-US"/>
        </w:rPr>
        <w:t xml:space="preserve"> TO HEALTH</w:t>
      </w:r>
      <w:r w:rsidR="00193CBB" w:rsidRPr="00C9465D">
        <w:rPr>
          <w:rFonts w:cs="Arial"/>
          <w:b/>
          <w:lang w:val="en-US"/>
        </w:rPr>
        <w:t xml:space="preserve"> </w:t>
      </w:r>
      <w:r w:rsidR="006A5339" w:rsidRPr="00C9465D">
        <w:rPr>
          <w:rFonts w:cs="Arial"/>
          <w:b/>
          <w:lang w:val="en-US"/>
        </w:rPr>
        <w:t xml:space="preserve">AND </w:t>
      </w:r>
      <w:r w:rsidR="00C41D41" w:rsidRPr="00C9465D">
        <w:rPr>
          <w:rFonts w:cs="Arial"/>
          <w:b/>
          <w:lang w:val="en-US"/>
        </w:rPr>
        <w:t>THE</w:t>
      </w:r>
      <w:r w:rsidR="006A5339" w:rsidRPr="00C9465D">
        <w:rPr>
          <w:rFonts w:cs="Arial"/>
          <w:b/>
          <w:lang w:val="en-US"/>
        </w:rPr>
        <w:t xml:space="preserve"> CARE </w:t>
      </w:r>
      <w:r w:rsidR="00C41D41" w:rsidRPr="00C9465D">
        <w:rPr>
          <w:rFonts w:cs="Arial"/>
          <w:b/>
          <w:lang w:val="en-US"/>
        </w:rPr>
        <w:t xml:space="preserve">MODEL </w:t>
      </w:r>
      <w:r w:rsidR="006A5339" w:rsidRPr="00C9465D">
        <w:rPr>
          <w:rFonts w:cs="Arial"/>
          <w:b/>
          <w:lang w:val="en-US"/>
        </w:rPr>
        <w:t>FOR PERSONS WITH DISABILITIES</w:t>
      </w:r>
    </w:p>
    <w:p w14:paraId="498FD9F4" w14:textId="77777777" w:rsidR="000A7745" w:rsidRPr="00C9465D" w:rsidRDefault="000A7745" w:rsidP="00496133">
      <w:pPr>
        <w:pStyle w:val="ListParagraph"/>
        <w:spacing w:before="120" w:after="160" w:line="240" w:lineRule="auto"/>
        <w:ind w:left="1440"/>
        <w:outlineLvl w:val="0"/>
        <w:rPr>
          <w:rFonts w:cs="Arial"/>
          <w:b/>
          <w:lang w:val="en-US"/>
        </w:rPr>
      </w:pPr>
    </w:p>
    <w:p w14:paraId="2EA94AF2" w14:textId="5F0AFC0D" w:rsidR="000A7745" w:rsidRPr="00C9465D" w:rsidRDefault="00C41D41" w:rsidP="00E34B6C">
      <w:pPr>
        <w:pStyle w:val="ListParagraph"/>
        <w:numPr>
          <w:ilvl w:val="0"/>
          <w:numId w:val="22"/>
        </w:numPr>
        <w:autoSpaceDE w:val="0"/>
        <w:autoSpaceDN w:val="0"/>
        <w:adjustRightInd w:val="0"/>
        <w:spacing w:before="120" w:after="160" w:line="240" w:lineRule="auto"/>
        <w:ind w:left="0" w:firstLine="0"/>
        <w:outlineLvl w:val="0"/>
        <w:rPr>
          <w:lang w:val="en-US"/>
        </w:rPr>
      </w:pPr>
      <w:r w:rsidRPr="00C9465D">
        <w:rPr>
          <w:rFonts w:eastAsia="Cambria"/>
          <w:lang w:val="en-US"/>
        </w:rPr>
        <w:t>Following its precedents in the cases of</w:t>
      </w:r>
      <w:r w:rsidR="000A7745" w:rsidRPr="00C9465D">
        <w:rPr>
          <w:rFonts w:eastAsia="Cambria"/>
          <w:i/>
          <w:iCs/>
          <w:lang w:val="en-US"/>
        </w:rPr>
        <w:t xml:space="preserve"> Poblete Vilches </w:t>
      </w:r>
      <w:r w:rsidR="00095E20" w:rsidRPr="00C9465D">
        <w:rPr>
          <w:rFonts w:eastAsia="Cambria"/>
          <w:i/>
          <w:iCs/>
          <w:lang w:val="en-US"/>
        </w:rPr>
        <w:t>v.</w:t>
      </w:r>
      <w:r w:rsidR="000A7745" w:rsidRPr="00C9465D">
        <w:rPr>
          <w:rFonts w:eastAsia="Cambria"/>
          <w:i/>
          <w:iCs/>
          <w:lang w:val="en-US"/>
        </w:rPr>
        <w:t xml:space="preserve"> Chile</w:t>
      </w:r>
      <w:r w:rsidRPr="00C9465D">
        <w:rPr>
          <w:rFonts w:eastAsia="Cambria"/>
          <w:i/>
          <w:iCs/>
          <w:lang w:val="en-US"/>
        </w:rPr>
        <w:t>,</w:t>
      </w:r>
      <w:r w:rsidR="000A7745" w:rsidRPr="00C9465D">
        <w:rPr>
          <w:rStyle w:val="FootnoteReference"/>
          <w:rFonts w:eastAsia="Cambria"/>
          <w:lang w:val="en-US"/>
        </w:rPr>
        <w:footnoteReference w:id="472"/>
      </w:r>
      <w:r w:rsidR="000A7745" w:rsidRPr="00C9465D">
        <w:rPr>
          <w:rFonts w:eastAsia="Cambria"/>
          <w:lang w:val="en-US"/>
        </w:rPr>
        <w:t xml:space="preserve"> </w:t>
      </w:r>
      <w:r w:rsidR="000A7745" w:rsidRPr="00C9465D">
        <w:rPr>
          <w:rFonts w:eastAsia="Cambria"/>
          <w:i/>
          <w:iCs/>
          <w:lang w:val="en-US"/>
        </w:rPr>
        <w:t xml:space="preserve">Cuscul Pivaral </w:t>
      </w:r>
      <w:r w:rsidR="00095E20" w:rsidRPr="00C9465D">
        <w:rPr>
          <w:rFonts w:eastAsia="Cambria"/>
          <w:i/>
          <w:iCs/>
          <w:lang w:val="en-US"/>
        </w:rPr>
        <w:t>v.</w:t>
      </w:r>
      <w:r w:rsidR="000A7745" w:rsidRPr="00C9465D">
        <w:rPr>
          <w:rFonts w:eastAsia="Cambria"/>
          <w:i/>
          <w:iCs/>
          <w:lang w:val="en-US"/>
        </w:rPr>
        <w:t xml:space="preserve"> Guatemala</w:t>
      </w:r>
      <w:r w:rsidR="000A7745" w:rsidRPr="00C9465D">
        <w:rPr>
          <w:rStyle w:val="FootnoteReference"/>
          <w:rFonts w:eastAsia="Cambria"/>
          <w:lang w:val="en-US"/>
        </w:rPr>
        <w:footnoteReference w:id="473"/>
      </w:r>
      <w:r w:rsidR="00193CBB" w:rsidRPr="00C9465D">
        <w:rPr>
          <w:rFonts w:eastAsia="Cambria"/>
          <w:lang w:val="en-US"/>
        </w:rPr>
        <w:t xml:space="preserve"> and </w:t>
      </w:r>
      <w:r w:rsidR="000A7745" w:rsidRPr="00C9465D">
        <w:rPr>
          <w:rFonts w:eastAsia="Cambria"/>
          <w:i/>
          <w:iCs/>
          <w:lang w:val="en-US"/>
        </w:rPr>
        <w:t xml:space="preserve">Hernández </w:t>
      </w:r>
      <w:r w:rsidR="00095E20" w:rsidRPr="00C9465D">
        <w:rPr>
          <w:rFonts w:eastAsia="Cambria"/>
          <w:i/>
          <w:iCs/>
          <w:lang w:val="en-US"/>
        </w:rPr>
        <w:t>v.</w:t>
      </w:r>
      <w:r w:rsidR="000A7745" w:rsidRPr="00C9465D">
        <w:rPr>
          <w:rFonts w:eastAsia="Cambria"/>
          <w:i/>
          <w:iCs/>
          <w:lang w:val="en-US"/>
        </w:rPr>
        <w:t xml:space="preserve"> Argentina</w:t>
      </w:r>
      <w:r w:rsidRPr="00C9465D">
        <w:rPr>
          <w:rFonts w:eastAsia="Cambria"/>
          <w:i/>
          <w:iCs/>
          <w:lang w:val="en-US"/>
        </w:rPr>
        <w:t>,</w:t>
      </w:r>
      <w:r w:rsidR="000A7745" w:rsidRPr="00C9465D">
        <w:rPr>
          <w:rStyle w:val="FootnoteReference"/>
          <w:rFonts w:eastAsia="Cambria"/>
          <w:lang w:val="en-US"/>
        </w:rPr>
        <w:footnoteReference w:id="474"/>
      </w:r>
      <w:r w:rsidR="000A7745" w:rsidRPr="00C9465D">
        <w:rPr>
          <w:rFonts w:eastAsia="Cambria"/>
          <w:lang w:val="en-US"/>
        </w:rPr>
        <w:t xml:space="preserve"> </w:t>
      </w:r>
      <w:r w:rsidRPr="00C9465D">
        <w:rPr>
          <w:rFonts w:eastAsia="Cambria"/>
          <w:lang w:val="en-US"/>
        </w:rPr>
        <w:t>in this judgment the Court recalled that it recognized health as</w:t>
      </w:r>
      <w:r w:rsidR="00F86722" w:rsidRPr="00C9465D">
        <w:rPr>
          <w:rFonts w:eastAsia="Cambria"/>
          <w:lang w:val="en-US"/>
        </w:rPr>
        <w:t xml:space="preserve"> “</w:t>
      </w:r>
      <w:r w:rsidR="00F86722" w:rsidRPr="00C9465D">
        <w:rPr>
          <w:lang w:val="en-US"/>
        </w:rPr>
        <w:t xml:space="preserve">a fundamental human right, essential for the satisfactory exercise of the other human rights and that everyone has the right to enjoy the highest attainable standard of health that allows them to live with dignity, understanding health not only as the absence of disease or infirmity, but also as a state of complete physical, mental and social well-being derived from a lifestyle that allows the individual to achieve </w:t>
      </w:r>
      <w:r w:rsidR="00E34B6C" w:rsidRPr="00C9465D">
        <w:rPr>
          <w:lang w:val="en-US"/>
        </w:rPr>
        <w:t>total</w:t>
      </w:r>
      <w:r w:rsidR="00F86722" w:rsidRPr="00C9465D">
        <w:rPr>
          <w:lang w:val="en-US"/>
        </w:rPr>
        <w:t xml:space="preserve"> balance</w:t>
      </w:r>
      <w:r w:rsidR="00E34B6C" w:rsidRPr="00C9465D">
        <w:rPr>
          <w:lang w:val="en-US"/>
        </w:rPr>
        <w:t>.</w:t>
      </w:r>
      <w:r w:rsidR="000A7745" w:rsidRPr="00C9465D">
        <w:rPr>
          <w:lang w:val="en-US"/>
        </w:rPr>
        <w:t>”</w:t>
      </w:r>
      <w:r w:rsidR="000A7745" w:rsidRPr="00C9465D">
        <w:rPr>
          <w:rStyle w:val="FootnoteReference"/>
          <w:lang w:val="en-US"/>
        </w:rPr>
        <w:footnoteReference w:id="475"/>
      </w:r>
      <w:r w:rsidR="00E34B6C" w:rsidRPr="00C9465D">
        <w:rPr>
          <w:lang w:val="en-US"/>
        </w:rPr>
        <w:t xml:space="preserve"> Then, the Court clarified that “the general obligation to protect health translates into the state obligation to ensure access to essential health services, ensuring effective and quality medical services, and to promote the improvement of the</w:t>
      </w:r>
      <w:r w:rsidR="006836BD" w:rsidRPr="00C9465D">
        <w:rPr>
          <w:lang w:val="en-US"/>
        </w:rPr>
        <w:t xml:space="preserve"> population’s</w:t>
      </w:r>
      <w:r w:rsidR="00E34B6C" w:rsidRPr="00C9465D">
        <w:rPr>
          <w:lang w:val="en-US"/>
        </w:rPr>
        <w:t xml:space="preserve"> health.</w:t>
      </w:r>
      <w:r w:rsidR="000A7745" w:rsidRPr="00C9465D">
        <w:rPr>
          <w:lang w:val="en-US"/>
        </w:rPr>
        <w:t>”</w:t>
      </w:r>
      <w:r w:rsidR="000A7745" w:rsidRPr="00C9465D">
        <w:rPr>
          <w:rStyle w:val="FootnoteReference"/>
          <w:lang w:val="en-US"/>
        </w:rPr>
        <w:footnoteReference w:id="476"/>
      </w:r>
      <w:r w:rsidR="00E34B6C" w:rsidRPr="00C9465D">
        <w:rPr>
          <w:lang w:val="en-US"/>
        </w:rPr>
        <w:t xml:space="preserve"> In addition, the Court recalled that the dual scope of </w:t>
      </w:r>
      <w:r w:rsidR="003B2005" w:rsidRPr="00C9465D">
        <w:rPr>
          <w:rFonts w:eastAsia="Times" w:cs="Arial"/>
          <w:lang w:val="en-US"/>
        </w:rPr>
        <w:t>the ESCER</w:t>
      </w:r>
      <w:r w:rsidR="000A7745" w:rsidRPr="00C9465D">
        <w:rPr>
          <w:rFonts w:eastAsia="Times" w:cs="Arial"/>
          <w:lang w:val="en-US"/>
        </w:rPr>
        <w:t>,</w:t>
      </w:r>
      <w:r w:rsidR="00193CBB" w:rsidRPr="00C9465D">
        <w:rPr>
          <w:rFonts w:eastAsia="Times" w:cs="Arial"/>
          <w:lang w:val="en-US"/>
        </w:rPr>
        <w:t xml:space="preserve"> and</w:t>
      </w:r>
      <w:r w:rsidR="00AC1354" w:rsidRPr="00C9465D">
        <w:rPr>
          <w:rFonts w:eastAsia="Times" w:cs="Arial"/>
          <w:lang w:val="en-US"/>
        </w:rPr>
        <w:t xml:space="preserve"> of the right</w:t>
      </w:r>
      <w:r w:rsidR="00260D95" w:rsidRPr="00C9465D">
        <w:rPr>
          <w:rFonts w:eastAsia="Times" w:cs="Arial"/>
          <w:lang w:val="en-US"/>
        </w:rPr>
        <w:t xml:space="preserve"> to health</w:t>
      </w:r>
      <w:r w:rsidR="000A7745" w:rsidRPr="00C9465D">
        <w:rPr>
          <w:rFonts w:eastAsia="Times" w:cs="Arial"/>
          <w:lang w:val="en-US"/>
        </w:rPr>
        <w:t xml:space="preserve">, </w:t>
      </w:r>
      <w:r w:rsidR="00E34B6C" w:rsidRPr="00C9465D">
        <w:rPr>
          <w:rFonts w:eastAsia="Times" w:cs="Arial"/>
          <w:lang w:val="en-US"/>
        </w:rPr>
        <w:t xml:space="preserve">may result in obligations that can be required immediately, and in obligations of a progressive nature. </w:t>
      </w:r>
    </w:p>
    <w:p w14:paraId="2FACEF92" w14:textId="77777777" w:rsidR="000A7745" w:rsidRPr="00C9465D" w:rsidRDefault="000A7745" w:rsidP="00496133">
      <w:pPr>
        <w:pStyle w:val="ListParagraph"/>
        <w:spacing w:before="120" w:after="160" w:line="240" w:lineRule="auto"/>
        <w:ind w:left="0"/>
        <w:outlineLvl w:val="0"/>
        <w:rPr>
          <w:lang w:val="en-US"/>
        </w:rPr>
      </w:pPr>
    </w:p>
    <w:p w14:paraId="186F7CB9" w14:textId="7E88A713" w:rsidR="000A7745" w:rsidRPr="00C9465D" w:rsidRDefault="00E34B6C" w:rsidP="00E34B6C">
      <w:pPr>
        <w:pStyle w:val="ListParagraph"/>
        <w:numPr>
          <w:ilvl w:val="0"/>
          <w:numId w:val="22"/>
        </w:numPr>
        <w:autoSpaceDE w:val="0"/>
        <w:autoSpaceDN w:val="0"/>
        <w:adjustRightInd w:val="0"/>
        <w:spacing w:before="120" w:after="160" w:line="240" w:lineRule="auto"/>
        <w:ind w:left="0" w:firstLine="0"/>
        <w:outlineLvl w:val="0"/>
        <w:rPr>
          <w:lang w:val="en-US"/>
        </w:rPr>
      </w:pPr>
      <w:r w:rsidRPr="00C9465D">
        <w:rPr>
          <w:lang w:val="en-US"/>
        </w:rPr>
        <w:t xml:space="preserve">In the instant case, the Court addressed the scope of the obligation to respect and to ensure </w:t>
      </w:r>
      <w:r w:rsidR="00AC1354" w:rsidRPr="00C9465D">
        <w:rPr>
          <w:lang w:val="en-US"/>
        </w:rPr>
        <w:t>the right</w:t>
      </w:r>
      <w:r w:rsidR="00260D95" w:rsidRPr="00C9465D">
        <w:rPr>
          <w:lang w:val="en-US"/>
        </w:rPr>
        <w:t xml:space="preserve"> to health</w:t>
      </w:r>
      <w:r w:rsidR="000A7745" w:rsidRPr="00C9465D">
        <w:rPr>
          <w:lang w:val="en-US"/>
        </w:rPr>
        <w:t xml:space="preserve"> </w:t>
      </w:r>
      <w:r w:rsidRPr="00C9465D">
        <w:rPr>
          <w:lang w:val="en-US"/>
        </w:rPr>
        <w:t>in relation to its aspects of accessibility and a</w:t>
      </w:r>
      <w:r w:rsidR="00926C03" w:rsidRPr="00C9465D">
        <w:rPr>
          <w:lang w:val="en-US"/>
        </w:rPr>
        <w:t>ccepta</w:t>
      </w:r>
      <w:r w:rsidRPr="00C9465D">
        <w:rPr>
          <w:lang w:val="en-US"/>
        </w:rPr>
        <w:t xml:space="preserve">bility, referring exclusively to those that it considered were immediate obligations derived from Article 26 of the Convention, which it indicated have a special significance in relation to vulnerable and marginalized groups. Regarding the criterion of accessibility, the Court found it proved that </w:t>
      </w:r>
      <w:r w:rsidR="00A86C54" w:rsidRPr="00C9465D">
        <w:rPr>
          <w:lang w:val="en-US"/>
        </w:rPr>
        <w:t>an</w:t>
      </w:r>
      <w:r w:rsidRPr="00C9465D">
        <w:rPr>
          <w:lang w:val="en-US"/>
        </w:rPr>
        <w:t xml:space="preserve"> adequate treatment </w:t>
      </w:r>
      <w:r w:rsidR="00A86C54" w:rsidRPr="00C9465D">
        <w:rPr>
          <w:lang w:val="en-US"/>
        </w:rPr>
        <w:t>of</w:t>
      </w:r>
      <w:r w:rsidRPr="00C9465D">
        <w:rPr>
          <w:lang w:val="en-US"/>
        </w:rPr>
        <w:t xml:space="preserve"> epilepsy, the illness suffered by </w:t>
      </w:r>
      <w:r w:rsidRPr="00C9465D">
        <w:rPr>
          <w:rFonts w:eastAsia="Times" w:cs="Arial"/>
          <w:lang w:val="en-US"/>
        </w:rPr>
        <w:t>Mr. Guachalá Chimbo, reduced the possibility that this would result in disabilities.</w:t>
      </w:r>
      <w:r w:rsidR="000A7745" w:rsidRPr="00C9465D">
        <w:rPr>
          <w:rStyle w:val="FootnoteReference"/>
          <w:rFonts w:eastAsia="Times"/>
          <w:lang w:val="en-US"/>
        </w:rPr>
        <w:footnoteReference w:id="477"/>
      </w:r>
      <w:r w:rsidRPr="00C9465D">
        <w:rPr>
          <w:rFonts w:eastAsia="Times" w:cs="Arial"/>
          <w:lang w:val="en-US"/>
        </w:rPr>
        <w:t xml:space="preserve"> It indicated that the victim frequently had to suspend his treatments as</w:t>
      </w:r>
      <w:r w:rsidR="00A86C54" w:rsidRPr="00C9465D">
        <w:rPr>
          <w:rFonts w:eastAsia="Times" w:cs="Arial"/>
          <w:lang w:val="en-US"/>
        </w:rPr>
        <w:t xml:space="preserve"> he</w:t>
      </w:r>
      <w:r w:rsidRPr="00C9465D">
        <w:rPr>
          <w:rFonts w:eastAsia="Times" w:cs="Arial"/>
          <w:lang w:val="en-US"/>
        </w:rPr>
        <w:t xml:space="preserve"> </w:t>
      </w:r>
      <w:r w:rsidR="00A86C54" w:rsidRPr="00C9465D">
        <w:rPr>
          <w:rFonts w:eastAsia="Times" w:cs="Arial"/>
          <w:lang w:val="en-US"/>
        </w:rPr>
        <w:t>had in</w:t>
      </w:r>
      <w:r w:rsidRPr="00C9465D">
        <w:rPr>
          <w:rFonts w:eastAsia="Times" w:cs="Arial"/>
          <w:lang w:val="en-US"/>
        </w:rPr>
        <w:t>sufficient resources to pay for them and, consequently, declared that Ecuador had violated</w:t>
      </w:r>
      <w:r w:rsidR="000A7745" w:rsidRPr="00C9465D">
        <w:rPr>
          <w:rFonts w:eastAsia="Times" w:cs="Arial"/>
          <w:lang w:val="en-US"/>
        </w:rPr>
        <w:t xml:space="preserve"> </w:t>
      </w:r>
      <w:r w:rsidR="00AC1354" w:rsidRPr="00C9465D">
        <w:rPr>
          <w:rFonts w:eastAsia="Times" w:cs="Arial"/>
          <w:lang w:val="en-US"/>
        </w:rPr>
        <w:t>the right</w:t>
      </w:r>
      <w:r w:rsidR="00260D95" w:rsidRPr="00C9465D">
        <w:rPr>
          <w:rFonts w:eastAsia="Times" w:cs="Arial"/>
          <w:lang w:val="en-US"/>
        </w:rPr>
        <w:t xml:space="preserve"> to health</w:t>
      </w:r>
      <w:r w:rsidR="000A7745" w:rsidRPr="00C9465D">
        <w:rPr>
          <w:rFonts w:eastAsia="Times" w:cs="Arial"/>
          <w:lang w:val="en-US"/>
        </w:rPr>
        <w:t xml:space="preserve"> </w:t>
      </w:r>
      <w:r w:rsidR="00926C03" w:rsidRPr="00C9465D">
        <w:rPr>
          <w:rFonts w:eastAsia="Times" w:cs="Arial"/>
          <w:lang w:val="en-US"/>
        </w:rPr>
        <w:t>in i</w:t>
      </w:r>
      <w:r w:rsidR="00A86C54" w:rsidRPr="00C9465D">
        <w:rPr>
          <w:rFonts w:eastAsia="Times" w:cs="Arial"/>
          <w:lang w:val="en-US"/>
        </w:rPr>
        <w:t>t</w:t>
      </w:r>
      <w:r w:rsidR="00926C03" w:rsidRPr="00C9465D">
        <w:rPr>
          <w:rFonts w:eastAsia="Times" w:cs="Arial"/>
          <w:lang w:val="en-US"/>
        </w:rPr>
        <w:t xml:space="preserve">s aspect of access, by failing to provide free treatment for his </w:t>
      </w:r>
      <w:r w:rsidR="00A86C54" w:rsidRPr="00C9465D">
        <w:rPr>
          <w:rFonts w:eastAsia="Times" w:cs="Arial"/>
          <w:lang w:val="en-US"/>
        </w:rPr>
        <w:t>illness</w:t>
      </w:r>
      <w:r w:rsidR="00926C03" w:rsidRPr="00C9465D">
        <w:rPr>
          <w:rFonts w:eastAsia="Times" w:cs="Arial"/>
          <w:lang w:val="en-US"/>
        </w:rPr>
        <w:t xml:space="preserve">. Then, with regard to the acceptability and quality of health care, the Court identified as facts that constituted international responsibility that: (i) there was no record that the type of epilepsy suffered by </w:t>
      </w:r>
      <w:r w:rsidR="002F3237" w:rsidRPr="00C9465D">
        <w:rPr>
          <w:lang w:val="en-US"/>
        </w:rPr>
        <w:t>Mr. Guachalá</w:t>
      </w:r>
      <w:r w:rsidR="000A7745" w:rsidRPr="00C9465D">
        <w:rPr>
          <w:lang w:val="en-US"/>
        </w:rPr>
        <w:t xml:space="preserve"> Chimbo</w:t>
      </w:r>
      <w:r w:rsidR="00926C03" w:rsidRPr="00C9465D">
        <w:rPr>
          <w:lang w:val="en-US"/>
        </w:rPr>
        <w:t xml:space="preserve"> had been identified</w:t>
      </w:r>
      <w:r w:rsidR="000A7745" w:rsidRPr="00C9465D">
        <w:rPr>
          <w:lang w:val="en-US"/>
        </w:rPr>
        <w:t xml:space="preserve">; </w:t>
      </w:r>
      <w:r w:rsidR="00926C03" w:rsidRPr="00C9465D">
        <w:rPr>
          <w:lang w:val="en-US"/>
        </w:rPr>
        <w:t>(</w:t>
      </w:r>
      <w:r w:rsidR="000A7745" w:rsidRPr="00C9465D">
        <w:rPr>
          <w:lang w:val="en-US"/>
        </w:rPr>
        <w:t>ii)</w:t>
      </w:r>
      <w:r w:rsidR="000A7745" w:rsidRPr="00C9465D">
        <w:rPr>
          <w:rFonts w:eastAsia="Times" w:cs="Arial"/>
          <w:lang w:val="en-US"/>
        </w:rPr>
        <w:t xml:space="preserve"> </w:t>
      </w:r>
      <w:r w:rsidR="00926C03" w:rsidRPr="00C9465D">
        <w:rPr>
          <w:lang w:val="en-US"/>
        </w:rPr>
        <w:t xml:space="preserve">his medical record did not reveal that he had been </w:t>
      </w:r>
      <w:r w:rsidR="00926C03" w:rsidRPr="00C9465D">
        <w:rPr>
          <w:lang w:val="en-US"/>
        </w:rPr>
        <w:lastRenderedPageBreak/>
        <w:t xml:space="preserve">prescribed medication on January 11; (iii) there was no record that he had received the </w:t>
      </w:r>
      <w:r w:rsidR="00A86C54" w:rsidRPr="00C9465D">
        <w:rPr>
          <w:lang w:val="en-US"/>
        </w:rPr>
        <w:t xml:space="preserve">necessary </w:t>
      </w:r>
      <w:r w:rsidR="00926C03" w:rsidRPr="00C9465D">
        <w:rPr>
          <w:lang w:val="en-US"/>
        </w:rPr>
        <w:t>care given the adverse effects of the medication ordered, and (iv) there was a possible absence of adequate assistance in relation to the accident he suffered on January 14.</w:t>
      </w:r>
      <w:r w:rsidR="000A7745" w:rsidRPr="00C9465D">
        <w:rPr>
          <w:rStyle w:val="FootnoteReference"/>
          <w:lang w:val="en-US"/>
        </w:rPr>
        <w:footnoteReference w:id="478"/>
      </w:r>
      <w:r w:rsidR="000A7745" w:rsidRPr="00C9465D">
        <w:rPr>
          <w:lang w:val="en-US"/>
        </w:rPr>
        <w:t xml:space="preserve">  </w:t>
      </w:r>
    </w:p>
    <w:p w14:paraId="08108008" w14:textId="77777777" w:rsidR="000A7745" w:rsidRPr="00C9465D" w:rsidRDefault="000A7745" w:rsidP="00496133">
      <w:pPr>
        <w:pStyle w:val="ListParagraph"/>
        <w:spacing w:before="120" w:after="160" w:line="240" w:lineRule="auto"/>
        <w:ind w:left="0"/>
        <w:outlineLvl w:val="0"/>
        <w:rPr>
          <w:lang w:val="en-US"/>
        </w:rPr>
      </w:pPr>
      <w:r w:rsidRPr="00C9465D">
        <w:rPr>
          <w:lang w:val="en-US"/>
        </w:rPr>
        <w:t xml:space="preserve">  </w:t>
      </w:r>
    </w:p>
    <w:p w14:paraId="7C0C5692" w14:textId="5B090D1B" w:rsidR="000A7745" w:rsidRPr="00C9465D" w:rsidRDefault="00926C03" w:rsidP="00D47F8D">
      <w:pPr>
        <w:pStyle w:val="ListParagraph"/>
        <w:numPr>
          <w:ilvl w:val="0"/>
          <w:numId w:val="22"/>
        </w:numPr>
        <w:autoSpaceDE w:val="0"/>
        <w:autoSpaceDN w:val="0"/>
        <w:adjustRightInd w:val="0"/>
        <w:spacing w:before="120" w:after="160" w:line="240" w:lineRule="auto"/>
        <w:ind w:left="0" w:firstLine="0"/>
        <w:outlineLvl w:val="0"/>
        <w:rPr>
          <w:rFonts w:eastAsia="Verdana"/>
          <w:lang w:val="en-US"/>
        </w:rPr>
      </w:pPr>
      <w:r w:rsidRPr="00C9465D">
        <w:rPr>
          <w:rFonts w:eastAsia="Times" w:cs="Arial"/>
          <w:lang w:val="en-US"/>
        </w:rPr>
        <w:t xml:space="preserve">In addition to declaring the violation of </w:t>
      </w:r>
      <w:r w:rsidR="00193CBB" w:rsidRPr="00C9465D">
        <w:rPr>
          <w:rFonts w:eastAsia="Times" w:cs="Arial"/>
          <w:lang w:val="en-US"/>
        </w:rPr>
        <w:t>Article</w:t>
      </w:r>
      <w:r w:rsidR="000A7745" w:rsidRPr="00C9465D">
        <w:rPr>
          <w:rFonts w:eastAsia="Times" w:cs="Arial"/>
          <w:lang w:val="en-US"/>
        </w:rPr>
        <w:t xml:space="preserve"> 26 </w:t>
      </w:r>
      <w:r w:rsidRPr="00C9465D">
        <w:rPr>
          <w:rFonts w:eastAsia="Times" w:cs="Arial"/>
          <w:lang w:val="en-US"/>
        </w:rPr>
        <w:t xml:space="preserve">for the above-mentioned reasons, the Court also concluded that the State was responsible for having violated the rights to </w:t>
      </w:r>
      <w:r w:rsidR="00D12C0E" w:rsidRPr="00C9465D">
        <w:rPr>
          <w:rFonts w:eastAsia="Times" w:cs="Arial"/>
          <w:lang w:val="en-US"/>
        </w:rPr>
        <w:t>life</w:t>
      </w:r>
      <w:r w:rsidR="008C2989" w:rsidRPr="00C9465D">
        <w:rPr>
          <w:rFonts w:eastAsia="Times" w:cs="Arial"/>
          <w:lang w:val="en-US"/>
        </w:rPr>
        <w:t xml:space="preserve"> and </w:t>
      </w:r>
      <w:r w:rsidRPr="00C9465D">
        <w:rPr>
          <w:rFonts w:eastAsia="Times" w:cs="Arial"/>
          <w:lang w:val="en-US"/>
        </w:rPr>
        <w:t xml:space="preserve">personal </w:t>
      </w:r>
      <w:r w:rsidR="00D12C0E" w:rsidRPr="00C9465D">
        <w:rPr>
          <w:rFonts w:eastAsia="Times" w:cs="Arial"/>
          <w:lang w:val="en-US"/>
        </w:rPr>
        <w:t>integrity</w:t>
      </w:r>
      <w:r w:rsidR="000A7745" w:rsidRPr="00C9465D">
        <w:rPr>
          <w:rFonts w:eastAsia="Times" w:cs="Arial"/>
          <w:lang w:val="en-US"/>
        </w:rPr>
        <w:t xml:space="preserve"> </w:t>
      </w:r>
      <w:r w:rsidRPr="00C9465D">
        <w:rPr>
          <w:rFonts w:eastAsia="Times" w:cs="Arial"/>
          <w:lang w:val="en-US"/>
        </w:rPr>
        <w:t>contained in</w:t>
      </w:r>
      <w:r w:rsidR="000A7745" w:rsidRPr="00C9465D">
        <w:rPr>
          <w:rFonts w:eastAsia="Times" w:cs="Arial"/>
          <w:lang w:val="en-US"/>
        </w:rPr>
        <w:t xml:space="preserve"> </w:t>
      </w:r>
      <w:r w:rsidR="00193CBB" w:rsidRPr="00C9465D">
        <w:rPr>
          <w:rFonts w:eastAsia="Times" w:cs="Arial"/>
          <w:lang w:val="en-US"/>
        </w:rPr>
        <w:t>Articles</w:t>
      </w:r>
      <w:r w:rsidR="000A7745" w:rsidRPr="00C9465D">
        <w:rPr>
          <w:rFonts w:eastAsia="Times" w:cs="Arial"/>
          <w:lang w:val="en-US"/>
        </w:rPr>
        <w:t xml:space="preserve"> 4</w:t>
      </w:r>
      <w:r w:rsidR="00193CBB" w:rsidRPr="00C9465D">
        <w:rPr>
          <w:rFonts w:eastAsia="Times" w:cs="Arial"/>
          <w:lang w:val="en-US"/>
        </w:rPr>
        <w:t xml:space="preserve"> and </w:t>
      </w:r>
      <w:r w:rsidR="000A7745" w:rsidRPr="00C9465D">
        <w:rPr>
          <w:rFonts w:eastAsia="Times" w:cs="Arial"/>
          <w:lang w:val="en-US"/>
        </w:rPr>
        <w:t>5</w:t>
      </w:r>
      <w:r w:rsidR="00193CBB" w:rsidRPr="00C9465D">
        <w:rPr>
          <w:rFonts w:eastAsia="Times" w:cs="Arial"/>
          <w:lang w:val="en-US"/>
        </w:rPr>
        <w:t xml:space="preserve"> of the American Convention</w:t>
      </w:r>
      <w:r w:rsidR="000A7745" w:rsidRPr="00C9465D">
        <w:rPr>
          <w:rFonts w:eastAsia="Times" w:cs="Arial"/>
          <w:lang w:val="en-US"/>
        </w:rPr>
        <w:t xml:space="preserve"> </w:t>
      </w:r>
      <w:r w:rsidRPr="00C9465D">
        <w:rPr>
          <w:rFonts w:eastAsia="Times" w:cs="Arial"/>
          <w:lang w:val="en-US"/>
        </w:rPr>
        <w:t>as they related to</w:t>
      </w:r>
      <w:r w:rsidR="000A7745" w:rsidRPr="00C9465D">
        <w:rPr>
          <w:rFonts w:eastAsia="Times" w:cs="Arial"/>
          <w:lang w:val="en-US"/>
        </w:rPr>
        <w:t xml:space="preserve"> </w:t>
      </w:r>
      <w:r w:rsidR="00AC1354" w:rsidRPr="00C9465D">
        <w:rPr>
          <w:rFonts w:eastAsia="Times" w:cs="Arial"/>
          <w:lang w:val="en-US"/>
        </w:rPr>
        <w:t>the right</w:t>
      </w:r>
      <w:r w:rsidR="00260D95" w:rsidRPr="00C9465D">
        <w:rPr>
          <w:rFonts w:eastAsia="Times" w:cs="Arial"/>
          <w:lang w:val="en-US"/>
        </w:rPr>
        <w:t xml:space="preserve"> to health</w:t>
      </w:r>
      <w:r w:rsidR="000A7745" w:rsidRPr="00C9465D">
        <w:rPr>
          <w:rFonts w:eastAsia="Times" w:cs="Arial"/>
          <w:lang w:val="en-US"/>
        </w:rPr>
        <w:t xml:space="preserve">. </w:t>
      </w:r>
      <w:r w:rsidRPr="00C9465D">
        <w:rPr>
          <w:rFonts w:eastAsia="Times" w:cs="Arial"/>
          <w:lang w:val="en-US"/>
        </w:rPr>
        <w:t>On this occasion, unlike in other cases,</w:t>
      </w:r>
      <w:r w:rsidR="000A7745" w:rsidRPr="00C9465D">
        <w:rPr>
          <w:rStyle w:val="FootnoteReference"/>
          <w:rFonts w:eastAsia="Times"/>
          <w:lang w:val="en-US"/>
        </w:rPr>
        <w:footnoteReference w:id="479"/>
      </w:r>
      <w:r w:rsidR="000A7745" w:rsidRPr="00C9465D">
        <w:rPr>
          <w:rFonts w:eastAsia="Times" w:cs="Arial"/>
          <w:lang w:val="en-US"/>
        </w:rPr>
        <w:t xml:space="preserve"> </w:t>
      </w:r>
      <w:r w:rsidR="00193CBB" w:rsidRPr="00C9465D">
        <w:rPr>
          <w:rFonts w:eastAsia="Times" w:cs="Arial"/>
          <w:lang w:val="en-US"/>
        </w:rPr>
        <w:t>the Court</w:t>
      </w:r>
      <w:r w:rsidR="000A7745" w:rsidRPr="00C9465D">
        <w:rPr>
          <w:rFonts w:eastAsia="Times" w:cs="Arial"/>
          <w:lang w:val="en-US"/>
        </w:rPr>
        <w:t xml:space="preserve"> </w:t>
      </w:r>
      <w:r w:rsidRPr="00C9465D">
        <w:rPr>
          <w:rFonts w:eastAsia="Times" w:cs="Arial"/>
          <w:lang w:val="en-US"/>
        </w:rPr>
        <w:t>examined the content of these provisions of the Convention exclusively with regard to their relationship to the State’s obligation to offer a satisfactory and convincing explanation for</w:t>
      </w:r>
      <w:r w:rsidR="00092D8C" w:rsidRPr="00C9465D">
        <w:rPr>
          <w:rFonts w:eastAsia="Times" w:cs="Arial"/>
          <w:lang w:val="en-US"/>
        </w:rPr>
        <w:t xml:space="preserve"> the </w:t>
      </w:r>
      <w:r w:rsidR="00BF6AD0" w:rsidRPr="00C9465D">
        <w:rPr>
          <w:rFonts w:eastAsia="Times" w:cs="Arial"/>
          <w:lang w:val="en-US"/>
        </w:rPr>
        <w:t>disappearance of</w:t>
      </w:r>
      <w:r w:rsidR="002F3237" w:rsidRPr="00C9465D">
        <w:rPr>
          <w:rFonts w:eastAsia="Times" w:cs="Arial"/>
          <w:lang w:val="en-US"/>
        </w:rPr>
        <w:t xml:space="preserve"> Mr. Guachalá</w:t>
      </w:r>
      <w:r w:rsidR="000A7745" w:rsidRPr="00C9465D">
        <w:rPr>
          <w:rFonts w:eastAsia="Times" w:cs="Arial"/>
          <w:lang w:val="en-US"/>
        </w:rPr>
        <w:t xml:space="preserve"> Chimbo </w:t>
      </w:r>
      <w:r w:rsidRPr="00C9465D">
        <w:rPr>
          <w:rFonts w:eastAsia="Times" w:cs="Arial"/>
          <w:lang w:val="en-US"/>
        </w:rPr>
        <w:t>who, since he was interned in a public hospital was in the State’s custody.</w:t>
      </w:r>
      <w:r w:rsidR="000A7745" w:rsidRPr="00C9465D">
        <w:rPr>
          <w:rStyle w:val="FootnoteReference"/>
          <w:rFonts w:eastAsia="Times"/>
          <w:lang w:val="en-US"/>
        </w:rPr>
        <w:footnoteReference w:id="480"/>
      </w:r>
      <w:r w:rsidRPr="00C9465D">
        <w:rPr>
          <w:rFonts w:eastAsia="Times" w:cs="Arial"/>
          <w:lang w:val="en-US"/>
        </w:rPr>
        <w:t xml:space="preserve"> In this way, it completely disconnected health</w:t>
      </w:r>
      <w:r w:rsidR="00A86C54" w:rsidRPr="00C9465D">
        <w:rPr>
          <w:rFonts w:eastAsia="Times" w:cs="Arial"/>
          <w:lang w:val="en-US"/>
        </w:rPr>
        <w:t xml:space="preserve"> care</w:t>
      </w:r>
      <w:r w:rsidRPr="00C9465D">
        <w:rPr>
          <w:rFonts w:eastAsia="Times" w:cs="Arial"/>
          <w:lang w:val="en-US"/>
        </w:rPr>
        <w:t xml:space="preserve"> from the rights to </w:t>
      </w:r>
      <w:r w:rsidR="00D12C0E" w:rsidRPr="00C9465D">
        <w:rPr>
          <w:rFonts w:eastAsia="Times" w:cs="Arial"/>
          <w:lang w:val="en-US"/>
        </w:rPr>
        <w:t>life</w:t>
      </w:r>
      <w:r w:rsidR="00193CBB" w:rsidRPr="00C9465D">
        <w:rPr>
          <w:rFonts w:eastAsia="Times" w:cs="Arial"/>
          <w:lang w:val="en-US"/>
        </w:rPr>
        <w:t xml:space="preserve"> and </w:t>
      </w:r>
      <w:r w:rsidRPr="00C9465D">
        <w:rPr>
          <w:rFonts w:eastAsia="Times" w:cs="Arial"/>
          <w:lang w:val="en-US"/>
        </w:rPr>
        <w:t>to</w:t>
      </w:r>
      <w:r w:rsidR="000A7745" w:rsidRPr="00C9465D">
        <w:rPr>
          <w:rFonts w:eastAsia="Times" w:cs="Arial"/>
          <w:lang w:val="en-US"/>
        </w:rPr>
        <w:t xml:space="preserve"> </w:t>
      </w:r>
      <w:r w:rsidR="00D12C0E" w:rsidRPr="00C9465D">
        <w:rPr>
          <w:rFonts w:eastAsia="Times" w:cs="Arial"/>
          <w:lang w:val="en-US"/>
        </w:rPr>
        <w:t>personal integrity</w:t>
      </w:r>
      <w:r w:rsidR="000A7745" w:rsidRPr="00C9465D">
        <w:rPr>
          <w:rFonts w:eastAsia="Times" w:cs="Arial"/>
          <w:lang w:val="en-US"/>
        </w:rPr>
        <w:t xml:space="preserve">, </w:t>
      </w:r>
      <w:r w:rsidRPr="00C9465D">
        <w:rPr>
          <w:rFonts w:eastAsia="Times" w:cs="Arial"/>
          <w:lang w:val="en-US"/>
        </w:rPr>
        <w:t>blurring the contents that the Court itself had granted this right and that, from my perspective, are those that legally substantiate the obligations that must be complied with immediately in relation to</w:t>
      </w:r>
      <w:r w:rsidR="000A7745" w:rsidRPr="00C9465D">
        <w:rPr>
          <w:rFonts w:eastAsia="Times" w:cs="Arial"/>
          <w:lang w:val="en-US"/>
        </w:rPr>
        <w:t xml:space="preserve"> </w:t>
      </w:r>
      <w:r w:rsidR="00AC1354" w:rsidRPr="00C9465D">
        <w:rPr>
          <w:rFonts w:eastAsia="Times" w:cs="Arial"/>
          <w:lang w:val="en-US"/>
        </w:rPr>
        <w:t>the right</w:t>
      </w:r>
      <w:r w:rsidR="00260D95" w:rsidRPr="00C9465D">
        <w:rPr>
          <w:rFonts w:eastAsia="Times" w:cs="Arial"/>
          <w:lang w:val="en-US"/>
        </w:rPr>
        <w:t xml:space="preserve"> to health</w:t>
      </w:r>
      <w:r w:rsidR="000A7745" w:rsidRPr="00C9465D">
        <w:rPr>
          <w:rFonts w:eastAsia="Times" w:cs="Arial"/>
          <w:lang w:val="en-US"/>
        </w:rPr>
        <w:t xml:space="preserve">.   </w:t>
      </w:r>
    </w:p>
    <w:p w14:paraId="00620A91" w14:textId="77777777" w:rsidR="000A7745" w:rsidRPr="00C9465D" w:rsidRDefault="000A7745" w:rsidP="00496133">
      <w:pPr>
        <w:pStyle w:val="ListParagraph"/>
        <w:spacing w:line="240" w:lineRule="auto"/>
        <w:ind w:left="1440"/>
        <w:rPr>
          <w:rFonts w:eastAsia="Verdana"/>
          <w:lang w:val="en-US"/>
        </w:rPr>
      </w:pPr>
    </w:p>
    <w:p w14:paraId="4C3C02F7" w14:textId="5A3C1F68" w:rsidR="000A7745" w:rsidRPr="00C9465D" w:rsidRDefault="007E6D1B" w:rsidP="00235E04">
      <w:pPr>
        <w:pStyle w:val="ListParagraph"/>
        <w:numPr>
          <w:ilvl w:val="0"/>
          <w:numId w:val="22"/>
        </w:numPr>
        <w:autoSpaceDE w:val="0"/>
        <w:autoSpaceDN w:val="0"/>
        <w:adjustRightInd w:val="0"/>
        <w:spacing w:before="120" w:after="160" w:line="240" w:lineRule="auto"/>
        <w:ind w:left="0" w:firstLine="0"/>
        <w:outlineLvl w:val="0"/>
        <w:rPr>
          <w:rFonts w:eastAsia="Verdana"/>
          <w:lang w:val="en-US"/>
        </w:rPr>
      </w:pPr>
      <w:r w:rsidRPr="00C9465D">
        <w:rPr>
          <w:rFonts w:eastAsia="Verdana"/>
          <w:lang w:val="en-US"/>
        </w:rPr>
        <w:t>As I have indicated</w:t>
      </w:r>
      <w:r w:rsidR="000A7745" w:rsidRPr="00C9465D">
        <w:rPr>
          <w:rFonts w:eastAsia="Verdana"/>
          <w:lang w:val="en-US"/>
        </w:rPr>
        <w:t xml:space="preserve">, </w:t>
      </w:r>
      <w:r w:rsidR="00235E04" w:rsidRPr="00C9465D">
        <w:rPr>
          <w:rFonts w:eastAsia="Verdana"/>
          <w:lang w:val="en-US"/>
        </w:rPr>
        <w:t xml:space="preserve">the theory that </w:t>
      </w:r>
      <w:r w:rsidR="00AC1354" w:rsidRPr="00C9465D">
        <w:rPr>
          <w:rFonts w:eastAsia="Verdana"/>
          <w:lang w:val="en-US"/>
        </w:rPr>
        <w:t>the</w:t>
      </w:r>
      <w:r w:rsidR="00235E04" w:rsidRPr="00C9465D">
        <w:rPr>
          <w:rFonts w:eastAsia="Verdana"/>
          <w:lang w:val="en-US"/>
        </w:rPr>
        <w:t xml:space="preserve"> “individual” aspect of the</w:t>
      </w:r>
      <w:r w:rsidR="00AC1354" w:rsidRPr="00C9465D">
        <w:rPr>
          <w:rFonts w:eastAsia="Verdana"/>
          <w:lang w:val="en-US"/>
        </w:rPr>
        <w:t xml:space="preserve"> right</w:t>
      </w:r>
      <w:r w:rsidR="00260D95" w:rsidRPr="00C9465D">
        <w:rPr>
          <w:rFonts w:eastAsia="Verdana"/>
          <w:lang w:val="en-US"/>
        </w:rPr>
        <w:t xml:space="preserve"> to health</w:t>
      </w:r>
      <w:r w:rsidR="000A7745" w:rsidRPr="00C9465D">
        <w:rPr>
          <w:rFonts w:eastAsia="Verdana"/>
          <w:lang w:val="en-US"/>
        </w:rPr>
        <w:t xml:space="preserve"> </w:t>
      </w:r>
      <w:r w:rsidR="00235E04" w:rsidRPr="00C9465D">
        <w:rPr>
          <w:rFonts w:eastAsia="Verdana"/>
          <w:lang w:val="en-US"/>
        </w:rPr>
        <w:t xml:space="preserve">should be examined in relation to the </w:t>
      </w:r>
      <w:r w:rsidR="00A86C54" w:rsidRPr="00C9465D">
        <w:rPr>
          <w:rFonts w:eastAsia="Verdana"/>
          <w:lang w:val="en-US"/>
        </w:rPr>
        <w:t xml:space="preserve">connected </w:t>
      </w:r>
      <w:r w:rsidR="00235E04" w:rsidRPr="00C9465D">
        <w:rPr>
          <w:rFonts w:eastAsia="Verdana"/>
          <w:lang w:val="en-US"/>
        </w:rPr>
        <w:t xml:space="preserve">fundamental rights that may be affected – in this case, the right to personal integrity or to life – and the “progressive” aspect in relation to the sufficiency of the health services provided by the State is the one that is most precisely in keeping with the content of the American Convention. The use of connectivity as an indirect mechanism for the protection of the ESCER is an effective mechanism for the protection and guarantee of the rights </w:t>
      </w:r>
      <w:r w:rsidR="00092D8C" w:rsidRPr="00C9465D">
        <w:rPr>
          <w:rFonts w:eastAsia="Verdana"/>
          <w:lang w:val="en-US"/>
        </w:rPr>
        <w:t xml:space="preserve">of the </w:t>
      </w:r>
      <w:r w:rsidR="00577DE0" w:rsidRPr="00C9465D">
        <w:rPr>
          <w:rFonts w:eastAsia="Verdana"/>
          <w:lang w:val="en-US"/>
        </w:rPr>
        <w:t>victims</w:t>
      </w:r>
      <w:r w:rsidR="00235E04" w:rsidRPr="00C9465D">
        <w:rPr>
          <w:rFonts w:eastAsia="Verdana"/>
          <w:lang w:val="en-US"/>
        </w:rPr>
        <w:t>.</w:t>
      </w:r>
      <w:r w:rsidR="000A7745" w:rsidRPr="00C9465D">
        <w:rPr>
          <w:rStyle w:val="FootnoteReference"/>
          <w:rFonts w:eastAsia="Times"/>
          <w:lang w:val="en-US"/>
        </w:rPr>
        <w:footnoteReference w:id="481"/>
      </w:r>
      <w:r w:rsidR="00235E04" w:rsidRPr="00C9465D">
        <w:rPr>
          <w:rFonts w:eastAsia="Verdana"/>
          <w:lang w:val="en-US"/>
        </w:rPr>
        <w:t xml:space="preserve"> Indeed, this line of argument does not prevent the Court from making important progress in relation to the requirements of availability, accessibility, acceptability and quality in the provision of health services, as well as the obligation to regulate, monitor and oversee the provision of services in private health centers. And this is without the need to create a new right, but rather providing meaning and scope to rights such as to life and to integrity that are contained in the Convention and, therefore, have been accepted by the States Parties as grounds for the</w:t>
      </w:r>
      <w:r w:rsidR="00A86C54" w:rsidRPr="00C9465D">
        <w:rPr>
          <w:rFonts w:eastAsia="Verdana"/>
          <w:lang w:val="en-US"/>
        </w:rPr>
        <w:t xml:space="preserve"> Court’s</w:t>
      </w:r>
      <w:r w:rsidR="00235E04" w:rsidRPr="00C9465D">
        <w:rPr>
          <w:rFonts w:eastAsia="Verdana"/>
          <w:lang w:val="en-US"/>
        </w:rPr>
        <w:t xml:space="preserve"> jurisdiction.</w:t>
      </w:r>
      <w:r w:rsidR="000A7745" w:rsidRPr="00C9465D">
        <w:rPr>
          <w:rStyle w:val="FootnoteReference"/>
          <w:rFonts w:eastAsia="Times"/>
          <w:lang w:val="en-US"/>
        </w:rPr>
        <w:footnoteReference w:id="482"/>
      </w:r>
      <w:r w:rsidR="000A7745" w:rsidRPr="00C9465D">
        <w:rPr>
          <w:rFonts w:eastAsia="Verdana"/>
          <w:lang w:val="en-US"/>
        </w:rPr>
        <w:t xml:space="preserve"> </w:t>
      </w:r>
    </w:p>
    <w:p w14:paraId="354A909B" w14:textId="77777777" w:rsidR="000A7745" w:rsidRPr="00C9465D" w:rsidRDefault="000A7745" w:rsidP="00496133">
      <w:pPr>
        <w:pStyle w:val="ListParagraph"/>
        <w:spacing w:before="120" w:after="160" w:line="240" w:lineRule="auto"/>
        <w:ind w:left="0"/>
        <w:outlineLvl w:val="0"/>
        <w:rPr>
          <w:rFonts w:eastAsia="Verdana"/>
          <w:lang w:val="en-US"/>
        </w:rPr>
      </w:pPr>
    </w:p>
    <w:p w14:paraId="089A4821" w14:textId="6ACDC426" w:rsidR="000A7745" w:rsidRPr="00C9465D" w:rsidRDefault="00235E04" w:rsidP="00D47F8D">
      <w:pPr>
        <w:pStyle w:val="ListParagraph"/>
        <w:numPr>
          <w:ilvl w:val="0"/>
          <w:numId w:val="22"/>
        </w:numPr>
        <w:autoSpaceDE w:val="0"/>
        <w:autoSpaceDN w:val="0"/>
        <w:adjustRightInd w:val="0"/>
        <w:spacing w:before="120" w:after="160" w:line="240" w:lineRule="auto"/>
        <w:ind w:left="0" w:firstLine="0"/>
        <w:outlineLvl w:val="0"/>
        <w:rPr>
          <w:rFonts w:eastAsia="Verdana"/>
          <w:lang w:val="en-US"/>
        </w:rPr>
      </w:pPr>
      <w:r w:rsidRPr="00C9465D">
        <w:rPr>
          <w:lang w:val="en-US"/>
        </w:rPr>
        <w:t>The judgment</w:t>
      </w:r>
      <w:r w:rsidR="00193CBB" w:rsidRPr="00C9465D">
        <w:rPr>
          <w:lang w:val="en-US"/>
        </w:rPr>
        <w:t xml:space="preserve"> of the Inter-American Court</w:t>
      </w:r>
      <w:r w:rsidR="000A7745" w:rsidRPr="00C9465D">
        <w:rPr>
          <w:lang w:val="en-US"/>
        </w:rPr>
        <w:t xml:space="preserve"> </w:t>
      </w:r>
      <w:r w:rsidRPr="00C9465D">
        <w:rPr>
          <w:lang w:val="en-US"/>
        </w:rPr>
        <w:t>in this case asserts that</w:t>
      </w:r>
      <w:r w:rsidR="000A7745" w:rsidRPr="00C9465D">
        <w:rPr>
          <w:lang w:val="en-US"/>
        </w:rPr>
        <w:t xml:space="preserve">, </w:t>
      </w:r>
      <w:r w:rsidRPr="00C9465D">
        <w:rPr>
          <w:lang w:val="en-US"/>
        </w:rPr>
        <w:t>based on</w:t>
      </w:r>
      <w:r w:rsidR="000A7745" w:rsidRPr="00C9465D">
        <w:rPr>
          <w:lang w:val="en-US"/>
        </w:rPr>
        <w:t xml:space="preserve"> </w:t>
      </w:r>
      <w:r w:rsidRPr="00C9465D">
        <w:rPr>
          <w:lang w:val="en-US"/>
        </w:rPr>
        <w:t xml:space="preserve">the provisions </w:t>
      </w:r>
      <w:r w:rsidR="00193CBB" w:rsidRPr="00C9465D">
        <w:rPr>
          <w:lang w:val="en-US"/>
        </w:rPr>
        <w:t xml:space="preserve">of the American Convention and </w:t>
      </w:r>
      <w:r w:rsidR="007A3CA5" w:rsidRPr="00C9465D">
        <w:rPr>
          <w:lang w:val="en-US"/>
        </w:rPr>
        <w:t xml:space="preserve">of </w:t>
      </w:r>
      <w:r w:rsidR="00ED4AE9" w:rsidRPr="00C9465D">
        <w:rPr>
          <w:lang w:val="en-US"/>
        </w:rPr>
        <w:t xml:space="preserve">its </w:t>
      </w:r>
      <w:r w:rsidR="007A3CA5" w:rsidRPr="00C9465D">
        <w:rPr>
          <w:lang w:val="en-US"/>
        </w:rPr>
        <w:t>Article</w:t>
      </w:r>
      <w:r w:rsidR="000A7745" w:rsidRPr="00C9465D">
        <w:rPr>
          <w:lang w:val="en-US"/>
        </w:rPr>
        <w:t xml:space="preserve"> 26, </w:t>
      </w:r>
      <w:r w:rsidRPr="00C9465D">
        <w:rPr>
          <w:lang w:val="en-US"/>
        </w:rPr>
        <w:t xml:space="preserve">the States that signed this international instrument are bound to comply with </w:t>
      </w:r>
      <w:r w:rsidR="00AC1354" w:rsidRPr="00C9465D">
        <w:rPr>
          <w:lang w:val="en-US"/>
        </w:rPr>
        <w:t>the right</w:t>
      </w:r>
      <w:r w:rsidR="00260D95" w:rsidRPr="00C9465D">
        <w:rPr>
          <w:lang w:val="en-US"/>
        </w:rPr>
        <w:t xml:space="preserve"> to health</w:t>
      </w:r>
      <w:r w:rsidRPr="00C9465D">
        <w:rPr>
          <w:lang w:val="en-US"/>
        </w:rPr>
        <w:t xml:space="preserve"> and this is reflected in the </w:t>
      </w:r>
      <w:r w:rsidR="00ED4AE9" w:rsidRPr="00C9465D">
        <w:rPr>
          <w:lang w:val="en-US"/>
        </w:rPr>
        <w:t>S</w:t>
      </w:r>
      <w:r w:rsidRPr="00C9465D">
        <w:rPr>
          <w:lang w:val="en-US"/>
        </w:rPr>
        <w:t>tate</w:t>
      </w:r>
      <w:r w:rsidR="00ED4AE9" w:rsidRPr="00C9465D">
        <w:rPr>
          <w:lang w:val="en-US"/>
        </w:rPr>
        <w:t>’s</w:t>
      </w:r>
      <w:r w:rsidRPr="00C9465D">
        <w:rPr>
          <w:lang w:val="en-US"/>
        </w:rPr>
        <w:t xml:space="preserve"> duty to ensure access to essential health services immediately</w:t>
      </w:r>
      <w:r w:rsidR="000A7745" w:rsidRPr="00C9465D">
        <w:rPr>
          <w:lang w:val="en-US"/>
        </w:rPr>
        <w:t xml:space="preserve">. </w:t>
      </w:r>
      <w:r w:rsidRPr="00C9465D">
        <w:rPr>
          <w:lang w:val="en-US"/>
        </w:rPr>
        <w:t>Even though it is possible to note that this interpretation by</w:t>
      </w:r>
      <w:r w:rsidR="00193CBB" w:rsidRPr="00C9465D">
        <w:rPr>
          <w:lang w:val="en-US"/>
        </w:rPr>
        <w:t xml:space="preserve"> the Inter-American Cour</w:t>
      </w:r>
      <w:r w:rsidR="00D351AD" w:rsidRPr="00C9465D">
        <w:rPr>
          <w:lang w:val="en-US"/>
        </w:rPr>
        <w:t>t</w:t>
      </w:r>
      <w:r w:rsidRPr="00C9465D">
        <w:rPr>
          <w:lang w:val="en-US"/>
        </w:rPr>
        <w:t xml:space="preserve"> is </w:t>
      </w:r>
      <w:r w:rsidR="000F07EF" w:rsidRPr="00C9465D">
        <w:rPr>
          <w:lang w:val="en-US"/>
        </w:rPr>
        <w:t>phase with</w:t>
      </w:r>
      <w:r w:rsidRPr="00C9465D">
        <w:rPr>
          <w:lang w:val="en-US"/>
        </w:rPr>
        <w:t xml:space="preserve"> or corresponds to the most recent development</w:t>
      </w:r>
      <w:r w:rsidR="000F07EF" w:rsidRPr="00C9465D">
        <w:rPr>
          <w:lang w:val="en-US"/>
        </w:rPr>
        <w:t>s</w:t>
      </w:r>
      <w:r w:rsidRPr="00C9465D">
        <w:rPr>
          <w:lang w:val="en-US"/>
        </w:rPr>
        <w:t xml:space="preserve"> of some States of the region, such as </w:t>
      </w:r>
      <w:r w:rsidR="000A7745" w:rsidRPr="00C9465D">
        <w:rPr>
          <w:lang w:val="en-US"/>
        </w:rPr>
        <w:t>Colombia</w:t>
      </w:r>
      <w:r w:rsidRPr="00C9465D">
        <w:rPr>
          <w:lang w:val="en-US"/>
        </w:rPr>
        <w:t>,</w:t>
      </w:r>
      <w:r w:rsidR="000A7745" w:rsidRPr="00C9465D">
        <w:rPr>
          <w:rStyle w:val="FootnoteReference"/>
          <w:lang w:val="en-US"/>
        </w:rPr>
        <w:footnoteReference w:id="483"/>
      </w:r>
      <w:r w:rsidRPr="00C9465D">
        <w:rPr>
          <w:lang w:val="en-US"/>
        </w:rPr>
        <w:t xml:space="preserve"> it is unclear whether </w:t>
      </w:r>
      <w:r w:rsidR="00D351AD" w:rsidRPr="00C9465D">
        <w:rPr>
          <w:lang w:val="en-US"/>
        </w:rPr>
        <w:t>the same conclusion can be reached for the other States.</w:t>
      </w:r>
      <w:r w:rsidR="000A7745" w:rsidRPr="00C9465D">
        <w:rPr>
          <w:lang w:val="en-US"/>
        </w:rPr>
        <w:t xml:space="preserve"> </w:t>
      </w:r>
    </w:p>
    <w:p w14:paraId="21CDC7D9" w14:textId="77777777" w:rsidR="000A7745" w:rsidRPr="00C9465D" w:rsidRDefault="000A7745" w:rsidP="00496133">
      <w:pPr>
        <w:pStyle w:val="ListParagraph"/>
        <w:spacing w:line="240" w:lineRule="auto"/>
        <w:ind w:left="1440"/>
        <w:rPr>
          <w:rFonts w:eastAsia="Verdana"/>
          <w:lang w:val="en-US"/>
        </w:rPr>
      </w:pPr>
    </w:p>
    <w:p w14:paraId="228F101B" w14:textId="342689F9" w:rsidR="00D351AD" w:rsidRPr="00C9465D" w:rsidRDefault="00193CBB" w:rsidP="00D351AD">
      <w:pPr>
        <w:pStyle w:val="ListParagraph"/>
        <w:numPr>
          <w:ilvl w:val="0"/>
          <w:numId w:val="22"/>
        </w:numPr>
        <w:autoSpaceDE w:val="0"/>
        <w:autoSpaceDN w:val="0"/>
        <w:adjustRightInd w:val="0"/>
        <w:spacing w:before="120" w:after="160" w:line="240" w:lineRule="auto"/>
        <w:ind w:left="0" w:firstLine="0"/>
        <w:outlineLvl w:val="0"/>
        <w:rPr>
          <w:rFonts w:eastAsia="Verdana"/>
          <w:lang w:val="en-US"/>
        </w:rPr>
      </w:pPr>
      <w:r w:rsidRPr="00C9465D">
        <w:rPr>
          <w:lang w:val="en-US"/>
        </w:rPr>
        <w:lastRenderedPageBreak/>
        <w:t>The Court</w:t>
      </w:r>
      <w:r w:rsidR="000A7745" w:rsidRPr="00C9465D">
        <w:rPr>
          <w:lang w:val="en-US"/>
        </w:rPr>
        <w:t xml:space="preserve"> </w:t>
      </w:r>
      <w:r w:rsidR="00D351AD" w:rsidRPr="00C9465D">
        <w:rPr>
          <w:lang w:val="en-US"/>
        </w:rPr>
        <w:t xml:space="preserve">establishes in the judgment that  </w:t>
      </w:r>
      <w:r w:rsidR="00D8209E" w:rsidRPr="00C9465D">
        <w:rPr>
          <w:lang w:val="en-US"/>
        </w:rPr>
        <w:t>it “notes</w:t>
      </w:r>
      <w:r w:rsidR="00D351AD" w:rsidRPr="00C9465D">
        <w:rPr>
          <w:lang w:val="en-US"/>
        </w:rPr>
        <w:t xml:space="preserve"> a broad regional consensus in relation to consolidation of the right to health, which is explicitly recognized in various Constitutions and internal laws of the States of the region.</w:t>
      </w:r>
      <w:r w:rsidR="000A7745" w:rsidRPr="00C9465D">
        <w:rPr>
          <w:lang w:val="en-US"/>
        </w:rPr>
        <w:t>”</w:t>
      </w:r>
      <w:r w:rsidR="000A7745" w:rsidRPr="00C9465D">
        <w:rPr>
          <w:vertAlign w:val="superscript"/>
          <w:lang w:val="en-US"/>
        </w:rPr>
        <w:footnoteReference w:id="484"/>
      </w:r>
      <w:r w:rsidR="00D351AD" w:rsidRPr="00C9465D">
        <w:rPr>
          <w:lang w:val="en-US"/>
        </w:rPr>
        <w:t xml:space="preserve"> However, I find that this assertion is not reasonable because it is too general. Just to </w:t>
      </w:r>
      <w:r w:rsidR="000F07EF" w:rsidRPr="00C9465D">
        <w:rPr>
          <w:lang w:val="en-US"/>
        </w:rPr>
        <w:t>mention</w:t>
      </w:r>
      <w:r w:rsidR="00D351AD" w:rsidRPr="00C9465D">
        <w:rPr>
          <w:lang w:val="en-US"/>
        </w:rPr>
        <w:t xml:space="preserve"> some of the references, neither a</w:t>
      </w:r>
      <w:r w:rsidRPr="00C9465D">
        <w:rPr>
          <w:lang w:val="en-US"/>
        </w:rPr>
        <w:t>rticle</w:t>
      </w:r>
      <w:r w:rsidR="000A7745" w:rsidRPr="00C9465D">
        <w:rPr>
          <w:lang w:val="en-US"/>
        </w:rPr>
        <w:t xml:space="preserve"> 19 </w:t>
      </w:r>
      <w:r w:rsidR="00D351AD" w:rsidRPr="00C9465D">
        <w:rPr>
          <w:lang w:val="en-US"/>
        </w:rPr>
        <w:t xml:space="preserve">of the </w:t>
      </w:r>
      <w:r w:rsidR="00561A0C" w:rsidRPr="00C9465D">
        <w:rPr>
          <w:lang w:val="en-US"/>
        </w:rPr>
        <w:t>Constitution</w:t>
      </w:r>
      <w:r w:rsidR="00D351AD" w:rsidRPr="00C9465D">
        <w:rPr>
          <w:lang w:val="en-US"/>
        </w:rPr>
        <w:t xml:space="preserve"> of Chile, nor a</w:t>
      </w:r>
      <w:r w:rsidRPr="00C9465D">
        <w:rPr>
          <w:lang w:val="en-US"/>
        </w:rPr>
        <w:t>rticle</w:t>
      </w:r>
      <w:r w:rsidR="000A7745" w:rsidRPr="00C9465D">
        <w:rPr>
          <w:lang w:val="en-US"/>
        </w:rPr>
        <w:t xml:space="preserve"> 46 </w:t>
      </w:r>
      <w:r w:rsidR="00D351AD" w:rsidRPr="00C9465D">
        <w:rPr>
          <w:lang w:val="en-US"/>
        </w:rPr>
        <w:t>of the</w:t>
      </w:r>
      <w:r w:rsidR="000A7745" w:rsidRPr="00C9465D">
        <w:rPr>
          <w:lang w:val="en-US"/>
        </w:rPr>
        <w:t xml:space="preserve"> </w:t>
      </w:r>
      <w:r w:rsidR="00561A0C" w:rsidRPr="00C9465D">
        <w:rPr>
          <w:lang w:val="en-US"/>
        </w:rPr>
        <w:t>Constitution</w:t>
      </w:r>
      <w:r w:rsidR="000A7745" w:rsidRPr="00C9465D">
        <w:rPr>
          <w:lang w:val="en-US"/>
        </w:rPr>
        <w:t xml:space="preserve"> </w:t>
      </w:r>
      <w:r w:rsidR="00D351AD" w:rsidRPr="00C9465D">
        <w:rPr>
          <w:lang w:val="en-US"/>
        </w:rPr>
        <w:t>of</w:t>
      </w:r>
      <w:r w:rsidR="000A7745" w:rsidRPr="00C9465D">
        <w:rPr>
          <w:lang w:val="en-US"/>
        </w:rPr>
        <w:t xml:space="preserve"> Costa Rica </w:t>
      </w:r>
      <w:r w:rsidR="00D351AD" w:rsidRPr="00C9465D">
        <w:rPr>
          <w:lang w:val="en-US"/>
        </w:rPr>
        <w:t>establish</w:t>
      </w:r>
      <w:r w:rsidR="000A7745" w:rsidRPr="00C9465D">
        <w:rPr>
          <w:lang w:val="en-US"/>
        </w:rPr>
        <w:t xml:space="preserve"> </w:t>
      </w:r>
      <w:r w:rsidR="00AC1354" w:rsidRPr="00C9465D">
        <w:rPr>
          <w:lang w:val="en-US"/>
        </w:rPr>
        <w:t>the right</w:t>
      </w:r>
      <w:r w:rsidR="00260D95" w:rsidRPr="00C9465D">
        <w:rPr>
          <w:lang w:val="en-US"/>
        </w:rPr>
        <w:t xml:space="preserve"> to health</w:t>
      </w:r>
      <w:r w:rsidR="000A7745" w:rsidRPr="00C9465D">
        <w:rPr>
          <w:lang w:val="en-US"/>
        </w:rPr>
        <w:t xml:space="preserve"> </w:t>
      </w:r>
      <w:r w:rsidR="00D351AD" w:rsidRPr="00C9465D">
        <w:rPr>
          <w:lang w:val="en-US"/>
        </w:rPr>
        <w:t xml:space="preserve">in the way the Court indicates. </w:t>
      </w:r>
      <w:r w:rsidR="000F07EF" w:rsidRPr="00C9465D">
        <w:rPr>
          <w:lang w:val="en-US"/>
        </w:rPr>
        <w:t>In other words,</w:t>
      </w:r>
      <w:r w:rsidR="00D351AD" w:rsidRPr="00C9465D">
        <w:rPr>
          <w:lang w:val="en-US"/>
        </w:rPr>
        <w:t xml:space="preserve"> this position does not take into consideration the different contexts, the range of the discussions in </w:t>
      </w:r>
      <w:r w:rsidR="000F07EF" w:rsidRPr="00C9465D">
        <w:rPr>
          <w:lang w:val="en-US"/>
        </w:rPr>
        <w:t xml:space="preserve">each </w:t>
      </w:r>
      <w:r w:rsidR="00D351AD" w:rsidRPr="00C9465D">
        <w:rPr>
          <w:lang w:val="en-US"/>
        </w:rPr>
        <w:t xml:space="preserve">State, the different designs of the </w:t>
      </w:r>
      <w:r w:rsidR="000F07EF" w:rsidRPr="00C9465D">
        <w:rPr>
          <w:lang w:val="en-US"/>
        </w:rPr>
        <w:t xml:space="preserve">domestic </w:t>
      </w:r>
      <w:r w:rsidR="00D351AD" w:rsidRPr="00C9465D">
        <w:rPr>
          <w:lang w:val="en-US"/>
        </w:rPr>
        <w:t>legal systems, or simply the real possibilities of implement</w:t>
      </w:r>
      <w:r w:rsidR="000F07EF" w:rsidRPr="00C9465D">
        <w:rPr>
          <w:lang w:val="en-US"/>
        </w:rPr>
        <w:t>ing</w:t>
      </w:r>
      <w:r w:rsidR="00D351AD" w:rsidRPr="00C9465D">
        <w:rPr>
          <w:lang w:val="en-US"/>
        </w:rPr>
        <w:t xml:space="preserve"> the </w:t>
      </w:r>
      <w:r w:rsidR="000F07EF" w:rsidRPr="00C9465D">
        <w:rPr>
          <w:lang w:val="en-US"/>
        </w:rPr>
        <w:t>declarations.</w:t>
      </w:r>
    </w:p>
    <w:p w14:paraId="2143B483" w14:textId="77777777" w:rsidR="000A7745" w:rsidRPr="00C9465D" w:rsidRDefault="000A7745" w:rsidP="00496133">
      <w:pPr>
        <w:pStyle w:val="ListParagraph"/>
        <w:spacing w:line="240" w:lineRule="auto"/>
        <w:ind w:left="1440"/>
        <w:rPr>
          <w:rFonts w:eastAsia="Verdana"/>
          <w:lang w:val="en-US"/>
        </w:rPr>
      </w:pPr>
    </w:p>
    <w:p w14:paraId="3D70B7DE" w14:textId="07506A7A" w:rsidR="000A7745" w:rsidRPr="00C9465D" w:rsidRDefault="00D351AD" w:rsidP="00D351AD">
      <w:pPr>
        <w:pStyle w:val="ListParagraph"/>
        <w:numPr>
          <w:ilvl w:val="0"/>
          <w:numId w:val="22"/>
        </w:numPr>
        <w:autoSpaceDE w:val="0"/>
        <w:autoSpaceDN w:val="0"/>
        <w:adjustRightInd w:val="0"/>
        <w:spacing w:before="120" w:after="160" w:line="240" w:lineRule="auto"/>
        <w:ind w:left="0" w:firstLine="0"/>
        <w:outlineLvl w:val="0"/>
        <w:rPr>
          <w:rFonts w:eastAsia="Verdana"/>
          <w:lang w:val="en-US"/>
        </w:rPr>
      </w:pPr>
      <w:r w:rsidRPr="00C9465D">
        <w:rPr>
          <w:lang w:val="en-US"/>
        </w:rPr>
        <w:t xml:space="preserve">In this case, it is clear that the internationally wrongful act is founded on the absence of free treatment for Mr. Guachalá Chimbo, understood as an obligation that must be complied with immediately, as well as the lack of quality of the medical care at the time of his hospitalization. Even though the Court took the laws of Ecuador into account, in particular </w:t>
      </w:r>
      <w:r w:rsidRPr="00C9465D">
        <w:rPr>
          <w:rFonts w:eastAsia="Verdana"/>
          <w:lang w:val="en-US"/>
        </w:rPr>
        <w:t xml:space="preserve">article 53 of the </w:t>
      </w:r>
      <w:r w:rsidRPr="00C9465D">
        <w:rPr>
          <w:lang w:val="en-US"/>
        </w:rPr>
        <w:t>Constitution in force at the time of the facts, which ordered “priority, preferential and specialized care” for persons with disabilities; indirectly, it establishe</w:t>
      </w:r>
      <w:r w:rsidR="000F07EF" w:rsidRPr="00C9465D">
        <w:rPr>
          <w:lang w:val="en-US"/>
        </w:rPr>
        <w:t>d</w:t>
      </w:r>
      <w:r w:rsidRPr="00C9465D">
        <w:rPr>
          <w:lang w:val="en-US"/>
        </w:rPr>
        <w:t xml:space="preserve"> a high regional standard in this regard, which has no basis in the Convention. </w:t>
      </w:r>
      <w:r w:rsidR="00FC5552" w:rsidRPr="00C9465D">
        <w:rPr>
          <w:lang w:val="en-US"/>
        </w:rPr>
        <w:t>As I have indicated, Article 26 merely refers to an objective to</w:t>
      </w:r>
      <w:r w:rsidR="000F07EF" w:rsidRPr="00C9465D">
        <w:rPr>
          <w:lang w:val="en-US"/>
        </w:rPr>
        <w:t xml:space="preserve"> </w:t>
      </w:r>
      <w:r w:rsidR="00FC5552" w:rsidRPr="00C9465D">
        <w:rPr>
          <w:lang w:val="en-US"/>
        </w:rPr>
        <w:t xml:space="preserve">achieve progressively the full </w:t>
      </w:r>
      <w:r w:rsidR="000F07EF" w:rsidRPr="00C9465D">
        <w:rPr>
          <w:lang w:val="en-US"/>
        </w:rPr>
        <w:t>realization</w:t>
      </w:r>
      <w:r w:rsidR="00FC5552" w:rsidRPr="00C9465D">
        <w:rPr>
          <w:lang w:val="en-US"/>
        </w:rPr>
        <w:t xml:space="preserve"> of the rights derived from the economic, social, educational, scientific and cultural </w:t>
      </w:r>
      <w:r w:rsidR="000F07EF" w:rsidRPr="00C9465D">
        <w:rPr>
          <w:lang w:val="en-US"/>
        </w:rPr>
        <w:t xml:space="preserve">provisions, subject to </w:t>
      </w:r>
      <w:r w:rsidR="00FC5552" w:rsidRPr="00C9465D">
        <w:rPr>
          <w:lang w:val="en-US"/>
        </w:rPr>
        <w:t xml:space="preserve">available resources, and does not refer to any obligation of an instantaneous nature to standardize or equalize the position of each of the States in order to comply fully and instantaneously with </w:t>
      </w:r>
      <w:r w:rsidR="003B2005" w:rsidRPr="00C9465D">
        <w:rPr>
          <w:lang w:val="en-US"/>
        </w:rPr>
        <w:t>the ESCER</w:t>
      </w:r>
      <w:r w:rsidR="00FC5552" w:rsidRPr="00C9465D">
        <w:rPr>
          <w:lang w:val="en-US"/>
        </w:rPr>
        <w:t>.</w:t>
      </w:r>
      <w:r w:rsidR="000A7745" w:rsidRPr="00C9465D">
        <w:rPr>
          <w:rStyle w:val="FootnoteReference"/>
          <w:lang w:val="en-US"/>
        </w:rPr>
        <w:footnoteReference w:id="485"/>
      </w:r>
    </w:p>
    <w:p w14:paraId="284A94EB" w14:textId="77777777" w:rsidR="000A7745" w:rsidRPr="00C9465D" w:rsidRDefault="000A7745" w:rsidP="00496133">
      <w:pPr>
        <w:pStyle w:val="ListParagraph"/>
        <w:spacing w:before="120" w:after="160" w:line="240" w:lineRule="auto"/>
        <w:ind w:left="0"/>
        <w:outlineLvl w:val="0"/>
        <w:rPr>
          <w:rFonts w:eastAsia="Verdana"/>
          <w:lang w:val="en-US"/>
        </w:rPr>
      </w:pPr>
    </w:p>
    <w:p w14:paraId="3A341DB0" w14:textId="720BB412" w:rsidR="000A7745" w:rsidRPr="00C9465D" w:rsidRDefault="00FC5552" w:rsidP="00FC5552">
      <w:pPr>
        <w:pStyle w:val="ListParagraph"/>
        <w:numPr>
          <w:ilvl w:val="0"/>
          <w:numId w:val="22"/>
        </w:numPr>
        <w:autoSpaceDE w:val="0"/>
        <w:autoSpaceDN w:val="0"/>
        <w:adjustRightInd w:val="0"/>
        <w:spacing w:before="120" w:after="160" w:line="240" w:lineRule="auto"/>
        <w:ind w:left="0" w:firstLine="0"/>
        <w:outlineLvl w:val="0"/>
        <w:rPr>
          <w:rFonts w:eastAsia="Verdana"/>
          <w:lang w:val="en-US"/>
        </w:rPr>
      </w:pPr>
      <w:r w:rsidRPr="00C9465D">
        <w:rPr>
          <w:lang w:val="en-US"/>
        </w:rPr>
        <w:t>Although, on this occasion, the Court did not order</w:t>
      </w:r>
      <w:r w:rsidR="000A7745" w:rsidRPr="00C9465D">
        <w:rPr>
          <w:lang w:val="en-US"/>
        </w:rPr>
        <w:t xml:space="preserve"> </w:t>
      </w:r>
      <w:r w:rsidR="00CF3A9D" w:rsidRPr="00C9465D">
        <w:rPr>
          <w:lang w:val="en-US"/>
        </w:rPr>
        <w:t>measures of reparation</w:t>
      </w:r>
      <w:r w:rsidR="000A7745" w:rsidRPr="00C9465D">
        <w:rPr>
          <w:lang w:val="en-US"/>
        </w:rPr>
        <w:t xml:space="preserve"> o</w:t>
      </w:r>
      <w:r w:rsidRPr="00C9465D">
        <w:rPr>
          <w:lang w:val="en-US"/>
        </w:rPr>
        <w:t>r</w:t>
      </w:r>
      <w:r w:rsidR="000A7745" w:rsidRPr="00C9465D">
        <w:rPr>
          <w:lang w:val="en-US"/>
        </w:rPr>
        <w:t xml:space="preserve"> </w:t>
      </w:r>
      <w:r w:rsidRPr="00C9465D">
        <w:rPr>
          <w:lang w:val="en-US"/>
        </w:rPr>
        <w:t>g</w:t>
      </w:r>
      <w:r w:rsidR="00644DD4" w:rsidRPr="00C9465D">
        <w:rPr>
          <w:lang w:val="en-US"/>
        </w:rPr>
        <w:t>uarantees of non-repetition</w:t>
      </w:r>
      <w:r w:rsidR="000A7745" w:rsidRPr="00C9465D">
        <w:rPr>
          <w:lang w:val="en-US"/>
        </w:rPr>
        <w:t xml:space="preserve"> </w:t>
      </w:r>
      <w:r w:rsidRPr="00C9465D">
        <w:rPr>
          <w:lang w:val="en-US"/>
        </w:rPr>
        <w:t>expressly addressed at the implementation of specific models of health care, its reasoning on Ecuador’s international responsibility for failing to provide free treatment in this case warrants some considerations on the object and purpose of the work of the San José</w:t>
      </w:r>
      <w:r w:rsidR="000F07EF" w:rsidRPr="00C9465D">
        <w:rPr>
          <w:lang w:val="en-US"/>
        </w:rPr>
        <w:t xml:space="preserve"> Court</w:t>
      </w:r>
      <w:r w:rsidRPr="00C9465D">
        <w:rPr>
          <w:lang w:val="en-US"/>
        </w:rPr>
        <w:t xml:space="preserve"> in relation to the mechanisms to comply with the treaty-based obligations, especially as regards their social benefit aspects.</w:t>
      </w:r>
    </w:p>
    <w:p w14:paraId="307DF5C8" w14:textId="77777777" w:rsidR="00FC5552" w:rsidRPr="00C9465D" w:rsidRDefault="00FC5552" w:rsidP="00FC5552">
      <w:pPr>
        <w:pStyle w:val="ListParagraph"/>
        <w:autoSpaceDE w:val="0"/>
        <w:autoSpaceDN w:val="0"/>
        <w:adjustRightInd w:val="0"/>
        <w:spacing w:before="120" w:after="160" w:line="240" w:lineRule="auto"/>
        <w:ind w:left="0"/>
        <w:outlineLvl w:val="0"/>
        <w:rPr>
          <w:rFonts w:eastAsia="Verdana"/>
          <w:lang w:val="en-US"/>
        </w:rPr>
      </w:pPr>
    </w:p>
    <w:p w14:paraId="7C63C6AB" w14:textId="438265D9" w:rsidR="000A7745" w:rsidRPr="00C9465D" w:rsidRDefault="00FC5552" w:rsidP="00FC5552">
      <w:pPr>
        <w:pStyle w:val="ListParagraph"/>
        <w:numPr>
          <w:ilvl w:val="0"/>
          <w:numId w:val="22"/>
        </w:numPr>
        <w:autoSpaceDE w:val="0"/>
        <w:autoSpaceDN w:val="0"/>
        <w:adjustRightInd w:val="0"/>
        <w:spacing w:before="120" w:after="160" w:line="240" w:lineRule="auto"/>
        <w:ind w:left="0" w:firstLine="0"/>
        <w:outlineLvl w:val="0"/>
        <w:rPr>
          <w:rFonts w:eastAsia="Verdana"/>
          <w:lang w:val="en-US"/>
        </w:rPr>
      </w:pPr>
      <w:r w:rsidRPr="00C9465D">
        <w:rPr>
          <w:lang w:val="en-US" w:eastAsia="es-MX"/>
        </w:rPr>
        <w:t>As I have</w:t>
      </w:r>
      <w:r w:rsidR="000F07EF" w:rsidRPr="00C9465D">
        <w:rPr>
          <w:lang w:val="en-US" w:eastAsia="es-MX"/>
        </w:rPr>
        <w:t xml:space="preserve"> been</w:t>
      </w:r>
      <w:r w:rsidRPr="00C9465D">
        <w:rPr>
          <w:lang w:val="en-US" w:eastAsia="es-MX"/>
        </w:rPr>
        <w:t xml:space="preserve"> indicat</w:t>
      </w:r>
      <w:r w:rsidR="000F07EF" w:rsidRPr="00C9465D">
        <w:rPr>
          <w:lang w:val="en-US" w:eastAsia="es-MX"/>
        </w:rPr>
        <w:t>ing</w:t>
      </w:r>
      <w:r w:rsidRPr="00C9465D">
        <w:rPr>
          <w:lang w:val="en-US" w:eastAsia="es-MX"/>
        </w:rPr>
        <w:t xml:space="preserve"> since I was a</w:t>
      </w:r>
      <w:r w:rsidR="000A7745" w:rsidRPr="00C9465D">
        <w:rPr>
          <w:lang w:val="en-US" w:eastAsia="es-MX"/>
        </w:rPr>
        <w:t xml:space="preserve"> </w:t>
      </w:r>
      <w:r w:rsidR="00193CBB" w:rsidRPr="00C9465D">
        <w:rPr>
          <w:lang w:val="en-US" w:eastAsia="es-MX"/>
        </w:rPr>
        <w:t xml:space="preserve">judge of the </w:t>
      </w:r>
      <w:r w:rsidRPr="00C9465D">
        <w:rPr>
          <w:lang w:val="en-US" w:eastAsia="es-MX"/>
        </w:rPr>
        <w:t xml:space="preserve">Constitutional </w:t>
      </w:r>
      <w:r w:rsidR="00193CBB" w:rsidRPr="00C9465D">
        <w:rPr>
          <w:lang w:val="en-US" w:eastAsia="es-MX"/>
        </w:rPr>
        <w:t>Court</w:t>
      </w:r>
      <w:r w:rsidR="000A7745" w:rsidRPr="00C9465D">
        <w:rPr>
          <w:lang w:val="en-US" w:eastAsia="es-MX"/>
        </w:rPr>
        <w:t xml:space="preserve"> </w:t>
      </w:r>
      <w:r w:rsidRPr="00C9465D">
        <w:rPr>
          <w:lang w:val="en-US" w:eastAsia="es-MX"/>
        </w:rPr>
        <w:t>of</w:t>
      </w:r>
      <w:r w:rsidR="000A7745" w:rsidRPr="00C9465D">
        <w:rPr>
          <w:lang w:val="en-US" w:eastAsia="es-MX"/>
        </w:rPr>
        <w:t xml:space="preserve"> Colombia,</w:t>
      </w:r>
      <w:r w:rsidRPr="00C9465D">
        <w:rPr>
          <w:lang w:val="en-US" w:eastAsia="es-MX"/>
        </w:rPr>
        <w:t xml:space="preserve"> the aspect </w:t>
      </w:r>
      <w:r w:rsidR="00AC1354" w:rsidRPr="00C9465D">
        <w:rPr>
          <w:lang w:val="en-US" w:eastAsia="es-MX"/>
        </w:rPr>
        <w:t>of the right</w:t>
      </w:r>
      <w:r w:rsidR="00260D95" w:rsidRPr="00C9465D">
        <w:rPr>
          <w:lang w:val="en-US" w:eastAsia="es-MX"/>
        </w:rPr>
        <w:t xml:space="preserve"> to health</w:t>
      </w:r>
      <w:r w:rsidRPr="00C9465D">
        <w:rPr>
          <w:lang w:val="en-US" w:eastAsia="es-MX"/>
        </w:rPr>
        <w:t xml:space="preserve"> as a social </w:t>
      </w:r>
      <w:r w:rsidR="00E3139F" w:rsidRPr="00C9465D">
        <w:rPr>
          <w:lang w:val="en-US" w:eastAsia="es-MX"/>
        </w:rPr>
        <w:t>b</w:t>
      </w:r>
      <w:r w:rsidRPr="00C9465D">
        <w:rPr>
          <w:lang w:val="en-US" w:eastAsia="es-MX"/>
        </w:rPr>
        <w:t>enefit obliges</w:t>
      </w:r>
      <w:r w:rsidR="000A7745" w:rsidRPr="00C9465D">
        <w:rPr>
          <w:lang w:val="en-US" w:eastAsia="es-MX"/>
        </w:rPr>
        <w:t xml:space="preserve"> </w:t>
      </w:r>
      <w:r w:rsidR="00577DE0" w:rsidRPr="00C9465D">
        <w:rPr>
          <w:lang w:val="en-US" w:eastAsia="es-MX"/>
        </w:rPr>
        <w:t>the State</w:t>
      </w:r>
      <w:r w:rsidR="000A7745" w:rsidRPr="00C9465D">
        <w:rPr>
          <w:lang w:val="en-US" w:eastAsia="es-MX"/>
        </w:rPr>
        <w:t xml:space="preserve"> “</w:t>
      </w:r>
      <w:r w:rsidRPr="00C9465D">
        <w:rPr>
          <w:lang w:val="en-US" w:eastAsia="es-MX"/>
        </w:rPr>
        <w:t>to rationalize the allocation of investment to ensure that its guarantee has a comprehensive scope, given the need for sustainability that the guarantee of other rights also involves.</w:t>
      </w:r>
      <w:r w:rsidR="000A7745" w:rsidRPr="00C9465D">
        <w:rPr>
          <w:lang w:val="en-US" w:eastAsia="es-MX"/>
        </w:rPr>
        <w:t>”</w:t>
      </w:r>
      <w:r w:rsidR="000A7745" w:rsidRPr="00C9465D">
        <w:rPr>
          <w:rStyle w:val="FootnoteReference"/>
          <w:lang w:val="en-US" w:eastAsia="es-MX"/>
        </w:rPr>
        <w:footnoteReference w:id="486"/>
      </w:r>
      <w:r w:rsidRPr="00C9465D">
        <w:rPr>
          <w:lang w:val="en-US" w:eastAsia="es-MX"/>
        </w:rPr>
        <w:t xml:space="preserve"> Indeed, although this case refers to </w:t>
      </w:r>
      <w:r w:rsidR="00AC1354" w:rsidRPr="00C9465D">
        <w:rPr>
          <w:lang w:val="en-US" w:eastAsia="es-MX"/>
        </w:rPr>
        <w:t>the right</w:t>
      </w:r>
      <w:r w:rsidR="00260D95" w:rsidRPr="00C9465D">
        <w:rPr>
          <w:lang w:val="en-US" w:eastAsia="es-MX"/>
        </w:rPr>
        <w:t xml:space="preserve"> to health</w:t>
      </w:r>
      <w:r w:rsidR="000A7745" w:rsidRPr="00C9465D">
        <w:rPr>
          <w:lang w:val="en-US" w:eastAsia="es-MX"/>
        </w:rPr>
        <w:t xml:space="preserve"> </w:t>
      </w:r>
      <w:r w:rsidR="00186C7A" w:rsidRPr="00C9465D">
        <w:rPr>
          <w:lang w:val="en-US" w:eastAsia="es-MX"/>
        </w:rPr>
        <w:t>in relation to</w:t>
      </w:r>
      <w:r w:rsidR="000A7745" w:rsidRPr="00C9465D">
        <w:rPr>
          <w:lang w:val="en-US" w:eastAsia="es-MX"/>
        </w:rPr>
        <w:t xml:space="preserve"> </w:t>
      </w:r>
      <w:r w:rsidR="00D85850" w:rsidRPr="00C9465D">
        <w:rPr>
          <w:lang w:val="en-US" w:eastAsia="es-MX"/>
        </w:rPr>
        <w:t>persons with disabilities</w:t>
      </w:r>
      <w:r w:rsidR="000A7745" w:rsidRPr="00C9465D">
        <w:rPr>
          <w:lang w:val="en-US" w:eastAsia="es-MX"/>
        </w:rPr>
        <w:t xml:space="preserve">, </w:t>
      </w:r>
      <w:r w:rsidR="00186C7A" w:rsidRPr="00C9465D">
        <w:rPr>
          <w:lang w:val="en-US" w:eastAsia="es-MX"/>
        </w:rPr>
        <w:t xml:space="preserve">in a context of scarce resources, </w:t>
      </w:r>
      <w:r w:rsidR="00E3139F" w:rsidRPr="00C9465D">
        <w:rPr>
          <w:lang w:val="en-US" w:eastAsia="es-MX"/>
        </w:rPr>
        <w:t xml:space="preserve">it is necessary to take into account that </w:t>
      </w:r>
      <w:r w:rsidR="00186C7A" w:rsidRPr="00C9465D">
        <w:rPr>
          <w:lang w:val="en-US" w:eastAsia="es-MX"/>
        </w:rPr>
        <w:t xml:space="preserve">the guarantee </w:t>
      </w:r>
      <w:r w:rsidR="00AC1354" w:rsidRPr="00C9465D">
        <w:rPr>
          <w:lang w:val="en-US" w:eastAsia="es-MX"/>
        </w:rPr>
        <w:t>of the right</w:t>
      </w:r>
      <w:r w:rsidR="00260D95" w:rsidRPr="00C9465D">
        <w:rPr>
          <w:lang w:val="en-US" w:eastAsia="es-MX"/>
        </w:rPr>
        <w:t xml:space="preserve"> to health</w:t>
      </w:r>
      <w:r w:rsidR="000A7745" w:rsidRPr="00C9465D">
        <w:rPr>
          <w:lang w:val="en-US" w:eastAsia="es-MX"/>
        </w:rPr>
        <w:t xml:space="preserve"> </w:t>
      </w:r>
      <w:r w:rsidR="00186C7A" w:rsidRPr="00C9465D">
        <w:rPr>
          <w:lang w:val="en-US" w:eastAsia="es-MX"/>
        </w:rPr>
        <w:t>may affect the State’s capacity to respond to the needs of persons whose access to housing, food, water, employment and social security, among other matters, is also unsatisfied. This may lead to the conclusion that, in certain cases, it is necessary to adopt an approach that takes into account the needs of society as a whole, instead of focusing on the specific needs of a particular group.</w:t>
      </w:r>
      <w:r w:rsidR="000A7745" w:rsidRPr="00C9465D">
        <w:rPr>
          <w:rStyle w:val="FootnoteReference"/>
          <w:lang w:val="en-US" w:eastAsia="es-MX"/>
        </w:rPr>
        <w:footnoteReference w:id="487"/>
      </w:r>
    </w:p>
    <w:p w14:paraId="1AC9973E" w14:textId="77777777" w:rsidR="000A7745" w:rsidRPr="00C9465D" w:rsidRDefault="000A7745" w:rsidP="00496133">
      <w:pPr>
        <w:pStyle w:val="ListParagraph"/>
        <w:spacing w:line="240" w:lineRule="auto"/>
        <w:ind w:left="1440"/>
        <w:rPr>
          <w:rFonts w:eastAsia="Verdana"/>
          <w:lang w:val="en-US"/>
        </w:rPr>
      </w:pPr>
    </w:p>
    <w:p w14:paraId="42BBE896" w14:textId="7333CAAA" w:rsidR="000A7745" w:rsidRPr="00C9465D" w:rsidRDefault="00186C7A" w:rsidP="00186C7A">
      <w:pPr>
        <w:pStyle w:val="ListParagraph"/>
        <w:numPr>
          <w:ilvl w:val="0"/>
          <w:numId w:val="22"/>
        </w:numPr>
        <w:autoSpaceDE w:val="0"/>
        <w:autoSpaceDN w:val="0"/>
        <w:adjustRightInd w:val="0"/>
        <w:spacing w:before="120" w:after="160" w:line="240" w:lineRule="auto"/>
        <w:ind w:left="0" w:firstLine="0"/>
        <w:outlineLvl w:val="0"/>
        <w:rPr>
          <w:rFonts w:eastAsia="Verdana"/>
          <w:lang w:val="en-US"/>
        </w:rPr>
      </w:pPr>
      <w:r w:rsidRPr="00C9465D">
        <w:rPr>
          <w:lang w:val="en-US" w:eastAsia="es-MX"/>
        </w:rPr>
        <w:t xml:space="preserve">Furthermore, it is </w:t>
      </w:r>
      <w:r w:rsidR="00E3139F" w:rsidRPr="00C9465D">
        <w:rPr>
          <w:lang w:val="en-US" w:eastAsia="es-MX"/>
        </w:rPr>
        <w:t xml:space="preserve">also </w:t>
      </w:r>
      <w:r w:rsidRPr="00C9465D">
        <w:rPr>
          <w:lang w:val="en-US" w:eastAsia="es-MX"/>
        </w:rPr>
        <w:t>necessary to take into account the effects of the judicial decision</w:t>
      </w:r>
      <w:r w:rsidR="00E3139F" w:rsidRPr="00C9465D">
        <w:rPr>
          <w:lang w:val="en-US" w:eastAsia="es-MX"/>
        </w:rPr>
        <w:t xml:space="preserve"> vis-à-vis </w:t>
      </w:r>
      <w:r w:rsidRPr="00C9465D">
        <w:rPr>
          <w:lang w:val="en-US" w:eastAsia="es-MX"/>
        </w:rPr>
        <w:t>the State model protected by the inter-American system for the protection of human rights</w:t>
      </w:r>
      <w:r w:rsidR="000A7745" w:rsidRPr="00C9465D">
        <w:rPr>
          <w:lang w:val="en-US" w:eastAsia="es-MX"/>
        </w:rPr>
        <w:t xml:space="preserve">. </w:t>
      </w:r>
      <w:r w:rsidRPr="00C9465D">
        <w:rPr>
          <w:lang w:val="en-US" w:eastAsia="es-MX"/>
        </w:rPr>
        <w:t xml:space="preserve">Although the judges can and should delineate some of the means by which the Convention’s rights </w:t>
      </w:r>
      <w:r w:rsidRPr="00C9465D">
        <w:rPr>
          <w:lang w:val="en-US" w:eastAsia="es-MX"/>
        </w:rPr>
        <w:lastRenderedPageBreak/>
        <w:t xml:space="preserve">are ensured, it is essential that </w:t>
      </w:r>
      <w:r w:rsidR="00E3139F" w:rsidRPr="00C9465D">
        <w:rPr>
          <w:lang w:val="en-US" w:eastAsia="es-MX"/>
        </w:rPr>
        <w:t xml:space="preserve">the </w:t>
      </w:r>
      <w:r w:rsidRPr="00C9465D">
        <w:rPr>
          <w:lang w:val="en-US" w:eastAsia="es-MX"/>
        </w:rPr>
        <w:t xml:space="preserve">meaning and scope that the Court gives to these obligations leaves the State an adequate room for maneuver through its different branches or public authorities. In this regard, it should be recalled that States must have a certain degree of flexibility that allows them to meet their international commitments within their material possibilities, and based on their </w:t>
      </w:r>
      <w:r w:rsidR="00E3139F" w:rsidRPr="00C9465D">
        <w:rPr>
          <w:lang w:val="en-US" w:eastAsia="es-MX"/>
        </w:rPr>
        <w:t xml:space="preserve">particular context and </w:t>
      </w:r>
      <w:r w:rsidRPr="00C9465D">
        <w:rPr>
          <w:lang w:val="en-US" w:eastAsia="es-MX"/>
        </w:rPr>
        <w:t>social demand. Therefore, it is necessary to avoid pro</w:t>
      </w:r>
      <w:r w:rsidR="00E3139F" w:rsidRPr="00C9465D">
        <w:rPr>
          <w:lang w:val="en-US" w:eastAsia="es-MX"/>
        </w:rPr>
        <w:t>moting</w:t>
      </w:r>
      <w:r w:rsidRPr="00C9465D">
        <w:rPr>
          <w:lang w:val="en-US" w:eastAsia="es-MX"/>
        </w:rPr>
        <w:t xml:space="preserve"> an extensive interpretation of the position assumed in this judgment in relation to free health treatments for persons with disabilities, </w:t>
      </w:r>
      <w:r w:rsidR="00E3139F" w:rsidRPr="00C9465D">
        <w:rPr>
          <w:lang w:val="en-US" w:eastAsia="es-MX"/>
        </w:rPr>
        <w:t xml:space="preserve">because </w:t>
      </w:r>
      <w:r w:rsidRPr="00C9465D">
        <w:rPr>
          <w:lang w:val="en-US" w:eastAsia="es-MX"/>
        </w:rPr>
        <w:t xml:space="preserve">the context of the country, the available resources, and the effect that </w:t>
      </w:r>
      <w:r w:rsidR="000E55DB" w:rsidRPr="00C9465D">
        <w:rPr>
          <w:lang w:val="en-US" w:eastAsia="es-MX"/>
        </w:rPr>
        <w:t>according priority to a certain right or group may have on the other economic, social and cultural rights of the population as a whole</w:t>
      </w:r>
      <w:r w:rsidR="00E3139F" w:rsidRPr="00C9465D">
        <w:rPr>
          <w:lang w:val="en-US" w:eastAsia="es-MX"/>
        </w:rPr>
        <w:t xml:space="preserve"> must always be taken into account</w:t>
      </w:r>
      <w:r w:rsidR="000E55DB" w:rsidRPr="00C9465D">
        <w:rPr>
          <w:lang w:val="en-US" w:eastAsia="es-MX"/>
        </w:rPr>
        <w:t>. Within its sphere of competence, the Court should recognize that it is the States themselves, through their competent organs as established in domestic law, that are in the best position to take decisions on how to invest available resources in order to ensure both the right to health and other rights recognized in their domestic laws and in</w:t>
      </w:r>
      <w:r w:rsidR="000E55DB" w:rsidRPr="00C9465D">
        <w:rPr>
          <w:rFonts w:eastAsia="Verdana"/>
          <w:lang w:val="en-US"/>
        </w:rPr>
        <w:t xml:space="preserve"> </w:t>
      </w:r>
      <w:r w:rsidR="00193CBB" w:rsidRPr="00C9465D">
        <w:rPr>
          <w:lang w:val="en-US"/>
        </w:rPr>
        <w:t>the American Convention</w:t>
      </w:r>
      <w:r w:rsidR="000A7745" w:rsidRPr="00C9465D">
        <w:rPr>
          <w:lang w:val="en-US"/>
        </w:rPr>
        <w:t xml:space="preserve">. </w:t>
      </w:r>
      <w:r w:rsidR="000E55DB" w:rsidRPr="00C9465D">
        <w:rPr>
          <w:lang w:val="en-US"/>
        </w:rPr>
        <w:t xml:space="preserve">Thus, the failure to implement a specific model cannot, of itself, entail </w:t>
      </w:r>
      <w:r w:rsidR="00183C22" w:rsidRPr="00C9465D">
        <w:rPr>
          <w:lang w:val="en-US"/>
        </w:rPr>
        <w:t>a violation</w:t>
      </w:r>
      <w:r w:rsidR="000A7745" w:rsidRPr="00C9465D">
        <w:rPr>
          <w:lang w:val="en-US"/>
        </w:rPr>
        <w:t xml:space="preserve"> </w:t>
      </w:r>
      <w:r w:rsidR="000E55DB" w:rsidRPr="00C9465D">
        <w:rPr>
          <w:lang w:val="en-US"/>
        </w:rPr>
        <w:t xml:space="preserve">of their international obligations in the area </w:t>
      </w:r>
      <w:r w:rsidR="00260D95" w:rsidRPr="00C9465D">
        <w:rPr>
          <w:lang w:val="en-US"/>
        </w:rPr>
        <w:t>of the right to health</w:t>
      </w:r>
      <w:r w:rsidR="000A7745" w:rsidRPr="00C9465D">
        <w:rPr>
          <w:lang w:val="en-US"/>
        </w:rPr>
        <w:t xml:space="preserve">. </w:t>
      </w:r>
    </w:p>
    <w:p w14:paraId="27231ED6" w14:textId="3073D5C2" w:rsidR="000E55DB" w:rsidRPr="00C9465D" w:rsidRDefault="000E55DB" w:rsidP="000E55DB">
      <w:pPr>
        <w:pStyle w:val="ListParagraph"/>
        <w:autoSpaceDE w:val="0"/>
        <w:autoSpaceDN w:val="0"/>
        <w:adjustRightInd w:val="0"/>
        <w:spacing w:before="120" w:after="160" w:line="240" w:lineRule="auto"/>
        <w:ind w:left="0"/>
        <w:outlineLvl w:val="0"/>
        <w:rPr>
          <w:rFonts w:eastAsia="Verdana"/>
          <w:lang w:val="en-US"/>
        </w:rPr>
      </w:pPr>
    </w:p>
    <w:p w14:paraId="66DC4F69" w14:textId="77777777" w:rsidR="000E55DB" w:rsidRPr="00C9465D" w:rsidRDefault="000E55DB" w:rsidP="000E55DB">
      <w:pPr>
        <w:pStyle w:val="ListParagraph"/>
        <w:autoSpaceDE w:val="0"/>
        <w:autoSpaceDN w:val="0"/>
        <w:adjustRightInd w:val="0"/>
        <w:spacing w:before="120" w:after="160" w:line="240" w:lineRule="auto"/>
        <w:ind w:left="0"/>
        <w:outlineLvl w:val="0"/>
        <w:rPr>
          <w:rFonts w:eastAsia="Verdana"/>
          <w:lang w:val="en-US"/>
        </w:rPr>
      </w:pPr>
    </w:p>
    <w:p w14:paraId="3DD68BC6" w14:textId="77777777" w:rsidR="000A7745" w:rsidRPr="00C9465D" w:rsidRDefault="000A7745" w:rsidP="006A5339">
      <w:pPr>
        <w:pStyle w:val="Numberedparagraphs"/>
        <w:numPr>
          <w:ilvl w:val="0"/>
          <w:numId w:val="0"/>
        </w:numPr>
        <w:spacing w:before="0" w:after="0" w:line="276" w:lineRule="auto"/>
        <w:rPr>
          <w:lang w:val="en-US" w:eastAsia="es-MX"/>
        </w:rPr>
      </w:pPr>
    </w:p>
    <w:p w14:paraId="6ABCF721" w14:textId="26178A00" w:rsidR="000A7745" w:rsidRPr="00C9465D" w:rsidRDefault="000E55DB" w:rsidP="000E55DB">
      <w:pPr>
        <w:pStyle w:val="Numberedparagraphs"/>
        <w:numPr>
          <w:ilvl w:val="0"/>
          <w:numId w:val="0"/>
        </w:numPr>
        <w:tabs>
          <w:tab w:val="left" w:pos="6840"/>
        </w:tabs>
        <w:spacing w:before="0" w:after="0"/>
        <w:rPr>
          <w:rFonts w:eastAsia="Times New Roman"/>
          <w:lang w:val="en-US"/>
        </w:rPr>
      </w:pPr>
      <w:r w:rsidRPr="00C9465D">
        <w:rPr>
          <w:rFonts w:eastAsia="Times New Roman"/>
          <w:lang w:val="en-US"/>
        </w:rPr>
        <w:tab/>
      </w:r>
      <w:r w:rsidR="000A7745" w:rsidRPr="00C9465D">
        <w:rPr>
          <w:rFonts w:eastAsia="Times New Roman"/>
          <w:lang w:val="en-US"/>
        </w:rPr>
        <w:t>Humberto Antonio Sierra Porto</w:t>
      </w:r>
    </w:p>
    <w:p w14:paraId="6E61A2C6" w14:textId="1F96F4C2" w:rsidR="000A7745" w:rsidRPr="00C9465D" w:rsidRDefault="006A5339" w:rsidP="000E55DB">
      <w:pPr>
        <w:pStyle w:val="Numberedparagraphs"/>
        <w:numPr>
          <w:ilvl w:val="0"/>
          <w:numId w:val="0"/>
        </w:numPr>
        <w:tabs>
          <w:tab w:val="left" w:pos="8100"/>
        </w:tabs>
        <w:spacing w:before="0" w:after="0"/>
        <w:rPr>
          <w:sz w:val="18"/>
          <w:szCs w:val="18"/>
          <w:lang w:val="en-US"/>
        </w:rPr>
      </w:pPr>
      <w:r w:rsidRPr="00C9465D">
        <w:rPr>
          <w:rFonts w:eastAsia="Times New Roman"/>
          <w:lang w:val="en-US"/>
        </w:rPr>
        <w:tab/>
      </w:r>
      <w:r w:rsidR="00193CBB" w:rsidRPr="00C9465D">
        <w:rPr>
          <w:rFonts w:eastAsia="Times New Roman"/>
          <w:lang w:val="en-US"/>
        </w:rPr>
        <w:t>Judge</w:t>
      </w:r>
    </w:p>
    <w:p w14:paraId="65DE4633" w14:textId="77777777" w:rsidR="000A7745" w:rsidRPr="00C9465D" w:rsidRDefault="000A7745" w:rsidP="006A5339">
      <w:pPr>
        <w:spacing w:after="0" w:line="240" w:lineRule="auto"/>
        <w:rPr>
          <w:rFonts w:ascii="Verdana" w:eastAsia="Times New Roman" w:hAnsi="Verdana" w:cs="Times New Roman"/>
          <w:sz w:val="20"/>
          <w:szCs w:val="20"/>
          <w:lang w:val="en-US"/>
        </w:rPr>
        <w:sectPr w:rsidR="000A7745" w:rsidRPr="00C9465D" w:rsidSect="00496133">
          <w:footerReference w:type="default" r:id="rId10"/>
          <w:footnotePr>
            <w:numRestart w:val="eachSect"/>
          </w:footnotePr>
          <w:pgSz w:w="12242" w:h="15842" w:code="1"/>
          <w:pgMar w:top="1701" w:right="1172" w:bottom="1418" w:left="1134" w:header="709" w:footer="709" w:gutter="0"/>
          <w:pgNumType w:start="1"/>
          <w:cols w:space="708"/>
          <w:docGrid w:linePitch="360"/>
        </w:sectPr>
      </w:pPr>
    </w:p>
    <w:p w14:paraId="01B62D52" w14:textId="47F87A2A" w:rsidR="00F4157D" w:rsidRPr="00C9465D" w:rsidRDefault="009B4E86" w:rsidP="00F4157D">
      <w:pPr>
        <w:spacing w:after="0" w:line="240" w:lineRule="auto"/>
        <w:jc w:val="center"/>
        <w:rPr>
          <w:rFonts w:ascii="Verdana" w:hAnsi="Verdana"/>
          <w:b/>
          <w:color w:val="000000" w:themeColor="text1"/>
          <w:sz w:val="20"/>
          <w:szCs w:val="20"/>
          <w:lang w:val="en-US"/>
        </w:rPr>
      </w:pPr>
      <w:r w:rsidRPr="00C9465D">
        <w:rPr>
          <w:rFonts w:ascii="Verdana" w:hAnsi="Verdana"/>
          <w:b/>
          <w:color w:val="000000" w:themeColor="text1"/>
          <w:sz w:val="20"/>
          <w:szCs w:val="20"/>
          <w:lang w:val="en-US"/>
        </w:rPr>
        <w:lastRenderedPageBreak/>
        <w:t>CONCURRING OPINION OF</w:t>
      </w:r>
    </w:p>
    <w:p w14:paraId="44F5579D" w14:textId="6DF8D7D9" w:rsidR="00F4157D" w:rsidRPr="00C9465D" w:rsidRDefault="00193CBB" w:rsidP="00F4157D">
      <w:pPr>
        <w:spacing w:after="0" w:line="240" w:lineRule="auto"/>
        <w:jc w:val="center"/>
        <w:rPr>
          <w:rFonts w:ascii="Verdana" w:hAnsi="Verdana"/>
          <w:b/>
          <w:color w:val="000000" w:themeColor="text1"/>
          <w:sz w:val="20"/>
          <w:szCs w:val="20"/>
          <w:lang w:val="en-US"/>
        </w:rPr>
      </w:pPr>
      <w:r w:rsidRPr="00C9465D">
        <w:rPr>
          <w:rFonts w:ascii="Verdana" w:hAnsi="Verdana"/>
          <w:b/>
          <w:color w:val="000000" w:themeColor="text1"/>
          <w:sz w:val="20"/>
          <w:szCs w:val="20"/>
          <w:lang w:val="en-US"/>
        </w:rPr>
        <w:t>JUDGE</w:t>
      </w:r>
      <w:r w:rsidR="00F4157D" w:rsidRPr="00C9465D">
        <w:rPr>
          <w:rFonts w:ascii="Verdana" w:hAnsi="Verdana"/>
          <w:b/>
          <w:color w:val="000000" w:themeColor="text1"/>
          <w:sz w:val="20"/>
          <w:szCs w:val="20"/>
          <w:lang w:val="en-US"/>
        </w:rPr>
        <w:t xml:space="preserve"> EUGENIO RAÚL ZAFFARONI</w:t>
      </w:r>
    </w:p>
    <w:p w14:paraId="132EFE0D" w14:textId="77777777" w:rsidR="00F4157D" w:rsidRPr="00C9465D" w:rsidRDefault="00F4157D" w:rsidP="00F4157D">
      <w:pPr>
        <w:spacing w:after="0" w:line="240" w:lineRule="auto"/>
        <w:jc w:val="center"/>
        <w:rPr>
          <w:rFonts w:ascii="Verdana" w:hAnsi="Verdana"/>
          <w:b/>
          <w:color w:val="000000" w:themeColor="text1"/>
          <w:sz w:val="20"/>
          <w:szCs w:val="20"/>
          <w:lang w:val="en-US"/>
        </w:rPr>
      </w:pPr>
    </w:p>
    <w:p w14:paraId="0CD5054E" w14:textId="2AF799F1" w:rsidR="00F4157D" w:rsidRPr="00C9465D" w:rsidRDefault="006A5339" w:rsidP="00F4157D">
      <w:pPr>
        <w:spacing w:after="0" w:line="240" w:lineRule="auto"/>
        <w:jc w:val="center"/>
        <w:rPr>
          <w:rFonts w:ascii="Verdana" w:hAnsi="Verdana"/>
          <w:b/>
          <w:sz w:val="20"/>
          <w:szCs w:val="20"/>
          <w:lang w:val="en-US"/>
        </w:rPr>
      </w:pPr>
      <w:r w:rsidRPr="00C9465D">
        <w:rPr>
          <w:rFonts w:ascii="Verdana" w:hAnsi="Verdana"/>
          <w:b/>
          <w:sz w:val="20"/>
          <w:szCs w:val="20"/>
          <w:lang w:val="en-US"/>
        </w:rPr>
        <w:t>TO THE</w:t>
      </w:r>
      <w:r w:rsidR="00F4157D" w:rsidRPr="00C9465D">
        <w:rPr>
          <w:rFonts w:ascii="Verdana" w:hAnsi="Verdana"/>
          <w:b/>
          <w:sz w:val="20"/>
          <w:szCs w:val="20"/>
          <w:lang w:val="en-US"/>
        </w:rPr>
        <w:t xml:space="preserve"> </w:t>
      </w:r>
      <w:r w:rsidR="00BD26CF" w:rsidRPr="00C9465D">
        <w:rPr>
          <w:rFonts w:ascii="Verdana" w:hAnsi="Verdana"/>
          <w:b/>
          <w:sz w:val="20"/>
          <w:szCs w:val="20"/>
          <w:lang w:val="en-US"/>
        </w:rPr>
        <w:t>JUDGMENT OF MARCH 26,</w:t>
      </w:r>
      <w:r w:rsidR="00F4157D" w:rsidRPr="00C9465D">
        <w:rPr>
          <w:rFonts w:ascii="Verdana" w:hAnsi="Verdana"/>
          <w:b/>
          <w:sz w:val="20"/>
          <w:szCs w:val="20"/>
          <w:lang w:val="en-US"/>
        </w:rPr>
        <w:t xml:space="preserve"> 2021</w:t>
      </w:r>
    </w:p>
    <w:p w14:paraId="633926E0" w14:textId="45A13BD3" w:rsidR="00F4157D" w:rsidRPr="00C9465D" w:rsidRDefault="006A5339" w:rsidP="00F4157D">
      <w:pPr>
        <w:spacing w:after="0" w:line="240" w:lineRule="auto"/>
        <w:jc w:val="center"/>
        <w:outlineLvl w:val="0"/>
        <w:rPr>
          <w:rFonts w:ascii="Verdana" w:hAnsi="Verdana"/>
          <w:b/>
          <w:sz w:val="20"/>
          <w:szCs w:val="20"/>
          <w:lang w:val="en-US"/>
        </w:rPr>
      </w:pPr>
      <w:r w:rsidRPr="00C9465D">
        <w:rPr>
          <w:rFonts w:ascii="Verdana" w:hAnsi="Verdana"/>
          <w:b/>
          <w:sz w:val="20"/>
          <w:szCs w:val="20"/>
          <w:lang w:val="en-US"/>
        </w:rPr>
        <w:t>OF</w:t>
      </w:r>
      <w:r w:rsidR="00F4157D" w:rsidRPr="00C9465D">
        <w:rPr>
          <w:rFonts w:ascii="Verdana" w:hAnsi="Verdana"/>
          <w:b/>
          <w:sz w:val="20"/>
          <w:szCs w:val="20"/>
          <w:lang w:val="en-US"/>
        </w:rPr>
        <w:t xml:space="preserve"> </w:t>
      </w:r>
      <w:r w:rsidR="00193CBB" w:rsidRPr="00C9465D">
        <w:rPr>
          <w:rFonts w:ascii="Verdana" w:hAnsi="Verdana"/>
          <w:b/>
          <w:sz w:val="20"/>
          <w:szCs w:val="20"/>
          <w:lang w:val="en-US"/>
        </w:rPr>
        <w:t>THE INTER-AMERICAN COURT</w:t>
      </w:r>
      <w:r w:rsidR="00F4157D" w:rsidRPr="00C9465D">
        <w:rPr>
          <w:rFonts w:ascii="Verdana" w:hAnsi="Verdana"/>
          <w:b/>
          <w:sz w:val="20"/>
          <w:szCs w:val="20"/>
          <w:lang w:val="en-US"/>
        </w:rPr>
        <w:t xml:space="preserve"> </w:t>
      </w:r>
      <w:r w:rsidRPr="00C9465D">
        <w:rPr>
          <w:rFonts w:ascii="Verdana" w:hAnsi="Verdana"/>
          <w:b/>
          <w:sz w:val="20"/>
          <w:szCs w:val="20"/>
          <w:lang w:val="en-US"/>
        </w:rPr>
        <w:t>OF HUMAN RIGHTS</w:t>
      </w:r>
    </w:p>
    <w:p w14:paraId="2295394B" w14:textId="77777777" w:rsidR="00F4157D" w:rsidRPr="00C9465D" w:rsidRDefault="00F4157D" w:rsidP="006A5339">
      <w:pPr>
        <w:spacing w:after="0" w:line="240" w:lineRule="auto"/>
        <w:rPr>
          <w:rFonts w:ascii="Verdana" w:hAnsi="Verdana"/>
          <w:b/>
          <w:sz w:val="20"/>
          <w:szCs w:val="20"/>
          <w:lang w:val="en-US"/>
        </w:rPr>
      </w:pPr>
    </w:p>
    <w:p w14:paraId="51C3A486" w14:textId="2267D041" w:rsidR="00F4157D" w:rsidRPr="00C9465D" w:rsidRDefault="006A5339" w:rsidP="00F4157D">
      <w:pPr>
        <w:autoSpaceDE w:val="0"/>
        <w:autoSpaceDN w:val="0"/>
        <w:adjustRightInd w:val="0"/>
        <w:spacing w:after="0" w:line="240" w:lineRule="auto"/>
        <w:jc w:val="center"/>
        <w:rPr>
          <w:rFonts w:ascii="Verdana" w:hAnsi="Verdana" w:cs="Times New Roman"/>
          <w:b/>
          <w:color w:val="000000"/>
          <w:sz w:val="20"/>
          <w:szCs w:val="20"/>
          <w:lang w:val="en-US"/>
        </w:rPr>
      </w:pPr>
      <w:r w:rsidRPr="00C9465D">
        <w:rPr>
          <w:rFonts w:ascii="Verdana" w:hAnsi="Verdana"/>
          <w:b/>
          <w:sz w:val="20"/>
          <w:szCs w:val="20"/>
          <w:lang w:val="en-US"/>
        </w:rPr>
        <w:t>IN THE CASE OF</w:t>
      </w:r>
      <w:r w:rsidR="00F4157D" w:rsidRPr="00C9465D">
        <w:rPr>
          <w:rFonts w:ascii="Verdana" w:hAnsi="Verdana"/>
          <w:b/>
          <w:sz w:val="20"/>
          <w:szCs w:val="20"/>
          <w:lang w:val="en-US"/>
        </w:rPr>
        <w:t xml:space="preserve"> GUACHALÁ </w:t>
      </w:r>
      <w:r w:rsidR="00193CBB" w:rsidRPr="00C9465D">
        <w:rPr>
          <w:rFonts w:ascii="Verdana" w:hAnsi="Verdana"/>
          <w:b/>
          <w:sz w:val="20"/>
          <w:szCs w:val="20"/>
          <w:lang w:val="en-US"/>
        </w:rPr>
        <w:t xml:space="preserve">CHIMBO </w:t>
      </w:r>
      <w:r w:rsidR="00193CBB" w:rsidRPr="00C9465D">
        <w:rPr>
          <w:rFonts w:ascii="Verdana" w:hAnsi="Verdana"/>
          <w:b/>
          <w:i/>
          <w:iCs/>
          <w:sz w:val="20"/>
          <w:szCs w:val="20"/>
          <w:lang w:val="en-US"/>
        </w:rPr>
        <w:t>ET AL.</w:t>
      </w:r>
      <w:r w:rsidR="00F4157D" w:rsidRPr="00C9465D">
        <w:rPr>
          <w:rFonts w:ascii="Verdana" w:hAnsi="Verdana"/>
          <w:b/>
          <w:i/>
          <w:iCs/>
          <w:sz w:val="20"/>
          <w:szCs w:val="20"/>
          <w:lang w:val="en-US"/>
        </w:rPr>
        <w:t xml:space="preserve"> V</w:t>
      </w:r>
      <w:r w:rsidRPr="00C9465D">
        <w:rPr>
          <w:rFonts w:ascii="Verdana" w:hAnsi="Verdana"/>
          <w:b/>
          <w:i/>
          <w:iCs/>
          <w:sz w:val="20"/>
          <w:szCs w:val="20"/>
          <w:lang w:val="en-US"/>
        </w:rPr>
        <w:t>.</w:t>
      </w:r>
      <w:r w:rsidR="00F4157D" w:rsidRPr="00C9465D">
        <w:rPr>
          <w:rFonts w:ascii="Verdana" w:hAnsi="Verdana"/>
          <w:b/>
          <w:sz w:val="20"/>
          <w:szCs w:val="20"/>
          <w:lang w:val="en-US"/>
        </w:rPr>
        <w:t xml:space="preserve"> ECUADOR</w:t>
      </w:r>
    </w:p>
    <w:p w14:paraId="598B7DF2" w14:textId="77777777" w:rsidR="00F4157D" w:rsidRPr="00C9465D" w:rsidRDefault="00F4157D" w:rsidP="00F4157D">
      <w:pPr>
        <w:jc w:val="both"/>
        <w:rPr>
          <w:rFonts w:ascii="Verdana" w:hAnsi="Verdana"/>
          <w:sz w:val="20"/>
          <w:szCs w:val="20"/>
          <w:lang w:val="en-US"/>
        </w:rPr>
      </w:pPr>
    </w:p>
    <w:p w14:paraId="6A2F4E45" w14:textId="4A5DBAA2" w:rsidR="00D859AB" w:rsidRPr="00C9465D" w:rsidRDefault="00F4157D" w:rsidP="00D859AB">
      <w:pPr>
        <w:spacing w:line="240" w:lineRule="auto"/>
        <w:jc w:val="both"/>
        <w:rPr>
          <w:rFonts w:ascii="Verdana" w:hAnsi="Verdana"/>
          <w:sz w:val="20"/>
          <w:szCs w:val="20"/>
          <w:lang w:val="en-US"/>
        </w:rPr>
      </w:pPr>
      <w:r w:rsidRPr="00C9465D">
        <w:rPr>
          <w:rFonts w:ascii="Verdana" w:hAnsi="Verdana"/>
          <w:sz w:val="20"/>
          <w:szCs w:val="20"/>
          <w:lang w:val="en-US"/>
        </w:rPr>
        <w:tab/>
        <w:t xml:space="preserve">I. </w:t>
      </w:r>
      <w:r w:rsidR="00D859AB" w:rsidRPr="00C9465D">
        <w:rPr>
          <w:rFonts w:ascii="Verdana" w:hAnsi="Verdana"/>
          <w:sz w:val="20"/>
          <w:szCs w:val="20"/>
          <w:lang w:val="en-US"/>
        </w:rPr>
        <w:t xml:space="preserve"> The</w:t>
      </w:r>
      <w:r w:rsidRPr="00C9465D">
        <w:rPr>
          <w:rFonts w:ascii="Verdana" w:hAnsi="Verdana"/>
          <w:sz w:val="20"/>
          <w:szCs w:val="20"/>
          <w:lang w:val="en-US"/>
        </w:rPr>
        <w:t xml:space="preserve"> </w:t>
      </w:r>
      <w:r w:rsidR="00CF3A9D" w:rsidRPr="00C9465D">
        <w:rPr>
          <w:rFonts w:ascii="Verdana" w:hAnsi="Verdana"/>
          <w:sz w:val="20"/>
          <w:szCs w:val="20"/>
          <w:lang w:val="en-US"/>
        </w:rPr>
        <w:t>forced disappearance</w:t>
      </w:r>
      <w:r w:rsidRPr="00C9465D">
        <w:rPr>
          <w:rFonts w:ascii="Verdana" w:hAnsi="Verdana"/>
          <w:sz w:val="20"/>
          <w:szCs w:val="20"/>
          <w:lang w:val="en-US"/>
        </w:rPr>
        <w:t xml:space="preserve"> </w:t>
      </w:r>
      <w:r w:rsidR="00D859AB" w:rsidRPr="00C9465D">
        <w:rPr>
          <w:rFonts w:ascii="Verdana" w:hAnsi="Verdana"/>
          <w:sz w:val="20"/>
          <w:szCs w:val="20"/>
          <w:lang w:val="en-US"/>
        </w:rPr>
        <w:t xml:space="preserve">of persons requires the concurrence of three elements: (1) deprivation of liberty; (2) direct intervention of state agents or their acquiescence, and (3) refusal to </w:t>
      </w:r>
      <w:r w:rsidR="00A915E3" w:rsidRPr="00C9465D">
        <w:rPr>
          <w:rFonts w:ascii="Verdana" w:hAnsi="Verdana"/>
          <w:sz w:val="20"/>
          <w:szCs w:val="20"/>
          <w:lang w:val="en-US"/>
        </w:rPr>
        <w:t>acknowledge</w:t>
      </w:r>
      <w:r w:rsidR="00D859AB" w:rsidRPr="00C9465D">
        <w:rPr>
          <w:rFonts w:ascii="Verdana" w:hAnsi="Verdana"/>
          <w:sz w:val="20"/>
          <w:szCs w:val="20"/>
          <w:lang w:val="en-US"/>
        </w:rPr>
        <w:t xml:space="preserve"> the detention or to reveal the </w:t>
      </w:r>
      <w:r w:rsidR="00035AC8" w:rsidRPr="00C9465D">
        <w:rPr>
          <w:rFonts w:ascii="Verdana" w:hAnsi="Verdana"/>
          <w:sz w:val="20"/>
          <w:szCs w:val="20"/>
          <w:lang w:val="en-US"/>
        </w:rPr>
        <w:t xml:space="preserve">victim’s </w:t>
      </w:r>
      <w:r w:rsidR="00D859AB" w:rsidRPr="00C9465D">
        <w:rPr>
          <w:rFonts w:ascii="Verdana" w:hAnsi="Verdana"/>
          <w:sz w:val="20"/>
          <w:szCs w:val="20"/>
          <w:lang w:val="en-US"/>
        </w:rPr>
        <w:t>fate or whereabouts.</w:t>
      </w:r>
    </w:p>
    <w:p w14:paraId="572DFCF8" w14:textId="179B9A82" w:rsidR="00F4157D" w:rsidRPr="00C9465D" w:rsidRDefault="00D859AB" w:rsidP="00D859AB">
      <w:pPr>
        <w:spacing w:line="240" w:lineRule="auto"/>
        <w:ind w:firstLine="708"/>
        <w:jc w:val="both"/>
        <w:rPr>
          <w:rFonts w:ascii="Verdana" w:hAnsi="Verdana"/>
          <w:sz w:val="20"/>
          <w:szCs w:val="20"/>
          <w:lang w:val="en-US"/>
        </w:rPr>
      </w:pPr>
      <w:r w:rsidRPr="00C9465D">
        <w:rPr>
          <w:rFonts w:ascii="Verdana" w:hAnsi="Verdana"/>
          <w:sz w:val="20"/>
          <w:szCs w:val="20"/>
          <w:lang w:val="en-US"/>
        </w:rPr>
        <w:t xml:space="preserve">I </w:t>
      </w:r>
      <w:r w:rsidR="00257F5A" w:rsidRPr="00C9465D">
        <w:rPr>
          <w:rFonts w:ascii="Verdana" w:hAnsi="Verdana"/>
          <w:sz w:val="20"/>
          <w:szCs w:val="20"/>
          <w:lang w:val="en-US"/>
        </w:rPr>
        <w:t xml:space="preserve">present </w:t>
      </w:r>
      <w:r w:rsidRPr="00C9465D">
        <w:rPr>
          <w:rFonts w:ascii="Verdana" w:hAnsi="Verdana"/>
          <w:sz w:val="20"/>
          <w:szCs w:val="20"/>
          <w:lang w:val="en-US"/>
        </w:rPr>
        <w:t xml:space="preserve">my opinion that the three elements are present in the instant case and, therefore, it should be considered a case of </w:t>
      </w:r>
      <w:r w:rsidR="00CF3A9D" w:rsidRPr="00C9465D">
        <w:rPr>
          <w:rFonts w:ascii="Verdana" w:hAnsi="Verdana"/>
          <w:sz w:val="20"/>
          <w:szCs w:val="20"/>
          <w:lang w:val="en-US"/>
        </w:rPr>
        <w:t>forced disappearance</w:t>
      </w:r>
      <w:r w:rsidRPr="00C9465D">
        <w:rPr>
          <w:rFonts w:ascii="Verdana" w:hAnsi="Verdana"/>
          <w:sz w:val="20"/>
          <w:szCs w:val="20"/>
          <w:lang w:val="en-US"/>
        </w:rPr>
        <w:t>.</w:t>
      </w:r>
    </w:p>
    <w:p w14:paraId="1A4E93D5" w14:textId="593DBA57" w:rsidR="00F4157D" w:rsidRPr="00C9465D" w:rsidRDefault="00F4157D" w:rsidP="00D859AB">
      <w:pPr>
        <w:spacing w:line="240" w:lineRule="auto"/>
        <w:jc w:val="both"/>
        <w:rPr>
          <w:rFonts w:ascii="Verdana" w:hAnsi="Verdana"/>
          <w:sz w:val="20"/>
          <w:szCs w:val="20"/>
        </w:rPr>
      </w:pPr>
      <w:r w:rsidRPr="00C9465D">
        <w:rPr>
          <w:rFonts w:ascii="Verdana" w:hAnsi="Verdana"/>
          <w:sz w:val="20"/>
          <w:szCs w:val="20"/>
          <w:lang w:val="en-US"/>
        </w:rPr>
        <w:tab/>
        <w:t xml:space="preserve">1. </w:t>
      </w:r>
      <w:r w:rsidR="00D859AB" w:rsidRPr="00C9465D">
        <w:rPr>
          <w:rFonts w:ascii="Verdana" w:hAnsi="Verdana"/>
          <w:sz w:val="20"/>
          <w:szCs w:val="20"/>
          <w:lang w:val="en-US"/>
        </w:rPr>
        <w:t xml:space="preserve"> </w:t>
      </w:r>
      <w:r w:rsidR="00D859AB" w:rsidRPr="00C9465D">
        <w:rPr>
          <w:rFonts w:ascii="Verdana" w:hAnsi="Verdana"/>
          <w:b/>
          <w:sz w:val="20"/>
          <w:szCs w:val="20"/>
          <w:lang w:val="en-US"/>
        </w:rPr>
        <w:t>Deprivation of liberty</w:t>
      </w:r>
      <w:r w:rsidRPr="00C9465D">
        <w:rPr>
          <w:rFonts w:ascii="Verdana" w:hAnsi="Verdana"/>
          <w:sz w:val="20"/>
          <w:szCs w:val="20"/>
          <w:lang w:val="en-US"/>
        </w:rPr>
        <w:t xml:space="preserve">. </w:t>
      </w:r>
      <w:r w:rsidR="00577DE0" w:rsidRPr="00C9465D">
        <w:rPr>
          <w:rFonts w:ascii="Verdana" w:hAnsi="Verdana"/>
          <w:sz w:val="20"/>
          <w:szCs w:val="20"/>
          <w:lang w:val="en-US"/>
        </w:rPr>
        <w:t>The victim</w:t>
      </w:r>
      <w:r w:rsidRPr="00C9465D">
        <w:rPr>
          <w:rFonts w:ascii="Verdana" w:hAnsi="Verdana"/>
          <w:sz w:val="20"/>
          <w:szCs w:val="20"/>
          <w:lang w:val="en-US"/>
        </w:rPr>
        <w:t xml:space="preserve"> </w:t>
      </w:r>
      <w:r w:rsidR="00D859AB" w:rsidRPr="00C9465D">
        <w:rPr>
          <w:rFonts w:ascii="Verdana" w:hAnsi="Verdana"/>
          <w:sz w:val="20"/>
          <w:szCs w:val="20"/>
          <w:lang w:val="en-US"/>
        </w:rPr>
        <w:t xml:space="preserve">was in a psychiatric establishment; </w:t>
      </w:r>
      <w:r w:rsidR="00A24594" w:rsidRPr="00C9465D">
        <w:rPr>
          <w:rFonts w:ascii="Verdana" w:hAnsi="Verdana"/>
          <w:sz w:val="20"/>
          <w:szCs w:val="20"/>
          <w:lang w:val="en-US"/>
        </w:rPr>
        <w:t>in other words,</w:t>
      </w:r>
      <w:r w:rsidR="00D859AB" w:rsidRPr="00C9465D">
        <w:rPr>
          <w:rFonts w:ascii="Verdana" w:hAnsi="Verdana"/>
          <w:sz w:val="20"/>
          <w:szCs w:val="20"/>
          <w:lang w:val="en-US"/>
        </w:rPr>
        <w:t xml:space="preserve"> a mental asylum. </w:t>
      </w:r>
      <w:r w:rsidR="00A24594" w:rsidRPr="00C9465D">
        <w:rPr>
          <w:rFonts w:ascii="Verdana" w:hAnsi="Verdana"/>
          <w:sz w:val="20"/>
          <w:szCs w:val="20"/>
          <w:lang w:val="en-US"/>
        </w:rPr>
        <w:t xml:space="preserve">It is well known that psychiatry has had a murky past that, over the </w:t>
      </w:r>
      <w:r w:rsidR="00257F5A" w:rsidRPr="00C9465D">
        <w:rPr>
          <w:rFonts w:ascii="Verdana" w:hAnsi="Verdana"/>
          <w:sz w:val="20"/>
          <w:szCs w:val="20"/>
          <w:lang w:val="en-US"/>
        </w:rPr>
        <w:t>l</w:t>
      </w:r>
      <w:r w:rsidR="00A24594" w:rsidRPr="00C9465D">
        <w:rPr>
          <w:rFonts w:ascii="Verdana" w:hAnsi="Verdana"/>
          <w:sz w:val="20"/>
          <w:szCs w:val="20"/>
          <w:lang w:val="en-US"/>
        </w:rPr>
        <w:t>ast 50 years, has led to a radical change in the theoretical and practical paradigm, based on the so-called deinstitutionalization movement, regarding which there is extensive literature</w:t>
      </w:r>
      <w:r w:rsidRPr="00C9465D">
        <w:rPr>
          <w:rFonts w:ascii="Verdana" w:hAnsi="Verdana"/>
          <w:sz w:val="20"/>
          <w:szCs w:val="20"/>
          <w:lang w:val="en-US"/>
        </w:rPr>
        <w:t xml:space="preserve"> (</w:t>
      </w:r>
      <w:r w:rsidR="00A24594" w:rsidRPr="00C9465D">
        <w:rPr>
          <w:rFonts w:ascii="Verdana" w:hAnsi="Verdana"/>
          <w:sz w:val="20"/>
          <w:szCs w:val="20"/>
          <w:lang w:val="en-US"/>
        </w:rPr>
        <w:t>for example,</w:t>
      </w:r>
      <w:r w:rsidRPr="00C9465D">
        <w:rPr>
          <w:rFonts w:ascii="Verdana" w:hAnsi="Verdana"/>
          <w:sz w:val="20"/>
          <w:szCs w:val="20"/>
          <w:lang w:val="en-US"/>
        </w:rPr>
        <w:t xml:space="preserve"> </w:t>
      </w:r>
      <w:r w:rsidRPr="00C9465D">
        <w:rPr>
          <w:rFonts w:ascii="Verdana" w:hAnsi="Verdana" w:cs="Arial"/>
          <w:color w:val="202122"/>
          <w:sz w:val="20"/>
          <w:szCs w:val="20"/>
          <w:shd w:val="clear" w:color="auto" w:fill="FFFFFF"/>
          <w:lang w:val="en-US"/>
        </w:rPr>
        <w:t>Stroman, Duane</w:t>
      </w:r>
      <w:r w:rsidRPr="00C9465D">
        <w:rPr>
          <w:rFonts w:ascii="Verdana" w:hAnsi="Verdana" w:cs="Arial"/>
          <w:i/>
          <w:color w:val="202122"/>
          <w:sz w:val="20"/>
          <w:szCs w:val="20"/>
          <w:shd w:val="clear" w:color="auto" w:fill="FFFFFF"/>
          <w:lang w:val="en-US"/>
        </w:rPr>
        <w:t>, The Disability Rights Movement: From Deinstitutionalization to Self-determination</w:t>
      </w:r>
      <w:r w:rsidRPr="00C9465D">
        <w:rPr>
          <w:rFonts w:ascii="Verdana" w:hAnsi="Verdana" w:cs="Arial"/>
          <w:color w:val="202122"/>
          <w:sz w:val="20"/>
          <w:szCs w:val="20"/>
          <w:shd w:val="clear" w:color="auto" w:fill="FFFFFF"/>
          <w:lang w:val="en-US"/>
        </w:rPr>
        <w:t>,</w:t>
      </w:r>
      <w:r w:rsidRPr="00C9465D">
        <w:rPr>
          <w:rFonts w:ascii="Verdana" w:hAnsi="Verdana" w:cs="Arial"/>
          <w:i/>
          <w:iCs/>
          <w:color w:val="202122"/>
          <w:sz w:val="20"/>
          <w:szCs w:val="20"/>
          <w:shd w:val="clear" w:color="auto" w:fill="FFFFFF"/>
          <w:lang w:val="en-US"/>
        </w:rPr>
        <w:t> </w:t>
      </w:r>
      <w:r w:rsidRPr="00C9465D">
        <w:rPr>
          <w:rFonts w:ascii="Verdana" w:hAnsi="Verdana" w:cs="Arial"/>
          <w:color w:val="202122"/>
          <w:sz w:val="20"/>
          <w:szCs w:val="20"/>
          <w:shd w:val="clear" w:color="auto" w:fill="FFFFFF"/>
          <w:lang w:val="en-US"/>
        </w:rPr>
        <w:t>University Press of America,</w:t>
      </w:r>
      <w:r w:rsidRPr="00C9465D">
        <w:rPr>
          <w:rFonts w:ascii="Verdana" w:hAnsi="Verdana" w:cs="Arial"/>
          <w:iCs/>
          <w:color w:val="202122"/>
          <w:sz w:val="20"/>
          <w:szCs w:val="20"/>
          <w:shd w:val="clear" w:color="auto" w:fill="FFFFFF"/>
          <w:lang w:val="en-US"/>
        </w:rPr>
        <w:t xml:space="preserve"> 2003; B</w:t>
      </w:r>
      <w:r w:rsidRPr="00C9465D">
        <w:rPr>
          <w:rFonts w:ascii="Verdana" w:hAnsi="Verdana"/>
          <w:sz w:val="20"/>
          <w:szCs w:val="20"/>
          <w:lang w:val="en-US"/>
        </w:rPr>
        <w:t xml:space="preserve">asaglia, Franco, </w:t>
      </w:r>
      <w:r w:rsidRPr="00C9465D">
        <w:rPr>
          <w:rFonts w:ascii="Verdana" w:hAnsi="Verdana"/>
          <w:i/>
          <w:sz w:val="20"/>
          <w:szCs w:val="20"/>
          <w:lang w:val="en-US"/>
        </w:rPr>
        <w:t xml:space="preserve">La institución negada. </w:t>
      </w:r>
      <w:r w:rsidRPr="00C9465D">
        <w:rPr>
          <w:rFonts w:ascii="Verdana" w:hAnsi="Verdana"/>
          <w:i/>
          <w:sz w:val="20"/>
          <w:szCs w:val="20"/>
        </w:rPr>
        <w:t>Informe de un hospital psiquiátrico</w:t>
      </w:r>
      <w:r w:rsidRPr="00C9465D">
        <w:rPr>
          <w:rFonts w:ascii="Verdana" w:hAnsi="Verdana"/>
          <w:sz w:val="20"/>
          <w:szCs w:val="20"/>
        </w:rPr>
        <w:t>, Barral Editores, Barcelona, 1970; Basaglia, F.</w:t>
      </w:r>
      <w:r w:rsidR="00A24594" w:rsidRPr="00C9465D">
        <w:rPr>
          <w:rFonts w:ascii="Verdana" w:hAnsi="Verdana"/>
          <w:sz w:val="20"/>
          <w:szCs w:val="20"/>
        </w:rPr>
        <w:t>,</w:t>
      </w:r>
      <w:r w:rsidRPr="00C9465D">
        <w:rPr>
          <w:rFonts w:ascii="Verdana" w:hAnsi="Verdana"/>
          <w:sz w:val="20"/>
          <w:szCs w:val="20"/>
        </w:rPr>
        <w:t xml:space="preserve"> Langer, M.</w:t>
      </w:r>
      <w:r w:rsidR="00A24594" w:rsidRPr="00C9465D">
        <w:rPr>
          <w:rFonts w:ascii="Verdana" w:hAnsi="Verdana"/>
          <w:sz w:val="20"/>
          <w:szCs w:val="20"/>
        </w:rPr>
        <w:t>,</w:t>
      </w:r>
      <w:r w:rsidRPr="00C9465D">
        <w:rPr>
          <w:rFonts w:ascii="Verdana" w:hAnsi="Verdana"/>
          <w:sz w:val="20"/>
          <w:szCs w:val="20"/>
        </w:rPr>
        <w:t xml:space="preserve"> Caruso I</w:t>
      </w:r>
      <w:r w:rsidR="00A24594" w:rsidRPr="00C9465D">
        <w:rPr>
          <w:rFonts w:ascii="Verdana" w:hAnsi="Verdana"/>
          <w:sz w:val="20"/>
          <w:szCs w:val="20"/>
        </w:rPr>
        <w:t>,</w:t>
      </w:r>
      <w:r w:rsidR="00193CBB" w:rsidRPr="00C9465D">
        <w:rPr>
          <w:rFonts w:ascii="Verdana" w:hAnsi="Verdana"/>
          <w:sz w:val="20"/>
          <w:szCs w:val="20"/>
        </w:rPr>
        <w:t xml:space="preserve"> </w:t>
      </w:r>
      <w:r w:rsidR="00DA115D" w:rsidRPr="00C9465D">
        <w:rPr>
          <w:rFonts w:ascii="Verdana" w:hAnsi="Verdana"/>
          <w:sz w:val="20"/>
          <w:szCs w:val="20"/>
        </w:rPr>
        <w:t>et al.</w:t>
      </w:r>
      <w:r w:rsidRPr="00C9465D">
        <w:rPr>
          <w:rFonts w:ascii="Verdana" w:hAnsi="Verdana"/>
          <w:sz w:val="20"/>
          <w:szCs w:val="20"/>
        </w:rPr>
        <w:t xml:space="preserve">, </w:t>
      </w:r>
      <w:r w:rsidRPr="00C9465D">
        <w:rPr>
          <w:rFonts w:ascii="Verdana" w:hAnsi="Verdana"/>
          <w:i/>
          <w:sz w:val="20"/>
          <w:szCs w:val="20"/>
        </w:rPr>
        <w:t>Razón, locura</w:t>
      </w:r>
      <w:r w:rsidR="00193CBB" w:rsidRPr="00C9465D">
        <w:rPr>
          <w:rFonts w:ascii="Verdana" w:hAnsi="Verdana"/>
          <w:i/>
          <w:sz w:val="20"/>
          <w:szCs w:val="20"/>
        </w:rPr>
        <w:t xml:space="preserve"> </w:t>
      </w:r>
      <w:r w:rsidR="00A24594" w:rsidRPr="00C9465D">
        <w:rPr>
          <w:rFonts w:ascii="Verdana" w:hAnsi="Verdana"/>
          <w:i/>
          <w:sz w:val="20"/>
          <w:szCs w:val="20"/>
        </w:rPr>
        <w:t>y</w:t>
      </w:r>
      <w:r w:rsidR="00193CBB" w:rsidRPr="00C9465D">
        <w:rPr>
          <w:rFonts w:ascii="Verdana" w:hAnsi="Verdana"/>
          <w:i/>
          <w:sz w:val="20"/>
          <w:szCs w:val="20"/>
        </w:rPr>
        <w:t xml:space="preserve"> </w:t>
      </w:r>
      <w:r w:rsidRPr="00C9465D">
        <w:rPr>
          <w:rFonts w:ascii="Verdana" w:hAnsi="Verdana"/>
          <w:i/>
          <w:sz w:val="20"/>
          <w:szCs w:val="20"/>
        </w:rPr>
        <w:t>sociedad</w:t>
      </w:r>
      <w:r w:rsidRPr="00C9465D">
        <w:rPr>
          <w:rFonts w:ascii="Verdana" w:hAnsi="Verdana"/>
          <w:sz w:val="20"/>
          <w:szCs w:val="20"/>
        </w:rPr>
        <w:t xml:space="preserve">, Siglo XXI, Buenos Aires, 1979; Basaglia, Franco, </w:t>
      </w:r>
      <w:r w:rsidRPr="00C9465D">
        <w:rPr>
          <w:rFonts w:ascii="Verdana" w:hAnsi="Verdana"/>
          <w:i/>
          <w:sz w:val="20"/>
          <w:szCs w:val="20"/>
        </w:rPr>
        <w:t>La mayoría marginada</w:t>
      </w:r>
      <w:r w:rsidRPr="00C9465D">
        <w:rPr>
          <w:rFonts w:ascii="Verdana" w:hAnsi="Verdana"/>
          <w:sz w:val="20"/>
          <w:szCs w:val="20"/>
        </w:rPr>
        <w:t xml:space="preserve">, Ed. </w:t>
      </w:r>
      <w:proofErr w:type="spellStart"/>
      <w:r w:rsidRPr="00C9465D">
        <w:rPr>
          <w:rFonts w:ascii="Verdana" w:hAnsi="Verdana"/>
          <w:sz w:val="20"/>
          <w:szCs w:val="20"/>
        </w:rPr>
        <w:t>Loia</w:t>
      </w:r>
      <w:proofErr w:type="spellEnd"/>
      <w:r w:rsidRPr="00C9465D">
        <w:rPr>
          <w:rFonts w:ascii="Verdana" w:hAnsi="Verdana"/>
          <w:sz w:val="20"/>
          <w:szCs w:val="20"/>
        </w:rPr>
        <w:t xml:space="preserve">, Barcelona, 1973; Guattari, F., </w:t>
      </w:r>
      <w:r w:rsidRPr="00C9465D">
        <w:rPr>
          <w:rFonts w:ascii="Verdana" w:hAnsi="Verdana"/>
          <w:i/>
          <w:sz w:val="20"/>
          <w:szCs w:val="20"/>
        </w:rPr>
        <w:t>La intervención institucional</w:t>
      </w:r>
      <w:r w:rsidRPr="00C9465D">
        <w:rPr>
          <w:rFonts w:ascii="Verdana" w:hAnsi="Verdana"/>
          <w:sz w:val="20"/>
          <w:szCs w:val="20"/>
        </w:rPr>
        <w:t xml:space="preserve">, Folios, </w:t>
      </w:r>
      <w:proofErr w:type="spellStart"/>
      <w:r w:rsidRPr="00C9465D">
        <w:rPr>
          <w:rFonts w:ascii="Verdana" w:hAnsi="Verdana"/>
          <w:sz w:val="20"/>
          <w:szCs w:val="20"/>
        </w:rPr>
        <w:t>M</w:t>
      </w:r>
      <w:r w:rsidR="00A24594" w:rsidRPr="00C9465D">
        <w:rPr>
          <w:rFonts w:ascii="Verdana" w:hAnsi="Verdana"/>
          <w:sz w:val="20"/>
          <w:szCs w:val="20"/>
        </w:rPr>
        <w:t>e</w:t>
      </w:r>
      <w:r w:rsidRPr="00C9465D">
        <w:rPr>
          <w:rFonts w:ascii="Verdana" w:hAnsi="Verdana"/>
          <w:sz w:val="20"/>
          <w:szCs w:val="20"/>
        </w:rPr>
        <w:t>xico</w:t>
      </w:r>
      <w:proofErr w:type="spellEnd"/>
      <w:r w:rsidRPr="00C9465D">
        <w:rPr>
          <w:rFonts w:ascii="Verdana" w:hAnsi="Verdana"/>
          <w:sz w:val="20"/>
          <w:szCs w:val="20"/>
        </w:rPr>
        <w:t xml:space="preserve">, 1967; Szasz, T., </w:t>
      </w:r>
      <w:r w:rsidRPr="00C9465D">
        <w:rPr>
          <w:rFonts w:ascii="Verdana" w:hAnsi="Verdana"/>
          <w:i/>
          <w:sz w:val="20"/>
          <w:szCs w:val="20"/>
        </w:rPr>
        <w:t>Esquizofrenia</w:t>
      </w:r>
      <w:r w:rsidRPr="00C9465D">
        <w:rPr>
          <w:rFonts w:ascii="Verdana" w:hAnsi="Verdana"/>
          <w:sz w:val="20"/>
          <w:szCs w:val="20"/>
        </w:rPr>
        <w:t xml:space="preserve">, </w:t>
      </w:r>
      <w:proofErr w:type="spellStart"/>
      <w:r w:rsidRPr="00C9465D">
        <w:rPr>
          <w:rFonts w:ascii="Verdana" w:hAnsi="Verdana"/>
          <w:sz w:val="20"/>
          <w:szCs w:val="20"/>
        </w:rPr>
        <w:t>Premiá</w:t>
      </w:r>
      <w:proofErr w:type="spellEnd"/>
      <w:r w:rsidRPr="00C9465D">
        <w:rPr>
          <w:rFonts w:ascii="Verdana" w:hAnsi="Verdana"/>
          <w:sz w:val="20"/>
          <w:szCs w:val="20"/>
        </w:rPr>
        <w:t xml:space="preserve">, México, 1979). </w:t>
      </w:r>
    </w:p>
    <w:p w14:paraId="0C41777A" w14:textId="73641AD9" w:rsidR="00E41B35" w:rsidRPr="00C9465D" w:rsidRDefault="00E41B35" w:rsidP="00D859AB">
      <w:pPr>
        <w:spacing w:line="240" w:lineRule="auto"/>
        <w:ind w:firstLine="708"/>
        <w:jc w:val="both"/>
        <w:rPr>
          <w:rFonts w:ascii="Verdana" w:hAnsi="Verdana"/>
          <w:sz w:val="20"/>
          <w:szCs w:val="20"/>
          <w:lang w:val="en-US"/>
        </w:rPr>
      </w:pPr>
      <w:r w:rsidRPr="00C9465D">
        <w:rPr>
          <w:rFonts w:ascii="Verdana" w:hAnsi="Verdana"/>
          <w:sz w:val="20"/>
          <w:szCs w:val="20"/>
          <w:lang w:val="en-US"/>
        </w:rPr>
        <w:t>This movement has resulted in numerous legal reforms in the different countries regulating the “so-called psychiatric law</w:t>
      </w:r>
      <w:r w:rsidR="00257F5A" w:rsidRPr="00C9465D">
        <w:rPr>
          <w:rFonts w:ascii="Verdana" w:hAnsi="Verdana"/>
          <w:sz w:val="20"/>
          <w:szCs w:val="20"/>
          <w:lang w:val="en-US"/>
        </w:rPr>
        <w:t>.</w:t>
      </w:r>
      <w:r w:rsidRPr="00C9465D">
        <w:rPr>
          <w:rFonts w:ascii="Verdana" w:hAnsi="Verdana"/>
          <w:sz w:val="20"/>
          <w:szCs w:val="20"/>
          <w:lang w:val="en-US"/>
        </w:rPr>
        <w:t xml:space="preserve">” </w:t>
      </w:r>
      <w:r w:rsidR="00257F5A" w:rsidRPr="00C9465D">
        <w:rPr>
          <w:rFonts w:ascii="Verdana" w:hAnsi="Verdana"/>
          <w:sz w:val="20"/>
          <w:szCs w:val="20"/>
          <w:lang w:val="en-US"/>
        </w:rPr>
        <w:t>Their</w:t>
      </w:r>
      <w:r w:rsidRPr="00C9465D">
        <w:rPr>
          <w:rFonts w:ascii="Verdana" w:hAnsi="Verdana"/>
          <w:sz w:val="20"/>
          <w:szCs w:val="20"/>
          <w:lang w:val="en-US"/>
        </w:rPr>
        <w:t xml:space="preserve"> general purpose is to prevent that, under the pretext of “protection,” a control of </w:t>
      </w:r>
      <w:r w:rsidR="00257F5A" w:rsidRPr="00C9465D">
        <w:rPr>
          <w:rFonts w:ascii="Verdana" w:hAnsi="Verdana"/>
          <w:sz w:val="20"/>
          <w:szCs w:val="20"/>
          <w:lang w:val="en-US"/>
        </w:rPr>
        <w:t>behavior</w:t>
      </w:r>
      <w:r w:rsidRPr="00C9465D">
        <w:rPr>
          <w:rFonts w:ascii="Verdana" w:hAnsi="Verdana"/>
          <w:sz w:val="20"/>
          <w:szCs w:val="20"/>
          <w:lang w:val="en-US"/>
        </w:rPr>
        <w:t xml:space="preserve"> is practiced that is similar to punitive control and even includes undertones of greater cruelty, with invasive treatments, arbitrary deprivation of liberty</w:t>
      </w:r>
      <w:r w:rsidR="00257F5A" w:rsidRPr="00C9465D">
        <w:rPr>
          <w:rFonts w:ascii="Verdana" w:hAnsi="Verdana"/>
          <w:sz w:val="20"/>
          <w:szCs w:val="20"/>
          <w:lang w:val="en-US"/>
        </w:rPr>
        <w:t>,</w:t>
      </w:r>
      <w:r w:rsidRPr="00C9465D">
        <w:rPr>
          <w:rFonts w:ascii="Verdana" w:hAnsi="Verdana"/>
          <w:sz w:val="20"/>
          <w:szCs w:val="20"/>
          <w:lang w:val="en-US"/>
        </w:rPr>
        <w:t xml:space="preserve"> and even torture</w:t>
      </w:r>
      <w:r w:rsidR="00F72E2A" w:rsidRPr="00C9465D">
        <w:rPr>
          <w:rFonts w:ascii="Verdana" w:hAnsi="Verdana"/>
          <w:sz w:val="20"/>
          <w:szCs w:val="20"/>
          <w:lang w:val="en-US"/>
        </w:rPr>
        <w:t>.</w:t>
      </w:r>
    </w:p>
    <w:p w14:paraId="726584D7" w14:textId="5A65DA1A" w:rsidR="00F4157D" w:rsidRPr="00C9465D" w:rsidRDefault="00F72E2A" w:rsidP="00F72E2A">
      <w:pPr>
        <w:spacing w:line="240" w:lineRule="auto"/>
        <w:ind w:firstLine="708"/>
        <w:jc w:val="both"/>
        <w:rPr>
          <w:rFonts w:ascii="Verdana" w:hAnsi="Verdana"/>
          <w:sz w:val="20"/>
          <w:szCs w:val="20"/>
          <w:lang w:val="en-US"/>
        </w:rPr>
      </w:pPr>
      <w:r w:rsidRPr="00C9465D">
        <w:rPr>
          <w:rFonts w:ascii="Verdana" w:hAnsi="Verdana"/>
          <w:sz w:val="20"/>
          <w:szCs w:val="20"/>
          <w:lang w:val="en-US"/>
        </w:rPr>
        <w:t>At the same time, in several of our countries the right of institutionalized psychiatric patients</w:t>
      </w:r>
      <w:r w:rsidR="00257F5A" w:rsidRPr="00C9465D">
        <w:rPr>
          <w:rFonts w:ascii="Verdana" w:hAnsi="Verdana"/>
          <w:sz w:val="20"/>
          <w:szCs w:val="20"/>
          <w:lang w:val="en-US"/>
        </w:rPr>
        <w:t xml:space="preserve"> has been recognized</w:t>
      </w:r>
      <w:r w:rsidRPr="00C9465D">
        <w:rPr>
          <w:rFonts w:ascii="Verdana" w:hAnsi="Verdana"/>
          <w:sz w:val="20"/>
          <w:szCs w:val="20"/>
          <w:lang w:val="en-US"/>
        </w:rPr>
        <w:t xml:space="preserve"> to be protected by applications for </w:t>
      </w:r>
      <w:r w:rsidRPr="00C9465D">
        <w:rPr>
          <w:rFonts w:ascii="Verdana" w:hAnsi="Verdana"/>
          <w:i/>
          <w:sz w:val="20"/>
          <w:szCs w:val="20"/>
          <w:lang w:val="en-US"/>
        </w:rPr>
        <w:t>habeas corpus</w:t>
      </w:r>
      <w:r w:rsidRPr="00C9465D">
        <w:rPr>
          <w:rFonts w:ascii="Verdana" w:hAnsi="Verdana"/>
          <w:sz w:val="20"/>
          <w:szCs w:val="20"/>
          <w:lang w:val="en-US"/>
        </w:rPr>
        <w:t xml:space="preserve"> or similar remedies t</w:t>
      </w:r>
      <w:r w:rsidR="00257F5A" w:rsidRPr="00C9465D">
        <w:rPr>
          <w:rFonts w:ascii="Verdana" w:hAnsi="Verdana"/>
          <w:sz w:val="20"/>
          <w:szCs w:val="20"/>
          <w:lang w:val="en-US"/>
        </w:rPr>
        <w:t>hat</w:t>
      </w:r>
      <w:r w:rsidRPr="00C9465D">
        <w:rPr>
          <w:rFonts w:ascii="Verdana" w:hAnsi="Verdana"/>
          <w:sz w:val="20"/>
          <w:szCs w:val="20"/>
          <w:lang w:val="en-US"/>
        </w:rPr>
        <w:t xml:space="preserve"> </w:t>
      </w:r>
      <w:r w:rsidR="00257F5A" w:rsidRPr="00C9465D">
        <w:rPr>
          <w:rFonts w:ascii="Verdana" w:hAnsi="Verdana"/>
          <w:sz w:val="20"/>
          <w:szCs w:val="20"/>
          <w:lang w:val="en-US"/>
        </w:rPr>
        <w:t>safeguard</w:t>
      </w:r>
      <w:r w:rsidRPr="00C9465D">
        <w:rPr>
          <w:rFonts w:ascii="Verdana" w:hAnsi="Verdana"/>
          <w:sz w:val="20"/>
          <w:szCs w:val="20"/>
          <w:lang w:val="en-US"/>
        </w:rPr>
        <w:t xml:space="preserve"> individual liberty. It cannot be ignored that institutionalized psychiatric patients are in a situation of much greater vulnerability and defenselessness that persons deprived of liberty in prisons, so that measures to protect them under domestic law should be reinforced.</w:t>
      </w:r>
    </w:p>
    <w:p w14:paraId="6DE26D08" w14:textId="419ECA98" w:rsidR="00472EC3" w:rsidRPr="00C9465D" w:rsidRDefault="00F4157D" w:rsidP="00D859AB">
      <w:pPr>
        <w:spacing w:line="240" w:lineRule="auto"/>
        <w:jc w:val="both"/>
        <w:rPr>
          <w:rFonts w:ascii="Verdana" w:hAnsi="Verdana"/>
          <w:sz w:val="20"/>
          <w:szCs w:val="20"/>
          <w:lang w:val="en-US"/>
        </w:rPr>
      </w:pPr>
      <w:r w:rsidRPr="00C9465D">
        <w:rPr>
          <w:rFonts w:ascii="Verdana" w:hAnsi="Verdana"/>
          <w:b/>
          <w:sz w:val="20"/>
          <w:szCs w:val="20"/>
          <w:lang w:val="en-US"/>
        </w:rPr>
        <w:tab/>
      </w:r>
      <w:r w:rsidR="00F72E2A" w:rsidRPr="00C9465D">
        <w:rPr>
          <w:rFonts w:ascii="Verdana" w:hAnsi="Verdana"/>
          <w:sz w:val="20"/>
          <w:szCs w:val="20"/>
          <w:lang w:val="en-US"/>
        </w:rPr>
        <w:t>This situation of the rationalization of abuses against liberty and health under the guise of therapy reache</w:t>
      </w:r>
      <w:r w:rsidR="00257F5A" w:rsidRPr="00C9465D">
        <w:rPr>
          <w:rFonts w:ascii="Verdana" w:hAnsi="Verdana"/>
          <w:sz w:val="20"/>
          <w:szCs w:val="20"/>
          <w:lang w:val="en-US"/>
        </w:rPr>
        <w:t>d</w:t>
      </w:r>
      <w:r w:rsidR="00F72E2A" w:rsidRPr="00C9465D">
        <w:rPr>
          <w:rFonts w:ascii="Verdana" w:hAnsi="Verdana"/>
          <w:sz w:val="20"/>
          <w:szCs w:val="20"/>
          <w:lang w:val="en-US"/>
        </w:rPr>
        <w:t xml:space="preserve"> dangerous extremes even for political freedom, when psychiatry was manipulated to pathologize opponents and dissidents, as in the case of Soviet</w:t>
      </w:r>
      <w:r w:rsidR="00472EC3" w:rsidRPr="00C9465D">
        <w:rPr>
          <w:rFonts w:ascii="Verdana" w:hAnsi="Verdana"/>
          <w:sz w:val="20"/>
          <w:szCs w:val="20"/>
          <w:lang w:val="en-US"/>
        </w:rPr>
        <w:t xml:space="preserve"> </w:t>
      </w:r>
      <w:r w:rsidR="00F72E2A" w:rsidRPr="00C9465D">
        <w:rPr>
          <w:rFonts w:ascii="Verdana" w:hAnsi="Verdana"/>
          <w:sz w:val="20"/>
          <w:szCs w:val="20"/>
          <w:lang w:val="en-US"/>
        </w:rPr>
        <w:t>psychiatry</w:t>
      </w:r>
      <w:r w:rsidR="00472EC3" w:rsidRPr="00C9465D">
        <w:rPr>
          <w:rFonts w:ascii="Verdana" w:hAnsi="Verdana"/>
          <w:sz w:val="20"/>
          <w:szCs w:val="20"/>
          <w:lang w:val="en-US"/>
        </w:rPr>
        <w:t xml:space="preserve">, but also with the pathologization of non-binary sexuality and with the survival of Morel’s degeneration theory, which was upheld in some countries even after the start of the last century. Although “anti-psychiatry” was an extreme movement, it served to call attention to the situation of persons deprived of liberty in mental asylums (for example, </w:t>
      </w:r>
      <w:r w:rsidRPr="00C9465D">
        <w:rPr>
          <w:rFonts w:ascii="Verdana" w:hAnsi="Verdana"/>
          <w:sz w:val="20"/>
          <w:szCs w:val="20"/>
          <w:lang w:val="en-US"/>
        </w:rPr>
        <w:t>Szasz, T.</w:t>
      </w:r>
      <w:r w:rsidRPr="00C9465D">
        <w:rPr>
          <w:rFonts w:ascii="Verdana" w:hAnsi="Verdana"/>
          <w:i/>
          <w:sz w:val="20"/>
          <w:szCs w:val="20"/>
          <w:lang w:val="en-US"/>
        </w:rPr>
        <w:t xml:space="preserve">, La fabricación de la locura. </w:t>
      </w:r>
      <w:r w:rsidRPr="00C9465D">
        <w:rPr>
          <w:rFonts w:ascii="Verdana" w:hAnsi="Verdana"/>
          <w:i/>
          <w:sz w:val="20"/>
          <w:szCs w:val="20"/>
        </w:rPr>
        <w:t>Estudio comparativo de la Inquisición</w:t>
      </w:r>
      <w:r w:rsidR="00193CBB" w:rsidRPr="00C9465D">
        <w:rPr>
          <w:rFonts w:ascii="Verdana" w:hAnsi="Verdana"/>
          <w:i/>
          <w:sz w:val="20"/>
          <w:szCs w:val="20"/>
        </w:rPr>
        <w:t xml:space="preserve"> </w:t>
      </w:r>
      <w:r w:rsidR="00472EC3" w:rsidRPr="00C9465D">
        <w:rPr>
          <w:rFonts w:ascii="Verdana" w:hAnsi="Verdana"/>
          <w:i/>
          <w:sz w:val="20"/>
          <w:szCs w:val="20"/>
        </w:rPr>
        <w:t>y</w:t>
      </w:r>
      <w:r w:rsidR="00193CBB" w:rsidRPr="00C9465D">
        <w:rPr>
          <w:rFonts w:ascii="Verdana" w:hAnsi="Verdana"/>
          <w:i/>
          <w:sz w:val="20"/>
          <w:szCs w:val="20"/>
        </w:rPr>
        <w:t xml:space="preserve"> </w:t>
      </w:r>
      <w:r w:rsidRPr="00C9465D">
        <w:rPr>
          <w:rFonts w:ascii="Verdana" w:hAnsi="Verdana"/>
          <w:i/>
          <w:sz w:val="20"/>
          <w:szCs w:val="20"/>
        </w:rPr>
        <w:t xml:space="preserve">el movimiento en defensa de </w:t>
      </w:r>
      <w:r w:rsidR="00472EC3" w:rsidRPr="00C9465D">
        <w:rPr>
          <w:rFonts w:ascii="Verdana" w:hAnsi="Verdana"/>
          <w:i/>
          <w:sz w:val="20"/>
          <w:szCs w:val="20"/>
        </w:rPr>
        <w:t>salud mental,</w:t>
      </w:r>
      <w:r w:rsidRPr="00C9465D">
        <w:rPr>
          <w:rFonts w:ascii="Verdana" w:hAnsi="Verdana"/>
          <w:sz w:val="20"/>
          <w:szCs w:val="20"/>
        </w:rPr>
        <w:t xml:space="preserve"> Kairós, Barcelona, 1981). </w:t>
      </w:r>
      <w:r w:rsidR="00472EC3" w:rsidRPr="00C9465D">
        <w:rPr>
          <w:rFonts w:ascii="Verdana" w:hAnsi="Verdana"/>
          <w:sz w:val="20"/>
          <w:szCs w:val="20"/>
          <w:lang w:val="en-US"/>
        </w:rPr>
        <w:t xml:space="preserve">In North American sociology, </w:t>
      </w:r>
      <w:r w:rsidR="00F8381F" w:rsidRPr="00C9465D">
        <w:rPr>
          <w:rFonts w:ascii="Verdana" w:hAnsi="Verdana"/>
          <w:sz w:val="20"/>
          <w:szCs w:val="20"/>
          <w:lang w:val="en-US"/>
        </w:rPr>
        <w:t xml:space="preserve">a turning point was marked by </w:t>
      </w:r>
      <w:r w:rsidR="00472EC3" w:rsidRPr="00C9465D">
        <w:rPr>
          <w:rFonts w:ascii="Verdana" w:hAnsi="Verdana"/>
          <w:sz w:val="20"/>
          <w:szCs w:val="20"/>
          <w:lang w:val="en-US"/>
        </w:rPr>
        <w:t>the well-known research of the interactionist of the Chicago School</w:t>
      </w:r>
      <w:r w:rsidR="00F8381F" w:rsidRPr="00C9465D">
        <w:rPr>
          <w:rFonts w:ascii="Verdana" w:hAnsi="Verdana"/>
          <w:sz w:val="20"/>
          <w:szCs w:val="20"/>
          <w:lang w:val="en-US"/>
        </w:rPr>
        <w:t>,</w:t>
      </w:r>
      <w:r w:rsidR="00472EC3" w:rsidRPr="00C9465D">
        <w:rPr>
          <w:rFonts w:ascii="Verdana" w:hAnsi="Verdana"/>
          <w:sz w:val="20"/>
          <w:szCs w:val="20"/>
          <w:lang w:val="en-US"/>
        </w:rPr>
        <w:t xml:space="preserve"> Erving Goffman (</w:t>
      </w:r>
      <w:r w:rsidR="00472EC3" w:rsidRPr="00C9465D">
        <w:rPr>
          <w:rFonts w:ascii="Verdana" w:hAnsi="Verdana" w:cs="Arial"/>
          <w:i/>
          <w:iCs/>
          <w:color w:val="202122"/>
          <w:sz w:val="20"/>
          <w:szCs w:val="20"/>
          <w:shd w:val="clear" w:color="auto" w:fill="FFFFFF"/>
          <w:lang w:val="en-US"/>
        </w:rPr>
        <w:t>Asylums: Essays on the Social Situation of Mental Patients and Other Inmates</w:t>
      </w:r>
      <w:r w:rsidR="00472EC3" w:rsidRPr="00C9465D">
        <w:rPr>
          <w:rFonts w:ascii="Verdana" w:hAnsi="Verdana" w:cs="Arial"/>
          <w:iCs/>
          <w:color w:val="202122"/>
          <w:sz w:val="20"/>
          <w:szCs w:val="20"/>
          <w:shd w:val="clear" w:color="auto" w:fill="FFFFFF"/>
          <w:lang w:val="en-US"/>
        </w:rPr>
        <w:t>, 1961)</w:t>
      </w:r>
      <w:r w:rsidR="00F8381F" w:rsidRPr="00C9465D">
        <w:rPr>
          <w:rFonts w:ascii="Verdana" w:hAnsi="Verdana" w:cs="Arial"/>
          <w:iCs/>
          <w:color w:val="202122"/>
          <w:sz w:val="20"/>
          <w:szCs w:val="20"/>
          <w:shd w:val="clear" w:color="auto" w:fill="FFFFFF"/>
          <w:lang w:val="en-US"/>
        </w:rPr>
        <w:t>, and his subsequent development of the concept of “total institution.”</w:t>
      </w:r>
    </w:p>
    <w:p w14:paraId="6C6CB901" w14:textId="1925A869" w:rsidR="00F4157D" w:rsidRPr="00C9465D" w:rsidRDefault="00F4157D" w:rsidP="00D859AB">
      <w:pPr>
        <w:spacing w:line="240" w:lineRule="auto"/>
        <w:jc w:val="both"/>
        <w:rPr>
          <w:rFonts w:ascii="Verdana" w:hAnsi="Verdana"/>
          <w:sz w:val="20"/>
          <w:szCs w:val="20"/>
          <w:lang w:val="en-US"/>
        </w:rPr>
      </w:pPr>
      <w:r w:rsidRPr="00C9465D">
        <w:rPr>
          <w:rFonts w:ascii="Verdana" w:hAnsi="Verdana"/>
          <w:sz w:val="20"/>
          <w:szCs w:val="20"/>
          <w:lang w:val="en-US"/>
        </w:rPr>
        <w:tab/>
      </w:r>
      <w:r w:rsidR="00F8381F" w:rsidRPr="00C9465D">
        <w:rPr>
          <w:rFonts w:ascii="Verdana" w:hAnsi="Verdana"/>
          <w:sz w:val="20"/>
          <w:szCs w:val="20"/>
          <w:lang w:val="en-US"/>
        </w:rPr>
        <w:t>The circumstance that the victim in this case was not in a “closed” establishment – in the sense that the patients were not prevented from leaving the mental asylum – does not mean that they were not deprived of liberty, and it is not significant in this respect that he had ent</w:t>
      </w:r>
      <w:r w:rsidR="00E77594" w:rsidRPr="00C9465D">
        <w:rPr>
          <w:rFonts w:ascii="Verdana" w:hAnsi="Verdana"/>
          <w:sz w:val="20"/>
          <w:szCs w:val="20"/>
          <w:lang w:val="en-US"/>
        </w:rPr>
        <w:t>e</w:t>
      </w:r>
      <w:r w:rsidR="00F8381F" w:rsidRPr="00C9465D">
        <w:rPr>
          <w:rFonts w:ascii="Verdana" w:hAnsi="Verdana"/>
          <w:sz w:val="20"/>
          <w:szCs w:val="20"/>
          <w:lang w:val="en-US"/>
        </w:rPr>
        <w:t xml:space="preserve">red the establishment voluntarily or with the consent of his mother; the victim </w:t>
      </w:r>
      <w:r w:rsidR="00F8381F" w:rsidRPr="00C9465D">
        <w:rPr>
          <w:rFonts w:ascii="Verdana" w:hAnsi="Verdana"/>
          <w:sz w:val="20"/>
          <w:szCs w:val="20"/>
          <w:lang w:val="en-US"/>
        </w:rPr>
        <w:lastRenderedPageBreak/>
        <w:t xml:space="preserve">in this specific case was effectively deprived of his liberty, even though it was an “open” establishment. </w:t>
      </w:r>
    </w:p>
    <w:p w14:paraId="3B05B2CE" w14:textId="3C7293E2" w:rsidR="00F8381F" w:rsidRPr="00C9465D" w:rsidRDefault="00F8381F" w:rsidP="00D859AB">
      <w:pPr>
        <w:spacing w:line="240" w:lineRule="auto"/>
        <w:ind w:firstLine="708"/>
        <w:jc w:val="both"/>
        <w:rPr>
          <w:rFonts w:ascii="Verdana" w:hAnsi="Verdana"/>
          <w:sz w:val="20"/>
          <w:szCs w:val="20"/>
          <w:lang w:val="en-US"/>
        </w:rPr>
      </w:pPr>
      <w:r w:rsidRPr="00C9465D">
        <w:rPr>
          <w:rFonts w:ascii="Verdana" w:hAnsi="Verdana"/>
          <w:sz w:val="20"/>
          <w:szCs w:val="20"/>
          <w:lang w:val="en-US"/>
        </w:rPr>
        <w:t>It is known that padded cells, straitjackets, and cold showers have not been used for several decades because th</w:t>
      </w:r>
      <w:r w:rsidR="00257F5A" w:rsidRPr="00C9465D">
        <w:rPr>
          <w:rFonts w:ascii="Verdana" w:hAnsi="Verdana"/>
          <w:sz w:val="20"/>
          <w:szCs w:val="20"/>
          <w:lang w:val="en-US"/>
        </w:rPr>
        <w:t>o</w:t>
      </w:r>
      <w:r w:rsidRPr="00C9465D">
        <w:rPr>
          <w:rFonts w:ascii="Verdana" w:hAnsi="Verdana"/>
          <w:sz w:val="20"/>
          <w:szCs w:val="20"/>
          <w:lang w:val="en-US"/>
        </w:rPr>
        <w:t>se elements have become unnecessary with the use of psychotropic medication</w:t>
      </w:r>
      <w:r w:rsidR="00257F5A" w:rsidRPr="00C9465D">
        <w:rPr>
          <w:rFonts w:ascii="Verdana" w:hAnsi="Verdana"/>
          <w:sz w:val="20"/>
          <w:szCs w:val="20"/>
          <w:lang w:val="en-US"/>
        </w:rPr>
        <w:t xml:space="preserve"> – re</w:t>
      </w:r>
      <w:r w:rsidRPr="00C9465D">
        <w:rPr>
          <w:rFonts w:ascii="Verdana" w:hAnsi="Verdana"/>
          <w:sz w:val="20"/>
          <w:szCs w:val="20"/>
          <w:lang w:val="en-US"/>
        </w:rPr>
        <w:t>vealed in psychiatric jarg</w:t>
      </w:r>
      <w:r w:rsidR="00E77594" w:rsidRPr="00C9465D">
        <w:rPr>
          <w:rFonts w:ascii="Verdana" w:hAnsi="Verdana"/>
          <w:sz w:val="20"/>
          <w:szCs w:val="20"/>
          <w:lang w:val="en-US"/>
        </w:rPr>
        <w:t>o</w:t>
      </w:r>
      <w:r w:rsidRPr="00C9465D">
        <w:rPr>
          <w:rFonts w:ascii="Verdana" w:hAnsi="Verdana"/>
          <w:sz w:val="20"/>
          <w:szCs w:val="20"/>
          <w:lang w:val="en-US"/>
        </w:rPr>
        <w:t xml:space="preserve">n when this is referred to as </w:t>
      </w:r>
      <w:r w:rsidR="00257F5A" w:rsidRPr="00C9465D">
        <w:rPr>
          <w:rFonts w:ascii="Verdana" w:hAnsi="Verdana"/>
          <w:sz w:val="20"/>
          <w:szCs w:val="20"/>
          <w:lang w:val="en-US"/>
        </w:rPr>
        <w:t>a</w:t>
      </w:r>
      <w:r w:rsidRPr="00C9465D">
        <w:rPr>
          <w:rFonts w:ascii="Verdana" w:hAnsi="Verdana"/>
          <w:sz w:val="20"/>
          <w:szCs w:val="20"/>
          <w:lang w:val="en-US"/>
        </w:rPr>
        <w:t xml:space="preserve"> “chemical straitjacket.” Throughout the criminal doctrine and </w:t>
      </w:r>
      <w:r w:rsidR="00E77594" w:rsidRPr="00C9465D">
        <w:rPr>
          <w:rFonts w:ascii="Verdana" w:hAnsi="Verdana"/>
          <w:sz w:val="20"/>
          <w:szCs w:val="20"/>
          <w:lang w:val="en-US"/>
        </w:rPr>
        <w:t>jurisprudence</w:t>
      </w:r>
      <w:r w:rsidRPr="00C9465D">
        <w:rPr>
          <w:rFonts w:ascii="Verdana" w:hAnsi="Verdana"/>
          <w:sz w:val="20"/>
          <w:szCs w:val="20"/>
          <w:lang w:val="en-US"/>
        </w:rPr>
        <w:t xml:space="preserve"> of our countries and even, explicitly, in some codes, the provision of incapacitating drugs is rightly equated to physical violence </w:t>
      </w:r>
      <w:r w:rsidR="00E77594" w:rsidRPr="00C9465D">
        <w:rPr>
          <w:rFonts w:ascii="Verdana" w:hAnsi="Verdana"/>
          <w:sz w:val="20"/>
          <w:szCs w:val="20"/>
          <w:lang w:val="en-US"/>
        </w:rPr>
        <w:t>for coercive effects and other offenses against liberty.</w:t>
      </w:r>
    </w:p>
    <w:p w14:paraId="74156B7B" w14:textId="01B7C1C4" w:rsidR="00E77594" w:rsidRPr="00C9465D" w:rsidRDefault="00E77594" w:rsidP="00D859AB">
      <w:pPr>
        <w:spacing w:line="240" w:lineRule="auto"/>
        <w:ind w:firstLine="708"/>
        <w:jc w:val="both"/>
        <w:rPr>
          <w:rFonts w:ascii="Verdana" w:hAnsi="Verdana"/>
          <w:sz w:val="20"/>
          <w:szCs w:val="20"/>
          <w:lang w:val="en-US"/>
        </w:rPr>
      </w:pPr>
      <w:r w:rsidRPr="00C9465D">
        <w:rPr>
          <w:rFonts w:ascii="Verdana" w:hAnsi="Verdana"/>
          <w:sz w:val="20"/>
          <w:szCs w:val="20"/>
          <w:lang w:val="en-US"/>
        </w:rPr>
        <w:t>It has been proved, and was made clear during the hearing, that the victim had been medicated with an exaggerated dose of sedatives; in other words, he was under the effects of incapacitating drugs or a “chemical straitjacket” that, according to the above-mentioned rational equivalence of laws, doctrine and jurisprudence, has the same factual and legal effects as if he had been handcuffed or tied to his bed.</w:t>
      </w:r>
    </w:p>
    <w:p w14:paraId="3D455C7C" w14:textId="135C55EA" w:rsidR="00E77594" w:rsidRPr="00C9465D" w:rsidRDefault="00E77594" w:rsidP="00D859AB">
      <w:pPr>
        <w:spacing w:line="240" w:lineRule="auto"/>
        <w:ind w:firstLine="708"/>
        <w:jc w:val="both"/>
        <w:rPr>
          <w:rFonts w:ascii="Verdana" w:hAnsi="Verdana"/>
          <w:sz w:val="20"/>
          <w:szCs w:val="20"/>
          <w:lang w:val="en-US"/>
        </w:rPr>
      </w:pPr>
      <w:r w:rsidRPr="00C9465D">
        <w:rPr>
          <w:rFonts w:ascii="Verdana" w:hAnsi="Verdana"/>
          <w:sz w:val="20"/>
          <w:szCs w:val="20"/>
          <w:lang w:val="en-US"/>
        </w:rPr>
        <w:t>Under the effects of such a dosage of psychotropic drugs the individual is – at</w:t>
      </w:r>
      <w:r w:rsidR="00257F5A" w:rsidRPr="00C9465D">
        <w:rPr>
          <w:rFonts w:ascii="Verdana" w:hAnsi="Verdana"/>
          <w:sz w:val="20"/>
          <w:szCs w:val="20"/>
          <w:lang w:val="en-US"/>
        </w:rPr>
        <w:t xml:space="preserve"> the very</w:t>
      </w:r>
      <w:r w:rsidRPr="00C9465D">
        <w:rPr>
          <w:rFonts w:ascii="Verdana" w:hAnsi="Verdana"/>
          <w:sz w:val="20"/>
          <w:szCs w:val="20"/>
          <w:lang w:val="en-US"/>
        </w:rPr>
        <w:t xml:space="preserve"> least – severely limited in his movements, </w:t>
      </w:r>
      <w:r w:rsidR="00257F5A" w:rsidRPr="00C9465D">
        <w:rPr>
          <w:rFonts w:ascii="Verdana" w:hAnsi="Verdana"/>
          <w:sz w:val="20"/>
          <w:szCs w:val="20"/>
          <w:lang w:val="en-US"/>
        </w:rPr>
        <w:t>not to mention</w:t>
      </w:r>
      <w:r w:rsidRPr="00C9465D">
        <w:rPr>
          <w:rFonts w:ascii="Verdana" w:hAnsi="Verdana"/>
          <w:sz w:val="20"/>
          <w:szCs w:val="20"/>
          <w:lang w:val="en-US"/>
        </w:rPr>
        <w:t xml:space="preserve"> </w:t>
      </w:r>
      <w:r w:rsidR="00ED3160" w:rsidRPr="00C9465D">
        <w:rPr>
          <w:rFonts w:ascii="Verdana" w:hAnsi="Verdana"/>
          <w:sz w:val="20"/>
          <w:szCs w:val="20"/>
          <w:lang w:val="en-US"/>
        </w:rPr>
        <w:t>the presence of the psychological effects on his conscious activity and the correct function</w:t>
      </w:r>
      <w:r w:rsidR="00257F5A" w:rsidRPr="00C9465D">
        <w:rPr>
          <w:rFonts w:ascii="Verdana" w:hAnsi="Verdana"/>
          <w:sz w:val="20"/>
          <w:szCs w:val="20"/>
          <w:lang w:val="en-US"/>
        </w:rPr>
        <w:t>ing</w:t>
      </w:r>
      <w:r w:rsidR="00ED3160" w:rsidRPr="00C9465D">
        <w:rPr>
          <w:rFonts w:ascii="Verdana" w:hAnsi="Verdana"/>
          <w:sz w:val="20"/>
          <w:szCs w:val="20"/>
          <w:lang w:val="en-US"/>
        </w:rPr>
        <w:t xml:space="preserve"> of his sensory activity, which is to say that he was deprived of his liberty, even though the establishment was not “closed.”</w:t>
      </w:r>
    </w:p>
    <w:p w14:paraId="19201467" w14:textId="03904E3F" w:rsidR="00ED3160" w:rsidRPr="00C9465D" w:rsidRDefault="00257F5A" w:rsidP="00D859AB">
      <w:pPr>
        <w:spacing w:line="240" w:lineRule="auto"/>
        <w:ind w:firstLine="708"/>
        <w:jc w:val="both"/>
        <w:rPr>
          <w:rFonts w:ascii="Verdana" w:hAnsi="Verdana"/>
          <w:sz w:val="20"/>
          <w:szCs w:val="20"/>
          <w:lang w:val="en-US"/>
        </w:rPr>
      </w:pPr>
      <w:r w:rsidRPr="00C9465D">
        <w:rPr>
          <w:rFonts w:ascii="Verdana" w:hAnsi="Verdana"/>
          <w:sz w:val="20"/>
          <w:szCs w:val="20"/>
          <w:lang w:val="en-US"/>
        </w:rPr>
        <w:t xml:space="preserve">An individual’s </w:t>
      </w:r>
      <w:r w:rsidR="00ED3160" w:rsidRPr="00C9465D">
        <w:rPr>
          <w:rFonts w:ascii="Verdana" w:hAnsi="Verdana"/>
          <w:sz w:val="20"/>
          <w:szCs w:val="20"/>
          <w:lang w:val="en-US"/>
        </w:rPr>
        <w:t>liberty is restricted or eliminated by both physical and chemical means and, in the instant case, the victim was clearly deprived of liberty by chemical means, based on the high dose</w:t>
      </w:r>
      <w:r w:rsidR="00C24F16" w:rsidRPr="00C9465D">
        <w:rPr>
          <w:rFonts w:ascii="Verdana" w:hAnsi="Verdana"/>
          <w:sz w:val="20"/>
          <w:szCs w:val="20"/>
          <w:lang w:val="en-US"/>
        </w:rPr>
        <w:t xml:space="preserve"> of medication</w:t>
      </w:r>
      <w:r w:rsidR="00ED3160" w:rsidRPr="00C9465D">
        <w:rPr>
          <w:rFonts w:ascii="Verdana" w:hAnsi="Verdana"/>
          <w:sz w:val="20"/>
          <w:szCs w:val="20"/>
          <w:lang w:val="en-US"/>
        </w:rPr>
        <w:t xml:space="preserve"> prescribed by the treating physician</w:t>
      </w:r>
      <w:r w:rsidR="00C24F16" w:rsidRPr="00C9465D">
        <w:rPr>
          <w:rFonts w:ascii="Verdana" w:hAnsi="Verdana"/>
          <w:sz w:val="20"/>
          <w:szCs w:val="20"/>
          <w:lang w:val="en-US"/>
        </w:rPr>
        <w:t>,</w:t>
      </w:r>
      <w:r w:rsidR="00ED3160" w:rsidRPr="00C9465D">
        <w:rPr>
          <w:rFonts w:ascii="Verdana" w:hAnsi="Verdana"/>
          <w:sz w:val="20"/>
          <w:szCs w:val="20"/>
          <w:lang w:val="en-US"/>
        </w:rPr>
        <w:t xml:space="preserve"> and nothing indicates that he had not taken th</w:t>
      </w:r>
      <w:r w:rsidR="00C24F16" w:rsidRPr="00C9465D">
        <w:rPr>
          <w:rFonts w:ascii="Verdana" w:hAnsi="Verdana"/>
          <w:sz w:val="20"/>
          <w:szCs w:val="20"/>
          <w:lang w:val="en-US"/>
        </w:rPr>
        <w:t>is</w:t>
      </w:r>
      <w:r w:rsidR="00ED3160" w:rsidRPr="00C9465D">
        <w:rPr>
          <w:rFonts w:ascii="Verdana" w:hAnsi="Verdana"/>
          <w:sz w:val="20"/>
          <w:szCs w:val="20"/>
          <w:lang w:val="en-US"/>
        </w:rPr>
        <w:t>, especially when it is a known practice that psychiatric patients in mental asylums are frequently sedated</w:t>
      </w:r>
      <w:r w:rsidR="00C24F16" w:rsidRPr="00C9465D">
        <w:rPr>
          <w:rFonts w:ascii="Verdana" w:hAnsi="Verdana"/>
          <w:sz w:val="20"/>
          <w:szCs w:val="20"/>
          <w:lang w:val="en-US"/>
        </w:rPr>
        <w:t xml:space="preserve"> generously</w:t>
      </w:r>
      <w:r w:rsidR="00ED3160" w:rsidRPr="00C9465D">
        <w:rPr>
          <w:rFonts w:ascii="Verdana" w:hAnsi="Verdana"/>
          <w:sz w:val="20"/>
          <w:szCs w:val="20"/>
          <w:lang w:val="en-US"/>
        </w:rPr>
        <w:t xml:space="preserve"> to prevent them from “causing trouble.”</w:t>
      </w:r>
    </w:p>
    <w:p w14:paraId="54B3AD80" w14:textId="451BBF8A" w:rsidR="00F4157D" w:rsidRPr="00C9465D" w:rsidRDefault="00F4157D" w:rsidP="00D859AB">
      <w:pPr>
        <w:spacing w:line="240" w:lineRule="auto"/>
        <w:jc w:val="both"/>
        <w:rPr>
          <w:rFonts w:ascii="Verdana" w:hAnsi="Verdana"/>
          <w:sz w:val="20"/>
          <w:szCs w:val="20"/>
          <w:lang w:val="en-US"/>
        </w:rPr>
      </w:pPr>
      <w:r w:rsidRPr="00C9465D">
        <w:rPr>
          <w:rFonts w:ascii="Verdana" w:hAnsi="Verdana"/>
          <w:sz w:val="20"/>
          <w:szCs w:val="20"/>
          <w:lang w:val="en-US"/>
        </w:rPr>
        <w:t xml:space="preserve">  </w:t>
      </w:r>
      <w:r w:rsidRPr="00C9465D">
        <w:rPr>
          <w:rFonts w:ascii="Verdana" w:hAnsi="Verdana"/>
          <w:sz w:val="20"/>
          <w:szCs w:val="20"/>
          <w:lang w:val="en-US"/>
        </w:rPr>
        <w:tab/>
      </w:r>
      <w:r w:rsidRPr="00C9465D">
        <w:rPr>
          <w:rFonts w:ascii="Verdana" w:hAnsi="Verdana"/>
          <w:b/>
          <w:sz w:val="20"/>
          <w:szCs w:val="20"/>
          <w:lang w:val="en-US"/>
        </w:rPr>
        <w:t xml:space="preserve">2) </w:t>
      </w:r>
      <w:r w:rsidR="00ED3160" w:rsidRPr="00C9465D">
        <w:rPr>
          <w:rFonts w:ascii="Verdana" w:hAnsi="Verdana"/>
          <w:b/>
          <w:sz w:val="20"/>
          <w:szCs w:val="20"/>
          <w:lang w:val="en-US"/>
        </w:rPr>
        <w:t>Direct intervention of state agents o</w:t>
      </w:r>
      <w:r w:rsidR="00C24F16" w:rsidRPr="00C9465D">
        <w:rPr>
          <w:rFonts w:ascii="Verdana" w:hAnsi="Verdana"/>
          <w:b/>
          <w:sz w:val="20"/>
          <w:szCs w:val="20"/>
          <w:lang w:val="en-US"/>
        </w:rPr>
        <w:t>r</w:t>
      </w:r>
      <w:r w:rsidR="00ED3160" w:rsidRPr="00C9465D">
        <w:rPr>
          <w:rFonts w:ascii="Verdana" w:hAnsi="Verdana"/>
          <w:b/>
          <w:sz w:val="20"/>
          <w:szCs w:val="20"/>
          <w:lang w:val="en-US"/>
        </w:rPr>
        <w:t xml:space="preserve"> their acquiescence</w:t>
      </w:r>
      <w:r w:rsidRPr="00C9465D">
        <w:rPr>
          <w:rFonts w:ascii="Verdana" w:hAnsi="Verdana"/>
          <w:b/>
          <w:sz w:val="20"/>
          <w:szCs w:val="20"/>
          <w:lang w:val="en-US"/>
        </w:rPr>
        <w:t>.</w:t>
      </w:r>
      <w:r w:rsidR="00ED3160" w:rsidRPr="00C9465D">
        <w:rPr>
          <w:rFonts w:ascii="Verdana" w:hAnsi="Verdana"/>
          <w:b/>
          <w:sz w:val="20"/>
          <w:szCs w:val="20"/>
          <w:lang w:val="en-US"/>
        </w:rPr>
        <w:t xml:space="preserve"> </w:t>
      </w:r>
      <w:r w:rsidR="00ED3160" w:rsidRPr="00C9465D">
        <w:rPr>
          <w:rFonts w:ascii="Verdana" w:hAnsi="Verdana"/>
          <w:sz w:val="20"/>
          <w:szCs w:val="20"/>
          <w:lang w:val="en-US"/>
        </w:rPr>
        <w:t>The establishment in which the victim was deprived of liberty was public and the doctors and staff were public officials; that is beyond doubt in this case.</w:t>
      </w:r>
    </w:p>
    <w:p w14:paraId="0C13F3ED" w14:textId="624DC203" w:rsidR="00F4157D" w:rsidRPr="00C9465D" w:rsidRDefault="00ED3160" w:rsidP="004E41C1">
      <w:pPr>
        <w:spacing w:line="240" w:lineRule="auto"/>
        <w:ind w:firstLine="708"/>
        <w:jc w:val="both"/>
        <w:rPr>
          <w:rFonts w:ascii="Verdana" w:hAnsi="Verdana"/>
          <w:sz w:val="20"/>
          <w:szCs w:val="20"/>
          <w:lang w:val="en-US"/>
        </w:rPr>
      </w:pPr>
      <w:r w:rsidRPr="00C9465D">
        <w:rPr>
          <w:rFonts w:ascii="Verdana" w:hAnsi="Verdana"/>
          <w:sz w:val="20"/>
          <w:szCs w:val="20"/>
          <w:lang w:val="en-US"/>
        </w:rPr>
        <w:t xml:space="preserve">The legal concept of </w:t>
      </w:r>
      <w:r w:rsidR="00CF3A9D" w:rsidRPr="00C9465D">
        <w:rPr>
          <w:rFonts w:ascii="Verdana" w:hAnsi="Verdana"/>
          <w:sz w:val="20"/>
          <w:szCs w:val="20"/>
          <w:lang w:val="en-US"/>
        </w:rPr>
        <w:t>forced disappearance</w:t>
      </w:r>
      <w:r w:rsidR="00F4157D" w:rsidRPr="00C9465D">
        <w:rPr>
          <w:rFonts w:ascii="Verdana" w:hAnsi="Verdana"/>
          <w:sz w:val="20"/>
          <w:szCs w:val="20"/>
          <w:lang w:val="en-US"/>
        </w:rPr>
        <w:t xml:space="preserve"> </w:t>
      </w:r>
      <w:r w:rsidRPr="00C9465D">
        <w:rPr>
          <w:rFonts w:ascii="Verdana" w:hAnsi="Verdana"/>
          <w:sz w:val="20"/>
          <w:szCs w:val="20"/>
          <w:lang w:val="en-US"/>
        </w:rPr>
        <w:t>of persons does not require that the public officials deprived someone of their liberty with</w:t>
      </w:r>
      <w:r w:rsidR="004E41C1" w:rsidRPr="00C9465D">
        <w:rPr>
          <w:rFonts w:ascii="Verdana" w:hAnsi="Verdana"/>
          <w:sz w:val="20"/>
          <w:szCs w:val="20"/>
          <w:lang w:val="en-US"/>
        </w:rPr>
        <w:t xml:space="preserve"> wilful</w:t>
      </w:r>
      <w:r w:rsidRPr="00C9465D">
        <w:rPr>
          <w:rFonts w:ascii="Verdana" w:hAnsi="Verdana"/>
          <w:sz w:val="20"/>
          <w:szCs w:val="20"/>
          <w:lang w:val="en-US"/>
        </w:rPr>
        <w:t xml:space="preserve"> intent of making that person disappear. It is known that, in many well-known cases, this </w:t>
      </w:r>
      <w:r w:rsidR="004E41C1" w:rsidRPr="00C9465D">
        <w:rPr>
          <w:rFonts w:ascii="Verdana" w:hAnsi="Verdana"/>
          <w:sz w:val="20"/>
          <w:szCs w:val="20"/>
          <w:lang w:val="en-US"/>
        </w:rPr>
        <w:t>wilful intent</w:t>
      </w:r>
      <w:r w:rsidRPr="00C9465D">
        <w:rPr>
          <w:rFonts w:ascii="Verdana" w:hAnsi="Verdana"/>
          <w:sz w:val="20"/>
          <w:szCs w:val="20"/>
          <w:lang w:val="en-US"/>
        </w:rPr>
        <w:t xml:space="preserve"> “</w:t>
      </w:r>
      <w:r w:rsidRPr="00C9465D">
        <w:rPr>
          <w:rFonts w:ascii="Verdana" w:hAnsi="Verdana"/>
          <w:i/>
          <w:iCs/>
          <w:sz w:val="20"/>
          <w:szCs w:val="20"/>
          <w:lang w:val="en-US"/>
        </w:rPr>
        <w:t xml:space="preserve">ab initio” </w:t>
      </w:r>
      <w:r w:rsidRPr="00C9465D">
        <w:rPr>
          <w:rFonts w:ascii="Verdana" w:hAnsi="Verdana"/>
          <w:sz w:val="20"/>
          <w:szCs w:val="20"/>
          <w:lang w:val="en-US"/>
        </w:rPr>
        <w:t xml:space="preserve">does not exist. There are numerous very clear instances of these human rights violations </w:t>
      </w:r>
      <w:r w:rsidR="004E41C1" w:rsidRPr="00C9465D">
        <w:rPr>
          <w:rFonts w:ascii="Verdana" w:hAnsi="Verdana"/>
          <w:sz w:val="20"/>
          <w:szCs w:val="20"/>
          <w:lang w:val="en-US"/>
        </w:rPr>
        <w:t>without any wilful intent “</w:t>
      </w:r>
      <w:r w:rsidR="004E41C1" w:rsidRPr="00C9465D">
        <w:rPr>
          <w:rFonts w:ascii="Verdana" w:hAnsi="Verdana"/>
          <w:i/>
          <w:iCs/>
          <w:sz w:val="20"/>
          <w:szCs w:val="20"/>
          <w:lang w:val="en-US"/>
        </w:rPr>
        <w:t xml:space="preserve">ab initio.” </w:t>
      </w:r>
      <w:r w:rsidR="00C24F16" w:rsidRPr="00C9465D">
        <w:rPr>
          <w:rFonts w:ascii="Verdana" w:hAnsi="Verdana"/>
          <w:sz w:val="20"/>
          <w:szCs w:val="20"/>
          <w:lang w:val="en-US"/>
        </w:rPr>
        <w:t>In the case of the officials, t</w:t>
      </w:r>
      <w:r w:rsidR="004E41C1" w:rsidRPr="00C9465D">
        <w:rPr>
          <w:rFonts w:ascii="Verdana" w:hAnsi="Verdana"/>
          <w:sz w:val="20"/>
          <w:szCs w:val="20"/>
          <w:lang w:val="en-US"/>
        </w:rPr>
        <w:t>he wilful intent is</w:t>
      </w:r>
      <w:r w:rsidR="00F4157D" w:rsidRPr="00C9465D">
        <w:rPr>
          <w:rFonts w:ascii="Verdana" w:hAnsi="Verdana"/>
          <w:sz w:val="20"/>
          <w:szCs w:val="20"/>
          <w:lang w:val="en-US"/>
        </w:rPr>
        <w:t xml:space="preserve"> “</w:t>
      </w:r>
      <w:r w:rsidR="00F4157D" w:rsidRPr="00C9465D">
        <w:rPr>
          <w:rFonts w:ascii="Verdana" w:hAnsi="Verdana"/>
          <w:i/>
          <w:iCs/>
          <w:sz w:val="20"/>
          <w:szCs w:val="20"/>
          <w:lang w:val="en-US"/>
        </w:rPr>
        <w:t>ex post factum</w:t>
      </w:r>
      <w:r w:rsidR="00F4157D" w:rsidRPr="00C9465D">
        <w:rPr>
          <w:rFonts w:ascii="Verdana" w:hAnsi="Verdana"/>
          <w:sz w:val="20"/>
          <w:szCs w:val="20"/>
          <w:lang w:val="en-US"/>
        </w:rPr>
        <w:t>”</w:t>
      </w:r>
      <w:r w:rsidR="004E41C1" w:rsidRPr="00C9465D">
        <w:rPr>
          <w:rFonts w:ascii="Verdana" w:hAnsi="Verdana"/>
          <w:sz w:val="20"/>
          <w:szCs w:val="20"/>
          <w:lang w:val="en-US"/>
        </w:rPr>
        <w:t xml:space="preserve">; that is, after what happens to the victim and is </w:t>
      </w:r>
      <w:r w:rsidR="00C24F16" w:rsidRPr="00C9465D">
        <w:rPr>
          <w:rFonts w:ascii="Verdana" w:hAnsi="Verdana"/>
          <w:sz w:val="20"/>
          <w:szCs w:val="20"/>
          <w:lang w:val="en-US"/>
        </w:rPr>
        <w:t>not known.</w:t>
      </w:r>
      <w:r w:rsidR="00F4157D" w:rsidRPr="00C9465D">
        <w:rPr>
          <w:rFonts w:ascii="Verdana" w:hAnsi="Verdana"/>
          <w:sz w:val="20"/>
          <w:szCs w:val="20"/>
          <w:lang w:val="en-US"/>
        </w:rPr>
        <w:t xml:space="preserve"> </w:t>
      </w:r>
    </w:p>
    <w:p w14:paraId="74817834" w14:textId="625A77E8" w:rsidR="00F4157D" w:rsidRPr="00C9465D" w:rsidRDefault="004E41C1" w:rsidP="00D859AB">
      <w:pPr>
        <w:spacing w:line="240" w:lineRule="auto"/>
        <w:ind w:firstLine="708"/>
        <w:jc w:val="both"/>
        <w:rPr>
          <w:rFonts w:ascii="Verdana" w:hAnsi="Verdana"/>
          <w:sz w:val="20"/>
          <w:szCs w:val="20"/>
          <w:lang w:val="en-US"/>
        </w:rPr>
      </w:pPr>
      <w:r w:rsidRPr="00C9465D">
        <w:rPr>
          <w:rFonts w:ascii="Verdana" w:hAnsi="Verdana"/>
          <w:sz w:val="20"/>
          <w:szCs w:val="20"/>
          <w:lang w:val="en-US"/>
        </w:rPr>
        <w:t>In this case it is eviden</w:t>
      </w:r>
      <w:r w:rsidR="00C24F16" w:rsidRPr="00C9465D">
        <w:rPr>
          <w:rFonts w:ascii="Verdana" w:hAnsi="Verdana"/>
          <w:sz w:val="20"/>
          <w:szCs w:val="20"/>
          <w:lang w:val="en-US"/>
        </w:rPr>
        <w:t>t</w:t>
      </w:r>
      <w:r w:rsidRPr="00C9465D">
        <w:rPr>
          <w:rFonts w:ascii="Verdana" w:hAnsi="Verdana"/>
          <w:sz w:val="20"/>
          <w:szCs w:val="20"/>
          <w:lang w:val="en-US"/>
        </w:rPr>
        <w:t xml:space="preserve"> that a person</w:t>
      </w:r>
      <w:r w:rsidR="00C24F16" w:rsidRPr="00C9465D">
        <w:rPr>
          <w:rFonts w:ascii="Verdana" w:hAnsi="Verdana"/>
          <w:sz w:val="20"/>
          <w:szCs w:val="20"/>
          <w:lang w:val="en-US"/>
        </w:rPr>
        <w:t xml:space="preserve"> was</w:t>
      </w:r>
      <w:r w:rsidRPr="00C9465D">
        <w:rPr>
          <w:rFonts w:ascii="Verdana" w:hAnsi="Verdana"/>
          <w:sz w:val="20"/>
          <w:szCs w:val="20"/>
          <w:lang w:val="en-US"/>
        </w:rPr>
        <w:t xml:space="preserve"> deprived of liberty; that this deprivation of liberty was by state officials, and that the person disappeared.</w:t>
      </w:r>
      <w:r w:rsidR="00F4157D" w:rsidRPr="00C9465D">
        <w:rPr>
          <w:rFonts w:ascii="Verdana" w:hAnsi="Verdana"/>
          <w:sz w:val="20"/>
          <w:szCs w:val="20"/>
          <w:lang w:val="en-US"/>
        </w:rPr>
        <w:t xml:space="preserve"> </w:t>
      </w:r>
    </w:p>
    <w:p w14:paraId="47B65241" w14:textId="06444CCF" w:rsidR="00A915E3" w:rsidRPr="00C9465D" w:rsidRDefault="00F4157D" w:rsidP="00D859AB">
      <w:pPr>
        <w:spacing w:line="240" w:lineRule="auto"/>
        <w:jc w:val="both"/>
        <w:rPr>
          <w:rFonts w:ascii="Verdana" w:hAnsi="Verdana"/>
          <w:sz w:val="20"/>
          <w:szCs w:val="20"/>
          <w:lang w:val="en-US"/>
        </w:rPr>
      </w:pPr>
      <w:r w:rsidRPr="00C9465D">
        <w:rPr>
          <w:rFonts w:ascii="Verdana" w:hAnsi="Verdana"/>
          <w:b/>
          <w:sz w:val="20"/>
          <w:szCs w:val="20"/>
          <w:lang w:val="en-US"/>
        </w:rPr>
        <w:tab/>
        <w:t xml:space="preserve">3) </w:t>
      </w:r>
      <w:r w:rsidR="004E41C1" w:rsidRPr="00C9465D">
        <w:rPr>
          <w:rFonts w:ascii="Verdana" w:hAnsi="Verdana"/>
          <w:b/>
          <w:sz w:val="20"/>
          <w:szCs w:val="20"/>
          <w:lang w:val="en-US"/>
        </w:rPr>
        <w:t xml:space="preserve">Refusal to acknowledge the detention </w:t>
      </w:r>
      <w:r w:rsidR="00A915E3" w:rsidRPr="00C9465D">
        <w:rPr>
          <w:rFonts w:ascii="Verdana" w:hAnsi="Verdana"/>
          <w:b/>
          <w:sz w:val="20"/>
          <w:szCs w:val="20"/>
          <w:lang w:val="en-US"/>
        </w:rPr>
        <w:t>or</w:t>
      </w:r>
      <w:r w:rsidR="004E41C1" w:rsidRPr="00C9465D">
        <w:rPr>
          <w:rFonts w:ascii="Verdana" w:hAnsi="Verdana"/>
          <w:b/>
          <w:sz w:val="20"/>
          <w:szCs w:val="20"/>
          <w:lang w:val="en-US"/>
        </w:rPr>
        <w:t xml:space="preserve"> to reveal the fate or whereabouts of </w:t>
      </w:r>
      <w:r w:rsidR="00092D8C" w:rsidRPr="00C9465D">
        <w:rPr>
          <w:rFonts w:ascii="Verdana" w:hAnsi="Verdana"/>
          <w:b/>
          <w:sz w:val="20"/>
          <w:szCs w:val="20"/>
          <w:lang w:val="en-US"/>
        </w:rPr>
        <w:t xml:space="preserve">the </w:t>
      </w:r>
      <w:r w:rsidR="00577DE0" w:rsidRPr="00C9465D">
        <w:rPr>
          <w:rFonts w:ascii="Verdana" w:hAnsi="Verdana"/>
          <w:b/>
          <w:sz w:val="20"/>
          <w:szCs w:val="20"/>
          <w:lang w:val="en-US"/>
        </w:rPr>
        <w:t>victim</w:t>
      </w:r>
      <w:r w:rsidRPr="00C9465D">
        <w:rPr>
          <w:rFonts w:ascii="Verdana" w:hAnsi="Verdana"/>
          <w:b/>
          <w:sz w:val="20"/>
          <w:szCs w:val="20"/>
          <w:lang w:val="en-US"/>
        </w:rPr>
        <w:t xml:space="preserve">. </w:t>
      </w:r>
      <w:r w:rsidR="00A915E3" w:rsidRPr="00C9465D">
        <w:rPr>
          <w:rFonts w:ascii="Verdana" w:hAnsi="Verdana"/>
          <w:sz w:val="20"/>
          <w:szCs w:val="20"/>
          <w:lang w:val="en-US"/>
        </w:rPr>
        <w:t xml:space="preserve">It has not been proved that the victim left the establishment and, furthermore, in the condition in which he was, under the effects of a strong dose of psychotropic drugs – in other words, deprived of liberty or, at least, to a great extent prevented from moving freely and with full conscious awareness – it is almost implausible that he </w:t>
      </w:r>
      <w:r w:rsidR="00C24F16" w:rsidRPr="00C9465D">
        <w:rPr>
          <w:rFonts w:ascii="Verdana" w:hAnsi="Verdana"/>
          <w:sz w:val="20"/>
          <w:szCs w:val="20"/>
          <w:lang w:val="en-US"/>
        </w:rPr>
        <w:t>abandoned</w:t>
      </w:r>
      <w:r w:rsidR="00A915E3" w:rsidRPr="00C9465D">
        <w:rPr>
          <w:rFonts w:ascii="Verdana" w:hAnsi="Verdana"/>
          <w:sz w:val="20"/>
          <w:szCs w:val="20"/>
          <w:lang w:val="en-US"/>
        </w:rPr>
        <w:t xml:space="preserve"> the establishment and that, in addition, he did so without his clumsy movements attract</w:t>
      </w:r>
      <w:r w:rsidR="00C24F16" w:rsidRPr="00C9465D">
        <w:rPr>
          <w:rFonts w:ascii="Verdana" w:hAnsi="Verdana"/>
          <w:sz w:val="20"/>
          <w:szCs w:val="20"/>
          <w:lang w:val="en-US"/>
        </w:rPr>
        <w:t>ing</w:t>
      </w:r>
      <w:r w:rsidR="00A915E3" w:rsidRPr="00C9465D">
        <w:rPr>
          <w:rFonts w:ascii="Verdana" w:hAnsi="Verdana"/>
          <w:sz w:val="20"/>
          <w:szCs w:val="20"/>
          <w:lang w:val="en-US"/>
        </w:rPr>
        <w:t xml:space="preserve"> anyone’s attention</w:t>
      </w:r>
      <w:r w:rsidR="00991347" w:rsidRPr="00C9465D">
        <w:rPr>
          <w:rFonts w:ascii="Verdana" w:hAnsi="Verdana"/>
          <w:sz w:val="20"/>
          <w:szCs w:val="20"/>
          <w:lang w:val="en-US"/>
        </w:rPr>
        <w:t>, and that no one observed that a person in those conditions was leaving. There were no witnesses to his purported departure or any written record of this; it is based merely on the statements of the same personnel who kept him deprived of liberty, and who say that they never saw him again.</w:t>
      </w:r>
    </w:p>
    <w:p w14:paraId="1B3F4CAA" w14:textId="40D88F17" w:rsidR="00F4157D" w:rsidRPr="00C9465D" w:rsidRDefault="00F4157D" w:rsidP="00D859AB">
      <w:pPr>
        <w:spacing w:line="240" w:lineRule="auto"/>
        <w:jc w:val="both"/>
        <w:rPr>
          <w:rFonts w:ascii="Verdana" w:hAnsi="Verdana"/>
          <w:sz w:val="20"/>
          <w:szCs w:val="20"/>
          <w:lang w:val="en-US"/>
        </w:rPr>
      </w:pPr>
      <w:r w:rsidRPr="00C9465D">
        <w:rPr>
          <w:rFonts w:ascii="Verdana" w:hAnsi="Verdana"/>
          <w:sz w:val="20"/>
          <w:szCs w:val="20"/>
          <w:lang w:val="en-US"/>
        </w:rPr>
        <w:tab/>
      </w:r>
      <w:r w:rsidR="00991347" w:rsidRPr="00C9465D">
        <w:rPr>
          <w:rFonts w:ascii="Verdana" w:hAnsi="Verdana"/>
          <w:sz w:val="20"/>
          <w:szCs w:val="20"/>
          <w:lang w:val="en-US"/>
        </w:rPr>
        <w:t xml:space="preserve">It is even more implausible that, in the aforementioned conditions, he was able to go far away and hide up until the present; not only, due to his specific condition due to the effects of the psychotropic drugs, but also due to his previous deteriorated state and that he was dependent on the members of his family. Even more significant were the facts that his mother had been unable to see him and that he had suffered a fall that required a </w:t>
      </w:r>
      <w:r w:rsidR="00991347" w:rsidRPr="00C9465D">
        <w:rPr>
          <w:rFonts w:ascii="Verdana" w:hAnsi="Verdana"/>
          <w:sz w:val="20"/>
          <w:szCs w:val="20"/>
          <w:lang w:val="en-US"/>
        </w:rPr>
        <w:lastRenderedPageBreak/>
        <w:t>suture, without its significan</w:t>
      </w:r>
      <w:r w:rsidR="00C24F16" w:rsidRPr="00C9465D">
        <w:rPr>
          <w:rFonts w:ascii="Verdana" w:hAnsi="Verdana"/>
          <w:sz w:val="20"/>
          <w:szCs w:val="20"/>
          <w:lang w:val="en-US"/>
        </w:rPr>
        <w:t>ce</w:t>
      </w:r>
      <w:r w:rsidR="00991347" w:rsidRPr="00C9465D">
        <w:rPr>
          <w:rFonts w:ascii="Verdana" w:hAnsi="Verdana"/>
          <w:sz w:val="20"/>
          <w:szCs w:val="20"/>
          <w:lang w:val="en-US"/>
        </w:rPr>
        <w:t xml:space="preserve"> being specified, although it appears that the injury was to his brow.</w:t>
      </w:r>
    </w:p>
    <w:p w14:paraId="001293E9" w14:textId="4E45F094" w:rsidR="00991347" w:rsidRPr="00C9465D" w:rsidRDefault="00F4157D" w:rsidP="00D859AB">
      <w:pPr>
        <w:spacing w:line="240" w:lineRule="auto"/>
        <w:jc w:val="both"/>
        <w:rPr>
          <w:rFonts w:ascii="Verdana" w:hAnsi="Verdana"/>
          <w:sz w:val="20"/>
          <w:szCs w:val="20"/>
          <w:lang w:val="en-US"/>
        </w:rPr>
      </w:pPr>
      <w:r w:rsidRPr="00C9465D">
        <w:rPr>
          <w:rFonts w:ascii="Verdana" w:hAnsi="Verdana"/>
          <w:sz w:val="20"/>
          <w:szCs w:val="20"/>
          <w:lang w:val="en-US"/>
        </w:rPr>
        <w:tab/>
      </w:r>
      <w:r w:rsidR="00991347" w:rsidRPr="00C9465D">
        <w:rPr>
          <w:rFonts w:ascii="Verdana" w:hAnsi="Verdana"/>
          <w:sz w:val="20"/>
          <w:szCs w:val="20"/>
          <w:lang w:val="en-US"/>
        </w:rPr>
        <w:t>It is known that it is impossible to obtain so-called “negative evidence,” which, in the instant case, would be proof that he did not leave the mental asylum.</w:t>
      </w:r>
      <w:r w:rsidR="008F330F" w:rsidRPr="00C9465D">
        <w:rPr>
          <w:rFonts w:ascii="Verdana" w:hAnsi="Verdana"/>
          <w:sz w:val="20"/>
          <w:szCs w:val="20"/>
          <w:lang w:val="en-US"/>
        </w:rPr>
        <w:t xml:space="preserve"> If it </w:t>
      </w:r>
      <w:r w:rsidR="004C5E70" w:rsidRPr="00C9465D">
        <w:rPr>
          <w:rFonts w:ascii="Verdana" w:hAnsi="Verdana"/>
          <w:sz w:val="20"/>
          <w:szCs w:val="20"/>
          <w:lang w:val="en-US"/>
        </w:rPr>
        <w:t>were</w:t>
      </w:r>
      <w:r w:rsidR="008F330F" w:rsidRPr="00C9465D">
        <w:rPr>
          <w:rFonts w:ascii="Verdana" w:hAnsi="Verdana"/>
          <w:sz w:val="20"/>
          <w:szCs w:val="20"/>
          <w:lang w:val="en-US"/>
        </w:rPr>
        <w:t xml:space="preserve"> necessary to rule out the forced disappearance of anyone deprived of liberty based on the mere assertion by the public officials who were keeping him deprived of liberty that the disappeared person had “departed,” without providing any details, it would never be possible to prove this human rights violation or the corresponding offense, because this is the allegation most commonly used in such cases.</w:t>
      </w:r>
    </w:p>
    <w:p w14:paraId="4493BA61" w14:textId="7B5979E5" w:rsidR="008F330F" w:rsidRPr="00C9465D" w:rsidRDefault="008F330F" w:rsidP="00D859AB">
      <w:pPr>
        <w:spacing w:line="240" w:lineRule="auto"/>
        <w:ind w:firstLine="708"/>
        <w:jc w:val="both"/>
        <w:rPr>
          <w:rFonts w:ascii="Verdana" w:hAnsi="Verdana"/>
          <w:sz w:val="20"/>
          <w:szCs w:val="20"/>
          <w:lang w:val="en-US"/>
        </w:rPr>
      </w:pPr>
      <w:r w:rsidRPr="00C9465D">
        <w:rPr>
          <w:rFonts w:ascii="Verdana" w:hAnsi="Verdana"/>
          <w:sz w:val="20"/>
          <w:szCs w:val="20"/>
          <w:lang w:val="en-US"/>
        </w:rPr>
        <w:t xml:space="preserve">Consequently, in each case it is necessary to evaluate the particular circumstances that make the version of the “departure” more or less plausible and, in this specific case, all the indications, which are especially serious, precise and concordant, converge on the scant probability of confirming that hypothesis, which is only a mere statement by those who supposedly would be the foremost suspects. In addition, the State did not question other patients or staff of the mental asylum to </w:t>
      </w:r>
      <w:r w:rsidR="00C24F16" w:rsidRPr="00C9465D">
        <w:rPr>
          <w:rFonts w:ascii="Verdana" w:hAnsi="Verdana"/>
          <w:sz w:val="20"/>
          <w:szCs w:val="20"/>
          <w:lang w:val="en-US"/>
        </w:rPr>
        <w:t>request</w:t>
      </w:r>
      <w:r w:rsidRPr="00C9465D">
        <w:rPr>
          <w:rFonts w:ascii="Verdana" w:hAnsi="Verdana"/>
          <w:sz w:val="20"/>
          <w:szCs w:val="20"/>
          <w:lang w:val="en-US"/>
        </w:rPr>
        <w:t xml:space="preserve"> more details about the supposed “departure.”</w:t>
      </w:r>
    </w:p>
    <w:p w14:paraId="5FF78AEB" w14:textId="3D080EC9" w:rsidR="008F330F" w:rsidRPr="00C9465D" w:rsidRDefault="00F4157D" w:rsidP="00D859AB">
      <w:pPr>
        <w:spacing w:line="240" w:lineRule="auto"/>
        <w:jc w:val="both"/>
        <w:rPr>
          <w:rFonts w:ascii="Verdana" w:hAnsi="Verdana"/>
          <w:sz w:val="20"/>
          <w:szCs w:val="20"/>
          <w:lang w:val="en-US"/>
        </w:rPr>
      </w:pPr>
      <w:r w:rsidRPr="00C9465D">
        <w:rPr>
          <w:rFonts w:ascii="Verdana" w:hAnsi="Verdana"/>
          <w:sz w:val="20"/>
          <w:szCs w:val="20"/>
          <w:lang w:val="en-US"/>
        </w:rPr>
        <w:tab/>
      </w:r>
      <w:r w:rsidR="008F330F" w:rsidRPr="00C9465D">
        <w:rPr>
          <w:rFonts w:ascii="Verdana" w:hAnsi="Verdana"/>
          <w:sz w:val="20"/>
          <w:szCs w:val="20"/>
          <w:lang w:val="en-US"/>
        </w:rPr>
        <w:t xml:space="preserve">In the instant case, everything indicates that the most probable explanation is that “he did not </w:t>
      </w:r>
      <w:r w:rsidR="00C24F16" w:rsidRPr="00C9465D">
        <w:rPr>
          <w:rFonts w:ascii="Verdana" w:hAnsi="Verdana"/>
          <w:sz w:val="20"/>
          <w:szCs w:val="20"/>
          <w:lang w:val="en-US"/>
        </w:rPr>
        <w:t>leave</w:t>
      </w:r>
      <w:r w:rsidR="008F330F" w:rsidRPr="00C9465D">
        <w:rPr>
          <w:rFonts w:ascii="Verdana" w:hAnsi="Verdana"/>
          <w:sz w:val="20"/>
          <w:szCs w:val="20"/>
          <w:lang w:val="en-US"/>
        </w:rPr>
        <w:t xml:space="preserve">.” Since there is no minimally reliable evidence </w:t>
      </w:r>
      <w:r w:rsidR="00932822" w:rsidRPr="00C9465D">
        <w:rPr>
          <w:rFonts w:ascii="Verdana" w:hAnsi="Verdana"/>
          <w:sz w:val="20"/>
          <w:szCs w:val="20"/>
          <w:lang w:val="en-US"/>
        </w:rPr>
        <w:t>regarding</w:t>
      </w:r>
      <w:r w:rsidR="008F330F" w:rsidRPr="00C9465D">
        <w:rPr>
          <w:rFonts w:ascii="Verdana" w:hAnsi="Verdana"/>
          <w:sz w:val="20"/>
          <w:szCs w:val="20"/>
          <w:lang w:val="en-US"/>
        </w:rPr>
        <w:t xml:space="preserve"> his alleged “departure” </w:t>
      </w:r>
      <w:r w:rsidR="00932822" w:rsidRPr="00C9465D">
        <w:rPr>
          <w:rFonts w:ascii="Verdana" w:hAnsi="Verdana"/>
          <w:sz w:val="20"/>
          <w:szCs w:val="20"/>
          <w:lang w:val="en-US"/>
        </w:rPr>
        <w:t xml:space="preserve">which </w:t>
      </w:r>
      <w:r w:rsidR="008F330F" w:rsidRPr="00C9465D">
        <w:rPr>
          <w:rFonts w:ascii="Verdana" w:hAnsi="Verdana"/>
          <w:sz w:val="20"/>
          <w:szCs w:val="20"/>
          <w:lang w:val="en-US"/>
        </w:rPr>
        <w:t xml:space="preserve">is only remotely probable, a doubt arises that leads to the </w:t>
      </w:r>
      <w:r w:rsidR="00B30AF4" w:rsidRPr="00C9465D">
        <w:rPr>
          <w:rFonts w:ascii="Verdana" w:hAnsi="Verdana"/>
          <w:sz w:val="20"/>
          <w:szCs w:val="20"/>
          <w:lang w:val="en-US"/>
        </w:rPr>
        <w:t xml:space="preserve">hypothesis that, among the officials, there must be one or several who know what </w:t>
      </w:r>
      <w:r w:rsidR="00932822" w:rsidRPr="00C9465D">
        <w:rPr>
          <w:rFonts w:ascii="Verdana" w:hAnsi="Verdana"/>
          <w:sz w:val="20"/>
          <w:szCs w:val="20"/>
          <w:lang w:val="en-US"/>
        </w:rPr>
        <w:t>occurred</w:t>
      </w:r>
      <w:r w:rsidR="00B30AF4" w:rsidRPr="00C9465D">
        <w:rPr>
          <w:rFonts w:ascii="Verdana" w:hAnsi="Verdana"/>
          <w:sz w:val="20"/>
          <w:szCs w:val="20"/>
          <w:lang w:val="en-US"/>
        </w:rPr>
        <w:t xml:space="preserve"> and could explain what happened to the victim. Those officials would be acting with wilful intent; precisely the wilful intent not to reveal the fate or whereabouts of the victim; this is why I indicated above that wilful intent “</w:t>
      </w:r>
      <w:r w:rsidR="00B30AF4" w:rsidRPr="00C9465D">
        <w:rPr>
          <w:rFonts w:ascii="Verdana" w:hAnsi="Verdana"/>
          <w:i/>
          <w:iCs/>
          <w:sz w:val="20"/>
          <w:szCs w:val="20"/>
          <w:lang w:val="en-US"/>
        </w:rPr>
        <w:t>ab initio</w:t>
      </w:r>
      <w:r w:rsidR="00B30AF4" w:rsidRPr="00C9465D">
        <w:rPr>
          <w:rFonts w:ascii="Verdana" w:hAnsi="Verdana"/>
          <w:sz w:val="20"/>
          <w:szCs w:val="20"/>
          <w:lang w:val="en-US"/>
        </w:rPr>
        <w:t>” is not required, because it is a wilful intent “</w:t>
      </w:r>
      <w:r w:rsidR="00B30AF4" w:rsidRPr="00C9465D">
        <w:rPr>
          <w:rFonts w:ascii="Verdana" w:hAnsi="Verdana"/>
          <w:i/>
          <w:iCs/>
          <w:sz w:val="20"/>
          <w:szCs w:val="20"/>
          <w:lang w:val="en-US"/>
        </w:rPr>
        <w:t>ex post factum</w:t>
      </w:r>
      <w:r w:rsidR="00B30AF4" w:rsidRPr="00C9465D">
        <w:rPr>
          <w:rFonts w:ascii="Verdana" w:hAnsi="Verdana"/>
          <w:sz w:val="20"/>
          <w:szCs w:val="20"/>
          <w:lang w:val="en-US"/>
        </w:rPr>
        <w:t>” as regard</w:t>
      </w:r>
      <w:r w:rsidR="00932822" w:rsidRPr="00C9465D">
        <w:rPr>
          <w:rFonts w:ascii="Verdana" w:hAnsi="Verdana"/>
          <w:sz w:val="20"/>
          <w:szCs w:val="20"/>
          <w:lang w:val="en-US"/>
        </w:rPr>
        <w:t>s</w:t>
      </w:r>
      <w:r w:rsidR="00B30AF4" w:rsidRPr="00C9465D">
        <w:rPr>
          <w:rFonts w:ascii="Verdana" w:hAnsi="Verdana"/>
          <w:sz w:val="20"/>
          <w:szCs w:val="20"/>
          <w:lang w:val="en-US"/>
        </w:rPr>
        <w:t xml:space="preserve"> what really happened to the victim and that is unknown, because if it were known this offense would be excluded. The State has never questioned those officials because, based on the simple allegation of the “departure,” the State merely searched outside the asylum for an epileptic patient, deteriorated by repeated seizures that had gone unmedicated</w:t>
      </w:r>
      <w:r w:rsidR="00932822" w:rsidRPr="00C9465D">
        <w:rPr>
          <w:rFonts w:ascii="Verdana" w:hAnsi="Verdana"/>
          <w:sz w:val="20"/>
          <w:szCs w:val="20"/>
          <w:lang w:val="en-US"/>
        </w:rPr>
        <w:t>,</w:t>
      </w:r>
      <w:r w:rsidR="00B30AF4" w:rsidRPr="00C9465D">
        <w:rPr>
          <w:rFonts w:ascii="Verdana" w:hAnsi="Verdana"/>
          <w:sz w:val="20"/>
          <w:szCs w:val="20"/>
          <w:lang w:val="en-US"/>
        </w:rPr>
        <w:t xml:space="preserve"> and under the effects of  psychotropic drugs.</w:t>
      </w:r>
    </w:p>
    <w:p w14:paraId="70BE07F8" w14:textId="56FE6B34" w:rsidR="00B30AF4" w:rsidRPr="00C9465D" w:rsidRDefault="00F4157D" w:rsidP="00D859AB">
      <w:pPr>
        <w:spacing w:line="240" w:lineRule="auto"/>
        <w:jc w:val="both"/>
        <w:rPr>
          <w:rFonts w:ascii="Verdana" w:hAnsi="Verdana"/>
          <w:sz w:val="20"/>
          <w:szCs w:val="20"/>
          <w:lang w:val="en-US"/>
        </w:rPr>
      </w:pPr>
      <w:r w:rsidRPr="00C9465D">
        <w:rPr>
          <w:rFonts w:ascii="Verdana" w:hAnsi="Verdana"/>
          <w:sz w:val="20"/>
          <w:szCs w:val="20"/>
          <w:lang w:val="en-US"/>
        </w:rPr>
        <w:tab/>
      </w:r>
      <w:r w:rsidR="00B30AF4" w:rsidRPr="00C9465D">
        <w:rPr>
          <w:rFonts w:ascii="Verdana" w:hAnsi="Verdana"/>
          <w:sz w:val="20"/>
          <w:szCs w:val="20"/>
          <w:lang w:val="en-US"/>
        </w:rPr>
        <w:t xml:space="preserve">The offense of </w:t>
      </w:r>
      <w:r w:rsidR="00CF3A9D" w:rsidRPr="00C9465D">
        <w:rPr>
          <w:rFonts w:ascii="Verdana" w:hAnsi="Verdana"/>
          <w:sz w:val="20"/>
          <w:szCs w:val="20"/>
          <w:lang w:val="en-US"/>
        </w:rPr>
        <w:t>forced disappearance</w:t>
      </w:r>
      <w:r w:rsidRPr="00C9465D">
        <w:rPr>
          <w:rFonts w:ascii="Verdana" w:hAnsi="Verdana"/>
          <w:sz w:val="20"/>
          <w:szCs w:val="20"/>
          <w:lang w:val="en-US"/>
        </w:rPr>
        <w:t xml:space="preserve"> </w:t>
      </w:r>
      <w:r w:rsidR="00B30AF4" w:rsidRPr="00C9465D">
        <w:rPr>
          <w:rFonts w:ascii="Verdana" w:hAnsi="Verdana"/>
          <w:sz w:val="20"/>
          <w:szCs w:val="20"/>
          <w:lang w:val="en-US"/>
        </w:rPr>
        <w:t>of persons does not presume any wilful intent prior to what happens to the victim or even with regard to any eventual harm that he may have suffered, which is precisely what is unknown</w:t>
      </w:r>
      <w:r w:rsidR="00932822" w:rsidRPr="00C9465D">
        <w:rPr>
          <w:rFonts w:ascii="Verdana" w:hAnsi="Verdana"/>
          <w:sz w:val="20"/>
          <w:szCs w:val="20"/>
          <w:lang w:val="en-US"/>
        </w:rPr>
        <w:t>.</w:t>
      </w:r>
      <w:r w:rsidR="00B30AF4" w:rsidRPr="00C9465D">
        <w:rPr>
          <w:rFonts w:ascii="Verdana" w:hAnsi="Verdana"/>
          <w:sz w:val="20"/>
          <w:szCs w:val="20"/>
          <w:lang w:val="en-US"/>
        </w:rPr>
        <w:t xml:space="preserve"> </w:t>
      </w:r>
      <w:r w:rsidR="00932822" w:rsidRPr="00C9465D">
        <w:rPr>
          <w:rFonts w:ascii="Verdana" w:hAnsi="Verdana"/>
          <w:sz w:val="20"/>
          <w:szCs w:val="20"/>
          <w:lang w:val="en-US"/>
        </w:rPr>
        <w:t>R</w:t>
      </w:r>
      <w:r w:rsidR="00B30AF4" w:rsidRPr="00C9465D">
        <w:rPr>
          <w:rFonts w:ascii="Verdana" w:hAnsi="Verdana"/>
          <w:sz w:val="20"/>
          <w:szCs w:val="20"/>
          <w:lang w:val="en-US"/>
        </w:rPr>
        <w:t>ather the</w:t>
      </w:r>
      <w:r w:rsidR="00932822" w:rsidRPr="00C9465D">
        <w:rPr>
          <w:rFonts w:ascii="Verdana" w:hAnsi="Verdana"/>
          <w:sz w:val="20"/>
          <w:szCs w:val="20"/>
          <w:lang w:val="en-US"/>
        </w:rPr>
        <w:t xml:space="preserve"> objective nature of the offense </w:t>
      </w:r>
      <w:r w:rsidR="00DE514F" w:rsidRPr="00C9465D">
        <w:rPr>
          <w:rFonts w:ascii="Verdana" w:hAnsi="Verdana"/>
          <w:sz w:val="20"/>
          <w:szCs w:val="20"/>
          <w:lang w:val="en-US"/>
        </w:rPr>
        <w:t xml:space="preserve">is completed, subjectively, with the wilful intent </w:t>
      </w:r>
      <w:r w:rsidR="00932822" w:rsidRPr="00C9465D">
        <w:rPr>
          <w:rFonts w:ascii="Verdana" w:hAnsi="Verdana"/>
          <w:sz w:val="20"/>
          <w:szCs w:val="20"/>
          <w:lang w:val="en-US"/>
        </w:rPr>
        <w:t>not</w:t>
      </w:r>
      <w:r w:rsidR="00DE514F" w:rsidRPr="00C9465D">
        <w:rPr>
          <w:rFonts w:ascii="Verdana" w:hAnsi="Verdana"/>
          <w:sz w:val="20"/>
          <w:szCs w:val="20"/>
          <w:lang w:val="en-US"/>
        </w:rPr>
        <w:t xml:space="preserve"> to reveal the </w:t>
      </w:r>
      <w:r w:rsidR="00932822" w:rsidRPr="00C9465D">
        <w:rPr>
          <w:rFonts w:ascii="Verdana" w:hAnsi="Verdana"/>
          <w:sz w:val="20"/>
          <w:szCs w:val="20"/>
          <w:lang w:val="en-US"/>
        </w:rPr>
        <w:t xml:space="preserve">victim’s </w:t>
      </w:r>
      <w:r w:rsidR="00DE514F" w:rsidRPr="00C9465D">
        <w:rPr>
          <w:rFonts w:ascii="Verdana" w:hAnsi="Verdana"/>
          <w:sz w:val="20"/>
          <w:szCs w:val="20"/>
          <w:lang w:val="en-US"/>
        </w:rPr>
        <w:t>fate or whereabouts; in other words, the intention to maintain the uncertainty about the person’s fate or whereabouts</w:t>
      </w:r>
      <w:r w:rsidR="00932822" w:rsidRPr="00C9465D">
        <w:rPr>
          <w:rFonts w:ascii="Verdana" w:hAnsi="Verdana"/>
          <w:sz w:val="20"/>
          <w:szCs w:val="20"/>
          <w:lang w:val="en-US"/>
        </w:rPr>
        <w:t xml:space="preserve"> over time</w:t>
      </w:r>
      <w:r w:rsidR="00DE514F" w:rsidRPr="00C9465D">
        <w:rPr>
          <w:rFonts w:ascii="Verdana" w:hAnsi="Verdana"/>
          <w:sz w:val="20"/>
          <w:szCs w:val="20"/>
          <w:lang w:val="en-US"/>
        </w:rPr>
        <w:t>.</w:t>
      </w:r>
    </w:p>
    <w:p w14:paraId="78EC5381" w14:textId="0BEF7CAC" w:rsidR="00DE514F" w:rsidRPr="00C9465D" w:rsidRDefault="00DE514F" w:rsidP="00D859AB">
      <w:pPr>
        <w:spacing w:line="240" w:lineRule="auto"/>
        <w:ind w:firstLine="708"/>
        <w:jc w:val="both"/>
        <w:rPr>
          <w:rFonts w:ascii="Verdana" w:hAnsi="Verdana"/>
          <w:sz w:val="20"/>
          <w:szCs w:val="20"/>
          <w:lang w:val="en-US"/>
        </w:rPr>
      </w:pPr>
      <w:r w:rsidRPr="00C9465D">
        <w:rPr>
          <w:rFonts w:ascii="Verdana" w:hAnsi="Verdana"/>
          <w:sz w:val="20"/>
          <w:szCs w:val="20"/>
          <w:lang w:val="en-US"/>
        </w:rPr>
        <w:t xml:space="preserve">In this case, there are real indications that some of the officials </w:t>
      </w:r>
      <w:r w:rsidR="00932822" w:rsidRPr="00C9465D">
        <w:rPr>
          <w:rFonts w:ascii="Verdana" w:hAnsi="Verdana"/>
          <w:sz w:val="20"/>
          <w:szCs w:val="20"/>
          <w:lang w:val="en-US"/>
        </w:rPr>
        <w:t>a</w:t>
      </w:r>
      <w:r w:rsidRPr="00C9465D">
        <w:rPr>
          <w:rFonts w:ascii="Verdana" w:hAnsi="Verdana"/>
          <w:sz w:val="20"/>
          <w:szCs w:val="20"/>
          <w:lang w:val="en-US"/>
        </w:rPr>
        <w:t>re aware of this and have wilfully failed to reveal what happened up until the present time</w:t>
      </w:r>
      <w:r w:rsidR="00932822" w:rsidRPr="00C9465D">
        <w:rPr>
          <w:rFonts w:ascii="Verdana" w:hAnsi="Verdana"/>
          <w:sz w:val="20"/>
          <w:szCs w:val="20"/>
          <w:lang w:val="en-US"/>
        </w:rPr>
        <w:t>. Therefore,</w:t>
      </w:r>
      <w:r w:rsidRPr="00C9465D">
        <w:rPr>
          <w:rFonts w:ascii="Verdana" w:hAnsi="Verdana"/>
          <w:sz w:val="20"/>
          <w:szCs w:val="20"/>
          <w:lang w:val="en-US"/>
        </w:rPr>
        <w:t xml:space="preserve"> the State should investigate this hypothesis</w:t>
      </w:r>
      <w:r w:rsidR="00932822" w:rsidRPr="00C9465D">
        <w:rPr>
          <w:rFonts w:ascii="Verdana" w:hAnsi="Verdana"/>
          <w:sz w:val="20"/>
          <w:szCs w:val="20"/>
          <w:lang w:val="en-US"/>
        </w:rPr>
        <w:t xml:space="preserve"> which</w:t>
      </w:r>
      <w:r w:rsidRPr="00C9465D">
        <w:rPr>
          <w:rFonts w:ascii="Verdana" w:hAnsi="Verdana"/>
          <w:sz w:val="20"/>
          <w:szCs w:val="20"/>
          <w:lang w:val="en-US"/>
        </w:rPr>
        <w:t xml:space="preserve"> it failed to investigate demonstrating, at the very least, extreme negligence; and it should do so now despite the time that has passed with the inevitable dispersion of evidence.</w:t>
      </w:r>
    </w:p>
    <w:p w14:paraId="4640534F" w14:textId="31584760" w:rsidR="00DE514F" w:rsidRPr="00C9465D" w:rsidRDefault="00F4157D" w:rsidP="00D859AB">
      <w:pPr>
        <w:spacing w:line="240" w:lineRule="auto"/>
        <w:ind w:firstLine="708"/>
        <w:jc w:val="both"/>
        <w:rPr>
          <w:rFonts w:ascii="Verdana" w:hAnsi="Verdana"/>
          <w:sz w:val="20"/>
          <w:szCs w:val="20"/>
          <w:lang w:val="en-US"/>
        </w:rPr>
      </w:pPr>
      <w:r w:rsidRPr="00C9465D">
        <w:rPr>
          <w:rFonts w:ascii="Verdana" w:hAnsi="Verdana"/>
          <w:sz w:val="20"/>
          <w:szCs w:val="20"/>
          <w:lang w:val="en-US"/>
        </w:rPr>
        <w:t xml:space="preserve">II. </w:t>
      </w:r>
      <w:r w:rsidR="00DE514F" w:rsidRPr="00C9465D">
        <w:rPr>
          <w:rFonts w:ascii="Verdana" w:hAnsi="Verdana"/>
          <w:sz w:val="20"/>
          <w:szCs w:val="20"/>
          <w:lang w:val="en-US"/>
        </w:rPr>
        <w:t xml:space="preserve"> Based on the foregoing, </w:t>
      </w:r>
      <w:r w:rsidR="00CF3A9D" w:rsidRPr="00C9465D">
        <w:rPr>
          <w:rFonts w:ascii="Verdana" w:hAnsi="Verdana"/>
          <w:sz w:val="20"/>
          <w:szCs w:val="20"/>
          <w:lang w:val="en-US"/>
        </w:rPr>
        <w:t>forced disappearance</w:t>
      </w:r>
      <w:r w:rsidRPr="00C9465D">
        <w:rPr>
          <w:rFonts w:ascii="Verdana" w:hAnsi="Verdana"/>
          <w:sz w:val="20"/>
          <w:szCs w:val="20"/>
          <w:lang w:val="en-US"/>
        </w:rPr>
        <w:t xml:space="preserve"> </w:t>
      </w:r>
      <w:r w:rsidR="00DE514F" w:rsidRPr="00C9465D">
        <w:rPr>
          <w:rFonts w:ascii="Verdana" w:hAnsi="Verdana"/>
          <w:sz w:val="20"/>
          <w:szCs w:val="20"/>
          <w:lang w:val="en-US"/>
        </w:rPr>
        <w:t>is not an instantaneous offense, but rather a permanent or continuing offense; that is, it has a certain duration while it is being committed that, in the case of an omission, begins at the time the obligation</w:t>
      </w:r>
      <w:r w:rsidR="00932822" w:rsidRPr="00C9465D">
        <w:rPr>
          <w:rFonts w:ascii="Verdana" w:hAnsi="Verdana"/>
          <w:sz w:val="20"/>
          <w:szCs w:val="20"/>
          <w:lang w:val="en-US"/>
        </w:rPr>
        <w:t xml:space="preserve"> to act</w:t>
      </w:r>
      <w:r w:rsidR="00DE514F" w:rsidRPr="00C9465D">
        <w:rPr>
          <w:rFonts w:ascii="Verdana" w:hAnsi="Verdana"/>
          <w:sz w:val="20"/>
          <w:szCs w:val="20"/>
          <w:lang w:val="en-US"/>
        </w:rPr>
        <w:t xml:space="preserve"> of the active subject arises</w:t>
      </w:r>
      <w:r w:rsidR="00553D62" w:rsidRPr="00C9465D">
        <w:rPr>
          <w:rFonts w:ascii="Verdana" w:hAnsi="Verdana"/>
          <w:sz w:val="20"/>
          <w:szCs w:val="20"/>
          <w:lang w:val="en-US"/>
        </w:rPr>
        <w:t xml:space="preserve"> – in other words, the obligation to reveal the fate or whereabouts of the person – and it extinguishes at the time when th</w:t>
      </w:r>
      <w:r w:rsidR="00932822" w:rsidRPr="00C9465D">
        <w:rPr>
          <w:rFonts w:ascii="Verdana" w:hAnsi="Verdana"/>
          <w:sz w:val="20"/>
          <w:szCs w:val="20"/>
          <w:lang w:val="en-US"/>
        </w:rPr>
        <w:t>is</w:t>
      </w:r>
      <w:r w:rsidR="00553D62" w:rsidRPr="00C9465D">
        <w:rPr>
          <w:rFonts w:ascii="Verdana" w:hAnsi="Verdana"/>
          <w:sz w:val="20"/>
          <w:szCs w:val="20"/>
          <w:lang w:val="en-US"/>
        </w:rPr>
        <w:t xml:space="preserve"> is known. And, it is not until the latter occurs that the calculation of the statute of limitations </w:t>
      </w:r>
      <w:r w:rsidR="00D65901" w:rsidRPr="00C9465D">
        <w:rPr>
          <w:rFonts w:ascii="Verdana" w:hAnsi="Verdana"/>
          <w:sz w:val="20"/>
          <w:szCs w:val="20"/>
          <w:lang w:val="en-US"/>
        </w:rPr>
        <w:t>on</w:t>
      </w:r>
      <w:r w:rsidR="00553D62" w:rsidRPr="00C9465D">
        <w:rPr>
          <w:rFonts w:ascii="Verdana" w:hAnsi="Verdana"/>
          <w:sz w:val="20"/>
          <w:szCs w:val="20"/>
          <w:lang w:val="en-US"/>
        </w:rPr>
        <w:t xml:space="preserve"> the criminal action for the offense of forced disappearance would begin</w:t>
      </w:r>
      <w:r w:rsidR="00D65901" w:rsidRPr="00C9465D">
        <w:rPr>
          <w:rFonts w:ascii="Verdana" w:hAnsi="Verdana"/>
          <w:sz w:val="20"/>
          <w:szCs w:val="20"/>
          <w:lang w:val="en-US"/>
        </w:rPr>
        <w:t>. Accordingly,</w:t>
      </w:r>
      <w:r w:rsidR="00553D62" w:rsidRPr="00C9465D">
        <w:rPr>
          <w:rFonts w:ascii="Verdana" w:hAnsi="Verdana"/>
          <w:sz w:val="20"/>
          <w:szCs w:val="20"/>
          <w:lang w:val="en-US"/>
        </w:rPr>
        <w:t xml:space="preserve"> in the instant case, the State has the obligation to investigate and, as appropriate, prosecute and punish the perpetrators.</w:t>
      </w:r>
    </w:p>
    <w:p w14:paraId="5DD2312F" w14:textId="3E998C1C" w:rsidR="00553D62" w:rsidRPr="00C9465D" w:rsidRDefault="00553D62" w:rsidP="00D859AB">
      <w:pPr>
        <w:spacing w:line="240" w:lineRule="auto"/>
        <w:ind w:firstLine="708"/>
        <w:jc w:val="both"/>
        <w:rPr>
          <w:rFonts w:ascii="Verdana" w:hAnsi="Verdana"/>
          <w:sz w:val="20"/>
          <w:szCs w:val="20"/>
          <w:lang w:val="en-US"/>
        </w:rPr>
      </w:pPr>
      <w:r w:rsidRPr="00C9465D">
        <w:rPr>
          <w:rFonts w:ascii="Verdana" w:hAnsi="Verdana"/>
          <w:sz w:val="20"/>
          <w:szCs w:val="20"/>
          <w:lang w:val="en-US"/>
        </w:rPr>
        <w:t xml:space="preserve">Even in cases in which, long after the disappearance commenced, information is found that allows the victim’s death to be verified, the offense that would eventually prescribe would be the possible homicide – unless the provisions of domestic or international law established that this was imprescriptible – but not the forced </w:t>
      </w:r>
      <w:r w:rsidRPr="00C9465D">
        <w:rPr>
          <w:rFonts w:ascii="Verdana" w:hAnsi="Verdana"/>
          <w:sz w:val="20"/>
          <w:szCs w:val="20"/>
          <w:lang w:val="en-US"/>
        </w:rPr>
        <w:lastRenderedPageBreak/>
        <w:t>disappearance, because calculation of the statute of limitations on the criminal action would begin from the time that the victim’s death was known.</w:t>
      </w:r>
    </w:p>
    <w:p w14:paraId="72BF5C13" w14:textId="1879AE03" w:rsidR="00553D62" w:rsidRPr="00C9465D" w:rsidRDefault="00F4157D" w:rsidP="00D859AB">
      <w:pPr>
        <w:spacing w:line="240" w:lineRule="auto"/>
        <w:ind w:firstLine="708"/>
        <w:jc w:val="both"/>
        <w:rPr>
          <w:rFonts w:ascii="Verdana" w:hAnsi="Verdana"/>
          <w:sz w:val="20"/>
          <w:szCs w:val="20"/>
          <w:lang w:val="en-US"/>
        </w:rPr>
      </w:pPr>
      <w:r w:rsidRPr="00C9465D">
        <w:rPr>
          <w:rFonts w:ascii="Verdana" w:hAnsi="Verdana"/>
          <w:sz w:val="20"/>
          <w:szCs w:val="20"/>
          <w:lang w:val="en-US"/>
        </w:rPr>
        <w:t xml:space="preserve">III. </w:t>
      </w:r>
      <w:r w:rsidR="00553D62" w:rsidRPr="00C9465D">
        <w:rPr>
          <w:rFonts w:ascii="Verdana" w:hAnsi="Verdana"/>
          <w:sz w:val="20"/>
          <w:szCs w:val="20"/>
          <w:lang w:val="en-US"/>
        </w:rPr>
        <w:t>I consider that, in the instant case, it is essential to classify the offense as</w:t>
      </w:r>
      <w:r w:rsidRPr="00C9465D">
        <w:rPr>
          <w:rFonts w:ascii="Verdana" w:hAnsi="Verdana"/>
          <w:sz w:val="20"/>
          <w:szCs w:val="20"/>
          <w:lang w:val="en-US"/>
        </w:rPr>
        <w:t xml:space="preserve"> </w:t>
      </w:r>
      <w:r w:rsidR="00CF3A9D" w:rsidRPr="00C9465D">
        <w:rPr>
          <w:rFonts w:ascii="Verdana" w:hAnsi="Verdana"/>
          <w:sz w:val="20"/>
          <w:szCs w:val="20"/>
          <w:lang w:val="en-US"/>
        </w:rPr>
        <w:t>forced disappearance</w:t>
      </w:r>
      <w:r w:rsidRPr="00C9465D">
        <w:rPr>
          <w:rFonts w:ascii="Verdana" w:hAnsi="Verdana"/>
          <w:sz w:val="20"/>
          <w:szCs w:val="20"/>
          <w:lang w:val="en-US"/>
        </w:rPr>
        <w:t xml:space="preserve"> </w:t>
      </w:r>
      <w:r w:rsidR="00553D62" w:rsidRPr="00C9465D">
        <w:rPr>
          <w:rFonts w:ascii="Verdana" w:hAnsi="Verdana"/>
          <w:sz w:val="20"/>
          <w:szCs w:val="20"/>
          <w:lang w:val="en-US"/>
        </w:rPr>
        <w:t>of persons because</w:t>
      </w:r>
      <w:r w:rsidR="00D65901" w:rsidRPr="00C9465D">
        <w:rPr>
          <w:rFonts w:ascii="Verdana" w:hAnsi="Verdana"/>
          <w:sz w:val="20"/>
          <w:szCs w:val="20"/>
          <w:lang w:val="en-US"/>
        </w:rPr>
        <w:t>, otherwise,</w:t>
      </w:r>
      <w:r w:rsidR="00553D62" w:rsidRPr="00C9465D">
        <w:rPr>
          <w:rFonts w:ascii="Verdana" w:hAnsi="Verdana"/>
          <w:sz w:val="20"/>
          <w:szCs w:val="20"/>
          <w:lang w:val="en-US"/>
        </w:rPr>
        <w:t xml:space="preserve"> in any other similar situation of disappeared person</w:t>
      </w:r>
      <w:r w:rsidR="00D65901" w:rsidRPr="00C9465D">
        <w:rPr>
          <w:rFonts w:ascii="Verdana" w:hAnsi="Verdana"/>
          <w:sz w:val="20"/>
          <w:szCs w:val="20"/>
          <w:lang w:val="en-US"/>
        </w:rPr>
        <w:t>s</w:t>
      </w:r>
      <w:r w:rsidR="00553D62" w:rsidRPr="00C9465D">
        <w:rPr>
          <w:rFonts w:ascii="Verdana" w:hAnsi="Verdana"/>
          <w:sz w:val="20"/>
          <w:szCs w:val="20"/>
          <w:lang w:val="en-US"/>
        </w:rPr>
        <w:t xml:space="preserve"> following their deprivation of liberty in mental asylums, but committed in the context of a systematic practice, th</w:t>
      </w:r>
      <w:r w:rsidR="00D65901" w:rsidRPr="00C9465D">
        <w:rPr>
          <w:rFonts w:ascii="Verdana" w:hAnsi="Verdana"/>
          <w:sz w:val="20"/>
          <w:szCs w:val="20"/>
          <w:lang w:val="en-US"/>
        </w:rPr>
        <w:t>at</w:t>
      </w:r>
      <w:r w:rsidR="00553D62" w:rsidRPr="00C9465D">
        <w:rPr>
          <w:rFonts w:ascii="Verdana" w:hAnsi="Verdana"/>
          <w:sz w:val="20"/>
          <w:szCs w:val="20"/>
          <w:lang w:val="en-US"/>
        </w:rPr>
        <w:t xml:space="preserve"> could not be declared a crime against humanity, and this would be</w:t>
      </w:r>
      <w:r w:rsidR="00BA7D7A" w:rsidRPr="00C9465D">
        <w:rPr>
          <w:rFonts w:ascii="Verdana" w:hAnsi="Verdana"/>
          <w:sz w:val="20"/>
          <w:szCs w:val="20"/>
          <w:lang w:val="en-US"/>
        </w:rPr>
        <w:t xml:space="preserve"> </w:t>
      </w:r>
      <w:r w:rsidR="00D65901" w:rsidRPr="00C9465D">
        <w:rPr>
          <w:rFonts w:ascii="Verdana" w:hAnsi="Verdana"/>
          <w:sz w:val="20"/>
          <w:szCs w:val="20"/>
          <w:lang w:val="en-US"/>
        </w:rPr>
        <w:t>a</w:t>
      </w:r>
      <w:r w:rsidR="00BA7D7A" w:rsidRPr="00C9465D">
        <w:rPr>
          <w:rFonts w:ascii="Verdana" w:hAnsi="Verdana"/>
          <w:sz w:val="20"/>
          <w:szCs w:val="20"/>
          <w:lang w:val="en-US"/>
        </w:rPr>
        <w:t xml:space="preserve"> </w:t>
      </w:r>
      <w:r w:rsidR="00D65901" w:rsidRPr="00C9465D">
        <w:rPr>
          <w:rFonts w:ascii="Verdana" w:hAnsi="Verdana"/>
          <w:sz w:val="20"/>
          <w:szCs w:val="20"/>
          <w:lang w:val="en-US"/>
        </w:rPr>
        <w:t>cause</w:t>
      </w:r>
      <w:r w:rsidR="00BA7D7A" w:rsidRPr="00C9465D">
        <w:rPr>
          <w:rFonts w:ascii="Verdana" w:hAnsi="Verdana"/>
          <w:sz w:val="20"/>
          <w:szCs w:val="20"/>
          <w:lang w:val="en-US"/>
        </w:rPr>
        <w:t xml:space="preserve"> for extreme concern.</w:t>
      </w:r>
    </w:p>
    <w:p w14:paraId="33FB1F6B" w14:textId="5A42A41F" w:rsidR="00BA7D7A" w:rsidRPr="00C9465D" w:rsidRDefault="00F4157D" w:rsidP="00D859AB">
      <w:pPr>
        <w:spacing w:line="240" w:lineRule="auto"/>
        <w:jc w:val="both"/>
        <w:rPr>
          <w:rFonts w:ascii="Verdana" w:hAnsi="Verdana"/>
          <w:sz w:val="20"/>
          <w:szCs w:val="20"/>
          <w:lang w:val="en-US"/>
        </w:rPr>
      </w:pPr>
      <w:r w:rsidRPr="00C9465D">
        <w:rPr>
          <w:rFonts w:ascii="Verdana" w:hAnsi="Verdana"/>
          <w:sz w:val="20"/>
          <w:szCs w:val="20"/>
          <w:lang w:val="en-US"/>
        </w:rPr>
        <w:tab/>
      </w:r>
      <w:r w:rsidR="00BA7D7A" w:rsidRPr="00C9465D">
        <w:rPr>
          <w:rFonts w:ascii="Verdana" w:hAnsi="Verdana"/>
          <w:sz w:val="20"/>
          <w:szCs w:val="20"/>
          <w:lang w:val="en-US"/>
        </w:rPr>
        <w:t>This act, as it does not correspond to a systematic practice, cannot be considered a crime against humanity</w:t>
      </w:r>
      <w:r w:rsidR="00D65901" w:rsidRPr="00C9465D">
        <w:rPr>
          <w:rFonts w:ascii="Verdana" w:hAnsi="Verdana"/>
          <w:sz w:val="20"/>
          <w:szCs w:val="20"/>
          <w:lang w:val="en-US"/>
        </w:rPr>
        <w:t>; however,</w:t>
      </w:r>
      <w:r w:rsidR="00BA7D7A" w:rsidRPr="00C9465D">
        <w:rPr>
          <w:rFonts w:ascii="Verdana" w:hAnsi="Verdana"/>
          <w:sz w:val="20"/>
          <w:szCs w:val="20"/>
          <w:lang w:val="en-US"/>
        </w:rPr>
        <w:t xml:space="preserve"> the problem is that, if it is not classified as forced disappearance, if it had occurred in the context of a systematic practice, it would not be a crime against humanity either, disregarding the fact that the systematic practice does not conceptualize forced disappearance, but rather it endows it with the nature of a crime against humanity: if the species did not exist, the genus could not exist.</w:t>
      </w:r>
    </w:p>
    <w:p w14:paraId="04926850" w14:textId="56B56D1B" w:rsidR="00BA7D7A" w:rsidRPr="00C9465D" w:rsidRDefault="00BA7D7A" w:rsidP="00D859AB">
      <w:pPr>
        <w:spacing w:line="240" w:lineRule="auto"/>
        <w:ind w:firstLine="708"/>
        <w:jc w:val="both"/>
        <w:rPr>
          <w:rFonts w:ascii="Verdana" w:hAnsi="Verdana"/>
          <w:sz w:val="20"/>
          <w:szCs w:val="20"/>
          <w:lang w:val="en-US"/>
        </w:rPr>
      </w:pPr>
      <w:r w:rsidRPr="00C9465D">
        <w:rPr>
          <w:rFonts w:ascii="Verdana" w:hAnsi="Verdana"/>
          <w:sz w:val="20"/>
          <w:szCs w:val="20"/>
          <w:lang w:val="en-US"/>
        </w:rPr>
        <w:t>I understand that it is essential to avoid this consequence simply because, otherwise, the provisions of the 1994 Inter-American Convention on Forced Disappearance of Persons, the 2006 UN International Convention for the Protection of All Persons from Enforced Disappearances</w:t>
      </w:r>
      <w:r w:rsidR="00380B5D" w:rsidRPr="00C9465D">
        <w:rPr>
          <w:rFonts w:ascii="Verdana" w:hAnsi="Verdana"/>
          <w:sz w:val="20"/>
          <w:szCs w:val="20"/>
          <w:lang w:val="en-US"/>
        </w:rPr>
        <w:t xml:space="preserve"> and all the other similar international norms would be ineffective in relation to forced disappearances in mental asylums.</w:t>
      </w:r>
    </w:p>
    <w:p w14:paraId="60C219DD" w14:textId="22FDD3A3" w:rsidR="00380B5D" w:rsidRPr="00C9465D" w:rsidRDefault="00F4157D" w:rsidP="00D859AB">
      <w:pPr>
        <w:spacing w:line="240" w:lineRule="auto"/>
        <w:jc w:val="both"/>
        <w:rPr>
          <w:rFonts w:ascii="Verdana" w:hAnsi="Verdana"/>
          <w:sz w:val="20"/>
          <w:szCs w:val="20"/>
          <w:lang w:val="en-US"/>
        </w:rPr>
      </w:pPr>
      <w:r w:rsidRPr="00C9465D">
        <w:rPr>
          <w:rFonts w:ascii="Verdana" w:hAnsi="Verdana"/>
          <w:sz w:val="20"/>
          <w:szCs w:val="20"/>
          <w:lang w:val="en-US"/>
        </w:rPr>
        <w:t xml:space="preserve">  </w:t>
      </w:r>
      <w:r w:rsidRPr="00C9465D">
        <w:rPr>
          <w:rFonts w:ascii="Verdana" w:hAnsi="Verdana"/>
          <w:sz w:val="20"/>
          <w:szCs w:val="20"/>
          <w:lang w:val="en-US"/>
        </w:rPr>
        <w:tab/>
        <w:t xml:space="preserve">IV. </w:t>
      </w:r>
      <w:r w:rsidR="00380B5D" w:rsidRPr="00C9465D">
        <w:rPr>
          <w:rFonts w:ascii="Verdana" w:hAnsi="Verdana"/>
          <w:sz w:val="20"/>
          <w:szCs w:val="20"/>
          <w:lang w:val="en-US"/>
        </w:rPr>
        <w:t xml:space="preserve">I submit this </w:t>
      </w:r>
      <w:r w:rsidR="006D60F8" w:rsidRPr="00C9465D">
        <w:rPr>
          <w:rFonts w:ascii="Verdana" w:hAnsi="Verdana"/>
          <w:sz w:val="20"/>
          <w:szCs w:val="20"/>
          <w:lang w:val="en-US"/>
        </w:rPr>
        <w:t>concurring opinion</w:t>
      </w:r>
      <w:r w:rsidRPr="00C9465D">
        <w:rPr>
          <w:rFonts w:ascii="Verdana" w:hAnsi="Verdana"/>
          <w:sz w:val="20"/>
          <w:szCs w:val="20"/>
          <w:lang w:val="en-US"/>
        </w:rPr>
        <w:t xml:space="preserve"> </w:t>
      </w:r>
      <w:r w:rsidR="00380B5D" w:rsidRPr="00C9465D">
        <w:rPr>
          <w:rFonts w:ascii="Verdana" w:hAnsi="Verdana"/>
          <w:sz w:val="20"/>
          <w:szCs w:val="20"/>
          <w:lang w:val="en-US"/>
        </w:rPr>
        <w:t xml:space="preserve">because a careful reading of the text </w:t>
      </w:r>
      <w:r w:rsidR="008F17CD" w:rsidRPr="00C9465D">
        <w:rPr>
          <w:rFonts w:ascii="Verdana" w:hAnsi="Verdana"/>
          <w:sz w:val="20"/>
          <w:szCs w:val="20"/>
          <w:lang w:val="en-US"/>
        </w:rPr>
        <w:t>of the judgment</w:t>
      </w:r>
      <w:r w:rsidR="00380B5D" w:rsidRPr="00C9465D">
        <w:rPr>
          <w:rFonts w:ascii="Verdana" w:hAnsi="Verdana"/>
          <w:sz w:val="20"/>
          <w:szCs w:val="20"/>
          <w:lang w:val="en-US"/>
        </w:rPr>
        <w:t xml:space="preserve"> reveals that it recognizes all the elements of the forced disappearance of persons and also assigns all the legal consequences, but omits the explicit mention of this categorization.</w:t>
      </w:r>
    </w:p>
    <w:p w14:paraId="6D0CC31C" w14:textId="13DE469E" w:rsidR="00380B5D" w:rsidRPr="00C9465D" w:rsidRDefault="00380B5D" w:rsidP="00D859AB">
      <w:pPr>
        <w:spacing w:line="240" w:lineRule="auto"/>
        <w:ind w:firstLine="708"/>
        <w:jc w:val="both"/>
        <w:rPr>
          <w:rFonts w:ascii="Verdana" w:hAnsi="Verdana"/>
          <w:sz w:val="20"/>
          <w:szCs w:val="20"/>
          <w:lang w:val="en-US"/>
        </w:rPr>
      </w:pPr>
      <w:r w:rsidRPr="00C9465D">
        <w:rPr>
          <w:rFonts w:ascii="Verdana" w:hAnsi="Verdana"/>
          <w:sz w:val="20"/>
          <w:szCs w:val="20"/>
          <w:lang w:val="en-US"/>
        </w:rPr>
        <w:t>I understand that when a thing has all the elements and consequences that correspond to it, based on the principle of identity supported by logic from the times of Parmenides and followed by Aristotle, it is the same thing (A = A); therefore, I consider that it is necessary to clarify this, ratifying this Court’s previous case law and to guarantee the effectiveness of the international law in force on forced disappearance of persons in cases of disappearances of psychiatric patients deprived of liberty in public establishments.</w:t>
      </w:r>
    </w:p>
    <w:p w14:paraId="3490AF2B" w14:textId="2ADFD61B" w:rsidR="00F4157D" w:rsidRPr="00C9465D" w:rsidRDefault="00F4157D" w:rsidP="00F4157D">
      <w:pPr>
        <w:jc w:val="both"/>
        <w:rPr>
          <w:rFonts w:ascii="Verdana" w:hAnsi="Verdana"/>
          <w:sz w:val="20"/>
          <w:szCs w:val="20"/>
          <w:lang w:val="en-US"/>
        </w:rPr>
      </w:pPr>
      <w:r w:rsidRPr="00C9465D">
        <w:rPr>
          <w:rFonts w:ascii="Verdana" w:hAnsi="Verdana"/>
          <w:sz w:val="20"/>
          <w:szCs w:val="20"/>
          <w:lang w:val="en-US"/>
        </w:rPr>
        <w:tab/>
      </w:r>
      <w:r w:rsidR="00760331" w:rsidRPr="00C9465D">
        <w:rPr>
          <w:rFonts w:ascii="Verdana" w:hAnsi="Verdana"/>
          <w:sz w:val="20"/>
          <w:szCs w:val="20"/>
          <w:lang w:val="en-US"/>
        </w:rPr>
        <w:t>Based on the above, I submit this concurring opinion with the foregoing clarification.</w:t>
      </w:r>
      <w:r w:rsidRPr="00C9465D">
        <w:rPr>
          <w:rFonts w:ascii="Verdana" w:hAnsi="Verdana"/>
          <w:sz w:val="20"/>
          <w:szCs w:val="20"/>
          <w:lang w:val="en-US"/>
        </w:rPr>
        <w:t xml:space="preserve"> </w:t>
      </w:r>
    </w:p>
    <w:p w14:paraId="2D9CD060" w14:textId="77777777" w:rsidR="00F4157D" w:rsidRPr="00C9465D" w:rsidRDefault="00F4157D" w:rsidP="00F4157D">
      <w:pPr>
        <w:jc w:val="both"/>
        <w:rPr>
          <w:rFonts w:ascii="Verdana" w:hAnsi="Verdana"/>
          <w:sz w:val="20"/>
          <w:szCs w:val="20"/>
          <w:lang w:val="en-US"/>
        </w:rPr>
      </w:pPr>
    </w:p>
    <w:p w14:paraId="73F2BED9" w14:textId="77777777" w:rsidR="00F4157D" w:rsidRPr="00C9465D" w:rsidRDefault="00F4157D" w:rsidP="00F4157D">
      <w:pPr>
        <w:jc w:val="both"/>
        <w:rPr>
          <w:rFonts w:ascii="Verdana" w:hAnsi="Verdana"/>
          <w:sz w:val="20"/>
          <w:szCs w:val="20"/>
          <w:lang w:val="en-US"/>
        </w:rPr>
      </w:pPr>
    </w:p>
    <w:p w14:paraId="42909214" w14:textId="77777777" w:rsidR="00F4157D" w:rsidRPr="00C9465D" w:rsidRDefault="00F4157D" w:rsidP="00F4157D">
      <w:pPr>
        <w:jc w:val="both"/>
        <w:rPr>
          <w:rFonts w:ascii="Verdana" w:hAnsi="Verdana"/>
          <w:sz w:val="20"/>
          <w:szCs w:val="20"/>
          <w:lang w:val="en-US"/>
        </w:rPr>
      </w:pPr>
    </w:p>
    <w:p w14:paraId="3F40DDDC" w14:textId="77777777" w:rsidR="00F4157D" w:rsidRPr="00C9465D" w:rsidRDefault="00F4157D" w:rsidP="00F4157D">
      <w:pPr>
        <w:spacing w:after="0" w:line="240" w:lineRule="auto"/>
        <w:ind w:left="6372"/>
        <w:jc w:val="both"/>
        <w:rPr>
          <w:rFonts w:ascii="Verdana" w:eastAsia="Times New Roman" w:hAnsi="Verdana" w:cs="Times New Roman"/>
          <w:sz w:val="20"/>
          <w:szCs w:val="20"/>
          <w:lang w:val="en-US"/>
        </w:rPr>
      </w:pPr>
      <w:r w:rsidRPr="00C9465D">
        <w:rPr>
          <w:rFonts w:ascii="Verdana" w:eastAsia="Times New Roman" w:hAnsi="Verdana" w:cs="Times New Roman"/>
          <w:sz w:val="20"/>
          <w:szCs w:val="20"/>
          <w:lang w:val="en-US"/>
        </w:rPr>
        <w:t>Eugenio Raúl Zaffaroni</w:t>
      </w:r>
    </w:p>
    <w:p w14:paraId="368C1D89" w14:textId="54D13218" w:rsidR="00F4157D" w:rsidRPr="00C9465D" w:rsidRDefault="006A5339" w:rsidP="006A5339">
      <w:pPr>
        <w:tabs>
          <w:tab w:val="left" w:pos="7200"/>
        </w:tabs>
        <w:spacing w:after="0" w:line="240" w:lineRule="auto"/>
        <w:ind w:left="708" w:firstLine="708"/>
        <w:jc w:val="both"/>
        <w:rPr>
          <w:rFonts w:ascii="Verdana" w:hAnsi="Verdana"/>
          <w:sz w:val="20"/>
          <w:szCs w:val="20"/>
          <w:lang w:val="en-US"/>
        </w:rPr>
      </w:pPr>
      <w:r w:rsidRPr="00C9465D">
        <w:rPr>
          <w:rFonts w:ascii="Verdana" w:eastAsia="Times New Roman" w:hAnsi="Verdana" w:cs="Times New Roman"/>
          <w:sz w:val="20"/>
          <w:szCs w:val="20"/>
          <w:lang w:val="en-US"/>
        </w:rPr>
        <w:tab/>
      </w:r>
      <w:r w:rsidR="00193CBB" w:rsidRPr="00C9465D">
        <w:rPr>
          <w:rFonts w:ascii="Verdana" w:eastAsia="Times New Roman" w:hAnsi="Verdana" w:cs="Times New Roman"/>
          <w:sz w:val="20"/>
          <w:szCs w:val="20"/>
          <w:lang w:val="en-US"/>
        </w:rPr>
        <w:t>Judge</w:t>
      </w:r>
    </w:p>
    <w:p w14:paraId="70C809F1" w14:textId="77777777" w:rsidR="00F4157D" w:rsidRPr="00C9465D" w:rsidRDefault="00F4157D" w:rsidP="00AD1EDB">
      <w:pPr>
        <w:spacing w:after="0" w:line="240" w:lineRule="auto"/>
        <w:rPr>
          <w:rFonts w:ascii="Verdana" w:eastAsia="Times New Roman" w:hAnsi="Verdana" w:cs="Times New Roman"/>
          <w:sz w:val="20"/>
          <w:szCs w:val="20"/>
          <w:lang w:val="en-US"/>
        </w:rPr>
        <w:sectPr w:rsidR="00F4157D" w:rsidRPr="00C9465D" w:rsidSect="00F4157D">
          <w:footerReference w:type="default" r:id="rId11"/>
          <w:pgSz w:w="11906" w:h="16838"/>
          <w:pgMar w:top="1418" w:right="1418" w:bottom="1418" w:left="1418" w:header="708" w:footer="708" w:gutter="0"/>
          <w:pgNumType w:start="1"/>
          <w:cols w:space="708"/>
          <w:docGrid w:linePitch="360"/>
        </w:sectPr>
      </w:pPr>
    </w:p>
    <w:p w14:paraId="7779BE62" w14:textId="42955093" w:rsidR="00F4157D" w:rsidRPr="00C9465D" w:rsidRDefault="00072B06" w:rsidP="00F4157D">
      <w:pPr>
        <w:spacing w:before="120" w:after="120" w:line="240" w:lineRule="auto"/>
        <w:jc w:val="center"/>
        <w:rPr>
          <w:rFonts w:ascii="Verdana" w:hAnsi="Verdana"/>
          <w:b/>
          <w:sz w:val="20"/>
          <w:szCs w:val="20"/>
          <w:lang w:val="en-US"/>
        </w:rPr>
      </w:pPr>
      <w:r w:rsidRPr="00C9465D">
        <w:rPr>
          <w:rFonts w:ascii="Verdana" w:hAnsi="Verdana"/>
          <w:b/>
          <w:sz w:val="20"/>
          <w:szCs w:val="20"/>
          <w:lang w:val="en-US"/>
        </w:rPr>
        <w:lastRenderedPageBreak/>
        <w:t>CONCURRING OPINION OF</w:t>
      </w:r>
    </w:p>
    <w:p w14:paraId="1489AC97" w14:textId="0A8035BD" w:rsidR="00F4157D" w:rsidRPr="00C9465D" w:rsidRDefault="00193CBB" w:rsidP="00F4157D">
      <w:pPr>
        <w:spacing w:before="120" w:after="120" w:line="240" w:lineRule="auto"/>
        <w:jc w:val="center"/>
        <w:rPr>
          <w:rFonts w:ascii="Verdana" w:hAnsi="Verdana"/>
          <w:b/>
          <w:sz w:val="20"/>
          <w:szCs w:val="20"/>
        </w:rPr>
      </w:pPr>
      <w:r w:rsidRPr="00C9465D">
        <w:rPr>
          <w:rFonts w:ascii="Verdana" w:hAnsi="Verdana"/>
          <w:b/>
          <w:sz w:val="20"/>
          <w:szCs w:val="20"/>
        </w:rPr>
        <w:t>JUDGE</w:t>
      </w:r>
      <w:r w:rsidR="00F4157D" w:rsidRPr="00C9465D">
        <w:rPr>
          <w:rFonts w:ascii="Verdana" w:hAnsi="Verdana"/>
          <w:b/>
          <w:sz w:val="20"/>
          <w:szCs w:val="20"/>
        </w:rPr>
        <w:t xml:space="preserve"> RICARDO C. PÉREZ MANRIQUE</w:t>
      </w:r>
    </w:p>
    <w:p w14:paraId="00AEE16B" w14:textId="6FD5E077" w:rsidR="00F4157D" w:rsidRPr="00C9465D" w:rsidRDefault="00F4157D" w:rsidP="00F4157D">
      <w:pPr>
        <w:spacing w:before="120" w:after="120" w:line="240" w:lineRule="auto"/>
        <w:jc w:val="center"/>
        <w:rPr>
          <w:rFonts w:ascii="Verdana" w:hAnsi="Verdana"/>
          <w:b/>
          <w:bCs/>
          <w:i/>
          <w:sz w:val="20"/>
          <w:szCs w:val="20"/>
          <w:u w:val="single"/>
        </w:rPr>
      </w:pPr>
      <w:r w:rsidRPr="00C9465D">
        <w:rPr>
          <w:rFonts w:ascii="Verdana" w:hAnsi="Verdana"/>
          <w:b/>
          <w:bCs/>
          <w:i/>
          <w:sz w:val="20"/>
          <w:szCs w:val="20"/>
          <w:u w:val="single"/>
        </w:rPr>
        <w:t>CAS</w:t>
      </w:r>
      <w:r w:rsidR="00072B06" w:rsidRPr="00C9465D">
        <w:rPr>
          <w:rFonts w:ascii="Verdana" w:hAnsi="Verdana"/>
          <w:b/>
          <w:bCs/>
          <w:i/>
          <w:sz w:val="20"/>
          <w:szCs w:val="20"/>
          <w:u w:val="single"/>
        </w:rPr>
        <w:t>E OF</w:t>
      </w:r>
      <w:r w:rsidRPr="00C9465D">
        <w:rPr>
          <w:rFonts w:ascii="Verdana" w:hAnsi="Verdana"/>
          <w:b/>
          <w:bCs/>
          <w:i/>
          <w:sz w:val="20"/>
          <w:szCs w:val="20"/>
          <w:u w:val="single"/>
        </w:rPr>
        <w:t xml:space="preserve"> GUACHALÁ </w:t>
      </w:r>
      <w:r w:rsidR="00193CBB" w:rsidRPr="00C9465D">
        <w:rPr>
          <w:rFonts w:ascii="Verdana" w:hAnsi="Verdana"/>
          <w:b/>
          <w:bCs/>
          <w:i/>
          <w:sz w:val="20"/>
          <w:szCs w:val="20"/>
          <w:u w:val="single"/>
        </w:rPr>
        <w:t>CHIMBO ET AL.</w:t>
      </w:r>
      <w:r w:rsidRPr="00C9465D">
        <w:rPr>
          <w:rFonts w:ascii="Verdana" w:hAnsi="Verdana"/>
          <w:b/>
          <w:bCs/>
          <w:i/>
          <w:sz w:val="20"/>
          <w:szCs w:val="20"/>
          <w:u w:val="single"/>
        </w:rPr>
        <w:t xml:space="preserve"> V. ECUADOR</w:t>
      </w:r>
    </w:p>
    <w:p w14:paraId="500A8110" w14:textId="464AD963" w:rsidR="00F4157D" w:rsidRPr="00C9465D" w:rsidRDefault="00BD26CF" w:rsidP="00F4157D">
      <w:pPr>
        <w:spacing w:before="120" w:after="120" w:line="240" w:lineRule="auto"/>
        <w:jc w:val="center"/>
        <w:rPr>
          <w:rFonts w:ascii="Verdana" w:hAnsi="Verdana"/>
          <w:b/>
          <w:sz w:val="20"/>
          <w:szCs w:val="20"/>
          <w:lang w:val="en-US"/>
        </w:rPr>
      </w:pPr>
      <w:r w:rsidRPr="00C9465D">
        <w:rPr>
          <w:rFonts w:ascii="Verdana" w:hAnsi="Verdana"/>
          <w:b/>
          <w:sz w:val="20"/>
          <w:szCs w:val="20"/>
          <w:lang w:val="en-US"/>
        </w:rPr>
        <w:t>JUDGMENT OF MARCH 26,</w:t>
      </w:r>
      <w:r w:rsidR="00F4157D" w:rsidRPr="00C9465D">
        <w:rPr>
          <w:rFonts w:ascii="Verdana" w:hAnsi="Verdana"/>
          <w:b/>
          <w:sz w:val="20"/>
          <w:szCs w:val="20"/>
          <w:lang w:val="en-US"/>
        </w:rPr>
        <w:t xml:space="preserve"> 2021</w:t>
      </w:r>
    </w:p>
    <w:p w14:paraId="3E062FAF" w14:textId="6362A305" w:rsidR="00F4157D" w:rsidRPr="00C9465D" w:rsidRDefault="00F4157D" w:rsidP="00F4157D">
      <w:pPr>
        <w:spacing w:before="120" w:after="120" w:line="240" w:lineRule="auto"/>
        <w:jc w:val="center"/>
        <w:rPr>
          <w:rFonts w:ascii="Verdana" w:hAnsi="Verdana"/>
          <w:b/>
          <w:sz w:val="20"/>
          <w:szCs w:val="20"/>
          <w:lang w:val="en-US"/>
        </w:rPr>
      </w:pPr>
      <w:r w:rsidRPr="00C9465D">
        <w:rPr>
          <w:rFonts w:ascii="Verdana" w:hAnsi="Verdana"/>
          <w:b/>
          <w:sz w:val="20"/>
          <w:szCs w:val="20"/>
          <w:lang w:val="en-US"/>
        </w:rPr>
        <w:t>(</w:t>
      </w:r>
      <w:r w:rsidR="00193CBB" w:rsidRPr="00C9465D">
        <w:rPr>
          <w:rFonts w:ascii="Verdana" w:hAnsi="Verdana"/>
          <w:b/>
          <w:i/>
          <w:sz w:val="20"/>
          <w:szCs w:val="20"/>
          <w:lang w:val="en-US"/>
        </w:rPr>
        <w:t>Merits, reparations and costs</w:t>
      </w:r>
      <w:r w:rsidRPr="00C9465D">
        <w:rPr>
          <w:rFonts w:ascii="Verdana" w:hAnsi="Verdana"/>
          <w:b/>
          <w:sz w:val="20"/>
          <w:szCs w:val="20"/>
          <w:lang w:val="en-US"/>
        </w:rPr>
        <w:t>)</w:t>
      </w:r>
    </w:p>
    <w:p w14:paraId="0E602EF5" w14:textId="77777777" w:rsidR="00F4157D" w:rsidRPr="00C9465D" w:rsidRDefault="00F4157D" w:rsidP="00F4157D">
      <w:pPr>
        <w:jc w:val="center"/>
        <w:rPr>
          <w:rFonts w:ascii="Verdana" w:hAnsi="Verdana"/>
          <w:b/>
          <w:sz w:val="20"/>
          <w:szCs w:val="20"/>
          <w:lang w:val="en-US"/>
        </w:rPr>
      </w:pPr>
    </w:p>
    <w:p w14:paraId="5DD57652" w14:textId="6DD28135" w:rsidR="00310778" w:rsidRPr="00C9465D" w:rsidRDefault="00F4157D" w:rsidP="00310778">
      <w:pPr>
        <w:pStyle w:val="Heading1"/>
        <w:numPr>
          <w:ilvl w:val="0"/>
          <w:numId w:val="23"/>
        </w:numPr>
        <w:spacing w:before="0" w:after="0"/>
        <w:ind w:left="0" w:firstLine="0"/>
        <w:rPr>
          <w:lang w:val="en-US"/>
        </w:rPr>
      </w:pPr>
      <w:r w:rsidRPr="00C9465D">
        <w:rPr>
          <w:lang w:val="en-US"/>
        </w:rPr>
        <w:t>INTRODUC</w:t>
      </w:r>
      <w:r w:rsidR="00072B06" w:rsidRPr="00C9465D">
        <w:rPr>
          <w:lang w:val="en-US"/>
        </w:rPr>
        <w:t>TIO</w:t>
      </w:r>
      <w:r w:rsidRPr="00C9465D">
        <w:rPr>
          <w:lang w:val="en-US"/>
        </w:rPr>
        <w:t>N</w:t>
      </w:r>
    </w:p>
    <w:p w14:paraId="6C5A5903" w14:textId="77777777" w:rsidR="00310778" w:rsidRPr="00C9465D" w:rsidRDefault="00310778" w:rsidP="00310778">
      <w:pPr>
        <w:spacing w:after="0" w:line="240" w:lineRule="auto"/>
        <w:jc w:val="both"/>
        <w:rPr>
          <w:lang w:val="en-US"/>
        </w:rPr>
      </w:pPr>
    </w:p>
    <w:p w14:paraId="72201FA2" w14:textId="499F2263" w:rsidR="00F4157D" w:rsidRPr="00C9465D" w:rsidRDefault="00F4157D" w:rsidP="00310778">
      <w:pPr>
        <w:spacing w:after="0" w:line="240" w:lineRule="auto"/>
        <w:jc w:val="both"/>
        <w:rPr>
          <w:rFonts w:ascii="Verdana" w:hAnsi="Verdana"/>
          <w:sz w:val="20"/>
          <w:szCs w:val="20"/>
          <w:lang w:val="en-US"/>
        </w:rPr>
      </w:pPr>
      <w:r w:rsidRPr="00C9465D">
        <w:rPr>
          <w:rFonts w:ascii="Verdana" w:hAnsi="Verdana"/>
          <w:sz w:val="20"/>
          <w:szCs w:val="20"/>
          <w:lang w:val="en-US"/>
        </w:rPr>
        <w:t>1.</w:t>
      </w:r>
      <w:r w:rsidRPr="00C9465D">
        <w:rPr>
          <w:rFonts w:ascii="Verdana" w:hAnsi="Verdana"/>
          <w:sz w:val="20"/>
          <w:szCs w:val="20"/>
          <w:lang w:val="en-US"/>
        </w:rPr>
        <w:tab/>
      </w:r>
      <w:r w:rsidR="00ED6072" w:rsidRPr="00C9465D">
        <w:rPr>
          <w:rFonts w:ascii="Verdana" w:hAnsi="Verdana"/>
          <w:sz w:val="20"/>
          <w:szCs w:val="20"/>
          <w:lang w:val="en-US"/>
        </w:rPr>
        <w:t xml:space="preserve">The judgment declares </w:t>
      </w:r>
      <w:r w:rsidR="00183C22" w:rsidRPr="00C9465D">
        <w:rPr>
          <w:rFonts w:ascii="Verdana" w:hAnsi="Verdana"/>
          <w:sz w:val="20"/>
          <w:szCs w:val="20"/>
          <w:lang w:val="en-US"/>
        </w:rPr>
        <w:t>the violation</w:t>
      </w:r>
      <w:r w:rsidRPr="00C9465D">
        <w:rPr>
          <w:rFonts w:ascii="Verdana" w:hAnsi="Verdana"/>
          <w:sz w:val="20"/>
          <w:szCs w:val="20"/>
          <w:lang w:val="en-US"/>
        </w:rPr>
        <w:t xml:space="preserve"> </w:t>
      </w:r>
      <w:r w:rsidR="00ED6072" w:rsidRPr="00C9465D">
        <w:rPr>
          <w:rFonts w:ascii="Verdana" w:hAnsi="Verdana"/>
          <w:sz w:val="20"/>
          <w:szCs w:val="20"/>
          <w:lang w:val="en-US"/>
        </w:rPr>
        <w:t xml:space="preserve">of the rights to </w:t>
      </w:r>
      <w:r w:rsidR="00D12C0E" w:rsidRPr="00C9465D">
        <w:rPr>
          <w:rFonts w:ascii="Verdana" w:hAnsi="Verdana"/>
          <w:sz w:val="20"/>
          <w:szCs w:val="20"/>
          <w:lang w:val="en-US"/>
        </w:rPr>
        <w:t>recognition of juridical personality</w:t>
      </w:r>
      <w:r w:rsidRPr="00C9465D">
        <w:rPr>
          <w:rFonts w:ascii="Verdana" w:hAnsi="Verdana"/>
          <w:sz w:val="20"/>
          <w:szCs w:val="20"/>
          <w:lang w:val="en-US"/>
        </w:rPr>
        <w:t>,</w:t>
      </w:r>
      <w:r w:rsidR="00D12C0E" w:rsidRPr="00C9465D">
        <w:rPr>
          <w:rFonts w:ascii="Verdana" w:hAnsi="Verdana"/>
          <w:sz w:val="20"/>
          <w:szCs w:val="20"/>
          <w:lang w:val="en-US"/>
        </w:rPr>
        <w:t xml:space="preserve"> life</w:t>
      </w:r>
      <w:r w:rsidRPr="00C9465D">
        <w:rPr>
          <w:rFonts w:ascii="Verdana" w:hAnsi="Verdana"/>
          <w:sz w:val="20"/>
          <w:szCs w:val="20"/>
          <w:lang w:val="en-US"/>
        </w:rPr>
        <w:t xml:space="preserve">, </w:t>
      </w:r>
      <w:r w:rsidR="007B78F0" w:rsidRPr="00C9465D">
        <w:rPr>
          <w:rFonts w:ascii="Verdana" w:hAnsi="Verdana"/>
          <w:sz w:val="20"/>
          <w:szCs w:val="20"/>
          <w:lang w:val="en-US"/>
        </w:rPr>
        <w:t>personal integrity</w:t>
      </w:r>
      <w:r w:rsidRPr="00C9465D">
        <w:rPr>
          <w:rFonts w:ascii="Verdana" w:hAnsi="Verdana"/>
          <w:sz w:val="20"/>
          <w:szCs w:val="20"/>
          <w:lang w:val="en-US"/>
        </w:rPr>
        <w:t xml:space="preserve">, </w:t>
      </w:r>
      <w:r w:rsidR="00D12C0E" w:rsidRPr="00C9465D">
        <w:rPr>
          <w:rFonts w:ascii="Verdana" w:hAnsi="Verdana"/>
          <w:sz w:val="20"/>
          <w:szCs w:val="20"/>
          <w:lang w:val="en-US"/>
        </w:rPr>
        <w:t>personal liberty</w:t>
      </w:r>
      <w:r w:rsidRPr="00C9465D">
        <w:rPr>
          <w:rFonts w:ascii="Verdana" w:hAnsi="Verdana"/>
          <w:sz w:val="20"/>
          <w:szCs w:val="20"/>
          <w:lang w:val="en-US"/>
        </w:rPr>
        <w:t xml:space="preserve">, </w:t>
      </w:r>
      <w:r w:rsidR="00D12C0E" w:rsidRPr="00C9465D">
        <w:rPr>
          <w:rFonts w:ascii="Verdana" w:hAnsi="Verdana"/>
          <w:sz w:val="20"/>
          <w:szCs w:val="20"/>
          <w:lang w:val="en-US"/>
        </w:rPr>
        <w:t>dignity</w:t>
      </w:r>
      <w:r w:rsidRPr="00C9465D">
        <w:rPr>
          <w:rFonts w:ascii="Verdana" w:hAnsi="Verdana"/>
          <w:sz w:val="20"/>
          <w:szCs w:val="20"/>
          <w:lang w:val="en-US"/>
        </w:rPr>
        <w:t xml:space="preserve">, </w:t>
      </w:r>
      <w:r w:rsidR="00D12C0E" w:rsidRPr="00C9465D">
        <w:rPr>
          <w:rFonts w:ascii="Verdana" w:hAnsi="Verdana"/>
          <w:sz w:val="20"/>
          <w:szCs w:val="20"/>
          <w:lang w:val="en-US"/>
        </w:rPr>
        <w:t>access to information</w:t>
      </w:r>
      <w:r w:rsidRPr="00C9465D">
        <w:rPr>
          <w:rFonts w:ascii="Verdana" w:hAnsi="Verdana"/>
          <w:sz w:val="20"/>
          <w:szCs w:val="20"/>
          <w:lang w:val="en-US"/>
        </w:rPr>
        <w:t xml:space="preserve">, </w:t>
      </w:r>
      <w:r w:rsidR="00D8209E" w:rsidRPr="00C9465D">
        <w:rPr>
          <w:rFonts w:ascii="Verdana" w:hAnsi="Verdana"/>
          <w:sz w:val="20"/>
          <w:szCs w:val="20"/>
          <w:lang w:val="en-US"/>
        </w:rPr>
        <w:t>equality</w:t>
      </w:r>
      <w:r w:rsidR="00193CBB" w:rsidRPr="00C9465D">
        <w:rPr>
          <w:rFonts w:ascii="Verdana" w:hAnsi="Verdana"/>
          <w:sz w:val="20"/>
          <w:szCs w:val="20"/>
          <w:lang w:val="en-US"/>
        </w:rPr>
        <w:t xml:space="preserve"> and </w:t>
      </w:r>
      <w:r w:rsidR="00D12C0E" w:rsidRPr="00C9465D">
        <w:rPr>
          <w:rFonts w:ascii="Verdana" w:hAnsi="Verdana"/>
          <w:sz w:val="20"/>
          <w:szCs w:val="20"/>
          <w:lang w:val="en-US"/>
        </w:rPr>
        <w:t>health</w:t>
      </w:r>
      <w:r w:rsidRPr="00C9465D">
        <w:rPr>
          <w:rFonts w:ascii="Verdana" w:hAnsi="Verdana"/>
          <w:sz w:val="20"/>
          <w:szCs w:val="20"/>
          <w:lang w:val="en-US"/>
        </w:rPr>
        <w:t xml:space="preserve">, </w:t>
      </w:r>
      <w:r w:rsidR="00F42E0C" w:rsidRPr="00C9465D">
        <w:rPr>
          <w:rFonts w:ascii="Verdana" w:hAnsi="Verdana"/>
          <w:sz w:val="20"/>
          <w:szCs w:val="20"/>
          <w:lang w:val="en-US"/>
        </w:rPr>
        <w:t>in accordance with</w:t>
      </w:r>
      <w:r w:rsidRPr="00C9465D">
        <w:rPr>
          <w:rFonts w:ascii="Verdana" w:hAnsi="Verdana"/>
          <w:sz w:val="20"/>
          <w:szCs w:val="20"/>
          <w:lang w:val="en-US"/>
        </w:rPr>
        <w:t xml:space="preserve"> </w:t>
      </w:r>
      <w:r w:rsidR="00193CBB" w:rsidRPr="00C9465D">
        <w:rPr>
          <w:rFonts w:ascii="Verdana" w:hAnsi="Verdana"/>
          <w:sz w:val="20"/>
          <w:szCs w:val="20"/>
          <w:lang w:val="en-US"/>
        </w:rPr>
        <w:t>Articles</w:t>
      </w:r>
      <w:r w:rsidRPr="00C9465D">
        <w:rPr>
          <w:rFonts w:ascii="Verdana" w:hAnsi="Verdana"/>
          <w:sz w:val="20"/>
          <w:szCs w:val="20"/>
          <w:lang w:val="en-US"/>
        </w:rPr>
        <w:t xml:space="preserve"> 3, 4, 5, 7, 11, 13, 24</w:t>
      </w:r>
      <w:r w:rsidR="00193CBB" w:rsidRPr="00C9465D">
        <w:rPr>
          <w:rFonts w:ascii="Verdana" w:hAnsi="Verdana"/>
          <w:sz w:val="20"/>
          <w:szCs w:val="20"/>
          <w:lang w:val="en-US"/>
        </w:rPr>
        <w:t xml:space="preserve"> and </w:t>
      </w:r>
      <w:r w:rsidRPr="00C9465D">
        <w:rPr>
          <w:rFonts w:ascii="Verdana" w:hAnsi="Verdana"/>
          <w:sz w:val="20"/>
          <w:szCs w:val="20"/>
          <w:lang w:val="en-US"/>
        </w:rPr>
        <w:t>26</w:t>
      </w:r>
      <w:r w:rsidR="00193CBB" w:rsidRPr="00C9465D">
        <w:rPr>
          <w:rFonts w:ascii="Verdana" w:hAnsi="Verdana"/>
          <w:sz w:val="20"/>
          <w:szCs w:val="20"/>
          <w:lang w:val="en-US"/>
        </w:rPr>
        <w:t xml:space="preserve"> of the American Convention on Human Rights</w:t>
      </w:r>
      <w:r w:rsidRPr="00C9465D">
        <w:rPr>
          <w:rFonts w:ascii="Verdana" w:hAnsi="Verdana"/>
          <w:sz w:val="20"/>
          <w:szCs w:val="20"/>
          <w:lang w:val="en-US"/>
        </w:rPr>
        <w:t xml:space="preserve"> (</w:t>
      </w:r>
      <w:r w:rsidR="00193CBB" w:rsidRPr="00C9465D">
        <w:rPr>
          <w:rFonts w:ascii="Verdana" w:hAnsi="Verdana"/>
          <w:sz w:val="20"/>
          <w:szCs w:val="20"/>
          <w:lang w:val="en-US"/>
        </w:rPr>
        <w:t>hereinafter</w:t>
      </w:r>
      <w:r w:rsidRPr="00C9465D">
        <w:rPr>
          <w:rFonts w:ascii="Verdana" w:hAnsi="Verdana"/>
          <w:sz w:val="20"/>
          <w:szCs w:val="20"/>
          <w:lang w:val="en-US"/>
        </w:rPr>
        <w:t xml:space="preserve"> </w:t>
      </w:r>
      <w:r w:rsidR="00ED6072" w:rsidRPr="00C9465D">
        <w:rPr>
          <w:rFonts w:ascii="Verdana" w:hAnsi="Verdana"/>
          <w:sz w:val="20"/>
          <w:szCs w:val="20"/>
          <w:lang w:val="en-US"/>
        </w:rPr>
        <w:t xml:space="preserve">“the </w:t>
      </w:r>
      <w:r w:rsidRPr="00C9465D">
        <w:rPr>
          <w:rFonts w:ascii="Verdana" w:hAnsi="Verdana"/>
          <w:sz w:val="20"/>
          <w:szCs w:val="20"/>
          <w:lang w:val="en-US"/>
        </w:rPr>
        <w:t>Conven</w:t>
      </w:r>
      <w:r w:rsidR="00ED6072" w:rsidRPr="00C9465D">
        <w:rPr>
          <w:rFonts w:ascii="Verdana" w:hAnsi="Verdana"/>
          <w:sz w:val="20"/>
          <w:szCs w:val="20"/>
          <w:lang w:val="en-US"/>
        </w:rPr>
        <w:t>tion</w:t>
      </w:r>
      <w:r w:rsidRPr="00C9465D">
        <w:rPr>
          <w:rFonts w:ascii="Verdana" w:hAnsi="Verdana"/>
          <w:sz w:val="20"/>
          <w:szCs w:val="20"/>
          <w:lang w:val="en-US"/>
        </w:rPr>
        <w:t xml:space="preserve">”) </w:t>
      </w:r>
      <w:r w:rsidR="00ED6072" w:rsidRPr="00C9465D">
        <w:rPr>
          <w:rFonts w:ascii="Verdana" w:hAnsi="Verdana"/>
          <w:sz w:val="20"/>
          <w:szCs w:val="20"/>
          <w:lang w:val="en-US"/>
        </w:rPr>
        <w:t xml:space="preserve">in relation to the obligations to respect and to ensure rights without discrimination and the duty to adopt domestic legal provisions </w:t>
      </w:r>
      <w:r w:rsidR="00F42E0C" w:rsidRPr="00C9465D">
        <w:rPr>
          <w:rFonts w:ascii="Verdana" w:hAnsi="Verdana"/>
          <w:sz w:val="20"/>
          <w:szCs w:val="20"/>
          <w:lang w:val="en-US"/>
        </w:rPr>
        <w:t>established in Article</w:t>
      </w:r>
      <w:r w:rsidR="00577DE0" w:rsidRPr="00C9465D">
        <w:rPr>
          <w:rFonts w:ascii="Verdana" w:hAnsi="Verdana"/>
          <w:sz w:val="20"/>
          <w:szCs w:val="20"/>
          <w:lang w:val="en-US"/>
        </w:rPr>
        <w:t>s 1(1)</w:t>
      </w:r>
      <w:r w:rsidR="00193CBB" w:rsidRPr="00C9465D">
        <w:rPr>
          <w:rFonts w:ascii="Verdana" w:hAnsi="Verdana"/>
          <w:sz w:val="20"/>
          <w:szCs w:val="20"/>
          <w:lang w:val="en-US"/>
        </w:rPr>
        <w:t xml:space="preserve"> and </w:t>
      </w:r>
      <w:r w:rsidRPr="00C9465D">
        <w:rPr>
          <w:rFonts w:ascii="Verdana" w:hAnsi="Verdana"/>
          <w:sz w:val="20"/>
          <w:szCs w:val="20"/>
          <w:lang w:val="en-US"/>
        </w:rPr>
        <w:t>2</w:t>
      </w:r>
      <w:r w:rsidR="00193CBB" w:rsidRPr="00C9465D">
        <w:rPr>
          <w:rFonts w:ascii="Verdana" w:hAnsi="Verdana"/>
          <w:sz w:val="20"/>
          <w:szCs w:val="20"/>
          <w:lang w:val="en-US"/>
        </w:rPr>
        <w:t xml:space="preserve"> of the Convention</w:t>
      </w:r>
      <w:r w:rsidRPr="00C9465D">
        <w:rPr>
          <w:rFonts w:ascii="Verdana" w:hAnsi="Verdana"/>
          <w:sz w:val="20"/>
          <w:szCs w:val="20"/>
          <w:lang w:val="en-US"/>
        </w:rPr>
        <w:t xml:space="preserve">, </w:t>
      </w:r>
      <w:r w:rsidR="00577DE0" w:rsidRPr="00C9465D">
        <w:rPr>
          <w:rFonts w:ascii="Verdana" w:hAnsi="Verdana"/>
          <w:sz w:val="20"/>
          <w:szCs w:val="20"/>
          <w:lang w:val="en-US"/>
        </w:rPr>
        <w:t xml:space="preserve">to the detriment </w:t>
      </w:r>
      <w:r w:rsidR="00F42E0C" w:rsidRPr="00C9465D">
        <w:rPr>
          <w:rFonts w:ascii="Verdana" w:hAnsi="Verdana"/>
          <w:sz w:val="20"/>
          <w:szCs w:val="20"/>
          <w:lang w:val="en-US"/>
        </w:rPr>
        <w:t xml:space="preserve">of </w:t>
      </w:r>
      <w:r w:rsidR="00ED6072" w:rsidRPr="00C9465D">
        <w:rPr>
          <w:rFonts w:ascii="Verdana" w:hAnsi="Verdana"/>
          <w:sz w:val="20"/>
          <w:szCs w:val="20"/>
          <w:lang w:val="en-US"/>
        </w:rPr>
        <w:t>Luis</w:t>
      </w:r>
      <w:r w:rsidRPr="00C9465D">
        <w:rPr>
          <w:rFonts w:ascii="Verdana" w:hAnsi="Verdana"/>
          <w:sz w:val="20"/>
          <w:szCs w:val="20"/>
          <w:lang w:val="en-US"/>
        </w:rPr>
        <w:t xml:space="preserve"> Eduardo Guachalá. </w:t>
      </w:r>
      <w:r w:rsidR="00ED6072" w:rsidRPr="00C9465D">
        <w:rPr>
          <w:rFonts w:ascii="Verdana" w:hAnsi="Verdana"/>
          <w:sz w:val="20"/>
          <w:szCs w:val="20"/>
          <w:lang w:val="en-US"/>
        </w:rPr>
        <w:t>The judgment also declares that</w:t>
      </w:r>
      <w:r w:rsidRPr="00C9465D">
        <w:rPr>
          <w:rFonts w:ascii="Verdana" w:hAnsi="Verdana"/>
          <w:sz w:val="20"/>
          <w:szCs w:val="20"/>
          <w:lang w:val="en-US"/>
        </w:rPr>
        <w:t xml:space="preserve"> </w:t>
      </w:r>
      <w:r w:rsidR="00193CBB" w:rsidRPr="00C9465D">
        <w:rPr>
          <w:rFonts w:ascii="Verdana" w:hAnsi="Verdana"/>
          <w:sz w:val="20"/>
          <w:szCs w:val="20"/>
          <w:lang w:val="en-US"/>
        </w:rPr>
        <w:t>the State</w:t>
      </w:r>
      <w:r w:rsidRPr="00C9465D">
        <w:rPr>
          <w:rFonts w:ascii="Verdana" w:hAnsi="Verdana"/>
          <w:sz w:val="20"/>
          <w:szCs w:val="20"/>
          <w:lang w:val="en-US"/>
        </w:rPr>
        <w:t xml:space="preserve"> </w:t>
      </w:r>
      <w:r w:rsidR="00F42E0C" w:rsidRPr="00C9465D">
        <w:rPr>
          <w:rFonts w:ascii="Verdana" w:hAnsi="Verdana"/>
          <w:sz w:val="20"/>
          <w:szCs w:val="20"/>
          <w:lang w:val="en-US"/>
        </w:rPr>
        <w:t>is responsible for the violation of the rights to</w:t>
      </w:r>
      <w:r w:rsidRPr="00C9465D">
        <w:rPr>
          <w:rFonts w:ascii="Verdana" w:hAnsi="Verdana"/>
          <w:sz w:val="20"/>
          <w:szCs w:val="20"/>
          <w:lang w:val="en-US"/>
        </w:rPr>
        <w:t xml:space="preserve"> </w:t>
      </w:r>
      <w:r w:rsidR="00F42E0C" w:rsidRPr="00C9465D">
        <w:rPr>
          <w:rFonts w:ascii="Verdana" w:hAnsi="Verdana"/>
          <w:sz w:val="20"/>
          <w:szCs w:val="20"/>
          <w:lang w:val="en-US"/>
        </w:rPr>
        <w:t>an effective remedy</w:t>
      </w:r>
      <w:r w:rsidRPr="00C9465D">
        <w:rPr>
          <w:rFonts w:ascii="Verdana" w:hAnsi="Verdana"/>
          <w:sz w:val="20"/>
          <w:szCs w:val="20"/>
          <w:lang w:val="en-US"/>
        </w:rPr>
        <w:t xml:space="preserve">, </w:t>
      </w:r>
      <w:r w:rsidR="00D12C0E" w:rsidRPr="00C9465D">
        <w:rPr>
          <w:rFonts w:ascii="Verdana" w:hAnsi="Verdana"/>
          <w:sz w:val="20"/>
          <w:szCs w:val="20"/>
          <w:lang w:val="en-US"/>
        </w:rPr>
        <w:t>judicial guarantees</w:t>
      </w:r>
      <w:r w:rsidR="00193CBB" w:rsidRPr="00C9465D">
        <w:rPr>
          <w:rFonts w:ascii="Verdana" w:hAnsi="Verdana"/>
          <w:sz w:val="20"/>
          <w:szCs w:val="20"/>
          <w:lang w:val="en-US"/>
        </w:rPr>
        <w:t xml:space="preserve"> and</w:t>
      </w:r>
      <w:r w:rsidRPr="00C9465D">
        <w:rPr>
          <w:rFonts w:ascii="Verdana" w:hAnsi="Verdana"/>
          <w:sz w:val="20"/>
          <w:szCs w:val="20"/>
          <w:lang w:val="en-US"/>
        </w:rPr>
        <w:t xml:space="preserve"> </w:t>
      </w:r>
      <w:r w:rsidR="00D12C0E" w:rsidRPr="00C9465D">
        <w:rPr>
          <w:rFonts w:ascii="Verdana" w:hAnsi="Verdana"/>
          <w:sz w:val="20"/>
          <w:szCs w:val="20"/>
          <w:lang w:val="en-US"/>
        </w:rPr>
        <w:t>judicial protection</w:t>
      </w:r>
      <w:r w:rsidRPr="00C9465D">
        <w:rPr>
          <w:rFonts w:ascii="Verdana" w:hAnsi="Verdana"/>
          <w:sz w:val="20"/>
          <w:szCs w:val="20"/>
          <w:lang w:val="en-US"/>
        </w:rPr>
        <w:t xml:space="preserve"> </w:t>
      </w:r>
      <w:r w:rsidR="00ED6072" w:rsidRPr="00C9465D">
        <w:rPr>
          <w:rFonts w:ascii="Verdana" w:hAnsi="Verdana"/>
          <w:sz w:val="20"/>
          <w:szCs w:val="20"/>
          <w:lang w:val="en-US"/>
        </w:rPr>
        <w:t>recognized in</w:t>
      </w:r>
      <w:r w:rsidRPr="00C9465D">
        <w:rPr>
          <w:rFonts w:ascii="Verdana" w:hAnsi="Verdana"/>
          <w:sz w:val="20"/>
          <w:szCs w:val="20"/>
          <w:lang w:val="en-US"/>
        </w:rPr>
        <w:t xml:space="preserve"> </w:t>
      </w:r>
      <w:r w:rsidR="00193CBB" w:rsidRPr="00C9465D">
        <w:rPr>
          <w:rFonts w:ascii="Verdana" w:hAnsi="Verdana"/>
          <w:sz w:val="20"/>
          <w:szCs w:val="20"/>
          <w:lang w:val="en-US"/>
        </w:rPr>
        <w:t>Articles</w:t>
      </w:r>
      <w:r w:rsidRPr="00C9465D">
        <w:rPr>
          <w:rFonts w:ascii="Verdana" w:hAnsi="Verdana"/>
          <w:sz w:val="20"/>
          <w:szCs w:val="20"/>
          <w:lang w:val="en-US"/>
        </w:rPr>
        <w:t xml:space="preserve"> 7</w:t>
      </w:r>
      <w:r w:rsidR="00ED6072" w:rsidRPr="00C9465D">
        <w:rPr>
          <w:rFonts w:ascii="Verdana" w:hAnsi="Verdana"/>
          <w:sz w:val="20"/>
          <w:szCs w:val="20"/>
          <w:lang w:val="en-US"/>
        </w:rPr>
        <w:t>(</w:t>
      </w:r>
      <w:r w:rsidRPr="00C9465D">
        <w:rPr>
          <w:rFonts w:ascii="Verdana" w:hAnsi="Verdana"/>
          <w:sz w:val="20"/>
          <w:szCs w:val="20"/>
          <w:lang w:val="en-US"/>
        </w:rPr>
        <w:t>6</w:t>
      </w:r>
      <w:r w:rsidR="00ED6072" w:rsidRPr="00C9465D">
        <w:rPr>
          <w:rFonts w:ascii="Verdana" w:hAnsi="Verdana"/>
          <w:sz w:val="20"/>
          <w:szCs w:val="20"/>
          <w:lang w:val="en-US"/>
        </w:rPr>
        <w:t>)</w:t>
      </w:r>
      <w:r w:rsidRPr="00C9465D">
        <w:rPr>
          <w:rFonts w:ascii="Verdana" w:hAnsi="Verdana"/>
          <w:sz w:val="20"/>
          <w:szCs w:val="20"/>
          <w:lang w:val="en-US"/>
        </w:rPr>
        <w:t xml:space="preserve">, </w:t>
      </w:r>
      <w:r w:rsidR="00577DE0" w:rsidRPr="00C9465D">
        <w:rPr>
          <w:rFonts w:ascii="Verdana" w:hAnsi="Verdana"/>
          <w:sz w:val="20"/>
          <w:szCs w:val="20"/>
          <w:lang w:val="en-US"/>
        </w:rPr>
        <w:t>8(1)</w:t>
      </w:r>
      <w:r w:rsidR="00193CBB" w:rsidRPr="00C9465D">
        <w:rPr>
          <w:rFonts w:ascii="Verdana" w:hAnsi="Verdana"/>
          <w:sz w:val="20"/>
          <w:szCs w:val="20"/>
          <w:lang w:val="en-US"/>
        </w:rPr>
        <w:t xml:space="preserve"> and </w:t>
      </w:r>
      <w:r w:rsidRPr="00C9465D">
        <w:rPr>
          <w:rFonts w:ascii="Verdana" w:hAnsi="Verdana"/>
          <w:sz w:val="20"/>
          <w:szCs w:val="20"/>
          <w:lang w:val="en-US"/>
        </w:rPr>
        <w:t>2</w:t>
      </w:r>
      <w:r w:rsidR="00577DE0" w:rsidRPr="00C9465D">
        <w:rPr>
          <w:rFonts w:ascii="Verdana" w:hAnsi="Verdana"/>
          <w:sz w:val="20"/>
          <w:szCs w:val="20"/>
          <w:lang w:val="en-US"/>
        </w:rPr>
        <w:t>5(1)</w:t>
      </w:r>
      <w:r w:rsidR="00193CBB" w:rsidRPr="00C9465D">
        <w:rPr>
          <w:rFonts w:ascii="Verdana" w:hAnsi="Verdana"/>
          <w:sz w:val="20"/>
          <w:szCs w:val="20"/>
          <w:lang w:val="en-US"/>
        </w:rPr>
        <w:t xml:space="preserve"> of the American Convention</w:t>
      </w:r>
      <w:r w:rsidRPr="00C9465D">
        <w:rPr>
          <w:rFonts w:ascii="Verdana" w:hAnsi="Verdana"/>
          <w:sz w:val="20"/>
          <w:szCs w:val="20"/>
          <w:lang w:val="en-US"/>
        </w:rPr>
        <w:t xml:space="preserve">, </w:t>
      </w:r>
      <w:r w:rsidR="00F42E0C" w:rsidRPr="00C9465D">
        <w:rPr>
          <w:rFonts w:ascii="Verdana" w:hAnsi="Verdana"/>
          <w:sz w:val="20"/>
          <w:szCs w:val="20"/>
          <w:lang w:val="en-US"/>
        </w:rPr>
        <w:t>in relation to Article</w:t>
      </w:r>
      <w:r w:rsidR="00577DE0" w:rsidRPr="00C9465D">
        <w:rPr>
          <w:rFonts w:ascii="Verdana" w:hAnsi="Verdana"/>
          <w:sz w:val="20"/>
          <w:szCs w:val="20"/>
          <w:lang w:val="en-US"/>
        </w:rPr>
        <w:t xml:space="preserve"> 1(1)</w:t>
      </w:r>
      <w:r w:rsidRPr="00C9465D">
        <w:rPr>
          <w:rFonts w:ascii="Verdana" w:hAnsi="Verdana"/>
          <w:sz w:val="20"/>
          <w:szCs w:val="20"/>
          <w:lang w:val="en-US"/>
        </w:rPr>
        <w:t xml:space="preserve"> </w:t>
      </w:r>
      <w:r w:rsidR="00577DE0" w:rsidRPr="00C9465D">
        <w:rPr>
          <w:rFonts w:ascii="Verdana" w:hAnsi="Verdana"/>
          <w:sz w:val="20"/>
          <w:szCs w:val="20"/>
          <w:lang w:val="en-US"/>
        </w:rPr>
        <w:t>of this instrument</w:t>
      </w:r>
      <w:r w:rsidRPr="00C9465D">
        <w:rPr>
          <w:rFonts w:ascii="Verdana" w:hAnsi="Verdana"/>
          <w:sz w:val="20"/>
          <w:szCs w:val="20"/>
          <w:lang w:val="en-US"/>
        </w:rPr>
        <w:t xml:space="preserve">, </w:t>
      </w:r>
      <w:r w:rsidR="00577DE0" w:rsidRPr="00C9465D">
        <w:rPr>
          <w:rFonts w:ascii="Verdana" w:hAnsi="Verdana"/>
          <w:sz w:val="20"/>
          <w:szCs w:val="20"/>
          <w:lang w:val="en-US"/>
        </w:rPr>
        <w:t xml:space="preserve">to the detriment </w:t>
      </w:r>
      <w:r w:rsidR="00F42E0C" w:rsidRPr="00C9465D">
        <w:rPr>
          <w:rFonts w:ascii="Verdana" w:hAnsi="Verdana"/>
          <w:sz w:val="20"/>
          <w:szCs w:val="20"/>
          <w:lang w:val="en-US"/>
        </w:rPr>
        <w:t>of</w:t>
      </w:r>
      <w:r w:rsidRPr="00C9465D">
        <w:rPr>
          <w:rFonts w:ascii="Verdana" w:hAnsi="Verdana"/>
          <w:sz w:val="20"/>
          <w:szCs w:val="20"/>
          <w:lang w:val="en-US"/>
        </w:rPr>
        <w:t xml:space="preserve"> Luis Eduardo Guachalá Chimbo</w:t>
      </w:r>
      <w:r w:rsidR="00193CBB" w:rsidRPr="00C9465D">
        <w:rPr>
          <w:rFonts w:ascii="Verdana" w:hAnsi="Verdana"/>
          <w:sz w:val="20"/>
          <w:szCs w:val="20"/>
          <w:lang w:val="en-US"/>
        </w:rPr>
        <w:t xml:space="preserve"> and</w:t>
      </w:r>
      <w:r w:rsidR="00ED6072" w:rsidRPr="00C9465D">
        <w:rPr>
          <w:rFonts w:ascii="Verdana" w:hAnsi="Verdana"/>
          <w:sz w:val="20"/>
          <w:szCs w:val="20"/>
          <w:lang w:val="en-US"/>
        </w:rPr>
        <w:t xml:space="preserve"> the members of his family,</w:t>
      </w:r>
      <w:r w:rsidR="00193CBB" w:rsidRPr="00C9465D">
        <w:rPr>
          <w:rFonts w:ascii="Verdana" w:hAnsi="Verdana"/>
          <w:sz w:val="20"/>
          <w:szCs w:val="20"/>
          <w:lang w:val="en-US"/>
        </w:rPr>
        <w:t xml:space="preserve"> </w:t>
      </w:r>
      <w:r w:rsidRPr="00C9465D">
        <w:rPr>
          <w:rFonts w:ascii="Verdana" w:hAnsi="Verdana"/>
          <w:sz w:val="20"/>
          <w:szCs w:val="20"/>
          <w:lang w:val="en-US"/>
        </w:rPr>
        <w:t>Zoila Chimbo Jarro</w:t>
      </w:r>
      <w:r w:rsidR="00193CBB" w:rsidRPr="00C9465D">
        <w:rPr>
          <w:rFonts w:ascii="Verdana" w:hAnsi="Verdana"/>
          <w:sz w:val="20"/>
          <w:szCs w:val="20"/>
          <w:lang w:val="en-US"/>
        </w:rPr>
        <w:t xml:space="preserve"> and </w:t>
      </w:r>
      <w:r w:rsidRPr="00C9465D">
        <w:rPr>
          <w:rFonts w:ascii="Verdana" w:hAnsi="Verdana"/>
          <w:sz w:val="20"/>
          <w:szCs w:val="20"/>
          <w:lang w:val="en-US"/>
        </w:rPr>
        <w:t xml:space="preserve">Nancy Guachalá Chimbo. </w:t>
      </w:r>
      <w:r w:rsidR="00ED6072" w:rsidRPr="00C9465D">
        <w:rPr>
          <w:rFonts w:ascii="Verdana" w:hAnsi="Verdana"/>
          <w:sz w:val="20"/>
          <w:szCs w:val="20"/>
          <w:lang w:val="en-US"/>
        </w:rPr>
        <w:t xml:space="preserve">In addition, the State violated the right of these family members of the disappeared victim to know the truth. Lastly, it declares that the State is responsible for </w:t>
      </w:r>
      <w:r w:rsidR="00183C22" w:rsidRPr="00C9465D">
        <w:rPr>
          <w:rFonts w:ascii="Verdana" w:hAnsi="Verdana"/>
          <w:sz w:val="20"/>
          <w:szCs w:val="20"/>
          <w:lang w:val="en-US"/>
        </w:rPr>
        <w:t>the violation</w:t>
      </w:r>
      <w:r w:rsidRPr="00C9465D">
        <w:rPr>
          <w:rFonts w:ascii="Verdana" w:hAnsi="Verdana"/>
          <w:sz w:val="20"/>
          <w:szCs w:val="20"/>
          <w:lang w:val="en-US"/>
        </w:rPr>
        <w:t xml:space="preserve"> </w:t>
      </w:r>
      <w:r w:rsidR="00ED6072" w:rsidRPr="00C9465D">
        <w:rPr>
          <w:rFonts w:ascii="Verdana" w:hAnsi="Verdana"/>
          <w:sz w:val="20"/>
          <w:szCs w:val="20"/>
          <w:lang w:val="en-US"/>
        </w:rPr>
        <w:t>of the right to</w:t>
      </w:r>
      <w:r w:rsidRPr="00C9465D">
        <w:rPr>
          <w:rFonts w:ascii="Verdana" w:hAnsi="Verdana"/>
          <w:sz w:val="20"/>
          <w:szCs w:val="20"/>
          <w:lang w:val="en-US"/>
        </w:rPr>
        <w:t xml:space="preserve"> </w:t>
      </w:r>
      <w:r w:rsidR="00D12C0E" w:rsidRPr="00C9465D">
        <w:rPr>
          <w:rFonts w:ascii="Verdana" w:hAnsi="Verdana"/>
          <w:sz w:val="20"/>
          <w:szCs w:val="20"/>
          <w:lang w:val="en-US"/>
        </w:rPr>
        <w:t>personal integrity</w:t>
      </w:r>
      <w:r w:rsidRPr="00C9465D">
        <w:rPr>
          <w:rFonts w:ascii="Verdana" w:hAnsi="Verdana"/>
          <w:sz w:val="20"/>
          <w:szCs w:val="20"/>
          <w:lang w:val="en-US"/>
        </w:rPr>
        <w:t xml:space="preserve">, </w:t>
      </w:r>
      <w:r w:rsidR="00ED6072" w:rsidRPr="00C9465D">
        <w:rPr>
          <w:rFonts w:ascii="Verdana" w:hAnsi="Verdana"/>
          <w:sz w:val="20"/>
          <w:szCs w:val="20"/>
          <w:lang w:val="en-US"/>
        </w:rPr>
        <w:t>recognized in</w:t>
      </w:r>
      <w:r w:rsidRPr="00C9465D">
        <w:rPr>
          <w:rFonts w:ascii="Verdana" w:hAnsi="Verdana"/>
          <w:sz w:val="20"/>
          <w:szCs w:val="20"/>
          <w:lang w:val="en-US"/>
        </w:rPr>
        <w:t xml:space="preserve"> </w:t>
      </w:r>
      <w:r w:rsidR="00193CBB" w:rsidRPr="00C9465D">
        <w:rPr>
          <w:rFonts w:ascii="Verdana" w:hAnsi="Verdana"/>
          <w:sz w:val="20"/>
          <w:szCs w:val="20"/>
          <w:lang w:val="en-US"/>
        </w:rPr>
        <w:t>Article</w:t>
      </w:r>
      <w:r w:rsidRPr="00C9465D">
        <w:rPr>
          <w:rFonts w:ascii="Verdana" w:hAnsi="Verdana"/>
          <w:sz w:val="20"/>
          <w:szCs w:val="20"/>
          <w:lang w:val="en-US"/>
        </w:rPr>
        <w:t xml:space="preserve"> </w:t>
      </w:r>
      <w:r w:rsidR="00577DE0" w:rsidRPr="00C9465D">
        <w:rPr>
          <w:rFonts w:ascii="Verdana" w:hAnsi="Verdana"/>
          <w:sz w:val="20"/>
          <w:szCs w:val="20"/>
          <w:lang w:val="en-US"/>
        </w:rPr>
        <w:t>5(1)</w:t>
      </w:r>
      <w:r w:rsidR="00193CBB" w:rsidRPr="00C9465D">
        <w:rPr>
          <w:rFonts w:ascii="Verdana" w:hAnsi="Verdana"/>
          <w:sz w:val="20"/>
          <w:szCs w:val="20"/>
          <w:lang w:val="en-US"/>
        </w:rPr>
        <w:t xml:space="preserve"> of the Convention</w:t>
      </w:r>
      <w:r w:rsidRPr="00C9465D">
        <w:rPr>
          <w:rFonts w:ascii="Verdana" w:hAnsi="Verdana"/>
          <w:sz w:val="20"/>
          <w:szCs w:val="20"/>
          <w:lang w:val="en-US"/>
        </w:rPr>
        <w:t xml:space="preserve">, </w:t>
      </w:r>
      <w:r w:rsidR="00F42E0C" w:rsidRPr="00C9465D">
        <w:rPr>
          <w:rFonts w:ascii="Verdana" w:hAnsi="Verdana"/>
          <w:sz w:val="20"/>
          <w:szCs w:val="20"/>
          <w:lang w:val="en-US"/>
        </w:rPr>
        <w:t>in relation to Article</w:t>
      </w:r>
      <w:r w:rsidR="00577DE0" w:rsidRPr="00C9465D">
        <w:rPr>
          <w:rFonts w:ascii="Verdana" w:hAnsi="Verdana"/>
          <w:sz w:val="20"/>
          <w:szCs w:val="20"/>
          <w:lang w:val="en-US"/>
        </w:rPr>
        <w:t xml:space="preserve"> 1(1)</w:t>
      </w:r>
      <w:r w:rsidRPr="00C9465D">
        <w:rPr>
          <w:rFonts w:ascii="Verdana" w:hAnsi="Verdana"/>
          <w:sz w:val="20"/>
          <w:szCs w:val="20"/>
          <w:lang w:val="en-US"/>
        </w:rPr>
        <w:t xml:space="preserve"> </w:t>
      </w:r>
      <w:r w:rsidR="00577DE0" w:rsidRPr="00C9465D">
        <w:rPr>
          <w:rFonts w:ascii="Verdana" w:hAnsi="Verdana"/>
          <w:sz w:val="20"/>
          <w:szCs w:val="20"/>
          <w:lang w:val="en-US"/>
        </w:rPr>
        <w:t>of this instrument</w:t>
      </w:r>
      <w:r w:rsidRPr="00C9465D">
        <w:rPr>
          <w:rFonts w:ascii="Verdana" w:hAnsi="Verdana"/>
          <w:sz w:val="20"/>
          <w:szCs w:val="20"/>
          <w:lang w:val="en-US"/>
        </w:rPr>
        <w:t xml:space="preserve">, </w:t>
      </w:r>
      <w:r w:rsidR="00577DE0" w:rsidRPr="00C9465D">
        <w:rPr>
          <w:rFonts w:ascii="Verdana" w:hAnsi="Verdana"/>
          <w:sz w:val="20"/>
          <w:szCs w:val="20"/>
          <w:lang w:val="en-US"/>
        </w:rPr>
        <w:t>to the detriment of</w:t>
      </w:r>
      <w:r w:rsidRPr="00C9465D">
        <w:rPr>
          <w:rFonts w:ascii="Verdana" w:hAnsi="Verdana"/>
          <w:sz w:val="20"/>
          <w:szCs w:val="20"/>
          <w:lang w:val="en-US"/>
        </w:rPr>
        <w:t xml:space="preserve"> Zoila Chimbo Jarro</w:t>
      </w:r>
      <w:r w:rsidR="00193CBB" w:rsidRPr="00C9465D">
        <w:rPr>
          <w:rFonts w:ascii="Verdana" w:hAnsi="Verdana"/>
          <w:sz w:val="20"/>
          <w:szCs w:val="20"/>
          <w:lang w:val="en-US"/>
        </w:rPr>
        <w:t xml:space="preserve"> and </w:t>
      </w:r>
      <w:r w:rsidRPr="00C9465D">
        <w:rPr>
          <w:rFonts w:ascii="Verdana" w:hAnsi="Verdana"/>
          <w:sz w:val="20"/>
          <w:szCs w:val="20"/>
          <w:lang w:val="en-US"/>
        </w:rPr>
        <w:t>Nancy Guachalá Chimbo.</w:t>
      </w:r>
    </w:p>
    <w:p w14:paraId="17BDE485" w14:textId="77777777" w:rsidR="00310778" w:rsidRPr="00C9465D" w:rsidRDefault="00310778" w:rsidP="00310778">
      <w:pPr>
        <w:spacing w:after="0" w:line="240" w:lineRule="auto"/>
        <w:jc w:val="both"/>
        <w:rPr>
          <w:rFonts w:ascii="Verdana" w:hAnsi="Verdana"/>
          <w:sz w:val="20"/>
          <w:szCs w:val="20"/>
          <w:lang w:val="en-US"/>
        </w:rPr>
      </w:pPr>
    </w:p>
    <w:p w14:paraId="556A82C9" w14:textId="2E8A65C7" w:rsidR="00F4157D" w:rsidRPr="00C9465D" w:rsidRDefault="00F4157D" w:rsidP="00310778">
      <w:pPr>
        <w:spacing w:after="0" w:line="240" w:lineRule="auto"/>
        <w:jc w:val="both"/>
        <w:rPr>
          <w:rFonts w:ascii="Verdana" w:hAnsi="Verdana"/>
          <w:sz w:val="20"/>
          <w:szCs w:val="20"/>
          <w:lang w:val="en-US"/>
        </w:rPr>
      </w:pPr>
      <w:r w:rsidRPr="00C9465D">
        <w:rPr>
          <w:rFonts w:ascii="Verdana" w:hAnsi="Verdana"/>
          <w:sz w:val="20"/>
          <w:szCs w:val="20"/>
          <w:lang w:val="en-US"/>
        </w:rPr>
        <w:t>2.</w:t>
      </w:r>
      <w:r w:rsidRPr="00C9465D">
        <w:rPr>
          <w:rFonts w:ascii="Verdana" w:hAnsi="Verdana"/>
          <w:sz w:val="20"/>
          <w:szCs w:val="20"/>
          <w:lang w:val="en-US"/>
        </w:rPr>
        <w:tab/>
      </w:r>
      <w:r w:rsidR="00ED6072" w:rsidRPr="00C9465D">
        <w:rPr>
          <w:rFonts w:ascii="Verdana" w:hAnsi="Verdana"/>
          <w:sz w:val="20"/>
          <w:szCs w:val="20"/>
          <w:lang w:val="en-US"/>
        </w:rPr>
        <w:t>The case relates to a s</w:t>
      </w:r>
      <w:r w:rsidR="00E2299F" w:rsidRPr="00C9465D">
        <w:rPr>
          <w:rFonts w:ascii="Verdana" w:hAnsi="Verdana"/>
          <w:sz w:val="20"/>
          <w:szCs w:val="20"/>
          <w:lang w:val="en-US"/>
        </w:rPr>
        <w:t xml:space="preserve">eries </w:t>
      </w:r>
      <w:r w:rsidR="00ED6072" w:rsidRPr="00C9465D">
        <w:rPr>
          <w:rFonts w:ascii="Verdana" w:hAnsi="Verdana"/>
          <w:sz w:val="20"/>
          <w:szCs w:val="20"/>
          <w:lang w:val="en-US"/>
        </w:rPr>
        <w:t xml:space="preserve">of violations that occurred in relation to the disappearance of </w:t>
      </w:r>
      <w:r w:rsidRPr="00C9465D">
        <w:rPr>
          <w:rFonts w:ascii="Verdana" w:hAnsi="Verdana"/>
          <w:sz w:val="20"/>
          <w:szCs w:val="20"/>
          <w:lang w:val="en-US"/>
        </w:rPr>
        <w:t>Luis Eduardo Guachalá Chimb</w:t>
      </w:r>
      <w:r w:rsidR="00D8209E" w:rsidRPr="00C9465D">
        <w:rPr>
          <w:rFonts w:ascii="Verdana" w:hAnsi="Verdana"/>
          <w:sz w:val="20"/>
          <w:szCs w:val="20"/>
          <w:lang w:val="en-US"/>
        </w:rPr>
        <w:t>o</w:t>
      </w:r>
      <w:r w:rsidRPr="00C9465D">
        <w:rPr>
          <w:rFonts w:ascii="Verdana" w:hAnsi="Verdana"/>
          <w:sz w:val="20"/>
          <w:szCs w:val="20"/>
          <w:lang w:val="en-US"/>
        </w:rPr>
        <w:t xml:space="preserve">, </w:t>
      </w:r>
      <w:r w:rsidR="00ED6072" w:rsidRPr="00C9465D">
        <w:rPr>
          <w:rFonts w:ascii="Verdana" w:hAnsi="Verdana"/>
          <w:sz w:val="20"/>
          <w:szCs w:val="20"/>
          <w:lang w:val="en-US"/>
        </w:rPr>
        <w:t xml:space="preserve">a person with disabilities, in January 2004, while he was interned in a public psychiatric hospital in Quito, Ecuador, as well as the absence of his </w:t>
      </w:r>
      <w:r w:rsidR="005B7EE9" w:rsidRPr="00C9465D">
        <w:rPr>
          <w:rFonts w:ascii="Verdana" w:hAnsi="Verdana"/>
          <w:sz w:val="20"/>
          <w:szCs w:val="20"/>
          <w:lang w:val="en-US"/>
        </w:rPr>
        <w:t>informed consent</w:t>
      </w:r>
      <w:r w:rsidRPr="00C9465D">
        <w:rPr>
          <w:rFonts w:ascii="Verdana" w:hAnsi="Verdana"/>
          <w:sz w:val="20"/>
          <w:szCs w:val="20"/>
          <w:lang w:val="en-US"/>
        </w:rPr>
        <w:t xml:space="preserve"> </w:t>
      </w:r>
      <w:r w:rsidR="00ED6072" w:rsidRPr="00C9465D">
        <w:rPr>
          <w:rFonts w:ascii="Verdana" w:hAnsi="Verdana"/>
          <w:sz w:val="20"/>
          <w:szCs w:val="20"/>
          <w:lang w:val="en-US"/>
        </w:rPr>
        <w:t>for the hospitalization and the treatment received.</w:t>
      </w:r>
    </w:p>
    <w:p w14:paraId="3F3DDF95" w14:textId="77777777" w:rsidR="00310778" w:rsidRPr="00C9465D" w:rsidRDefault="00310778" w:rsidP="00310778">
      <w:pPr>
        <w:spacing w:after="0" w:line="240" w:lineRule="auto"/>
        <w:jc w:val="both"/>
        <w:rPr>
          <w:rFonts w:ascii="Verdana" w:hAnsi="Verdana"/>
          <w:sz w:val="20"/>
          <w:szCs w:val="20"/>
          <w:lang w:val="en-US"/>
        </w:rPr>
      </w:pPr>
    </w:p>
    <w:p w14:paraId="7890D3D9" w14:textId="39B2F76F" w:rsidR="0021004C" w:rsidRPr="00C9465D" w:rsidRDefault="00F4157D" w:rsidP="00310778">
      <w:pPr>
        <w:spacing w:after="0" w:line="240" w:lineRule="auto"/>
        <w:jc w:val="both"/>
        <w:rPr>
          <w:rFonts w:ascii="Verdana" w:hAnsi="Verdana"/>
          <w:sz w:val="20"/>
          <w:szCs w:val="20"/>
          <w:lang w:val="en-US"/>
        </w:rPr>
      </w:pPr>
      <w:r w:rsidRPr="00C9465D">
        <w:rPr>
          <w:rFonts w:ascii="Verdana" w:hAnsi="Verdana"/>
          <w:sz w:val="20"/>
          <w:szCs w:val="20"/>
          <w:lang w:val="en-US"/>
        </w:rPr>
        <w:t>3.</w:t>
      </w:r>
      <w:r w:rsidRPr="00C9465D">
        <w:rPr>
          <w:rFonts w:ascii="Verdana" w:hAnsi="Verdana"/>
          <w:sz w:val="20"/>
          <w:szCs w:val="20"/>
          <w:lang w:val="en-US"/>
        </w:rPr>
        <w:tab/>
      </w:r>
      <w:r w:rsidR="0021004C" w:rsidRPr="00C9465D">
        <w:rPr>
          <w:rFonts w:ascii="Verdana" w:hAnsi="Verdana"/>
          <w:sz w:val="20"/>
          <w:szCs w:val="20"/>
          <w:lang w:val="en-US"/>
        </w:rPr>
        <w:t xml:space="preserve">In this opinion, I concur with the findings of the judgment and </w:t>
      </w:r>
      <w:r w:rsidR="00D65901" w:rsidRPr="00C9465D">
        <w:rPr>
          <w:rFonts w:ascii="Verdana" w:hAnsi="Verdana"/>
          <w:sz w:val="20"/>
          <w:szCs w:val="20"/>
          <w:lang w:val="en-US"/>
        </w:rPr>
        <w:t>submit</w:t>
      </w:r>
      <w:r w:rsidR="0021004C" w:rsidRPr="00C9465D">
        <w:rPr>
          <w:rFonts w:ascii="Verdana" w:hAnsi="Verdana"/>
          <w:sz w:val="20"/>
          <w:szCs w:val="20"/>
          <w:lang w:val="en-US"/>
        </w:rPr>
        <w:t xml:space="preserve"> it </w:t>
      </w:r>
      <w:r w:rsidR="00D65901" w:rsidRPr="00C9465D">
        <w:rPr>
          <w:rFonts w:ascii="Verdana" w:hAnsi="Verdana"/>
          <w:sz w:val="20"/>
          <w:szCs w:val="20"/>
          <w:lang w:val="en-US"/>
        </w:rPr>
        <w:t>in order to:</w:t>
      </w:r>
      <w:r w:rsidR="0021004C" w:rsidRPr="00C9465D">
        <w:rPr>
          <w:rFonts w:ascii="Verdana" w:hAnsi="Verdana"/>
          <w:sz w:val="20"/>
          <w:szCs w:val="20"/>
          <w:lang w:val="en-US"/>
        </w:rPr>
        <w:t xml:space="preserve"> (i) examine further the way in which I consider that the IACtHR should approach cases that involve violations of </w:t>
      </w:r>
      <w:r w:rsidR="006D60F8" w:rsidRPr="00C9465D">
        <w:rPr>
          <w:rFonts w:ascii="Verdana" w:hAnsi="Verdana"/>
          <w:sz w:val="20"/>
          <w:szCs w:val="20"/>
          <w:lang w:val="en-US"/>
        </w:rPr>
        <w:t xml:space="preserve">the </w:t>
      </w:r>
      <w:r w:rsidR="0021004C" w:rsidRPr="00C9465D">
        <w:rPr>
          <w:rFonts w:ascii="Verdana" w:hAnsi="Verdana"/>
          <w:sz w:val="20"/>
          <w:szCs w:val="20"/>
          <w:lang w:val="en-US"/>
        </w:rPr>
        <w:t>economic, social, cultural and environmental rights</w:t>
      </w:r>
      <w:r w:rsidR="006D60F8" w:rsidRPr="00C9465D">
        <w:rPr>
          <w:rFonts w:ascii="Verdana" w:hAnsi="Verdana"/>
          <w:sz w:val="20"/>
          <w:szCs w:val="20"/>
          <w:lang w:val="en-US"/>
        </w:rPr>
        <w:t xml:space="preserve"> (ESCER)</w:t>
      </w:r>
      <w:r w:rsidR="0021004C" w:rsidRPr="00C9465D">
        <w:rPr>
          <w:rFonts w:ascii="Verdana" w:hAnsi="Verdana"/>
          <w:sz w:val="20"/>
          <w:szCs w:val="20"/>
          <w:lang w:val="en-US"/>
        </w:rPr>
        <w:t>, based on the universality, indivisibility, interdependence and interrelationship of all the human rights as the grounds for their justiciability</w:t>
      </w:r>
      <w:r w:rsidR="00D65901" w:rsidRPr="00C9465D">
        <w:rPr>
          <w:rFonts w:ascii="Verdana" w:hAnsi="Verdana"/>
          <w:sz w:val="20"/>
          <w:szCs w:val="20"/>
          <w:lang w:val="en-US"/>
        </w:rPr>
        <w:t>,</w:t>
      </w:r>
      <w:r w:rsidR="0021004C" w:rsidRPr="00C9465D">
        <w:rPr>
          <w:rFonts w:ascii="Verdana" w:hAnsi="Verdana"/>
          <w:sz w:val="20"/>
          <w:szCs w:val="20"/>
          <w:lang w:val="en-US"/>
        </w:rPr>
        <w:t xml:space="preserve"> </w:t>
      </w:r>
      <w:r w:rsidR="00D65901" w:rsidRPr="00C9465D">
        <w:rPr>
          <w:rFonts w:ascii="Verdana" w:hAnsi="Verdana"/>
          <w:sz w:val="20"/>
          <w:szCs w:val="20"/>
          <w:lang w:val="en-US"/>
        </w:rPr>
        <w:t>in relation to</w:t>
      </w:r>
      <w:r w:rsidR="0021004C" w:rsidRPr="00C9465D">
        <w:rPr>
          <w:rFonts w:ascii="Verdana" w:hAnsi="Verdana"/>
          <w:sz w:val="20"/>
          <w:szCs w:val="20"/>
          <w:lang w:val="en-US"/>
        </w:rPr>
        <w:t xml:space="preserve"> the right to health</w:t>
      </w:r>
      <w:r w:rsidR="00F42C89" w:rsidRPr="00C9465D">
        <w:rPr>
          <w:rFonts w:ascii="Verdana" w:hAnsi="Verdana"/>
          <w:sz w:val="20"/>
          <w:szCs w:val="20"/>
          <w:lang w:val="en-US"/>
        </w:rPr>
        <w:t xml:space="preserve"> in the case of the treatment of mental health; (ii) examine further the concept of intersectionality in relation to mental health and its possible consequences</w:t>
      </w:r>
      <w:r w:rsidR="00BE40CB" w:rsidRPr="00C9465D">
        <w:rPr>
          <w:rFonts w:ascii="Verdana" w:hAnsi="Verdana"/>
          <w:sz w:val="20"/>
          <w:szCs w:val="20"/>
          <w:lang w:val="en-US"/>
        </w:rPr>
        <w:t>, and</w:t>
      </w:r>
      <w:r w:rsidR="00F42C89" w:rsidRPr="00C9465D">
        <w:rPr>
          <w:rFonts w:ascii="Verdana" w:hAnsi="Verdana"/>
          <w:sz w:val="20"/>
          <w:szCs w:val="20"/>
          <w:lang w:val="en-US"/>
        </w:rPr>
        <w:t xml:space="preserve"> (iii) analyze the events related to the hospitalization of Mr. Guachalá and the relationship between the consent and his treatment as a person with disabilities, and (iv) the reasons why a situation of forced disappearance was not established.</w:t>
      </w:r>
    </w:p>
    <w:p w14:paraId="45F0CBE1" w14:textId="77777777" w:rsidR="00310778" w:rsidRPr="00C9465D" w:rsidRDefault="00310778" w:rsidP="00310778">
      <w:pPr>
        <w:spacing w:after="0" w:line="240" w:lineRule="auto"/>
        <w:jc w:val="both"/>
        <w:rPr>
          <w:rFonts w:ascii="Verdana" w:hAnsi="Verdana"/>
          <w:sz w:val="20"/>
          <w:szCs w:val="20"/>
          <w:lang w:val="en-US"/>
        </w:rPr>
      </w:pPr>
    </w:p>
    <w:p w14:paraId="0C30E837" w14:textId="5D493D88" w:rsidR="00F4157D" w:rsidRPr="00C9465D" w:rsidRDefault="00D45309" w:rsidP="00310778">
      <w:pPr>
        <w:pStyle w:val="Heading1"/>
        <w:numPr>
          <w:ilvl w:val="0"/>
          <w:numId w:val="23"/>
        </w:numPr>
        <w:spacing w:before="0" w:after="0"/>
        <w:ind w:left="0" w:firstLine="0"/>
        <w:rPr>
          <w:lang w:val="en-US"/>
        </w:rPr>
      </w:pPr>
      <w:r w:rsidRPr="00C9465D">
        <w:rPr>
          <w:lang w:val="en-US"/>
        </w:rPr>
        <w:t xml:space="preserve">THE ISSUE OF THE </w:t>
      </w:r>
      <w:r w:rsidR="00AC1354" w:rsidRPr="00C9465D">
        <w:rPr>
          <w:lang w:val="en-US"/>
        </w:rPr>
        <w:t>RIGHT</w:t>
      </w:r>
      <w:r w:rsidR="00260D95" w:rsidRPr="00C9465D">
        <w:rPr>
          <w:lang w:val="en-US"/>
        </w:rPr>
        <w:t xml:space="preserve"> TO HEALTH</w:t>
      </w:r>
      <w:r w:rsidR="00F4157D" w:rsidRPr="00C9465D">
        <w:rPr>
          <w:lang w:val="en-US"/>
        </w:rPr>
        <w:t xml:space="preserve"> </w:t>
      </w:r>
      <w:r w:rsidRPr="00C9465D">
        <w:rPr>
          <w:lang w:val="en-US"/>
        </w:rPr>
        <w:t xml:space="preserve">AS AN ECONOMIC, SOCIAL AND CULTURAL RIGHT JUSTICIABLE </w:t>
      </w:r>
      <w:r w:rsidRPr="00C9465D">
        <w:rPr>
          <w:i/>
          <w:iCs/>
          <w:lang w:val="en-US"/>
        </w:rPr>
        <w:t>PER SE</w:t>
      </w:r>
    </w:p>
    <w:p w14:paraId="7BCF7AF5" w14:textId="77777777" w:rsidR="00310778" w:rsidRPr="00C9465D" w:rsidRDefault="00310778" w:rsidP="00310778">
      <w:pPr>
        <w:pStyle w:val="PrrafodeSentencia"/>
        <w:rPr>
          <w:szCs w:val="20"/>
          <w:lang w:val="en-US"/>
        </w:rPr>
      </w:pPr>
    </w:p>
    <w:p w14:paraId="4B494E23" w14:textId="0AD6C608" w:rsidR="00F4157D" w:rsidRPr="00C9465D" w:rsidRDefault="00F4157D" w:rsidP="00310778">
      <w:pPr>
        <w:pStyle w:val="PrrafodeSentencia"/>
        <w:rPr>
          <w:szCs w:val="20"/>
          <w:lang w:val="en-US"/>
        </w:rPr>
      </w:pPr>
      <w:r w:rsidRPr="00C9465D">
        <w:rPr>
          <w:szCs w:val="20"/>
          <w:lang w:val="en-US"/>
        </w:rPr>
        <w:t>4.</w:t>
      </w:r>
      <w:r w:rsidRPr="00C9465D">
        <w:rPr>
          <w:szCs w:val="20"/>
          <w:lang w:val="en-US"/>
        </w:rPr>
        <w:tab/>
      </w:r>
      <w:r w:rsidR="00F42C89" w:rsidRPr="00C9465D">
        <w:rPr>
          <w:szCs w:val="20"/>
          <w:lang w:val="en-US"/>
        </w:rPr>
        <w:t xml:space="preserve">The justiciability of the economic, social, cultural and environmental rights has been a subject of discussion both in legal doctrine and within </w:t>
      </w:r>
      <w:r w:rsidR="00193CBB" w:rsidRPr="00C9465D">
        <w:rPr>
          <w:szCs w:val="20"/>
          <w:lang w:val="en-US"/>
        </w:rPr>
        <w:t xml:space="preserve">the </w:t>
      </w:r>
      <w:r w:rsidR="0021004C" w:rsidRPr="00C9465D">
        <w:rPr>
          <w:szCs w:val="20"/>
          <w:lang w:val="en-US"/>
        </w:rPr>
        <w:t>IACtHR</w:t>
      </w:r>
      <w:r w:rsidRPr="00C9465D">
        <w:rPr>
          <w:szCs w:val="20"/>
          <w:lang w:val="en-US"/>
        </w:rPr>
        <w:t>,</w:t>
      </w:r>
      <w:r w:rsidR="00193CBB" w:rsidRPr="00C9465D">
        <w:rPr>
          <w:szCs w:val="20"/>
          <w:lang w:val="en-US"/>
        </w:rPr>
        <w:t xml:space="preserve"> and </w:t>
      </w:r>
      <w:r w:rsidR="00F42C89" w:rsidRPr="00C9465D">
        <w:rPr>
          <w:szCs w:val="20"/>
          <w:lang w:val="en-US"/>
        </w:rPr>
        <w:t xml:space="preserve">three positions exist in this regard, as I mentioned, </w:t>
      </w:r>
      <w:r w:rsidR="00F42C89" w:rsidRPr="00C9465D">
        <w:rPr>
          <w:i/>
          <w:iCs/>
          <w:szCs w:val="20"/>
          <w:lang w:val="en-US"/>
        </w:rPr>
        <w:t>inter alia</w:t>
      </w:r>
      <w:r w:rsidR="00F42C89" w:rsidRPr="00C9465D">
        <w:rPr>
          <w:szCs w:val="20"/>
          <w:lang w:val="en-US"/>
        </w:rPr>
        <w:t xml:space="preserve">, in my concurring opinion to the judgment of </w:t>
      </w:r>
      <w:r w:rsidR="00577DE0" w:rsidRPr="00C9465D">
        <w:rPr>
          <w:szCs w:val="20"/>
          <w:lang w:val="en-US"/>
        </w:rPr>
        <w:t xml:space="preserve">November </w:t>
      </w:r>
      <w:r w:rsidR="00F42C89" w:rsidRPr="00C9465D">
        <w:rPr>
          <w:szCs w:val="20"/>
          <w:lang w:val="en-US"/>
        </w:rPr>
        <w:t>2</w:t>
      </w:r>
      <w:r w:rsidR="00577DE0" w:rsidRPr="00C9465D">
        <w:rPr>
          <w:szCs w:val="20"/>
          <w:lang w:val="en-US"/>
        </w:rPr>
        <w:t>1,</w:t>
      </w:r>
      <w:r w:rsidRPr="00C9465D">
        <w:rPr>
          <w:szCs w:val="20"/>
          <w:lang w:val="en-US"/>
        </w:rPr>
        <w:t xml:space="preserve"> 2019</w:t>
      </w:r>
      <w:r w:rsidR="00F42C89" w:rsidRPr="00C9465D">
        <w:rPr>
          <w:szCs w:val="20"/>
          <w:lang w:val="en-US"/>
        </w:rPr>
        <w:t>, in the</w:t>
      </w:r>
      <w:r w:rsidRPr="00C9465D">
        <w:rPr>
          <w:szCs w:val="20"/>
          <w:lang w:val="en-US"/>
        </w:rPr>
        <w:t xml:space="preserve"> </w:t>
      </w:r>
      <w:r w:rsidR="00BE40CB" w:rsidRPr="00C9465D">
        <w:rPr>
          <w:i/>
          <w:szCs w:val="20"/>
          <w:lang w:val="en-US"/>
        </w:rPr>
        <w:t>c</w:t>
      </w:r>
      <w:r w:rsidR="009B4E86" w:rsidRPr="00C9465D">
        <w:rPr>
          <w:i/>
          <w:szCs w:val="20"/>
          <w:lang w:val="en-US"/>
        </w:rPr>
        <w:t>ase of the National Association of Discharged and Retired Employees of the National Tax Administration Superintendence</w:t>
      </w:r>
      <w:r w:rsidRPr="00C9465D">
        <w:rPr>
          <w:i/>
          <w:szCs w:val="20"/>
          <w:lang w:val="en-US"/>
        </w:rPr>
        <w:t xml:space="preserve"> (</w:t>
      </w:r>
      <w:r w:rsidR="00F42C89" w:rsidRPr="00C9465D">
        <w:rPr>
          <w:i/>
          <w:szCs w:val="20"/>
          <w:lang w:val="en-US"/>
        </w:rPr>
        <w:t>ANCEJUB-SUNAT</w:t>
      </w:r>
      <w:r w:rsidRPr="00C9465D">
        <w:rPr>
          <w:i/>
          <w:szCs w:val="20"/>
          <w:lang w:val="en-US"/>
        </w:rPr>
        <w:t xml:space="preserve">) </w:t>
      </w:r>
      <w:r w:rsidR="00193CBB" w:rsidRPr="00C9465D">
        <w:rPr>
          <w:i/>
          <w:szCs w:val="20"/>
          <w:lang w:val="en-US"/>
        </w:rPr>
        <w:t>v.</w:t>
      </w:r>
      <w:r w:rsidRPr="00C9465D">
        <w:rPr>
          <w:i/>
          <w:szCs w:val="20"/>
          <w:lang w:val="en-US"/>
        </w:rPr>
        <w:t xml:space="preserve"> </w:t>
      </w:r>
      <w:r w:rsidR="001902D2" w:rsidRPr="00C9465D">
        <w:rPr>
          <w:i/>
          <w:szCs w:val="20"/>
          <w:lang w:val="en-US"/>
        </w:rPr>
        <w:t>Peru</w:t>
      </w:r>
      <w:r w:rsidR="00F42C89" w:rsidRPr="00C9465D">
        <w:rPr>
          <w:i/>
          <w:szCs w:val="20"/>
          <w:lang w:val="en-US"/>
        </w:rPr>
        <w:t>.</w:t>
      </w:r>
      <w:r w:rsidRPr="00C9465D">
        <w:rPr>
          <w:rStyle w:val="FootnoteReference"/>
          <w:szCs w:val="20"/>
          <w:lang w:val="en-US"/>
        </w:rPr>
        <w:footnoteReference w:id="488"/>
      </w:r>
      <w:r w:rsidRPr="00C9465D">
        <w:rPr>
          <w:szCs w:val="20"/>
          <w:lang w:val="en-US"/>
        </w:rPr>
        <w:t xml:space="preserve"> </w:t>
      </w:r>
      <w:r w:rsidR="00F42C89" w:rsidRPr="00C9465D">
        <w:rPr>
          <w:szCs w:val="20"/>
          <w:lang w:val="en-US"/>
        </w:rPr>
        <w:t>The first position proposes that the analysis of individual violations of the</w:t>
      </w:r>
      <w:r w:rsidRPr="00C9465D">
        <w:rPr>
          <w:szCs w:val="20"/>
          <w:lang w:val="en-US"/>
        </w:rPr>
        <w:t xml:space="preserve"> </w:t>
      </w:r>
      <w:r w:rsidR="00F42C89" w:rsidRPr="00C9465D">
        <w:rPr>
          <w:szCs w:val="20"/>
          <w:lang w:val="en-US"/>
        </w:rPr>
        <w:t xml:space="preserve">economic, social, cultural and </w:t>
      </w:r>
      <w:r w:rsidR="00F42C89" w:rsidRPr="00C9465D">
        <w:rPr>
          <w:szCs w:val="20"/>
          <w:lang w:val="en-US"/>
        </w:rPr>
        <w:lastRenderedPageBreak/>
        <w:t>environmental rights</w:t>
      </w:r>
      <w:r w:rsidRPr="00C9465D">
        <w:rPr>
          <w:szCs w:val="20"/>
          <w:lang w:val="en-US"/>
        </w:rPr>
        <w:t xml:space="preserve"> </w:t>
      </w:r>
      <w:r w:rsidR="00F42C89" w:rsidRPr="00C9465D">
        <w:rPr>
          <w:szCs w:val="20"/>
          <w:lang w:val="en-US"/>
        </w:rPr>
        <w:t xml:space="preserve">must be made exclusively in relation to the rights explicitly recognized by </w:t>
      </w:r>
      <w:r w:rsidR="00193CBB" w:rsidRPr="00C9465D">
        <w:rPr>
          <w:szCs w:val="20"/>
          <w:lang w:val="en-US"/>
        </w:rPr>
        <w:t>Articles</w:t>
      </w:r>
      <w:r w:rsidRPr="00C9465D">
        <w:rPr>
          <w:szCs w:val="20"/>
          <w:lang w:val="en-US"/>
        </w:rPr>
        <w:t xml:space="preserve"> 3 </w:t>
      </w:r>
      <w:r w:rsidR="00F42C89" w:rsidRPr="00C9465D">
        <w:rPr>
          <w:szCs w:val="20"/>
          <w:lang w:val="en-US"/>
        </w:rPr>
        <w:t>to</w:t>
      </w:r>
      <w:r w:rsidRPr="00C9465D">
        <w:rPr>
          <w:szCs w:val="20"/>
          <w:lang w:val="en-US"/>
        </w:rPr>
        <w:t xml:space="preserve"> 25</w:t>
      </w:r>
      <w:r w:rsidR="00193CBB" w:rsidRPr="00C9465D">
        <w:rPr>
          <w:szCs w:val="20"/>
          <w:lang w:val="en-US"/>
        </w:rPr>
        <w:t xml:space="preserve"> of the Convention and </w:t>
      </w:r>
      <w:r w:rsidR="00F42C89" w:rsidRPr="00C9465D">
        <w:rPr>
          <w:szCs w:val="20"/>
          <w:lang w:val="en-US"/>
        </w:rPr>
        <w:t>based on what is expressly permitted by the Additional Protocol to</w:t>
      </w:r>
      <w:r w:rsidRPr="00C9465D">
        <w:rPr>
          <w:szCs w:val="20"/>
          <w:lang w:val="en-US"/>
        </w:rPr>
        <w:t xml:space="preserve"> </w:t>
      </w:r>
      <w:r w:rsidR="00193CBB" w:rsidRPr="00C9465D">
        <w:rPr>
          <w:szCs w:val="20"/>
          <w:lang w:val="en-US"/>
        </w:rPr>
        <w:t>the American Convention on Human Rights</w:t>
      </w:r>
      <w:r w:rsidRPr="00C9465D">
        <w:rPr>
          <w:szCs w:val="20"/>
          <w:lang w:val="en-US"/>
        </w:rPr>
        <w:t xml:space="preserve"> </w:t>
      </w:r>
      <w:r w:rsidR="00F42C89" w:rsidRPr="00C9465D">
        <w:rPr>
          <w:szCs w:val="20"/>
          <w:lang w:val="en-US"/>
        </w:rPr>
        <w:t>in the Area of Economic, Social and Cultural Rights</w:t>
      </w:r>
      <w:r w:rsidRPr="00C9465D">
        <w:rPr>
          <w:szCs w:val="20"/>
          <w:lang w:val="en-US"/>
        </w:rPr>
        <w:t xml:space="preserve"> (</w:t>
      </w:r>
      <w:r w:rsidR="00193CBB" w:rsidRPr="00C9465D">
        <w:rPr>
          <w:szCs w:val="20"/>
          <w:lang w:val="en-US"/>
        </w:rPr>
        <w:t>hereinafter</w:t>
      </w:r>
      <w:r w:rsidRPr="00C9465D">
        <w:rPr>
          <w:szCs w:val="20"/>
          <w:lang w:val="en-US"/>
        </w:rPr>
        <w:t xml:space="preserve"> “</w:t>
      </w:r>
      <w:r w:rsidR="00F42C89" w:rsidRPr="00C9465D">
        <w:rPr>
          <w:szCs w:val="20"/>
          <w:lang w:val="en-US"/>
        </w:rPr>
        <w:t>the Protocol of</w:t>
      </w:r>
      <w:r w:rsidRPr="00C9465D">
        <w:rPr>
          <w:szCs w:val="20"/>
          <w:lang w:val="en-US"/>
        </w:rPr>
        <w:t xml:space="preserve"> San Salvador”) </w:t>
      </w:r>
      <w:r w:rsidR="00F42C89" w:rsidRPr="00C9465D">
        <w:rPr>
          <w:szCs w:val="20"/>
          <w:lang w:val="en-US"/>
        </w:rPr>
        <w:t>in its</w:t>
      </w:r>
      <w:r w:rsidRPr="00C9465D">
        <w:rPr>
          <w:szCs w:val="20"/>
          <w:lang w:val="en-US"/>
        </w:rPr>
        <w:t xml:space="preserve"> </w:t>
      </w:r>
      <w:r w:rsidR="00193CBB" w:rsidRPr="00C9465D">
        <w:rPr>
          <w:szCs w:val="20"/>
          <w:lang w:val="en-US"/>
        </w:rPr>
        <w:t>Article</w:t>
      </w:r>
      <w:r w:rsidRPr="00C9465D">
        <w:rPr>
          <w:szCs w:val="20"/>
          <w:lang w:val="en-US"/>
        </w:rPr>
        <w:t xml:space="preserve"> 19</w:t>
      </w:r>
      <w:r w:rsidR="00F42C89" w:rsidRPr="00C9465D">
        <w:rPr>
          <w:szCs w:val="20"/>
          <w:lang w:val="en-US"/>
        </w:rPr>
        <w:t>(</w:t>
      </w:r>
      <w:r w:rsidRPr="00C9465D">
        <w:rPr>
          <w:szCs w:val="20"/>
          <w:lang w:val="en-US"/>
        </w:rPr>
        <w:t>6</w:t>
      </w:r>
      <w:r w:rsidR="00F42C89" w:rsidRPr="00C9465D">
        <w:rPr>
          <w:szCs w:val="20"/>
          <w:lang w:val="en-US"/>
        </w:rPr>
        <w:t>).</w:t>
      </w:r>
      <w:r w:rsidRPr="00C9465D">
        <w:rPr>
          <w:rStyle w:val="FootnoteReference"/>
          <w:szCs w:val="20"/>
          <w:lang w:val="en-US"/>
        </w:rPr>
        <w:footnoteReference w:id="489"/>
      </w:r>
      <w:r w:rsidRPr="00C9465D">
        <w:rPr>
          <w:szCs w:val="20"/>
          <w:lang w:val="en-US"/>
        </w:rPr>
        <w:t xml:space="preserve"> </w:t>
      </w:r>
      <w:r w:rsidR="00F42C89" w:rsidRPr="00C9465D">
        <w:rPr>
          <w:szCs w:val="20"/>
          <w:lang w:val="en-US"/>
        </w:rPr>
        <w:t>While the second viewpoint asserts that the Court has competence to examine autonomous violations of the economic, social, cultural and environmental rights</w:t>
      </w:r>
      <w:r w:rsidRPr="00C9465D">
        <w:rPr>
          <w:szCs w:val="20"/>
          <w:lang w:val="en-US"/>
        </w:rPr>
        <w:t xml:space="preserve"> </w:t>
      </w:r>
      <w:r w:rsidR="00F42C89" w:rsidRPr="00C9465D">
        <w:rPr>
          <w:szCs w:val="20"/>
          <w:lang w:val="en-US"/>
        </w:rPr>
        <w:t>based on</w:t>
      </w:r>
      <w:r w:rsidRPr="00C9465D">
        <w:rPr>
          <w:szCs w:val="20"/>
          <w:lang w:val="en-US"/>
        </w:rPr>
        <w:t xml:space="preserve"> </w:t>
      </w:r>
      <w:r w:rsidR="00193CBB" w:rsidRPr="00C9465D">
        <w:rPr>
          <w:szCs w:val="20"/>
          <w:lang w:val="en-US"/>
        </w:rPr>
        <w:t>Article</w:t>
      </w:r>
      <w:r w:rsidRPr="00C9465D">
        <w:rPr>
          <w:szCs w:val="20"/>
          <w:lang w:val="en-US"/>
        </w:rPr>
        <w:t xml:space="preserve"> 26</w:t>
      </w:r>
      <w:r w:rsidR="00193CBB" w:rsidRPr="00C9465D">
        <w:rPr>
          <w:szCs w:val="20"/>
          <w:lang w:val="en-US"/>
        </w:rPr>
        <w:t xml:space="preserve"> of the Convention</w:t>
      </w:r>
      <w:r w:rsidRPr="00C9465D">
        <w:rPr>
          <w:szCs w:val="20"/>
          <w:lang w:val="en-US"/>
        </w:rPr>
        <w:t xml:space="preserve">, </w:t>
      </w:r>
      <w:r w:rsidR="00651251" w:rsidRPr="00C9465D">
        <w:rPr>
          <w:szCs w:val="20"/>
          <w:lang w:val="en-US"/>
        </w:rPr>
        <w:t xml:space="preserve">understanding that they would be </w:t>
      </w:r>
      <w:r w:rsidRPr="00C9465D">
        <w:rPr>
          <w:szCs w:val="20"/>
          <w:lang w:val="en-US"/>
        </w:rPr>
        <w:t>justiciable</w:t>
      </w:r>
      <w:r w:rsidR="00651251" w:rsidRPr="00C9465D">
        <w:rPr>
          <w:szCs w:val="20"/>
          <w:lang w:val="en-US"/>
        </w:rPr>
        <w:t xml:space="preserve"> individually.</w:t>
      </w:r>
      <w:r w:rsidRPr="00C9465D">
        <w:rPr>
          <w:rStyle w:val="FootnoteReference"/>
          <w:szCs w:val="20"/>
          <w:lang w:val="en-US"/>
        </w:rPr>
        <w:footnoteReference w:id="490"/>
      </w:r>
      <w:r w:rsidRPr="00C9465D">
        <w:rPr>
          <w:szCs w:val="20"/>
          <w:lang w:val="en-US"/>
        </w:rPr>
        <w:t xml:space="preserve"> </w:t>
      </w:r>
    </w:p>
    <w:p w14:paraId="0BC3D572" w14:textId="77777777" w:rsidR="00310778" w:rsidRPr="00C9465D" w:rsidRDefault="00310778" w:rsidP="00310778">
      <w:pPr>
        <w:pStyle w:val="PrrafodeSentencia"/>
        <w:rPr>
          <w:szCs w:val="20"/>
          <w:lang w:val="en-US"/>
        </w:rPr>
      </w:pPr>
    </w:p>
    <w:p w14:paraId="56476B7B" w14:textId="41CA5FA3" w:rsidR="00F4157D" w:rsidRPr="00C9465D" w:rsidRDefault="00F4157D" w:rsidP="00310778">
      <w:pPr>
        <w:pStyle w:val="PrrafodeSentencia"/>
        <w:rPr>
          <w:szCs w:val="20"/>
          <w:lang w:val="en-US"/>
        </w:rPr>
      </w:pPr>
      <w:r w:rsidRPr="00C9465D">
        <w:rPr>
          <w:szCs w:val="20"/>
          <w:lang w:val="en-US"/>
        </w:rPr>
        <w:t>5.</w:t>
      </w:r>
      <w:r w:rsidRPr="00C9465D">
        <w:rPr>
          <w:szCs w:val="20"/>
          <w:lang w:val="en-US"/>
        </w:rPr>
        <w:tab/>
      </w:r>
      <w:r w:rsidR="00651251" w:rsidRPr="00C9465D">
        <w:rPr>
          <w:szCs w:val="20"/>
          <w:lang w:val="en-US"/>
        </w:rPr>
        <w:t>As I have mentioned in previous concurring opinions and reiterating the arguments presented in them,</w:t>
      </w:r>
      <w:r w:rsidRPr="00C9465D">
        <w:rPr>
          <w:rStyle w:val="FootnoteReference"/>
          <w:szCs w:val="20"/>
          <w:lang w:val="en-US"/>
        </w:rPr>
        <w:footnoteReference w:id="491"/>
      </w:r>
      <w:r w:rsidR="00651251" w:rsidRPr="00C9465D">
        <w:rPr>
          <w:szCs w:val="20"/>
          <w:lang w:val="en-US"/>
        </w:rPr>
        <w:t xml:space="preserve"> I adhere to a different position based on the universality, indivisibility, interdependence and interrelationship of the human rights, to maintain that the Court has competence to examine violation of the economic, social, cultural and environmental rights. And this is due to the conviction that human rights are interdependent and indivisible so that the civil and political rights are interwoven with the </w:t>
      </w:r>
      <w:r w:rsidR="00F42C89" w:rsidRPr="00C9465D">
        <w:rPr>
          <w:szCs w:val="20"/>
          <w:lang w:val="en-US"/>
        </w:rPr>
        <w:t>economic, social, cultural and environmental rights</w:t>
      </w:r>
      <w:r w:rsidR="00651251" w:rsidRPr="00C9465D">
        <w:rPr>
          <w:szCs w:val="20"/>
          <w:lang w:val="en-US"/>
        </w:rPr>
        <w:t xml:space="preserve"> and, in circumstances such as those of this case, they cannot be separated.</w:t>
      </w:r>
    </w:p>
    <w:p w14:paraId="1EFB6740" w14:textId="77777777" w:rsidR="00310778" w:rsidRPr="00C9465D" w:rsidRDefault="00310778" w:rsidP="00310778">
      <w:pPr>
        <w:pStyle w:val="PrrafodeSentencia"/>
        <w:rPr>
          <w:szCs w:val="20"/>
          <w:lang w:val="en-US"/>
        </w:rPr>
      </w:pPr>
    </w:p>
    <w:p w14:paraId="0CF33490" w14:textId="505A9490" w:rsidR="00F4157D" w:rsidRPr="00C9465D" w:rsidRDefault="00F4157D" w:rsidP="00310778">
      <w:pPr>
        <w:pStyle w:val="PrrafodeSentencia"/>
        <w:rPr>
          <w:szCs w:val="20"/>
          <w:lang w:val="en-US"/>
        </w:rPr>
      </w:pPr>
      <w:r w:rsidRPr="00C9465D">
        <w:rPr>
          <w:szCs w:val="20"/>
          <w:lang w:val="en-US"/>
        </w:rPr>
        <w:t>6.</w:t>
      </w:r>
      <w:r w:rsidRPr="00C9465D">
        <w:rPr>
          <w:szCs w:val="20"/>
          <w:lang w:val="en-US"/>
        </w:rPr>
        <w:tab/>
      </w:r>
      <w:r w:rsidR="00651251" w:rsidRPr="00C9465D">
        <w:rPr>
          <w:szCs w:val="20"/>
          <w:lang w:val="en-US"/>
        </w:rPr>
        <w:t>This is why I have asserted that the</w:t>
      </w:r>
      <w:r w:rsidR="00BE40CB" w:rsidRPr="00C9465D">
        <w:rPr>
          <w:szCs w:val="20"/>
          <w:lang w:val="en-US"/>
        </w:rPr>
        <w:t>ir</w:t>
      </w:r>
      <w:r w:rsidR="00651251" w:rsidRPr="00C9465D">
        <w:rPr>
          <w:szCs w:val="20"/>
          <w:lang w:val="en-US"/>
        </w:rPr>
        <w:t xml:space="preserve"> interdependence and indivisibility allow the human being to be observed integrally as </w:t>
      </w:r>
      <w:r w:rsidR="00BE40CB" w:rsidRPr="00C9465D">
        <w:rPr>
          <w:szCs w:val="20"/>
          <w:lang w:val="en-US"/>
        </w:rPr>
        <w:t>the</w:t>
      </w:r>
      <w:r w:rsidR="00651251" w:rsidRPr="00C9465D">
        <w:rPr>
          <w:szCs w:val="20"/>
          <w:lang w:val="en-US"/>
        </w:rPr>
        <w:t xml:space="preserve"> titleholder of</w:t>
      </w:r>
      <w:r w:rsidR="00BE40CB" w:rsidRPr="00C9465D">
        <w:rPr>
          <w:szCs w:val="20"/>
          <w:lang w:val="en-US"/>
        </w:rPr>
        <w:t xml:space="preserve"> all</w:t>
      </w:r>
      <w:r w:rsidR="00651251" w:rsidRPr="00C9465D">
        <w:rPr>
          <w:szCs w:val="20"/>
          <w:lang w:val="en-US"/>
        </w:rPr>
        <w:t xml:space="preserve"> rights and this has an impact on the justiciability of each of his rights. A similar perspective is asserted in the Preamble</w:t>
      </w:r>
      <w:r w:rsidR="00260D95" w:rsidRPr="00C9465D">
        <w:rPr>
          <w:szCs w:val="20"/>
          <w:lang w:val="en-US"/>
        </w:rPr>
        <w:t xml:space="preserve"> </w:t>
      </w:r>
      <w:r w:rsidR="00651251" w:rsidRPr="00C9465D">
        <w:rPr>
          <w:szCs w:val="20"/>
          <w:lang w:val="en-US"/>
        </w:rPr>
        <w:t>to</w:t>
      </w:r>
      <w:r w:rsidR="00260D95" w:rsidRPr="00C9465D">
        <w:rPr>
          <w:szCs w:val="20"/>
          <w:lang w:val="en-US"/>
        </w:rPr>
        <w:t xml:space="preserve"> the Protocol of San</w:t>
      </w:r>
      <w:r w:rsidRPr="00C9465D">
        <w:rPr>
          <w:szCs w:val="20"/>
          <w:lang w:val="en-US"/>
        </w:rPr>
        <w:t xml:space="preserve"> Salvador: </w:t>
      </w:r>
      <w:r w:rsidRPr="00C9465D">
        <w:rPr>
          <w:i/>
          <w:szCs w:val="20"/>
          <w:lang w:val="en-US"/>
        </w:rPr>
        <w:t>“</w:t>
      </w:r>
      <w:r w:rsidR="00651251" w:rsidRPr="00C9465D">
        <w:rPr>
          <w:rFonts w:eastAsia="Times New Roman" w:cs="Tahoma"/>
          <w:szCs w:val="20"/>
          <w:lang w:val="en-US"/>
        </w:rPr>
        <w:t>Considering the close relationship that exists between economic, social and cultural rights, and civil and political rights, in that the different categories of rights constitute an indivisible whole based on the recognition of the dignity of the human person, for which reason both require permanent protection and promotion if they are to be fully realized, and the violation of some rights in favor of the realization of others can never be justified</w:t>
      </w:r>
      <w:r w:rsidR="006D60F8" w:rsidRPr="00C9465D">
        <w:rPr>
          <w:rFonts w:eastAsia="Times New Roman" w:cs="Tahoma"/>
          <w:szCs w:val="20"/>
          <w:lang w:val="en-US"/>
        </w:rPr>
        <w:t>.”</w:t>
      </w:r>
      <w:r w:rsidRPr="00C9465D">
        <w:rPr>
          <w:szCs w:val="20"/>
          <w:lang w:val="en-US"/>
        </w:rPr>
        <w:t xml:space="preserve"> </w:t>
      </w:r>
    </w:p>
    <w:p w14:paraId="0A7234E4" w14:textId="77777777" w:rsidR="000B6389" w:rsidRPr="00C9465D" w:rsidRDefault="000B6389" w:rsidP="00310778">
      <w:pPr>
        <w:spacing w:after="0" w:line="240" w:lineRule="auto"/>
        <w:jc w:val="both"/>
        <w:rPr>
          <w:rFonts w:ascii="Verdana" w:hAnsi="Verdana"/>
          <w:sz w:val="20"/>
          <w:szCs w:val="20"/>
          <w:lang w:val="en-US"/>
        </w:rPr>
      </w:pPr>
    </w:p>
    <w:p w14:paraId="69343AD9" w14:textId="327859F0" w:rsidR="00F4157D" w:rsidRPr="00C9465D" w:rsidRDefault="00F4157D" w:rsidP="00310778">
      <w:pPr>
        <w:spacing w:after="0" w:line="240" w:lineRule="auto"/>
        <w:jc w:val="both"/>
        <w:rPr>
          <w:rFonts w:ascii="Verdana" w:hAnsi="Verdana"/>
          <w:sz w:val="20"/>
          <w:szCs w:val="20"/>
          <w:lang w:val="en-US"/>
        </w:rPr>
      </w:pPr>
      <w:r w:rsidRPr="00C9465D">
        <w:rPr>
          <w:rFonts w:ascii="Verdana" w:hAnsi="Verdana"/>
          <w:sz w:val="20"/>
          <w:szCs w:val="20"/>
          <w:lang w:val="en-US"/>
        </w:rPr>
        <w:t>7.</w:t>
      </w:r>
      <w:r w:rsidRPr="00C9465D">
        <w:rPr>
          <w:rFonts w:ascii="Verdana" w:hAnsi="Verdana"/>
          <w:sz w:val="20"/>
          <w:szCs w:val="20"/>
          <w:lang w:val="en-US"/>
        </w:rPr>
        <w:tab/>
      </w:r>
      <w:r w:rsidR="006D60F8" w:rsidRPr="00C9465D">
        <w:rPr>
          <w:rFonts w:ascii="Verdana" w:hAnsi="Verdana"/>
          <w:sz w:val="20"/>
          <w:szCs w:val="20"/>
          <w:lang w:val="en-US"/>
        </w:rPr>
        <w:t>In this perspective</w:t>
      </w:r>
      <w:r w:rsidRPr="00C9465D">
        <w:rPr>
          <w:rFonts w:ascii="Verdana" w:hAnsi="Verdana"/>
          <w:sz w:val="20"/>
          <w:szCs w:val="20"/>
          <w:lang w:val="en-US"/>
        </w:rPr>
        <w:t xml:space="preserve">, </w:t>
      </w:r>
      <w:r w:rsidR="00193CBB" w:rsidRPr="00C9465D">
        <w:rPr>
          <w:rFonts w:ascii="Verdana" w:hAnsi="Verdana"/>
          <w:sz w:val="20"/>
          <w:szCs w:val="20"/>
          <w:lang w:val="en-US"/>
        </w:rPr>
        <w:t>Article</w:t>
      </w:r>
      <w:r w:rsidRPr="00C9465D">
        <w:rPr>
          <w:rFonts w:ascii="Verdana" w:hAnsi="Verdana"/>
          <w:sz w:val="20"/>
          <w:szCs w:val="20"/>
          <w:lang w:val="en-US"/>
        </w:rPr>
        <w:t xml:space="preserve"> 26</w:t>
      </w:r>
      <w:r w:rsidR="00193CBB" w:rsidRPr="00C9465D">
        <w:rPr>
          <w:rFonts w:ascii="Verdana" w:hAnsi="Verdana"/>
          <w:sz w:val="20"/>
          <w:szCs w:val="20"/>
          <w:lang w:val="en-US"/>
        </w:rPr>
        <w:t xml:space="preserve"> of the Convention</w:t>
      </w:r>
      <w:r w:rsidRPr="00C9465D">
        <w:rPr>
          <w:rFonts w:ascii="Verdana" w:hAnsi="Verdana"/>
          <w:sz w:val="20"/>
          <w:szCs w:val="20"/>
          <w:lang w:val="en-US"/>
        </w:rPr>
        <w:t xml:space="preserve"> </w:t>
      </w:r>
      <w:r w:rsidR="006D60F8" w:rsidRPr="00C9465D">
        <w:rPr>
          <w:rFonts w:ascii="Verdana" w:hAnsi="Verdana"/>
          <w:sz w:val="20"/>
          <w:szCs w:val="20"/>
          <w:lang w:val="en-US"/>
        </w:rPr>
        <w:t>functions as a framework</w:t>
      </w:r>
      <w:r w:rsidRPr="00C9465D">
        <w:rPr>
          <w:rFonts w:ascii="Verdana" w:hAnsi="Verdana"/>
          <w:sz w:val="20"/>
          <w:szCs w:val="20"/>
          <w:lang w:val="en-US"/>
        </w:rPr>
        <w:t xml:space="preserve"> </w:t>
      </w:r>
      <w:r w:rsidR="006D60F8" w:rsidRPr="00C9465D">
        <w:rPr>
          <w:rFonts w:ascii="Verdana" w:hAnsi="Verdana"/>
          <w:sz w:val="20"/>
          <w:szCs w:val="20"/>
          <w:lang w:val="en-US"/>
        </w:rPr>
        <w:t>a</w:t>
      </w:r>
      <w:r w:rsidR="00193CBB" w:rsidRPr="00C9465D">
        <w:rPr>
          <w:rFonts w:ascii="Verdana" w:hAnsi="Verdana"/>
          <w:sz w:val="20"/>
          <w:szCs w:val="20"/>
          <w:lang w:val="en-US"/>
        </w:rPr>
        <w:t>rticle</w:t>
      </w:r>
      <w:r w:rsidR="006D60F8" w:rsidRPr="00C9465D">
        <w:rPr>
          <w:rFonts w:ascii="Verdana" w:hAnsi="Verdana"/>
          <w:sz w:val="20"/>
          <w:szCs w:val="20"/>
          <w:lang w:val="en-US"/>
        </w:rPr>
        <w:t xml:space="preserve">, in the understanding that it makes a general reference to the </w:t>
      </w:r>
      <w:r w:rsidR="00F42C89" w:rsidRPr="00C9465D">
        <w:rPr>
          <w:rFonts w:ascii="Verdana" w:hAnsi="Verdana"/>
          <w:sz w:val="20"/>
          <w:szCs w:val="20"/>
          <w:lang w:val="en-US"/>
        </w:rPr>
        <w:t>economic, social, cultural and environmental rights</w:t>
      </w:r>
      <w:r w:rsidRPr="00C9465D">
        <w:rPr>
          <w:rFonts w:ascii="Verdana" w:hAnsi="Verdana"/>
          <w:sz w:val="20"/>
          <w:szCs w:val="20"/>
          <w:lang w:val="en-US"/>
        </w:rPr>
        <w:t xml:space="preserve">, </w:t>
      </w:r>
      <w:r w:rsidR="006D60F8" w:rsidRPr="00C9465D">
        <w:rPr>
          <w:rFonts w:ascii="Verdana" w:hAnsi="Verdana"/>
          <w:sz w:val="20"/>
          <w:szCs w:val="20"/>
          <w:lang w:val="en-US"/>
        </w:rPr>
        <w:t>and refers us to</w:t>
      </w:r>
      <w:r w:rsidRPr="00C9465D">
        <w:rPr>
          <w:rFonts w:ascii="Verdana" w:hAnsi="Verdana"/>
          <w:sz w:val="20"/>
          <w:szCs w:val="20"/>
          <w:lang w:val="en-US"/>
        </w:rPr>
        <w:t xml:space="preserve"> </w:t>
      </w:r>
      <w:r w:rsidR="00260D95" w:rsidRPr="00C9465D">
        <w:rPr>
          <w:rFonts w:ascii="Verdana" w:hAnsi="Verdana"/>
          <w:sz w:val="20"/>
          <w:szCs w:val="20"/>
          <w:lang w:val="en-US"/>
        </w:rPr>
        <w:t>the OAS Charter</w:t>
      </w:r>
      <w:r w:rsidR="006D60F8" w:rsidRPr="00C9465D">
        <w:rPr>
          <w:rFonts w:ascii="Verdana" w:hAnsi="Verdana"/>
          <w:sz w:val="20"/>
          <w:szCs w:val="20"/>
          <w:lang w:val="en-US"/>
        </w:rPr>
        <w:t xml:space="preserve"> for the </w:t>
      </w:r>
      <w:r w:rsidR="00BE40CB" w:rsidRPr="00C9465D">
        <w:rPr>
          <w:rFonts w:ascii="Verdana" w:hAnsi="Verdana"/>
          <w:sz w:val="20"/>
          <w:szCs w:val="20"/>
          <w:lang w:val="en-US"/>
        </w:rPr>
        <w:t>description</w:t>
      </w:r>
      <w:r w:rsidR="006D60F8" w:rsidRPr="00C9465D">
        <w:rPr>
          <w:rFonts w:ascii="Verdana" w:hAnsi="Verdana"/>
          <w:sz w:val="20"/>
          <w:szCs w:val="20"/>
          <w:lang w:val="en-US"/>
        </w:rPr>
        <w:t xml:space="preserve"> and determination of them</w:t>
      </w:r>
      <w:r w:rsidRPr="00C9465D">
        <w:rPr>
          <w:rFonts w:ascii="Verdana" w:hAnsi="Verdana"/>
          <w:sz w:val="20"/>
          <w:szCs w:val="20"/>
          <w:lang w:val="en-US"/>
        </w:rPr>
        <w:t xml:space="preserve">. </w:t>
      </w:r>
      <w:r w:rsidR="00260D95" w:rsidRPr="00C9465D">
        <w:rPr>
          <w:rFonts w:ascii="Verdana" w:hAnsi="Verdana"/>
          <w:sz w:val="20"/>
          <w:szCs w:val="20"/>
          <w:lang w:val="en-US"/>
        </w:rPr>
        <w:t>The Protocol of San</w:t>
      </w:r>
      <w:r w:rsidRPr="00C9465D">
        <w:rPr>
          <w:rFonts w:ascii="Verdana" w:hAnsi="Verdana"/>
          <w:sz w:val="20"/>
          <w:szCs w:val="20"/>
          <w:lang w:val="en-US"/>
        </w:rPr>
        <w:t xml:space="preserve"> Salvador individualiz</w:t>
      </w:r>
      <w:r w:rsidR="006D60F8" w:rsidRPr="00C9465D">
        <w:rPr>
          <w:rFonts w:ascii="Verdana" w:hAnsi="Verdana"/>
          <w:sz w:val="20"/>
          <w:szCs w:val="20"/>
          <w:lang w:val="en-US"/>
        </w:rPr>
        <w:t xml:space="preserve">es and provides content to the </w:t>
      </w:r>
      <w:r w:rsidR="00F42C89" w:rsidRPr="00C9465D">
        <w:rPr>
          <w:rFonts w:ascii="Verdana" w:hAnsi="Verdana"/>
          <w:sz w:val="20"/>
          <w:szCs w:val="20"/>
          <w:lang w:val="en-US"/>
        </w:rPr>
        <w:t>economic, social, cultural and environmental rights</w:t>
      </w:r>
      <w:r w:rsidRPr="00C9465D">
        <w:rPr>
          <w:rFonts w:ascii="Verdana" w:hAnsi="Verdana"/>
          <w:sz w:val="20"/>
          <w:szCs w:val="20"/>
          <w:lang w:val="en-US"/>
        </w:rPr>
        <w:t xml:space="preserve">. </w:t>
      </w:r>
      <w:r w:rsidR="006D60F8" w:rsidRPr="00C9465D">
        <w:rPr>
          <w:rFonts w:ascii="Verdana" w:hAnsi="Verdana"/>
          <w:sz w:val="20"/>
          <w:szCs w:val="20"/>
          <w:lang w:val="en-US"/>
        </w:rPr>
        <w:t xml:space="preserve">The Protocol mentions that it is essential that those rights be reaffirmed, developed, perfected and protected (see </w:t>
      </w:r>
      <w:r w:rsidR="006D60F8" w:rsidRPr="00C9465D">
        <w:rPr>
          <w:rFonts w:ascii="Verdana" w:hAnsi="Verdana"/>
          <w:sz w:val="20"/>
          <w:szCs w:val="20"/>
          <w:lang w:val="en-US"/>
        </w:rPr>
        <w:lastRenderedPageBreak/>
        <w:t>Preamble). Finally, a series of instruments of the inter-American</w:t>
      </w:r>
      <w:r w:rsidRPr="00C9465D">
        <w:rPr>
          <w:rFonts w:ascii="Verdana" w:hAnsi="Verdana"/>
          <w:sz w:val="20"/>
          <w:szCs w:val="20"/>
          <w:lang w:val="en-US"/>
        </w:rPr>
        <w:t xml:space="preserve"> </w:t>
      </w:r>
      <w:r w:rsidRPr="00C9465D">
        <w:rPr>
          <w:rFonts w:ascii="Verdana" w:hAnsi="Verdana"/>
          <w:i/>
          <w:sz w:val="20"/>
          <w:szCs w:val="20"/>
          <w:lang w:val="en-US"/>
        </w:rPr>
        <w:t>corpus juris</w:t>
      </w:r>
      <w:r w:rsidRPr="00C9465D">
        <w:rPr>
          <w:rFonts w:ascii="Verdana" w:hAnsi="Verdana"/>
          <w:sz w:val="20"/>
          <w:szCs w:val="20"/>
          <w:lang w:val="en-US"/>
        </w:rPr>
        <w:t xml:space="preserve"> </w:t>
      </w:r>
      <w:r w:rsidR="006D60F8" w:rsidRPr="00C9465D">
        <w:rPr>
          <w:rFonts w:ascii="Verdana" w:hAnsi="Verdana"/>
          <w:sz w:val="20"/>
          <w:szCs w:val="20"/>
          <w:lang w:val="en-US"/>
        </w:rPr>
        <w:t>also refer to the ESCER.</w:t>
      </w:r>
    </w:p>
    <w:p w14:paraId="3DF45519" w14:textId="77777777" w:rsidR="000B6389" w:rsidRPr="00C9465D" w:rsidRDefault="000B6389" w:rsidP="00310778">
      <w:pPr>
        <w:spacing w:after="0" w:line="240" w:lineRule="auto"/>
        <w:jc w:val="both"/>
        <w:rPr>
          <w:rFonts w:ascii="Verdana" w:hAnsi="Verdana"/>
          <w:sz w:val="20"/>
          <w:szCs w:val="20"/>
          <w:lang w:val="en-US"/>
        </w:rPr>
      </w:pPr>
    </w:p>
    <w:p w14:paraId="13C27C10" w14:textId="5A63B3C4" w:rsidR="00F4157D" w:rsidRPr="00C9465D" w:rsidRDefault="00F4157D" w:rsidP="00310778">
      <w:pPr>
        <w:spacing w:after="0" w:line="240" w:lineRule="auto"/>
        <w:jc w:val="both"/>
        <w:rPr>
          <w:rFonts w:ascii="Verdana" w:hAnsi="Verdana"/>
          <w:sz w:val="20"/>
          <w:szCs w:val="20"/>
          <w:lang w:val="en-US"/>
        </w:rPr>
      </w:pPr>
      <w:r w:rsidRPr="00C9465D">
        <w:rPr>
          <w:rFonts w:ascii="Verdana" w:hAnsi="Verdana"/>
          <w:sz w:val="20"/>
          <w:szCs w:val="20"/>
          <w:lang w:val="en-US"/>
        </w:rPr>
        <w:t>8.</w:t>
      </w:r>
      <w:r w:rsidRPr="00C9465D">
        <w:rPr>
          <w:rFonts w:ascii="Verdana" w:hAnsi="Verdana"/>
          <w:sz w:val="20"/>
          <w:szCs w:val="20"/>
          <w:lang w:val="en-US"/>
        </w:rPr>
        <w:tab/>
      </w:r>
      <w:r w:rsidR="00D750CC" w:rsidRPr="00C9465D">
        <w:rPr>
          <w:rFonts w:ascii="Verdana" w:hAnsi="Verdana"/>
          <w:sz w:val="20"/>
          <w:szCs w:val="20"/>
          <w:lang w:val="en-US"/>
        </w:rPr>
        <w:t xml:space="preserve">Accordingly, I consider that this judgment demonstrates the coexistence of several rights of the victim that are indivisible and justiciable before this Court </w:t>
      </w:r>
      <w:r w:rsidR="00D750CC" w:rsidRPr="00C9465D">
        <w:rPr>
          <w:rFonts w:ascii="Verdana" w:hAnsi="Verdana"/>
          <w:i/>
          <w:iCs/>
          <w:sz w:val="20"/>
          <w:szCs w:val="20"/>
          <w:lang w:val="en-US"/>
        </w:rPr>
        <w:t xml:space="preserve">per se. </w:t>
      </w:r>
      <w:r w:rsidR="0020274B" w:rsidRPr="00C9465D">
        <w:rPr>
          <w:rFonts w:ascii="Verdana" w:hAnsi="Verdana"/>
          <w:sz w:val="20"/>
          <w:szCs w:val="20"/>
          <w:lang w:val="en-US"/>
        </w:rPr>
        <w:t xml:space="preserve">Therefore, </w:t>
      </w:r>
      <w:r w:rsidR="00193CBB" w:rsidRPr="00C9465D">
        <w:rPr>
          <w:rFonts w:ascii="Verdana" w:hAnsi="Verdana"/>
          <w:sz w:val="20"/>
          <w:szCs w:val="20"/>
          <w:lang w:val="en-US"/>
        </w:rPr>
        <w:t>Article</w:t>
      </w:r>
      <w:r w:rsidRPr="00C9465D">
        <w:rPr>
          <w:rFonts w:ascii="Verdana" w:hAnsi="Verdana"/>
          <w:sz w:val="20"/>
          <w:szCs w:val="20"/>
          <w:lang w:val="en-US"/>
        </w:rPr>
        <w:t xml:space="preserve"> 19</w:t>
      </w:r>
      <w:r w:rsidR="0020274B" w:rsidRPr="00C9465D">
        <w:rPr>
          <w:rFonts w:ascii="Verdana" w:hAnsi="Verdana"/>
          <w:sz w:val="20"/>
          <w:szCs w:val="20"/>
          <w:lang w:val="en-US"/>
        </w:rPr>
        <w:t>(</w:t>
      </w:r>
      <w:r w:rsidRPr="00C9465D">
        <w:rPr>
          <w:rFonts w:ascii="Verdana" w:hAnsi="Verdana"/>
          <w:sz w:val="20"/>
          <w:szCs w:val="20"/>
          <w:lang w:val="en-US"/>
        </w:rPr>
        <w:t>6</w:t>
      </w:r>
      <w:r w:rsidR="0020274B" w:rsidRPr="00C9465D">
        <w:rPr>
          <w:rFonts w:ascii="Verdana" w:hAnsi="Verdana"/>
          <w:sz w:val="20"/>
          <w:szCs w:val="20"/>
          <w:lang w:val="en-US"/>
        </w:rPr>
        <w:t>)</w:t>
      </w:r>
      <w:r w:rsidR="00260D95" w:rsidRPr="00C9465D">
        <w:rPr>
          <w:rFonts w:ascii="Verdana" w:hAnsi="Verdana"/>
          <w:sz w:val="20"/>
          <w:szCs w:val="20"/>
          <w:lang w:val="en-US"/>
        </w:rPr>
        <w:t xml:space="preserve"> of the Protocol of San</w:t>
      </w:r>
      <w:r w:rsidRPr="00C9465D">
        <w:rPr>
          <w:rFonts w:ascii="Verdana" w:hAnsi="Verdana"/>
          <w:sz w:val="20"/>
          <w:szCs w:val="20"/>
          <w:lang w:val="en-US"/>
        </w:rPr>
        <w:t xml:space="preserve"> Salvador </w:t>
      </w:r>
      <w:r w:rsidR="0020274B" w:rsidRPr="00C9465D">
        <w:rPr>
          <w:rFonts w:ascii="Verdana" w:hAnsi="Verdana"/>
          <w:sz w:val="20"/>
          <w:szCs w:val="20"/>
          <w:lang w:val="en-US"/>
        </w:rPr>
        <w:t>does not represent an impediment for the Court to consider their joint violation.</w:t>
      </w:r>
    </w:p>
    <w:p w14:paraId="58622FC9" w14:textId="77777777" w:rsidR="000B6389" w:rsidRPr="00C9465D" w:rsidRDefault="000B6389" w:rsidP="00310778">
      <w:pPr>
        <w:tabs>
          <w:tab w:val="left" w:pos="709"/>
        </w:tabs>
        <w:spacing w:after="0" w:line="240" w:lineRule="auto"/>
        <w:jc w:val="both"/>
        <w:rPr>
          <w:rFonts w:ascii="Verdana" w:hAnsi="Verdana"/>
          <w:sz w:val="20"/>
          <w:szCs w:val="20"/>
          <w:lang w:val="en-US"/>
        </w:rPr>
      </w:pPr>
    </w:p>
    <w:p w14:paraId="271E3480" w14:textId="426A230C" w:rsidR="00F4157D" w:rsidRPr="00C9465D" w:rsidRDefault="00F4157D" w:rsidP="00310778">
      <w:pPr>
        <w:tabs>
          <w:tab w:val="left" w:pos="709"/>
        </w:tabs>
        <w:spacing w:after="0" w:line="240" w:lineRule="auto"/>
        <w:jc w:val="both"/>
        <w:rPr>
          <w:rFonts w:ascii="Verdana" w:hAnsi="Verdana"/>
          <w:sz w:val="20"/>
          <w:szCs w:val="20"/>
          <w:lang w:val="en-US"/>
        </w:rPr>
      </w:pPr>
      <w:r w:rsidRPr="00C9465D">
        <w:rPr>
          <w:rFonts w:ascii="Verdana" w:hAnsi="Verdana"/>
          <w:sz w:val="20"/>
          <w:szCs w:val="20"/>
          <w:lang w:val="en-US"/>
        </w:rPr>
        <w:t xml:space="preserve">9. </w:t>
      </w:r>
      <w:r w:rsidRPr="00C9465D">
        <w:rPr>
          <w:rFonts w:ascii="Verdana" w:hAnsi="Verdana"/>
          <w:sz w:val="20"/>
          <w:szCs w:val="20"/>
          <w:lang w:val="en-US"/>
        </w:rPr>
        <w:tab/>
      </w:r>
      <w:r w:rsidR="0020274B" w:rsidRPr="00C9465D">
        <w:rPr>
          <w:rFonts w:ascii="Verdana" w:hAnsi="Verdana"/>
          <w:sz w:val="20"/>
          <w:szCs w:val="20"/>
          <w:lang w:val="en-US"/>
        </w:rPr>
        <w:t xml:space="preserve">In the instant case, as indicated in the first operative paragraph, the Court has declared the violation of the rights to </w:t>
      </w:r>
      <w:r w:rsidR="00D12C0E" w:rsidRPr="00C9465D">
        <w:rPr>
          <w:rFonts w:ascii="Verdana" w:hAnsi="Verdana"/>
          <w:sz w:val="20"/>
          <w:szCs w:val="20"/>
          <w:lang w:val="en-US"/>
        </w:rPr>
        <w:t>recognition of juridical personality</w:t>
      </w:r>
      <w:r w:rsidRPr="00C9465D">
        <w:rPr>
          <w:rFonts w:ascii="Verdana" w:hAnsi="Verdana"/>
          <w:sz w:val="20"/>
          <w:szCs w:val="20"/>
          <w:lang w:val="en-US"/>
        </w:rPr>
        <w:t>,</w:t>
      </w:r>
      <w:r w:rsidR="00D12C0E" w:rsidRPr="00C9465D">
        <w:rPr>
          <w:rFonts w:ascii="Verdana" w:hAnsi="Verdana"/>
          <w:sz w:val="20"/>
          <w:szCs w:val="20"/>
          <w:lang w:val="en-US"/>
        </w:rPr>
        <w:t xml:space="preserve"> life</w:t>
      </w:r>
      <w:r w:rsidRPr="00C9465D">
        <w:rPr>
          <w:rFonts w:ascii="Verdana" w:hAnsi="Verdana"/>
          <w:sz w:val="20"/>
          <w:szCs w:val="20"/>
          <w:lang w:val="en-US"/>
        </w:rPr>
        <w:t xml:space="preserve">, </w:t>
      </w:r>
      <w:r w:rsidR="007B78F0" w:rsidRPr="00C9465D">
        <w:rPr>
          <w:rFonts w:ascii="Verdana" w:hAnsi="Verdana"/>
          <w:sz w:val="20"/>
          <w:szCs w:val="20"/>
          <w:lang w:val="en-US"/>
        </w:rPr>
        <w:t>personal integrity</w:t>
      </w:r>
      <w:r w:rsidRPr="00C9465D">
        <w:rPr>
          <w:rFonts w:ascii="Verdana" w:hAnsi="Verdana"/>
          <w:sz w:val="20"/>
          <w:szCs w:val="20"/>
          <w:lang w:val="en-US"/>
        </w:rPr>
        <w:t xml:space="preserve">, </w:t>
      </w:r>
      <w:r w:rsidR="00D12C0E" w:rsidRPr="00C9465D">
        <w:rPr>
          <w:rFonts w:ascii="Verdana" w:hAnsi="Verdana"/>
          <w:sz w:val="20"/>
          <w:szCs w:val="20"/>
          <w:lang w:val="en-US"/>
        </w:rPr>
        <w:t>personal liberty</w:t>
      </w:r>
      <w:r w:rsidRPr="00C9465D">
        <w:rPr>
          <w:rFonts w:ascii="Verdana" w:hAnsi="Verdana"/>
          <w:sz w:val="20"/>
          <w:szCs w:val="20"/>
          <w:lang w:val="en-US"/>
        </w:rPr>
        <w:t xml:space="preserve">, </w:t>
      </w:r>
      <w:r w:rsidR="00D12C0E" w:rsidRPr="00C9465D">
        <w:rPr>
          <w:rFonts w:ascii="Verdana" w:hAnsi="Verdana"/>
          <w:sz w:val="20"/>
          <w:szCs w:val="20"/>
          <w:lang w:val="en-US"/>
        </w:rPr>
        <w:t>dignity</w:t>
      </w:r>
      <w:r w:rsidRPr="00C9465D">
        <w:rPr>
          <w:rFonts w:ascii="Verdana" w:hAnsi="Verdana"/>
          <w:sz w:val="20"/>
          <w:szCs w:val="20"/>
          <w:lang w:val="en-US"/>
        </w:rPr>
        <w:t xml:space="preserve">, </w:t>
      </w:r>
      <w:r w:rsidR="00D12C0E" w:rsidRPr="00C9465D">
        <w:rPr>
          <w:rFonts w:ascii="Verdana" w:hAnsi="Verdana"/>
          <w:sz w:val="20"/>
          <w:szCs w:val="20"/>
          <w:lang w:val="en-US"/>
        </w:rPr>
        <w:t>access to information</w:t>
      </w:r>
      <w:r w:rsidRPr="00C9465D">
        <w:rPr>
          <w:rFonts w:ascii="Verdana" w:hAnsi="Verdana"/>
          <w:sz w:val="20"/>
          <w:szCs w:val="20"/>
          <w:lang w:val="en-US"/>
        </w:rPr>
        <w:t xml:space="preserve">, </w:t>
      </w:r>
      <w:r w:rsidR="0020274B" w:rsidRPr="00C9465D">
        <w:rPr>
          <w:rFonts w:ascii="Verdana" w:hAnsi="Verdana"/>
          <w:sz w:val="20"/>
          <w:szCs w:val="20"/>
          <w:lang w:val="en-US"/>
        </w:rPr>
        <w:t>equality</w:t>
      </w:r>
      <w:r w:rsidR="00193CBB" w:rsidRPr="00C9465D">
        <w:rPr>
          <w:rFonts w:ascii="Verdana" w:hAnsi="Verdana"/>
          <w:sz w:val="20"/>
          <w:szCs w:val="20"/>
          <w:lang w:val="en-US"/>
        </w:rPr>
        <w:t xml:space="preserve"> and </w:t>
      </w:r>
      <w:r w:rsidR="00D12C0E" w:rsidRPr="00C9465D">
        <w:rPr>
          <w:rFonts w:ascii="Verdana" w:hAnsi="Verdana"/>
          <w:sz w:val="20"/>
          <w:szCs w:val="20"/>
          <w:lang w:val="en-US"/>
        </w:rPr>
        <w:t>health</w:t>
      </w:r>
      <w:r w:rsidRPr="00C9465D">
        <w:rPr>
          <w:rFonts w:ascii="Verdana" w:hAnsi="Verdana"/>
          <w:sz w:val="20"/>
          <w:szCs w:val="20"/>
          <w:lang w:val="en-US"/>
        </w:rPr>
        <w:t xml:space="preserve">, </w:t>
      </w:r>
      <w:r w:rsidR="00F42E0C" w:rsidRPr="00C9465D">
        <w:rPr>
          <w:rFonts w:ascii="Verdana" w:hAnsi="Verdana"/>
          <w:sz w:val="20"/>
          <w:szCs w:val="20"/>
          <w:lang w:val="en-US"/>
        </w:rPr>
        <w:t>in accordance with</w:t>
      </w:r>
      <w:r w:rsidRPr="00C9465D">
        <w:rPr>
          <w:rFonts w:ascii="Verdana" w:hAnsi="Verdana"/>
          <w:sz w:val="20"/>
          <w:szCs w:val="20"/>
          <w:lang w:val="en-US"/>
        </w:rPr>
        <w:t xml:space="preserve"> </w:t>
      </w:r>
      <w:r w:rsidR="00193CBB" w:rsidRPr="00C9465D">
        <w:rPr>
          <w:rFonts w:ascii="Verdana" w:hAnsi="Verdana"/>
          <w:sz w:val="20"/>
          <w:szCs w:val="20"/>
          <w:lang w:val="en-US"/>
        </w:rPr>
        <w:t>Articles</w:t>
      </w:r>
      <w:r w:rsidRPr="00C9465D">
        <w:rPr>
          <w:rFonts w:ascii="Verdana" w:hAnsi="Verdana"/>
          <w:sz w:val="20"/>
          <w:szCs w:val="20"/>
          <w:lang w:val="en-US"/>
        </w:rPr>
        <w:t xml:space="preserve"> 3, 4, 5, 7, 11, 13, 24</w:t>
      </w:r>
      <w:r w:rsidR="00193CBB" w:rsidRPr="00C9465D">
        <w:rPr>
          <w:rFonts w:ascii="Verdana" w:hAnsi="Verdana"/>
          <w:sz w:val="20"/>
          <w:szCs w:val="20"/>
          <w:lang w:val="en-US"/>
        </w:rPr>
        <w:t xml:space="preserve"> and </w:t>
      </w:r>
      <w:r w:rsidRPr="00C9465D">
        <w:rPr>
          <w:rFonts w:ascii="Verdana" w:hAnsi="Verdana"/>
          <w:sz w:val="20"/>
          <w:szCs w:val="20"/>
          <w:lang w:val="en-US"/>
        </w:rPr>
        <w:t>26</w:t>
      </w:r>
      <w:r w:rsidR="00193CBB" w:rsidRPr="00C9465D">
        <w:rPr>
          <w:rFonts w:ascii="Verdana" w:hAnsi="Verdana"/>
          <w:sz w:val="20"/>
          <w:szCs w:val="20"/>
          <w:lang w:val="en-US"/>
        </w:rPr>
        <w:t xml:space="preserve"> of the Convention</w:t>
      </w:r>
      <w:r w:rsidRPr="00C9465D">
        <w:rPr>
          <w:rFonts w:ascii="Verdana" w:hAnsi="Verdana"/>
          <w:sz w:val="20"/>
          <w:szCs w:val="20"/>
          <w:lang w:val="en-US"/>
        </w:rPr>
        <w:t xml:space="preserve">, </w:t>
      </w:r>
      <w:r w:rsidR="00F42E0C" w:rsidRPr="00C9465D">
        <w:rPr>
          <w:rFonts w:ascii="Verdana" w:hAnsi="Verdana"/>
          <w:sz w:val="20"/>
          <w:szCs w:val="20"/>
          <w:lang w:val="en-US"/>
        </w:rPr>
        <w:t>in relation to Article</w:t>
      </w:r>
      <w:r w:rsidR="00577DE0" w:rsidRPr="00C9465D">
        <w:rPr>
          <w:rFonts w:ascii="Verdana" w:hAnsi="Verdana"/>
          <w:sz w:val="20"/>
          <w:szCs w:val="20"/>
          <w:lang w:val="en-US"/>
        </w:rPr>
        <w:t>s 1(1)</w:t>
      </w:r>
      <w:r w:rsidR="00193CBB" w:rsidRPr="00C9465D">
        <w:rPr>
          <w:rFonts w:ascii="Verdana" w:hAnsi="Verdana"/>
          <w:sz w:val="20"/>
          <w:szCs w:val="20"/>
          <w:lang w:val="en-US"/>
        </w:rPr>
        <w:t xml:space="preserve"> and </w:t>
      </w:r>
      <w:r w:rsidRPr="00C9465D">
        <w:rPr>
          <w:rFonts w:ascii="Verdana" w:hAnsi="Verdana"/>
          <w:sz w:val="20"/>
          <w:szCs w:val="20"/>
          <w:lang w:val="en-US"/>
        </w:rPr>
        <w:t xml:space="preserve">2 </w:t>
      </w:r>
      <w:r w:rsidR="0020274B" w:rsidRPr="00C9465D">
        <w:rPr>
          <w:rFonts w:ascii="Verdana" w:hAnsi="Verdana"/>
          <w:sz w:val="20"/>
          <w:szCs w:val="20"/>
          <w:lang w:val="en-US"/>
        </w:rPr>
        <w:t xml:space="preserve">of this instrument. I understand that, based on the conception that I have asserted in relation to the interpretation and application </w:t>
      </w:r>
      <w:r w:rsidR="00193CBB" w:rsidRPr="00C9465D">
        <w:rPr>
          <w:rFonts w:ascii="Verdana" w:hAnsi="Verdana"/>
          <w:sz w:val="20"/>
          <w:szCs w:val="20"/>
          <w:lang w:val="en-US"/>
        </w:rPr>
        <w:t>of the American Convention</w:t>
      </w:r>
      <w:r w:rsidRPr="00C9465D">
        <w:rPr>
          <w:rFonts w:ascii="Verdana" w:hAnsi="Verdana"/>
          <w:sz w:val="20"/>
          <w:szCs w:val="20"/>
          <w:lang w:val="en-US"/>
        </w:rPr>
        <w:t xml:space="preserve">, </w:t>
      </w:r>
      <w:r w:rsidR="00AC1354" w:rsidRPr="00C9465D">
        <w:rPr>
          <w:rFonts w:ascii="Verdana" w:hAnsi="Verdana"/>
          <w:sz w:val="20"/>
          <w:szCs w:val="20"/>
          <w:lang w:val="en-US"/>
        </w:rPr>
        <w:t>the right</w:t>
      </w:r>
      <w:r w:rsidR="00260D95" w:rsidRPr="00C9465D">
        <w:rPr>
          <w:rFonts w:ascii="Verdana" w:hAnsi="Verdana"/>
          <w:sz w:val="20"/>
          <w:szCs w:val="20"/>
          <w:lang w:val="en-US"/>
        </w:rPr>
        <w:t xml:space="preserve"> to health</w:t>
      </w:r>
      <w:r w:rsidRPr="00C9465D">
        <w:rPr>
          <w:rFonts w:ascii="Verdana" w:hAnsi="Verdana"/>
          <w:sz w:val="20"/>
          <w:szCs w:val="20"/>
          <w:lang w:val="en-US"/>
        </w:rPr>
        <w:t xml:space="preserve"> </w:t>
      </w:r>
      <w:r w:rsidR="0020274B" w:rsidRPr="00C9465D">
        <w:rPr>
          <w:rFonts w:ascii="Verdana" w:hAnsi="Verdana"/>
          <w:sz w:val="20"/>
          <w:szCs w:val="20"/>
          <w:lang w:val="en-US"/>
        </w:rPr>
        <w:t>i</w:t>
      </w:r>
      <w:r w:rsidRPr="00C9465D">
        <w:rPr>
          <w:rFonts w:ascii="Verdana" w:hAnsi="Verdana"/>
          <w:sz w:val="20"/>
          <w:szCs w:val="20"/>
          <w:lang w:val="en-US"/>
        </w:rPr>
        <w:t xml:space="preserve">s justiciable </w:t>
      </w:r>
      <w:r w:rsidR="0020274B" w:rsidRPr="00C9465D">
        <w:rPr>
          <w:rFonts w:ascii="Verdana" w:hAnsi="Verdana"/>
          <w:sz w:val="20"/>
          <w:szCs w:val="20"/>
          <w:lang w:val="en-US"/>
        </w:rPr>
        <w:t xml:space="preserve">in function of the coexistence of </w:t>
      </w:r>
      <w:r w:rsidR="00183C22" w:rsidRPr="00C9465D">
        <w:rPr>
          <w:rFonts w:ascii="Verdana" w:hAnsi="Verdana"/>
          <w:sz w:val="20"/>
          <w:szCs w:val="20"/>
          <w:lang w:val="en-US"/>
        </w:rPr>
        <w:t>the violation</w:t>
      </w:r>
      <w:r w:rsidRPr="00C9465D">
        <w:rPr>
          <w:rFonts w:ascii="Verdana" w:hAnsi="Verdana"/>
          <w:sz w:val="20"/>
          <w:szCs w:val="20"/>
          <w:lang w:val="en-US"/>
        </w:rPr>
        <w:t xml:space="preserve"> </w:t>
      </w:r>
      <w:r w:rsidR="0020274B" w:rsidRPr="00C9465D">
        <w:rPr>
          <w:rFonts w:ascii="Verdana" w:hAnsi="Verdana"/>
          <w:sz w:val="20"/>
          <w:szCs w:val="20"/>
          <w:lang w:val="en-US"/>
        </w:rPr>
        <w:t xml:space="preserve">of various rights of the Convention, without the need to resort to justifications based on an autonomous referral to Article 26 of the Convention. On this basis, the referral to </w:t>
      </w:r>
      <w:r w:rsidR="007A3CA5" w:rsidRPr="00C9465D">
        <w:rPr>
          <w:rFonts w:ascii="Verdana" w:hAnsi="Verdana"/>
          <w:sz w:val="20"/>
          <w:szCs w:val="20"/>
          <w:lang w:val="en-US"/>
        </w:rPr>
        <w:t>Article</w:t>
      </w:r>
      <w:r w:rsidRPr="00C9465D">
        <w:rPr>
          <w:rFonts w:ascii="Verdana" w:hAnsi="Verdana"/>
          <w:sz w:val="20"/>
          <w:szCs w:val="20"/>
          <w:lang w:val="en-US"/>
        </w:rPr>
        <w:t xml:space="preserve"> 26 </w:t>
      </w:r>
      <w:r w:rsidR="0020274B" w:rsidRPr="00C9465D">
        <w:rPr>
          <w:rFonts w:ascii="Verdana" w:hAnsi="Verdana"/>
          <w:sz w:val="20"/>
          <w:szCs w:val="20"/>
          <w:lang w:val="en-US"/>
        </w:rPr>
        <w:t>is, in my opinion, unnecessary or at least superfluous</w:t>
      </w:r>
      <w:r w:rsidRPr="00C9465D">
        <w:rPr>
          <w:rFonts w:ascii="Verdana" w:hAnsi="Verdana"/>
          <w:sz w:val="20"/>
          <w:szCs w:val="20"/>
          <w:lang w:val="en-US"/>
        </w:rPr>
        <w:t xml:space="preserve">. </w:t>
      </w:r>
    </w:p>
    <w:p w14:paraId="4FED6B5E" w14:textId="77777777" w:rsidR="000B6389" w:rsidRPr="00C9465D" w:rsidRDefault="000B6389" w:rsidP="00310778">
      <w:pPr>
        <w:tabs>
          <w:tab w:val="left" w:pos="709"/>
        </w:tabs>
        <w:spacing w:after="0" w:line="240" w:lineRule="auto"/>
        <w:jc w:val="both"/>
        <w:rPr>
          <w:rFonts w:ascii="Verdana" w:hAnsi="Verdana"/>
          <w:sz w:val="20"/>
          <w:szCs w:val="20"/>
          <w:lang w:val="en-US"/>
        </w:rPr>
      </w:pPr>
    </w:p>
    <w:p w14:paraId="4CD0DF4D" w14:textId="6236F41D" w:rsidR="00F4157D" w:rsidRPr="00C9465D" w:rsidRDefault="00F4157D" w:rsidP="00310778">
      <w:pPr>
        <w:pStyle w:val="Heading1"/>
        <w:numPr>
          <w:ilvl w:val="0"/>
          <w:numId w:val="23"/>
        </w:numPr>
        <w:spacing w:before="0" w:after="0"/>
        <w:ind w:left="0" w:firstLine="0"/>
        <w:rPr>
          <w:lang w:val="en-US"/>
        </w:rPr>
      </w:pPr>
      <w:r w:rsidRPr="00C9465D">
        <w:rPr>
          <w:lang w:val="en-US"/>
        </w:rPr>
        <w:t>INTERSEC</w:t>
      </w:r>
      <w:r w:rsidR="00D45309" w:rsidRPr="00C9465D">
        <w:rPr>
          <w:lang w:val="en-US"/>
        </w:rPr>
        <w:t>TIONALITY IN THE ANALYSIS OF INEQUALITY AND DISCRIMINATION</w:t>
      </w:r>
    </w:p>
    <w:p w14:paraId="503424B9" w14:textId="77777777" w:rsidR="000B6389" w:rsidRPr="00C9465D" w:rsidRDefault="000B6389" w:rsidP="00310778">
      <w:pPr>
        <w:tabs>
          <w:tab w:val="left" w:pos="709"/>
        </w:tabs>
        <w:spacing w:after="0" w:line="240" w:lineRule="auto"/>
        <w:jc w:val="both"/>
        <w:rPr>
          <w:rFonts w:ascii="Verdana" w:hAnsi="Verdana"/>
          <w:sz w:val="20"/>
          <w:szCs w:val="20"/>
          <w:lang w:val="en-US"/>
        </w:rPr>
      </w:pPr>
    </w:p>
    <w:p w14:paraId="04136DC9" w14:textId="4B5F5A61" w:rsidR="00F4157D" w:rsidRPr="00C9465D" w:rsidRDefault="00F4157D" w:rsidP="00310778">
      <w:pPr>
        <w:tabs>
          <w:tab w:val="left" w:pos="709"/>
        </w:tabs>
        <w:spacing w:after="0" w:line="240" w:lineRule="auto"/>
        <w:jc w:val="both"/>
        <w:rPr>
          <w:rFonts w:ascii="Verdana" w:hAnsi="Verdana"/>
          <w:sz w:val="20"/>
          <w:szCs w:val="20"/>
          <w:lang w:val="en-US"/>
        </w:rPr>
      </w:pPr>
      <w:r w:rsidRPr="00C9465D">
        <w:rPr>
          <w:rFonts w:ascii="Verdana" w:hAnsi="Verdana"/>
          <w:sz w:val="20"/>
          <w:szCs w:val="20"/>
          <w:lang w:val="en-US"/>
        </w:rPr>
        <w:t xml:space="preserve">10. </w:t>
      </w:r>
      <w:r w:rsidRPr="00C9465D">
        <w:rPr>
          <w:rFonts w:ascii="Verdana" w:hAnsi="Verdana"/>
          <w:sz w:val="20"/>
          <w:szCs w:val="20"/>
          <w:lang w:val="en-US"/>
        </w:rPr>
        <w:tab/>
      </w:r>
      <w:r w:rsidR="0020274B" w:rsidRPr="00C9465D">
        <w:rPr>
          <w:rFonts w:ascii="Verdana" w:hAnsi="Verdana"/>
          <w:sz w:val="20"/>
          <w:szCs w:val="20"/>
          <w:lang w:val="en-US"/>
        </w:rPr>
        <w:t xml:space="preserve">In this </w:t>
      </w:r>
      <w:r w:rsidR="00BE40CB" w:rsidRPr="00C9465D">
        <w:rPr>
          <w:rFonts w:ascii="Verdana" w:hAnsi="Verdana"/>
          <w:sz w:val="20"/>
          <w:szCs w:val="20"/>
          <w:lang w:val="en-US"/>
        </w:rPr>
        <w:t>section</w:t>
      </w:r>
      <w:r w:rsidR="0020274B" w:rsidRPr="00C9465D">
        <w:rPr>
          <w:rFonts w:ascii="Verdana" w:hAnsi="Verdana"/>
          <w:sz w:val="20"/>
          <w:szCs w:val="20"/>
          <w:lang w:val="en-US"/>
        </w:rPr>
        <w:t xml:space="preserve">, I will examine the concept of intersectionality, with special emphasis on </w:t>
      </w:r>
      <w:r w:rsidR="00F42C89" w:rsidRPr="00C9465D">
        <w:rPr>
          <w:rFonts w:ascii="Verdana" w:hAnsi="Verdana"/>
          <w:sz w:val="20"/>
          <w:szCs w:val="20"/>
          <w:lang w:val="en-US"/>
        </w:rPr>
        <w:t>mental health</w:t>
      </w:r>
      <w:r w:rsidRPr="00C9465D">
        <w:rPr>
          <w:rFonts w:ascii="Verdana" w:hAnsi="Verdana"/>
          <w:sz w:val="20"/>
          <w:szCs w:val="20"/>
          <w:lang w:val="en-US"/>
        </w:rPr>
        <w:t>,</w:t>
      </w:r>
      <w:r w:rsidR="00193CBB" w:rsidRPr="00C9465D">
        <w:rPr>
          <w:rFonts w:ascii="Verdana" w:hAnsi="Verdana"/>
          <w:sz w:val="20"/>
          <w:szCs w:val="20"/>
          <w:lang w:val="en-US"/>
        </w:rPr>
        <w:t xml:space="preserve"> and </w:t>
      </w:r>
      <w:r w:rsidR="0020274B" w:rsidRPr="00C9465D">
        <w:rPr>
          <w:rFonts w:ascii="Verdana" w:hAnsi="Verdana"/>
          <w:sz w:val="20"/>
          <w:szCs w:val="20"/>
          <w:lang w:val="en-US"/>
        </w:rPr>
        <w:t>the consequences of the intersectional approach.</w:t>
      </w:r>
    </w:p>
    <w:p w14:paraId="517B9088" w14:textId="77777777" w:rsidR="000B6389" w:rsidRPr="00C9465D" w:rsidRDefault="000B6389" w:rsidP="00310778">
      <w:pPr>
        <w:tabs>
          <w:tab w:val="left" w:pos="709"/>
        </w:tabs>
        <w:spacing w:after="0" w:line="240" w:lineRule="auto"/>
        <w:jc w:val="both"/>
        <w:rPr>
          <w:rFonts w:ascii="Verdana" w:hAnsi="Verdana"/>
          <w:sz w:val="20"/>
          <w:szCs w:val="20"/>
          <w:lang w:val="en-US"/>
        </w:rPr>
      </w:pPr>
    </w:p>
    <w:p w14:paraId="31EC6DA0" w14:textId="49EA80D6" w:rsidR="0020274B" w:rsidRPr="00C9465D" w:rsidRDefault="00F4157D" w:rsidP="00310778">
      <w:pPr>
        <w:tabs>
          <w:tab w:val="left" w:pos="709"/>
        </w:tabs>
        <w:spacing w:after="0" w:line="240" w:lineRule="auto"/>
        <w:jc w:val="both"/>
        <w:rPr>
          <w:rFonts w:ascii="Verdana" w:hAnsi="Verdana"/>
          <w:sz w:val="20"/>
          <w:szCs w:val="20"/>
          <w:lang w:val="en-US"/>
        </w:rPr>
      </w:pPr>
      <w:r w:rsidRPr="00C9465D">
        <w:rPr>
          <w:rFonts w:ascii="Verdana" w:hAnsi="Verdana"/>
          <w:sz w:val="20"/>
          <w:szCs w:val="20"/>
          <w:lang w:val="en-US"/>
        </w:rPr>
        <w:t xml:space="preserve">11. </w:t>
      </w:r>
      <w:r w:rsidRPr="00C9465D">
        <w:rPr>
          <w:rFonts w:ascii="Verdana" w:hAnsi="Verdana"/>
          <w:sz w:val="20"/>
          <w:szCs w:val="20"/>
          <w:lang w:val="en-US"/>
        </w:rPr>
        <w:tab/>
      </w:r>
      <w:r w:rsidR="0020274B" w:rsidRPr="00C9465D">
        <w:rPr>
          <w:rFonts w:ascii="Verdana" w:hAnsi="Verdana"/>
          <w:sz w:val="20"/>
          <w:szCs w:val="20"/>
          <w:lang w:val="en-US"/>
        </w:rPr>
        <w:t>The point of departure in this case is that Mr.</w:t>
      </w:r>
      <w:r w:rsidRPr="00C9465D">
        <w:rPr>
          <w:rFonts w:ascii="Verdana" w:hAnsi="Verdana"/>
          <w:sz w:val="20"/>
          <w:szCs w:val="20"/>
          <w:lang w:val="en-US"/>
        </w:rPr>
        <w:t xml:space="preserve"> Guachalá Chimb</w:t>
      </w:r>
      <w:r w:rsidR="00D8209E" w:rsidRPr="00C9465D">
        <w:rPr>
          <w:rFonts w:ascii="Verdana" w:hAnsi="Verdana"/>
          <w:sz w:val="20"/>
          <w:szCs w:val="20"/>
          <w:lang w:val="en-US"/>
        </w:rPr>
        <w:t>o</w:t>
      </w:r>
      <w:r w:rsidRPr="00C9465D">
        <w:rPr>
          <w:rFonts w:ascii="Verdana" w:hAnsi="Verdana"/>
          <w:sz w:val="20"/>
          <w:szCs w:val="20"/>
          <w:lang w:val="en-US"/>
        </w:rPr>
        <w:t xml:space="preserve"> </w:t>
      </w:r>
      <w:r w:rsidR="0020274B" w:rsidRPr="00C9465D">
        <w:rPr>
          <w:rFonts w:ascii="Verdana" w:hAnsi="Verdana"/>
          <w:sz w:val="20"/>
          <w:szCs w:val="20"/>
          <w:lang w:val="en-US"/>
        </w:rPr>
        <w:t>was born po</w:t>
      </w:r>
      <w:r w:rsidR="00CA6B4C" w:rsidRPr="00C9465D">
        <w:rPr>
          <w:rFonts w:ascii="Verdana" w:hAnsi="Verdana"/>
          <w:sz w:val="20"/>
          <w:szCs w:val="20"/>
          <w:lang w:val="en-US"/>
        </w:rPr>
        <w:t>o</w:t>
      </w:r>
      <w:r w:rsidR="0020274B" w:rsidRPr="00C9465D">
        <w:rPr>
          <w:rFonts w:ascii="Verdana" w:hAnsi="Verdana"/>
          <w:sz w:val="20"/>
          <w:szCs w:val="20"/>
          <w:lang w:val="en-US"/>
        </w:rPr>
        <w:t>r, suffer</w:t>
      </w:r>
      <w:r w:rsidR="00CA6B4C" w:rsidRPr="00C9465D">
        <w:rPr>
          <w:rFonts w:ascii="Verdana" w:hAnsi="Verdana"/>
          <w:sz w:val="20"/>
          <w:szCs w:val="20"/>
          <w:lang w:val="en-US"/>
        </w:rPr>
        <w:t>ed</w:t>
      </w:r>
      <w:r w:rsidR="0020274B" w:rsidRPr="00C9465D">
        <w:rPr>
          <w:rFonts w:ascii="Verdana" w:hAnsi="Verdana"/>
          <w:sz w:val="20"/>
          <w:szCs w:val="20"/>
          <w:lang w:val="en-US"/>
        </w:rPr>
        <w:t xml:space="preserve"> from epilepsy, an illness that requires special care and treatment, and the absence of treatment results in the need for psychiatric care.</w:t>
      </w:r>
    </w:p>
    <w:p w14:paraId="0980B314" w14:textId="77777777" w:rsidR="000B6389" w:rsidRPr="00C9465D" w:rsidRDefault="000B6389" w:rsidP="00310778">
      <w:pPr>
        <w:pStyle w:val="Numberedparagraphs"/>
        <w:numPr>
          <w:ilvl w:val="0"/>
          <w:numId w:val="0"/>
        </w:numPr>
        <w:spacing w:before="0" w:after="0"/>
        <w:rPr>
          <w:lang w:val="en-US"/>
        </w:rPr>
      </w:pPr>
    </w:p>
    <w:p w14:paraId="4309E0AB" w14:textId="445D7938" w:rsidR="00F4157D" w:rsidRPr="00C9465D" w:rsidRDefault="00F4157D" w:rsidP="00CA6B4C">
      <w:pPr>
        <w:pStyle w:val="Numberedparagraphs"/>
        <w:numPr>
          <w:ilvl w:val="0"/>
          <w:numId w:val="0"/>
        </w:numPr>
        <w:spacing w:before="0" w:after="0"/>
        <w:rPr>
          <w:lang w:val="en-US"/>
        </w:rPr>
      </w:pPr>
      <w:r w:rsidRPr="00C9465D">
        <w:rPr>
          <w:lang w:val="en-US"/>
        </w:rPr>
        <w:t>12.</w:t>
      </w:r>
      <w:r w:rsidRPr="00C9465D">
        <w:rPr>
          <w:lang w:val="en-US"/>
        </w:rPr>
        <w:tab/>
      </w:r>
      <w:r w:rsidR="0020274B" w:rsidRPr="00C9465D">
        <w:rPr>
          <w:lang w:val="en-US"/>
        </w:rPr>
        <w:t>Regarding the intersectionality of the factors of vulnerability, paragraph 91 of the judgment indicates that “in the case of Luis Eduardo Guachalá Chimb</w:t>
      </w:r>
      <w:r w:rsidR="00D8209E" w:rsidRPr="00C9465D">
        <w:rPr>
          <w:lang w:val="en-US"/>
        </w:rPr>
        <w:t>o</w:t>
      </w:r>
      <w:r w:rsidR="0020274B" w:rsidRPr="00C9465D">
        <w:rPr>
          <w:lang w:val="en-US"/>
        </w:rPr>
        <w:t>, if the diverse grounds for discrimination alleged in this case are verified, different factors of vulnerability or sources of discrimination associated with his condition as a person with disabilities and his financial situation – owing to the situation of extreme poverty in which he lived – had coalesced intersectionally. Thus, the Court stresses that the lack of financial resources may hinder or preclude access to the medical care required to prevent possible disabilities or to prevent or reduce the appearance of new disabilities. Based on the foregoing, the Court has indicated that the positive measures that States must take for persons with disabilities living in poverty include those necessary to prevent all forms of avoidable disabilities and to accord persons with disabilities preferential treatment appropriate to their condition.”</w:t>
      </w:r>
      <w:r w:rsidRPr="00C9465D">
        <w:rPr>
          <w:rStyle w:val="FootnoteReference"/>
          <w:i/>
          <w:lang w:val="en-US"/>
        </w:rPr>
        <w:footnoteReference w:id="492"/>
      </w:r>
      <w:r w:rsidRPr="00C9465D">
        <w:rPr>
          <w:lang w:val="en-US"/>
        </w:rPr>
        <w:t xml:space="preserve"> </w:t>
      </w:r>
      <w:r w:rsidR="0020274B" w:rsidRPr="00C9465D">
        <w:rPr>
          <w:lang w:val="en-US"/>
        </w:rPr>
        <w:t xml:space="preserve">From this we can see that the intersectional approach has an impact on the content and scope of the State’s obligations. </w:t>
      </w:r>
      <w:r w:rsidR="00310778" w:rsidRPr="00C9465D">
        <w:rPr>
          <w:lang w:val="en-US"/>
        </w:rPr>
        <w:t>To look further into this, I will now examine the concept of intersectionality and its consequences.</w:t>
      </w:r>
    </w:p>
    <w:p w14:paraId="5D48CD99" w14:textId="2B3D68FD" w:rsidR="007254F0" w:rsidRPr="00C9465D" w:rsidRDefault="00F4157D" w:rsidP="007254F0">
      <w:pPr>
        <w:pStyle w:val="PrrafodeSentencia"/>
        <w:widowControl w:val="0"/>
        <w:tabs>
          <w:tab w:val="clear" w:pos="567"/>
          <w:tab w:val="left" w:pos="0"/>
        </w:tabs>
        <w:adjustRightInd w:val="0"/>
        <w:spacing w:before="240"/>
        <w:textAlignment w:val="baseline"/>
        <w:rPr>
          <w:lang w:val="en-US"/>
        </w:rPr>
      </w:pPr>
      <w:r w:rsidRPr="00C9465D">
        <w:rPr>
          <w:szCs w:val="20"/>
          <w:lang w:val="en-US"/>
        </w:rPr>
        <w:t xml:space="preserve">13. </w:t>
      </w:r>
      <w:r w:rsidRPr="00C9465D">
        <w:rPr>
          <w:szCs w:val="20"/>
          <w:lang w:val="en-US"/>
        </w:rPr>
        <w:tab/>
      </w:r>
      <w:r w:rsidR="00E867FB" w:rsidRPr="00C9465D">
        <w:rPr>
          <w:szCs w:val="20"/>
          <w:lang w:val="en-US"/>
        </w:rPr>
        <w:t>As I mentioned in my</w:t>
      </w:r>
      <w:r w:rsidRPr="00C9465D">
        <w:rPr>
          <w:szCs w:val="20"/>
          <w:lang w:val="en-US"/>
        </w:rPr>
        <w:t xml:space="preserve"> </w:t>
      </w:r>
      <w:r w:rsidR="006D60F8" w:rsidRPr="00C9465D">
        <w:rPr>
          <w:szCs w:val="20"/>
          <w:lang w:val="en-US"/>
        </w:rPr>
        <w:t>concurring opinion</w:t>
      </w:r>
      <w:r w:rsidRPr="00C9465D">
        <w:rPr>
          <w:szCs w:val="20"/>
          <w:lang w:val="en-US"/>
        </w:rPr>
        <w:t xml:space="preserve"> </w:t>
      </w:r>
      <w:r w:rsidR="00CA6B4C" w:rsidRPr="00C9465D">
        <w:rPr>
          <w:szCs w:val="20"/>
          <w:lang w:val="en-US"/>
        </w:rPr>
        <w:t>with regard to</w:t>
      </w:r>
      <w:r w:rsidR="008F17CD" w:rsidRPr="00C9465D">
        <w:rPr>
          <w:szCs w:val="20"/>
          <w:lang w:val="en-US"/>
        </w:rPr>
        <w:t xml:space="preserve"> the judgment</w:t>
      </w:r>
      <w:r w:rsidRPr="00C9465D">
        <w:rPr>
          <w:szCs w:val="20"/>
          <w:lang w:val="en-US"/>
        </w:rPr>
        <w:t xml:space="preserve"> </w:t>
      </w:r>
      <w:r w:rsidR="00E867FB" w:rsidRPr="00C9465D">
        <w:rPr>
          <w:szCs w:val="20"/>
          <w:lang w:val="en-US"/>
        </w:rPr>
        <w:t xml:space="preserve">in the </w:t>
      </w:r>
      <w:r w:rsidR="00CA6B4C" w:rsidRPr="00C9465D">
        <w:rPr>
          <w:i/>
          <w:iCs/>
          <w:szCs w:val="20"/>
          <w:lang w:val="en-US"/>
        </w:rPr>
        <w:t>c</w:t>
      </w:r>
      <w:r w:rsidR="00E867FB" w:rsidRPr="00C9465D">
        <w:rPr>
          <w:i/>
          <w:iCs/>
          <w:szCs w:val="20"/>
          <w:lang w:val="en-US"/>
        </w:rPr>
        <w:t xml:space="preserve">ase of the Workers of the Fireworks Factory of Santo Antonio de Jesús and their families v. Brazil, </w:t>
      </w:r>
      <w:r w:rsidR="00E867FB" w:rsidRPr="00C9465D">
        <w:rPr>
          <w:szCs w:val="20"/>
          <w:lang w:val="en-US"/>
        </w:rPr>
        <w:t xml:space="preserve">I understand intersectionality as the confluence in a single person or group </w:t>
      </w:r>
      <w:r w:rsidR="00CA6B4C" w:rsidRPr="00C9465D">
        <w:rPr>
          <w:szCs w:val="20"/>
          <w:lang w:val="en-US"/>
        </w:rPr>
        <w:t xml:space="preserve">of </w:t>
      </w:r>
      <w:r w:rsidR="00E867FB" w:rsidRPr="00C9465D">
        <w:rPr>
          <w:szCs w:val="20"/>
          <w:lang w:val="en-US"/>
        </w:rPr>
        <w:t xml:space="preserve">persons, who are victims of discrimination, of the violation of different types of rights which makes them victims of augmented discrimination. </w:t>
      </w:r>
      <w:r w:rsidR="00C62B20" w:rsidRPr="00C9465D">
        <w:rPr>
          <w:szCs w:val="20"/>
          <w:lang w:val="en-US"/>
        </w:rPr>
        <w:t>In my opinion, t</w:t>
      </w:r>
      <w:r w:rsidR="00E867FB" w:rsidRPr="00C9465D">
        <w:rPr>
          <w:lang w:val="en-US"/>
        </w:rPr>
        <w:t>he confluence of multiple discriminations increases the devastating effects on the human dignity of the persons who suffer from them and result</w:t>
      </w:r>
      <w:r w:rsidR="00CA6B4C" w:rsidRPr="00C9465D">
        <w:rPr>
          <w:lang w:val="en-US"/>
        </w:rPr>
        <w:t>s</w:t>
      </w:r>
      <w:r w:rsidR="00E867FB" w:rsidRPr="00C9465D">
        <w:rPr>
          <w:lang w:val="en-US"/>
        </w:rPr>
        <w:t xml:space="preserve"> in a greater and more diverse violation of rights than when these discriminations are constituted in relation to a single right.</w:t>
      </w:r>
      <w:r w:rsidR="00C62B20" w:rsidRPr="00C9465D">
        <w:rPr>
          <w:lang w:val="en-US"/>
        </w:rPr>
        <w:t xml:space="preserve"> In this regard, intersectionality is constituted when</w:t>
      </w:r>
      <w:r w:rsidR="00CA6B4C" w:rsidRPr="00C9465D">
        <w:rPr>
          <w:lang w:val="en-US"/>
        </w:rPr>
        <w:t xml:space="preserve"> numerous vulnerabilities</w:t>
      </w:r>
      <w:r w:rsidR="00C62B20" w:rsidRPr="00C9465D">
        <w:rPr>
          <w:lang w:val="en-US"/>
        </w:rPr>
        <w:t xml:space="preserve"> coalesce </w:t>
      </w:r>
      <w:r w:rsidR="00CA6B4C" w:rsidRPr="00C9465D">
        <w:rPr>
          <w:lang w:val="en-US"/>
        </w:rPr>
        <w:t xml:space="preserve">in one person or group of persons, </w:t>
      </w:r>
      <w:r w:rsidR="00C62B20" w:rsidRPr="00C9465D">
        <w:rPr>
          <w:lang w:val="en-US"/>
        </w:rPr>
        <w:t xml:space="preserve">understood as a deprivation of rights that produces a more intense discrimination, aggravated by asymmetry in relation to the rest of society and due to the simultaneousness, which also allows a group </w:t>
      </w:r>
      <w:r w:rsidR="00C62B20" w:rsidRPr="00C9465D">
        <w:rPr>
          <w:lang w:val="en-US"/>
        </w:rPr>
        <w:lastRenderedPageBreak/>
        <w:t>or typology with special conditions of vulnerability to be identified.</w:t>
      </w:r>
    </w:p>
    <w:p w14:paraId="120BB98B" w14:textId="77777777" w:rsidR="007254F0" w:rsidRPr="00C9465D" w:rsidRDefault="007254F0" w:rsidP="004835AE">
      <w:pPr>
        <w:pStyle w:val="PrrafodeSentencia"/>
        <w:rPr>
          <w:szCs w:val="20"/>
          <w:lang w:val="en-US"/>
        </w:rPr>
      </w:pPr>
    </w:p>
    <w:p w14:paraId="2DFD98D9" w14:textId="44FA79AC" w:rsidR="004835AE" w:rsidRPr="00C9465D" w:rsidRDefault="00F4157D" w:rsidP="004835AE">
      <w:pPr>
        <w:pStyle w:val="PrrafodeSentencia"/>
        <w:rPr>
          <w:lang w:val="en-US"/>
        </w:rPr>
      </w:pPr>
      <w:r w:rsidRPr="00C9465D">
        <w:rPr>
          <w:szCs w:val="20"/>
          <w:lang w:val="en-US"/>
        </w:rPr>
        <w:t xml:space="preserve">14. </w:t>
      </w:r>
      <w:r w:rsidRPr="00C9465D">
        <w:rPr>
          <w:szCs w:val="20"/>
          <w:lang w:val="en-US"/>
        </w:rPr>
        <w:tab/>
      </w:r>
      <w:r w:rsidR="00C62B20" w:rsidRPr="00C9465D">
        <w:rPr>
          <w:szCs w:val="20"/>
          <w:lang w:val="en-US"/>
        </w:rPr>
        <w:t xml:space="preserve">The theory of intersectionality has usually been applied to examine two structures of power and discrimination: racism and sexism. </w:t>
      </w:r>
      <w:r w:rsidR="00C62B20" w:rsidRPr="00C9465D">
        <w:rPr>
          <w:lang w:val="en-US"/>
        </w:rPr>
        <w:t>The first person to address the concept of intersectionality was Kimberle Crenshaw when indicating that “black women encounter combined race and sex discrimination.” Thus, compared to a white woman or an Afro-descendant man, their situation may be similar or different, but involves greater vulnerability.</w:t>
      </w:r>
      <w:r w:rsidRPr="00C9465D">
        <w:rPr>
          <w:rStyle w:val="FootnoteReference"/>
          <w:szCs w:val="20"/>
          <w:lang w:val="en-US"/>
        </w:rPr>
        <w:footnoteReference w:id="493"/>
      </w:r>
      <w:r w:rsidR="00C62B20" w:rsidRPr="00C9465D">
        <w:rPr>
          <w:lang w:val="en-US"/>
        </w:rPr>
        <w:t xml:space="preserve"> She also developed its significance when designing and evaluating policies in order to avoid remedies focused on the acceptance of the predominant factor of discrimination that make the intersection of other factors of discrimination invisible.</w:t>
      </w:r>
      <w:r w:rsidRPr="00C9465D">
        <w:rPr>
          <w:rStyle w:val="FootnoteReference"/>
          <w:szCs w:val="20"/>
          <w:lang w:val="en-US"/>
        </w:rPr>
        <w:footnoteReference w:id="494"/>
      </w:r>
      <w:r w:rsidR="00C62B20" w:rsidRPr="00C9465D">
        <w:rPr>
          <w:lang w:val="en-US"/>
        </w:rPr>
        <w:t xml:space="preserve"> This concept has evolved </w:t>
      </w:r>
      <w:r w:rsidR="004835AE" w:rsidRPr="00C9465D">
        <w:rPr>
          <w:lang w:val="en-US"/>
        </w:rPr>
        <w:t xml:space="preserve">taking into account other factors of vulnerability, such as in the instant case in which </w:t>
      </w:r>
      <w:r w:rsidR="004835AE" w:rsidRPr="00C9465D">
        <w:rPr>
          <w:szCs w:val="20"/>
          <w:lang w:val="en-US"/>
        </w:rPr>
        <w:t xml:space="preserve">Mr. Guachalá is a person with disabilities </w:t>
      </w:r>
      <w:r w:rsidR="00CA6B4C" w:rsidRPr="00C9465D">
        <w:rPr>
          <w:szCs w:val="20"/>
          <w:lang w:val="en-US"/>
        </w:rPr>
        <w:t>who is</w:t>
      </w:r>
      <w:r w:rsidR="004835AE" w:rsidRPr="00C9465D">
        <w:rPr>
          <w:szCs w:val="20"/>
          <w:lang w:val="en-US"/>
        </w:rPr>
        <w:t xml:space="preserve"> </w:t>
      </w:r>
      <w:r w:rsidR="00CA6B4C" w:rsidRPr="00C9465D">
        <w:rPr>
          <w:szCs w:val="20"/>
          <w:lang w:val="en-US"/>
        </w:rPr>
        <w:t>in</w:t>
      </w:r>
      <w:r w:rsidR="004835AE" w:rsidRPr="00C9465D">
        <w:rPr>
          <w:szCs w:val="20"/>
          <w:lang w:val="en-US"/>
        </w:rPr>
        <w:t xml:space="preserve"> a vulnerable financial situation. Also, Mr. Guachalá </w:t>
      </w:r>
      <w:r w:rsidR="00CA6B4C" w:rsidRPr="00C9465D">
        <w:rPr>
          <w:szCs w:val="20"/>
          <w:lang w:val="en-US"/>
        </w:rPr>
        <w:t>was</w:t>
      </w:r>
      <w:r w:rsidR="004835AE" w:rsidRPr="00C9465D">
        <w:rPr>
          <w:szCs w:val="20"/>
          <w:lang w:val="en-US"/>
        </w:rPr>
        <w:t xml:space="preserve"> a young </w:t>
      </w:r>
      <w:r w:rsidR="00CA6B4C" w:rsidRPr="00C9465D">
        <w:rPr>
          <w:szCs w:val="20"/>
          <w:lang w:val="en-US"/>
        </w:rPr>
        <w:t>man</w:t>
      </w:r>
      <w:r w:rsidR="004835AE" w:rsidRPr="00C9465D">
        <w:rPr>
          <w:szCs w:val="20"/>
          <w:lang w:val="en-US"/>
        </w:rPr>
        <w:t xml:space="preserve"> suffering from a neurological disorder that ha</w:t>
      </w:r>
      <w:r w:rsidR="00CA6B4C" w:rsidRPr="00C9465D">
        <w:rPr>
          <w:szCs w:val="20"/>
          <w:lang w:val="en-US"/>
        </w:rPr>
        <w:t>d</w:t>
      </w:r>
      <w:r w:rsidR="004835AE" w:rsidRPr="00C9465D">
        <w:rPr>
          <w:szCs w:val="20"/>
          <w:lang w:val="en-US"/>
        </w:rPr>
        <w:t xml:space="preserve"> not been treated promptly or effectively owing to his condition of poverty, and this culminate</w:t>
      </w:r>
      <w:r w:rsidR="00CA6B4C" w:rsidRPr="00C9465D">
        <w:rPr>
          <w:szCs w:val="20"/>
          <w:lang w:val="en-US"/>
        </w:rPr>
        <w:t>d</w:t>
      </w:r>
      <w:r w:rsidR="004835AE" w:rsidRPr="00C9465D">
        <w:rPr>
          <w:szCs w:val="20"/>
          <w:lang w:val="en-US"/>
        </w:rPr>
        <w:t xml:space="preserve"> in his admittance to a psychiatric hospital and his disappearance up until the present time.</w:t>
      </w:r>
    </w:p>
    <w:p w14:paraId="3F79CA3F" w14:textId="77777777" w:rsidR="004835AE" w:rsidRPr="00C9465D" w:rsidRDefault="004835AE" w:rsidP="004835AE">
      <w:pPr>
        <w:pStyle w:val="PrrafodeSentencia"/>
        <w:tabs>
          <w:tab w:val="left" w:pos="709"/>
        </w:tabs>
        <w:rPr>
          <w:szCs w:val="20"/>
          <w:lang w:val="en-US"/>
        </w:rPr>
      </w:pPr>
    </w:p>
    <w:p w14:paraId="395EAE89" w14:textId="0C2D81DE" w:rsidR="004835AE" w:rsidRPr="00C9465D" w:rsidRDefault="00F4157D" w:rsidP="004835AE">
      <w:pPr>
        <w:pStyle w:val="PrrafodeSentencia"/>
        <w:tabs>
          <w:tab w:val="left" w:pos="709"/>
        </w:tabs>
        <w:rPr>
          <w:szCs w:val="20"/>
          <w:lang w:val="en-US"/>
        </w:rPr>
      </w:pPr>
      <w:r w:rsidRPr="00C9465D">
        <w:rPr>
          <w:szCs w:val="20"/>
          <w:lang w:val="en-US"/>
        </w:rPr>
        <w:t>15.</w:t>
      </w:r>
      <w:r w:rsidRPr="00C9465D">
        <w:rPr>
          <w:szCs w:val="20"/>
          <w:lang w:val="en-US"/>
        </w:rPr>
        <w:tab/>
      </w:r>
      <w:r w:rsidR="004835AE" w:rsidRPr="00C9465D">
        <w:rPr>
          <w:szCs w:val="20"/>
          <w:lang w:val="en-US"/>
        </w:rPr>
        <w:t>With regard to disabilities as a factor of intersecti</w:t>
      </w:r>
      <w:r w:rsidR="007254F0" w:rsidRPr="00C9465D">
        <w:rPr>
          <w:szCs w:val="20"/>
          <w:lang w:val="en-US"/>
        </w:rPr>
        <w:t>onal</w:t>
      </w:r>
      <w:r w:rsidR="004835AE" w:rsidRPr="00C9465D">
        <w:rPr>
          <w:szCs w:val="20"/>
          <w:lang w:val="en-US"/>
        </w:rPr>
        <w:t xml:space="preserve"> discrimination, in its General Comment No. 3, the</w:t>
      </w:r>
      <w:r w:rsidRPr="00C9465D">
        <w:rPr>
          <w:szCs w:val="20"/>
          <w:lang w:val="en-US"/>
        </w:rPr>
        <w:t xml:space="preserve"> </w:t>
      </w:r>
      <w:r w:rsidR="00813093" w:rsidRPr="00C9465D">
        <w:rPr>
          <w:szCs w:val="20"/>
          <w:lang w:val="en-US"/>
        </w:rPr>
        <w:t>Committee on the Rights of Persons with Disabilities</w:t>
      </w:r>
      <w:r w:rsidRPr="00C9465D">
        <w:rPr>
          <w:szCs w:val="20"/>
          <w:lang w:val="en-US"/>
        </w:rPr>
        <w:t xml:space="preserve"> </w:t>
      </w:r>
      <w:r w:rsidR="00260D95" w:rsidRPr="00C9465D">
        <w:rPr>
          <w:szCs w:val="20"/>
          <w:lang w:val="en-US"/>
        </w:rPr>
        <w:t>establishe</w:t>
      </w:r>
      <w:r w:rsidR="00CA6B4C" w:rsidRPr="00C9465D">
        <w:rPr>
          <w:szCs w:val="20"/>
          <w:lang w:val="en-US"/>
        </w:rPr>
        <w:t>d</w:t>
      </w:r>
      <w:r w:rsidRPr="00C9465D">
        <w:rPr>
          <w:szCs w:val="20"/>
          <w:lang w:val="en-US"/>
        </w:rPr>
        <w:t xml:space="preserve"> </w:t>
      </w:r>
      <w:r w:rsidR="004835AE" w:rsidRPr="00C9465D">
        <w:rPr>
          <w:szCs w:val="20"/>
          <w:lang w:val="en-US"/>
        </w:rPr>
        <w:t>that the</w:t>
      </w:r>
      <w:r w:rsidRPr="00C9465D">
        <w:rPr>
          <w:szCs w:val="20"/>
          <w:lang w:val="en-US"/>
        </w:rPr>
        <w:t xml:space="preserve"> </w:t>
      </w:r>
    </w:p>
    <w:p w14:paraId="3C738167" w14:textId="31D91BED" w:rsidR="00F4157D" w:rsidRPr="00C9465D" w:rsidRDefault="009F143D" w:rsidP="004835AE">
      <w:pPr>
        <w:pStyle w:val="PrrafodeSentencia"/>
        <w:tabs>
          <w:tab w:val="left" w:pos="709"/>
        </w:tabs>
        <w:rPr>
          <w:szCs w:val="20"/>
          <w:lang w:val="en-US"/>
        </w:rPr>
      </w:pPr>
      <w:r w:rsidRPr="00C9465D">
        <w:rPr>
          <w:szCs w:val="20"/>
          <w:lang w:val="en-US"/>
        </w:rPr>
        <w:t>“</w:t>
      </w:r>
      <w:r w:rsidR="004835AE" w:rsidRPr="00C9465D">
        <w:rPr>
          <w:lang w:val="en-US"/>
        </w:rPr>
        <w:t>concept of intersectional discrimination recognizes that individuals do not experience discrimination as members of a homogenous group but, rather, as individuals with multidimensional layers of identities, statuses and life circumstances. It acknowledges the lived realities and experiences of heightened disadvantage of individuals caused by multiple and intersecting forms of discrimination, which requires targeted measures to be taken with respect to disaggregated data collection, consultation, policymaking, the enforceability of non-discrimination policies and the provision of effective remedies</w:t>
      </w:r>
      <w:r w:rsidR="00F4157D" w:rsidRPr="00C9465D">
        <w:rPr>
          <w:i/>
          <w:szCs w:val="20"/>
          <w:lang w:val="en-US"/>
        </w:rPr>
        <w:t>.</w:t>
      </w:r>
      <w:r w:rsidRPr="00C9465D">
        <w:rPr>
          <w:szCs w:val="20"/>
          <w:lang w:val="en-US"/>
        </w:rPr>
        <w:t>”</w:t>
      </w:r>
      <w:r w:rsidR="00F4157D" w:rsidRPr="00C9465D">
        <w:rPr>
          <w:rStyle w:val="FootnoteReference"/>
          <w:szCs w:val="20"/>
          <w:lang w:val="en-US"/>
        </w:rPr>
        <w:footnoteReference w:id="495"/>
      </w:r>
    </w:p>
    <w:p w14:paraId="398BDB65" w14:textId="77777777" w:rsidR="004835AE" w:rsidRPr="00C9465D" w:rsidRDefault="004835AE" w:rsidP="004835AE">
      <w:pPr>
        <w:pStyle w:val="PrrafodeSentencia"/>
        <w:rPr>
          <w:szCs w:val="20"/>
          <w:lang w:val="en-US"/>
        </w:rPr>
      </w:pPr>
    </w:p>
    <w:p w14:paraId="36382CED" w14:textId="491391F7" w:rsidR="00F4157D" w:rsidRPr="00C9465D" w:rsidRDefault="00F4157D" w:rsidP="004835AE">
      <w:pPr>
        <w:pStyle w:val="PrrafodeSentencia"/>
        <w:rPr>
          <w:szCs w:val="20"/>
          <w:lang w:val="en-US"/>
        </w:rPr>
      </w:pPr>
      <w:r w:rsidRPr="00C9465D">
        <w:rPr>
          <w:szCs w:val="20"/>
          <w:lang w:val="en-US"/>
        </w:rPr>
        <w:t>16.</w:t>
      </w:r>
      <w:r w:rsidRPr="00C9465D">
        <w:rPr>
          <w:szCs w:val="20"/>
          <w:lang w:val="en-US"/>
        </w:rPr>
        <w:tab/>
      </w:r>
      <w:r w:rsidR="004835AE" w:rsidRPr="00C9465D">
        <w:rPr>
          <w:szCs w:val="20"/>
          <w:lang w:val="en-US"/>
        </w:rPr>
        <w:t xml:space="preserve">Regarding </w:t>
      </w:r>
      <w:r w:rsidR="007254F0" w:rsidRPr="00C9465D">
        <w:rPr>
          <w:szCs w:val="20"/>
          <w:lang w:val="en-US"/>
        </w:rPr>
        <w:t>the vulnerable financial situation as an aspect to be taken into account,</w:t>
      </w:r>
      <w:r w:rsidRPr="00C9465D">
        <w:rPr>
          <w:rStyle w:val="FootnoteReference"/>
          <w:szCs w:val="20"/>
          <w:lang w:val="en-US"/>
        </w:rPr>
        <w:footnoteReference w:id="496"/>
      </w:r>
      <w:r w:rsidRPr="00C9465D">
        <w:rPr>
          <w:szCs w:val="20"/>
          <w:lang w:val="en-US"/>
        </w:rPr>
        <w:t xml:space="preserve"> </w:t>
      </w:r>
      <w:r w:rsidR="00193CBB" w:rsidRPr="00C9465D">
        <w:rPr>
          <w:szCs w:val="20"/>
          <w:lang w:val="en-US"/>
        </w:rPr>
        <w:t>the Inter-American Commission on Human Rights</w:t>
      </w:r>
      <w:r w:rsidRPr="00C9465D">
        <w:rPr>
          <w:szCs w:val="20"/>
          <w:lang w:val="en-US"/>
        </w:rPr>
        <w:t xml:space="preserve"> </w:t>
      </w:r>
      <w:r w:rsidR="007254F0" w:rsidRPr="00C9465D">
        <w:rPr>
          <w:szCs w:val="20"/>
          <w:lang w:val="en-US"/>
        </w:rPr>
        <w:t xml:space="preserve">has referred to the differentiated impact of poverty as a factor of vulnerability that is </w:t>
      </w:r>
      <w:r w:rsidR="00CB0A32" w:rsidRPr="00C9465D">
        <w:rPr>
          <w:szCs w:val="20"/>
          <w:lang w:val="en-US"/>
        </w:rPr>
        <w:t>enhanced</w:t>
      </w:r>
      <w:r w:rsidR="007254F0" w:rsidRPr="00C9465D">
        <w:rPr>
          <w:szCs w:val="20"/>
          <w:lang w:val="en-US"/>
        </w:rPr>
        <w:t xml:space="preserve"> and increased when it is added to the vulnerabilities of certain groups in the population, such as </w:t>
      </w:r>
      <w:r w:rsidR="009F143D" w:rsidRPr="00C9465D">
        <w:rPr>
          <w:szCs w:val="20"/>
          <w:lang w:val="en-US"/>
        </w:rPr>
        <w:t>among</w:t>
      </w:r>
      <w:r w:rsidR="007254F0" w:rsidRPr="00C9465D">
        <w:rPr>
          <w:szCs w:val="20"/>
          <w:lang w:val="en-US"/>
        </w:rPr>
        <w:t xml:space="preserve"> women and </w:t>
      </w:r>
      <w:r w:rsidR="009F143D" w:rsidRPr="00C9465D">
        <w:rPr>
          <w:szCs w:val="20"/>
          <w:lang w:val="en-US"/>
        </w:rPr>
        <w:t>among</w:t>
      </w:r>
      <w:r w:rsidR="007254F0" w:rsidRPr="00C9465D">
        <w:rPr>
          <w:szCs w:val="20"/>
          <w:lang w:val="en-US"/>
        </w:rPr>
        <w:t xml:space="preserve"> children and adolescents.</w:t>
      </w:r>
    </w:p>
    <w:p w14:paraId="71232736" w14:textId="77777777" w:rsidR="004835AE" w:rsidRPr="00C9465D" w:rsidRDefault="004835AE" w:rsidP="004835AE">
      <w:pPr>
        <w:pStyle w:val="PrrafodeSentencia"/>
        <w:rPr>
          <w:szCs w:val="20"/>
          <w:lang w:val="en-US"/>
        </w:rPr>
      </w:pPr>
    </w:p>
    <w:p w14:paraId="24205824" w14:textId="60A6435C" w:rsidR="00F4157D" w:rsidRPr="00C9465D" w:rsidRDefault="00F4157D" w:rsidP="004835AE">
      <w:pPr>
        <w:pStyle w:val="PrrafodeSentencia"/>
        <w:rPr>
          <w:szCs w:val="20"/>
          <w:lang w:val="en-US"/>
        </w:rPr>
      </w:pPr>
      <w:r w:rsidRPr="00C9465D">
        <w:rPr>
          <w:szCs w:val="20"/>
          <w:lang w:val="en-US"/>
        </w:rPr>
        <w:t xml:space="preserve">17. </w:t>
      </w:r>
      <w:r w:rsidRPr="00C9465D">
        <w:rPr>
          <w:szCs w:val="20"/>
          <w:lang w:val="en-US"/>
        </w:rPr>
        <w:tab/>
      </w:r>
      <w:r w:rsidRPr="00C9465D">
        <w:rPr>
          <w:szCs w:val="20"/>
          <w:lang w:val="en-US"/>
        </w:rPr>
        <w:tab/>
      </w:r>
      <w:r w:rsidR="007254F0" w:rsidRPr="00C9465D">
        <w:rPr>
          <w:szCs w:val="20"/>
          <w:lang w:val="en-US"/>
        </w:rPr>
        <w:t>At the level of the universal system for the protection of human rights, added to what has been mentioned in the judgment, the United Nations High Commissioner for Human Rights, in his 2017 report to the Human Rights Council, referred to the impact of multiple and intersecting forms of discrimination and violence in the context of racism, racial discrimination, xenophobia and related intolerance emphasizing women and girls.</w:t>
      </w:r>
      <w:r w:rsidRPr="00C9465D">
        <w:rPr>
          <w:rStyle w:val="FootnoteReference"/>
          <w:szCs w:val="20"/>
          <w:lang w:val="en-US"/>
        </w:rPr>
        <w:footnoteReference w:id="497"/>
      </w:r>
    </w:p>
    <w:p w14:paraId="7470865C" w14:textId="77777777" w:rsidR="004835AE" w:rsidRPr="00C9465D" w:rsidRDefault="004835AE" w:rsidP="004835AE">
      <w:pPr>
        <w:spacing w:after="0" w:line="240" w:lineRule="auto"/>
        <w:jc w:val="both"/>
        <w:rPr>
          <w:rFonts w:ascii="Verdana" w:hAnsi="Verdana"/>
          <w:sz w:val="20"/>
          <w:szCs w:val="20"/>
          <w:lang w:val="en-US"/>
        </w:rPr>
      </w:pPr>
    </w:p>
    <w:p w14:paraId="07E220F8" w14:textId="48CF43AB" w:rsidR="00F4157D" w:rsidRPr="00C9465D" w:rsidRDefault="00F4157D" w:rsidP="004835AE">
      <w:pPr>
        <w:spacing w:after="0" w:line="240" w:lineRule="auto"/>
        <w:jc w:val="both"/>
        <w:rPr>
          <w:rFonts w:ascii="Verdana" w:hAnsi="Verdana"/>
          <w:sz w:val="20"/>
          <w:szCs w:val="20"/>
          <w:lang w:val="en-US"/>
        </w:rPr>
      </w:pPr>
      <w:r w:rsidRPr="00C9465D">
        <w:rPr>
          <w:rFonts w:ascii="Verdana" w:hAnsi="Verdana"/>
          <w:sz w:val="20"/>
          <w:szCs w:val="20"/>
          <w:lang w:val="en-US"/>
        </w:rPr>
        <w:t>18.</w:t>
      </w:r>
      <w:r w:rsidRPr="00C9465D">
        <w:rPr>
          <w:rFonts w:ascii="Verdana" w:hAnsi="Verdana"/>
          <w:sz w:val="20"/>
          <w:szCs w:val="20"/>
          <w:lang w:val="en-US"/>
        </w:rPr>
        <w:tab/>
      </w:r>
      <w:r w:rsidR="00CB0A32" w:rsidRPr="00C9465D">
        <w:rPr>
          <w:rFonts w:ascii="Verdana" w:hAnsi="Verdana"/>
          <w:sz w:val="20"/>
          <w:szCs w:val="20"/>
          <w:lang w:val="en-US"/>
        </w:rPr>
        <w:t xml:space="preserve">From a judicial perspective, the consequences of the intersectional approach include, above all: </w:t>
      </w:r>
      <w:r w:rsidRPr="00C9465D">
        <w:rPr>
          <w:rFonts w:ascii="Verdana" w:hAnsi="Verdana"/>
          <w:sz w:val="20"/>
          <w:szCs w:val="20"/>
          <w:lang w:val="en-US"/>
        </w:rPr>
        <w:t xml:space="preserve">(i) </w:t>
      </w:r>
      <w:r w:rsidR="00CB0A32" w:rsidRPr="00C9465D">
        <w:rPr>
          <w:rFonts w:ascii="Verdana" w:hAnsi="Verdana"/>
          <w:sz w:val="20"/>
          <w:szCs w:val="20"/>
          <w:lang w:val="en-US"/>
        </w:rPr>
        <w:t xml:space="preserve">the increased impact owing to the sum of vulnerabilities that is especially harmful in relation to persons or groups who are victims; </w:t>
      </w:r>
      <w:r w:rsidRPr="00C9465D">
        <w:rPr>
          <w:rFonts w:ascii="Verdana" w:hAnsi="Verdana"/>
          <w:sz w:val="20"/>
          <w:szCs w:val="20"/>
          <w:lang w:val="en-US"/>
        </w:rPr>
        <w:t xml:space="preserve">(ii) </w:t>
      </w:r>
      <w:r w:rsidR="00CB0A32" w:rsidRPr="00C9465D">
        <w:rPr>
          <w:rFonts w:ascii="Verdana" w:hAnsi="Verdana"/>
          <w:sz w:val="20"/>
          <w:szCs w:val="20"/>
          <w:lang w:val="en-US"/>
        </w:rPr>
        <w:t xml:space="preserve">the demand on the </w:t>
      </w:r>
      <w:r w:rsidR="00D8209E" w:rsidRPr="00C9465D">
        <w:rPr>
          <w:rFonts w:ascii="Verdana" w:hAnsi="Verdana"/>
          <w:sz w:val="20"/>
          <w:szCs w:val="20"/>
          <w:lang w:val="en-US"/>
        </w:rPr>
        <w:t>State</w:t>
      </w:r>
      <w:r w:rsidR="00CB0A32" w:rsidRPr="00C9465D">
        <w:rPr>
          <w:rFonts w:ascii="Verdana" w:hAnsi="Verdana"/>
          <w:sz w:val="20"/>
          <w:szCs w:val="20"/>
          <w:lang w:val="en-US"/>
        </w:rPr>
        <w:t xml:space="preserve"> for a complex action of prevention, in which each vulnerability must be considered individually, but jointly, </w:t>
      </w:r>
      <w:r w:rsidR="005A6367" w:rsidRPr="00C9465D">
        <w:rPr>
          <w:rFonts w:ascii="Verdana" w:hAnsi="Verdana"/>
          <w:sz w:val="20"/>
          <w:szCs w:val="20"/>
          <w:lang w:val="en-US"/>
        </w:rPr>
        <w:t xml:space="preserve">together with </w:t>
      </w:r>
      <w:r w:rsidR="00CB0A32" w:rsidRPr="00C9465D">
        <w:rPr>
          <w:rFonts w:ascii="Verdana" w:hAnsi="Verdana"/>
          <w:sz w:val="20"/>
          <w:szCs w:val="20"/>
          <w:lang w:val="en-US"/>
        </w:rPr>
        <w:t xml:space="preserve">specific actions to respond to the summation of vulnerabilities; </w:t>
      </w:r>
      <w:r w:rsidRPr="00C9465D">
        <w:rPr>
          <w:rFonts w:ascii="Verdana" w:hAnsi="Verdana"/>
          <w:sz w:val="20"/>
          <w:szCs w:val="20"/>
          <w:lang w:val="en-US"/>
        </w:rPr>
        <w:t xml:space="preserve">(iii) </w:t>
      </w:r>
      <w:r w:rsidR="00CB0A32" w:rsidRPr="00C9465D">
        <w:rPr>
          <w:rFonts w:ascii="Verdana" w:hAnsi="Verdana"/>
          <w:sz w:val="20"/>
          <w:szCs w:val="20"/>
          <w:lang w:val="en-US"/>
        </w:rPr>
        <w:t xml:space="preserve">the need for policies that include all the social, economic, health, </w:t>
      </w:r>
      <w:r w:rsidR="00CB0A32" w:rsidRPr="00C9465D">
        <w:rPr>
          <w:rFonts w:ascii="Verdana" w:hAnsi="Verdana"/>
          <w:sz w:val="20"/>
          <w:szCs w:val="20"/>
          <w:lang w:val="en-US"/>
        </w:rPr>
        <w:lastRenderedPageBreak/>
        <w:t xml:space="preserve">educational and other aspects to act on the consequences of intersectionality on the persons and groups affected. </w:t>
      </w:r>
    </w:p>
    <w:p w14:paraId="6D2B3AA9" w14:textId="77777777" w:rsidR="00CB0A32" w:rsidRPr="00C9465D" w:rsidRDefault="00CB0A32" w:rsidP="004835AE">
      <w:pPr>
        <w:spacing w:after="0" w:line="240" w:lineRule="auto"/>
        <w:jc w:val="both"/>
        <w:rPr>
          <w:rFonts w:ascii="Verdana" w:hAnsi="Verdana"/>
          <w:sz w:val="20"/>
          <w:szCs w:val="20"/>
          <w:lang w:val="en-US"/>
        </w:rPr>
      </w:pPr>
    </w:p>
    <w:p w14:paraId="09176CF0" w14:textId="6E2B7DB3" w:rsidR="00F4157D" w:rsidRPr="00C9465D" w:rsidRDefault="00F4157D" w:rsidP="00CB0A32">
      <w:pPr>
        <w:spacing w:after="0" w:line="240" w:lineRule="auto"/>
        <w:jc w:val="both"/>
        <w:rPr>
          <w:rFonts w:ascii="Verdana" w:hAnsi="Verdana"/>
          <w:iCs/>
          <w:sz w:val="20"/>
          <w:szCs w:val="20"/>
          <w:lang w:val="en-US"/>
        </w:rPr>
      </w:pPr>
      <w:r w:rsidRPr="00C9465D">
        <w:rPr>
          <w:rFonts w:ascii="Verdana" w:hAnsi="Verdana"/>
          <w:sz w:val="20"/>
          <w:szCs w:val="20"/>
          <w:lang w:val="en-US"/>
        </w:rPr>
        <w:t>19.</w:t>
      </w:r>
      <w:r w:rsidRPr="00C9465D">
        <w:rPr>
          <w:rFonts w:ascii="Verdana" w:hAnsi="Verdana"/>
          <w:sz w:val="20"/>
          <w:szCs w:val="20"/>
          <w:lang w:val="en-US"/>
        </w:rPr>
        <w:tab/>
      </w:r>
      <w:r w:rsidR="00CB0A32" w:rsidRPr="00C9465D">
        <w:rPr>
          <w:rFonts w:ascii="Verdana" w:hAnsi="Verdana"/>
          <w:sz w:val="20"/>
          <w:szCs w:val="20"/>
          <w:lang w:val="en-US"/>
        </w:rPr>
        <w:t xml:space="preserve">In the case of disabilities, policies must be developed based on the social </w:t>
      </w:r>
      <w:r w:rsidR="005A6367" w:rsidRPr="00C9465D">
        <w:rPr>
          <w:rFonts w:ascii="Verdana" w:hAnsi="Verdana"/>
          <w:sz w:val="20"/>
          <w:szCs w:val="20"/>
          <w:lang w:val="en-US"/>
        </w:rPr>
        <w:t xml:space="preserve">model of </w:t>
      </w:r>
      <w:r w:rsidR="00CB0A32" w:rsidRPr="00C9465D">
        <w:rPr>
          <w:rFonts w:ascii="Verdana" w:hAnsi="Verdana"/>
          <w:sz w:val="20"/>
          <w:szCs w:val="20"/>
          <w:lang w:val="en-US"/>
        </w:rPr>
        <w:t>disabilit</w:t>
      </w:r>
      <w:r w:rsidR="005A6367" w:rsidRPr="00C9465D">
        <w:rPr>
          <w:rFonts w:ascii="Verdana" w:hAnsi="Verdana"/>
          <w:sz w:val="20"/>
          <w:szCs w:val="20"/>
          <w:lang w:val="en-US"/>
        </w:rPr>
        <w:t>y</w:t>
      </w:r>
      <w:r w:rsidR="00CB0A32" w:rsidRPr="00C9465D">
        <w:rPr>
          <w:rFonts w:ascii="Verdana" w:hAnsi="Verdana"/>
          <w:sz w:val="20"/>
          <w:szCs w:val="20"/>
          <w:lang w:val="en-US"/>
        </w:rPr>
        <w:t xml:space="preserve">. This model </w:t>
      </w:r>
      <w:r w:rsidR="005A6367" w:rsidRPr="00C9465D">
        <w:rPr>
          <w:rFonts w:ascii="Verdana" w:hAnsi="Verdana"/>
          <w:sz w:val="20"/>
          <w:szCs w:val="20"/>
          <w:lang w:val="en-US"/>
        </w:rPr>
        <w:t>is based on</w:t>
      </w:r>
      <w:r w:rsidR="00CB0A32" w:rsidRPr="00C9465D">
        <w:rPr>
          <w:rFonts w:ascii="Verdana" w:hAnsi="Verdana"/>
          <w:sz w:val="20"/>
          <w:szCs w:val="20"/>
          <w:lang w:val="en-US"/>
        </w:rPr>
        <w:t xml:space="preserve"> the fact that the causes that originate disabilities are social and not individual and respond to the limitations of society to provide adequate services for the inclusion of </w:t>
      </w:r>
      <w:r w:rsidR="00D85850" w:rsidRPr="00C9465D">
        <w:rPr>
          <w:rFonts w:ascii="Verdana" w:hAnsi="Verdana"/>
          <w:sz w:val="20"/>
          <w:szCs w:val="20"/>
          <w:lang w:val="en-US"/>
        </w:rPr>
        <w:t>persons with disabilities</w:t>
      </w:r>
      <w:r w:rsidR="00CB0A32" w:rsidRPr="00C9465D">
        <w:rPr>
          <w:rFonts w:ascii="Verdana" w:hAnsi="Verdana"/>
          <w:sz w:val="20"/>
          <w:szCs w:val="20"/>
          <w:lang w:val="en-US"/>
        </w:rPr>
        <w:t>.</w:t>
      </w:r>
      <w:r w:rsidRPr="00C9465D">
        <w:rPr>
          <w:rStyle w:val="FootnoteReference"/>
          <w:rFonts w:ascii="Verdana" w:hAnsi="Verdana"/>
          <w:sz w:val="20"/>
          <w:szCs w:val="20"/>
          <w:lang w:val="en-US"/>
        </w:rPr>
        <w:footnoteReference w:id="498"/>
      </w:r>
      <w:r w:rsidR="00CB0A32" w:rsidRPr="00C9465D">
        <w:rPr>
          <w:rFonts w:ascii="Verdana" w:hAnsi="Verdana"/>
          <w:sz w:val="20"/>
          <w:szCs w:val="20"/>
          <w:lang w:val="en-US"/>
        </w:rPr>
        <w:t xml:space="preserve"> This social model of disabilit</w:t>
      </w:r>
      <w:r w:rsidR="005A6367" w:rsidRPr="00C9465D">
        <w:rPr>
          <w:rFonts w:ascii="Verdana" w:hAnsi="Verdana"/>
          <w:sz w:val="20"/>
          <w:szCs w:val="20"/>
          <w:lang w:val="en-US"/>
        </w:rPr>
        <w:t>y</w:t>
      </w:r>
      <w:r w:rsidR="00CB0A32" w:rsidRPr="00C9465D">
        <w:rPr>
          <w:rFonts w:ascii="Verdana" w:hAnsi="Verdana"/>
          <w:sz w:val="20"/>
          <w:szCs w:val="20"/>
          <w:lang w:val="en-US"/>
        </w:rPr>
        <w:t xml:space="preserve"> is revealed by the Convention on the Rights of Persons with Disabilities</w:t>
      </w:r>
      <w:r w:rsidR="00773CC1" w:rsidRPr="00C9465D">
        <w:rPr>
          <w:rFonts w:ascii="Verdana" w:hAnsi="Verdana"/>
          <w:sz w:val="20"/>
          <w:szCs w:val="20"/>
          <w:lang w:val="en-US"/>
        </w:rPr>
        <w:t>, because it does not create new rights, but rather its purpose is “to</w:t>
      </w:r>
      <w:r w:rsidR="00773CC1" w:rsidRPr="00C9465D">
        <w:rPr>
          <w:rFonts w:ascii="Verdana" w:hAnsi="Verdana"/>
          <w:color w:val="000000"/>
          <w:sz w:val="20"/>
          <w:szCs w:val="20"/>
          <w:shd w:val="clear" w:color="auto" w:fill="FFFFFF"/>
          <w:lang w:val="en-US"/>
        </w:rPr>
        <w:t xml:space="preserve"> promote, protect and ensure the full and equal enjoyment of all human rights and fundamental freedoms by all persons with disabilities, and to promote respect for their inherent dignity</w:t>
      </w:r>
      <w:r w:rsidRPr="00C9465D">
        <w:rPr>
          <w:rFonts w:ascii="Verdana" w:hAnsi="Verdana"/>
          <w:i/>
          <w:sz w:val="20"/>
          <w:szCs w:val="20"/>
          <w:lang w:val="en-US"/>
        </w:rPr>
        <w:t xml:space="preserve">" </w:t>
      </w:r>
      <w:r w:rsidRPr="00C9465D">
        <w:rPr>
          <w:rFonts w:ascii="Verdana" w:hAnsi="Verdana"/>
          <w:sz w:val="20"/>
          <w:szCs w:val="20"/>
          <w:lang w:val="en-US"/>
        </w:rPr>
        <w:t>(</w:t>
      </w:r>
      <w:r w:rsidR="00193CBB" w:rsidRPr="00C9465D">
        <w:rPr>
          <w:rFonts w:ascii="Verdana" w:hAnsi="Verdana"/>
          <w:sz w:val="20"/>
          <w:szCs w:val="20"/>
          <w:lang w:val="en-US"/>
        </w:rPr>
        <w:t>Article</w:t>
      </w:r>
      <w:r w:rsidRPr="00C9465D">
        <w:rPr>
          <w:rFonts w:ascii="Verdana" w:hAnsi="Verdana"/>
          <w:sz w:val="20"/>
          <w:szCs w:val="20"/>
          <w:lang w:val="en-US"/>
        </w:rPr>
        <w:t xml:space="preserve"> 1</w:t>
      </w:r>
      <w:r w:rsidR="00773CC1" w:rsidRPr="00C9465D">
        <w:rPr>
          <w:rFonts w:ascii="Verdana" w:hAnsi="Verdana"/>
          <w:sz w:val="20"/>
          <w:szCs w:val="20"/>
          <w:lang w:val="en-US"/>
        </w:rPr>
        <w:t>,</w:t>
      </w:r>
      <w:r w:rsidRPr="00C9465D">
        <w:rPr>
          <w:rFonts w:ascii="Verdana" w:hAnsi="Verdana"/>
          <w:sz w:val="20"/>
          <w:szCs w:val="20"/>
          <w:lang w:val="en-US"/>
        </w:rPr>
        <w:t xml:space="preserve"> </w:t>
      </w:r>
      <w:r w:rsidR="00593C0F" w:rsidRPr="00C9465D">
        <w:rPr>
          <w:rFonts w:ascii="Verdana" w:hAnsi="Verdana"/>
          <w:sz w:val="20"/>
          <w:szCs w:val="20"/>
          <w:lang w:val="en-US"/>
        </w:rPr>
        <w:t>CRPD</w:t>
      </w:r>
      <w:r w:rsidRPr="00C9465D">
        <w:rPr>
          <w:rFonts w:ascii="Verdana" w:hAnsi="Verdana"/>
          <w:sz w:val="20"/>
          <w:szCs w:val="20"/>
          <w:lang w:val="en-US"/>
        </w:rPr>
        <w:t xml:space="preserve">). </w:t>
      </w:r>
      <w:r w:rsidR="00773CC1" w:rsidRPr="00C9465D">
        <w:rPr>
          <w:rFonts w:ascii="Verdana" w:hAnsi="Verdana"/>
          <w:sz w:val="20"/>
          <w:szCs w:val="20"/>
          <w:lang w:val="en-US"/>
        </w:rPr>
        <w:t>Therefore, the purpose of the CRPD is to ensure</w:t>
      </w:r>
      <w:r w:rsidRPr="00C9465D">
        <w:rPr>
          <w:rFonts w:ascii="Verdana" w:hAnsi="Verdana"/>
          <w:sz w:val="20"/>
          <w:szCs w:val="20"/>
          <w:lang w:val="en-US"/>
        </w:rPr>
        <w:t xml:space="preserve"> </w:t>
      </w:r>
      <w:r w:rsidR="00773CC1" w:rsidRPr="00C9465D">
        <w:rPr>
          <w:rFonts w:ascii="Verdana" w:hAnsi="Verdana"/>
          <w:sz w:val="20"/>
          <w:szCs w:val="20"/>
          <w:lang w:val="en-US"/>
        </w:rPr>
        <w:t xml:space="preserve">the </w:t>
      </w:r>
      <w:r w:rsidR="00D12C0E" w:rsidRPr="00C9465D">
        <w:rPr>
          <w:rFonts w:ascii="Verdana" w:hAnsi="Verdana"/>
          <w:sz w:val="20"/>
          <w:szCs w:val="20"/>
          <w:lang w:val="en-US"/>
        </w:rPr>
        <w:t>non-discrimination</w:t>
      </w:r>
      <w:r w:rsidRPr="00C9465D">
        <w:rPr>
          <w:rFonts w:ascii="Verdana" w:hAnsi="Verdana"/>
          <w:sz w:val="20"/>
          <w:szCs w:val="20"/>
          <w:lang w:val="en-US"/>
        </w:rPr>
        <w:t xml:space="preserve"> </w:t>
      </w:r>
      <w:r w:rsidR="00773CC1" w:rsidRPr="00C9465D">
        <w:rPr>
          <w:rFonts w:ascii="Verdana" w:hAnsi="Verdana"/>
          <w:sz w:val="20"/>
          <w:szCs w:val="20"/>
          <w:lang w:val="en-US"/>
        </w:rPr>
        <w:t>of</w:t>
      </w:r>
      <w:r w:rsidRPr="00C9465D">
        <w:rPr>
          <w:rFonts w:ascii="Verdana" w:hAnsi="Verdana"/>
          <w:sz w:val="20"/>
          <w:szCs w:val="20"/>
          <w:lang w:val="en-US"/>
        </w:rPr>
        <w:t xml:space="preserve"> </w:t>
      </w:r>
      <w:r w:rsidR="00D85850" w:rsidRPr="00C9465D">
        <w:rPr>
          <w:rFonts w:ascii="Verdana" w:hAnsi="Verdana"/>
          <w:sz w:val="20"/>
          <w:szCs w:val="20"/>
          <w:lang w:val="en-US"/>
        </w:rPr>
        <w:t>persons with disabilities</w:t>
      </w:r>
      <w:r w:rsidRPr="00C9465D">
        <w:rPr>
          <w:rFonts w:ascii="Verdana" w:hAnsi="Verdana"/>
          <w:sz w:val="20"/>
          <w:szCs w:val="20"/>
          <w:lang w:val="en-US"/>
        </w:rPr>
        <w:t xml:space="preserve">. </w:t>
      </w:r>
      <w:r w:rsidR="00773CC1" w:rsidRPr="00C9465D">
        <w:rPr>
          <w:rFonts w:ascii="Verdana" w:hAnsi="Verdana"/>
          <w:sz w:val="20"/>
          <w:szCs w:val="20"/>
          <w:lang w:val="en-US"/>
        </w:rPr>
        <w:t>Also, article 11 of</w:t>
      </w:r>
      <w:r w:rsidRPr="00C9465D">
        <w:rPr>
          <w:rFonts w:ascii="Verdana" w:hAnsi="Verdana"/>
          <w:sz w:val="20"/>
          <w:szCs w:val="20"/>
          <w:lang w:val="en-US"/>
        </w:rPr>
        <w:t xml:space="preserve"> </w:t>
      </w:r>
      <w:r w:rsidR="00193CBB" w:rsidRPr="00C9465D">
        <w:rPr>
          <w:rFonts w:ascii="Verdana" w:hAnsi="Verdana"/>
          <w:sz w:val="20"/>
          <w:szCs w:val="20"/>
          <w:lang w:val="en-US"/>
        </w:rPr>
        <w:t xml:space="preserve">the </w:t>
      </w:r>
      <w:r w:rsidR="00D85850" w:rsidRPr="00C9465D">
        <w:rPr>
          <w:rFonts w:ascii="Verdana" w:hAnsi="Verdana"/>
          <w:sz w:val="20"/>
          <w:szCs w:val="20"/>
          <w:lang w:val="en-US"/>
        </w:rPr>
        <w:t>Inter-American Convention on the Elimination of All Forms of Discrimination against Persons with Disabilities</w:t>
      </w:r>
      <w:r w:rsidR="00773CC1" w:rsidRPr="00C9465D">
        <w:rPr>
          <w:rFonts w:ascii="Verdana" w:hAnsi="Verdana"/>
          <w:sz w:val="20"/>
          <w:szCs w:val="20"/>
          <w:lang w:val="en-US"/>
        </w:rPr>
        <w:t xml:space="preserve"> defines its objectives as</w:t>
      </w:r>
      <w:r w:rsidRPr="00C9465D">
        <w:rPr>
          <w:rFonts w:ascii="Verdana" w:hAnsi="Verdana"/>
          <w:sz w:val="20"/>
          <w:szCs w:val="20"/>
          <w:lang w:val="en-US"/>
        </w:rPr>
        <w:t xml:space="preserve"> </w:t>
      </w:r>
      <w:r w:rsidRPr="00C9465D">
        <w:rPr>
          <w:rFonts w:ascii="Verdana" w:hAnsi="Verdana"/>
          <w:i/>
          <w:sz w:val="20"/>
          <w:szCs w:val="20"/>
          <w:lang w:val="en-US"/>
        </w:rPr>
        <w:t>“</w:t>
      </w:r>
      <w:r w:rsidR="00773CC1" w:rsidRPr="00C9465D">
        <w:rPr>
          <w:rFonts w:ascii="Verdana" w:hAnsi="Verdana" w:cs="Tahoma"/>
          <w:color w:val="000000"/>
          <w:sz w:val="20"/>
          <w:szCs w:val="20"/>
          <w:lang w:val="en-US"/>
        </w:rPr>
        <w:t>to prevent and eliminate all forms of discrimination against persons with disabilities and to promote their full integration into society.</w:t>
      </w:r>
      <w:r w:rsidRPr="00C9465D">
        <w:rPr>
          <w:rFonts w:ascii="Verdana" w:hAnsi="Verdana"/>
          <w:iCs/>
          <w:sz w:val="20"/>
          <w:szCs w:val="20"/>
          <w:lang w:val="en-US"/>
        </w:rPr>
        <w:t>”</w:t>
      </w:r>
    </w:p>
    <w:p w14:paraId="1266BC66" w14:textId="77777777" w:rsidR="00773CC1" w:rsidRPr="00C9465D" w:rsidRDefault="00773CC1" w:rsidP="00CB0A32">
      <w:pPr>
        <w:spacing w:after="0" w:line="240" w:lineRule="auto"/>
        <w:jc w:val="both"/>
        <w:rPr>
          <w:rFonts w:ascii="Verdana" w:hAnsi="Verdana"/>
          <w:sz w:val="20"/>
          <w:szCs w:val="20"/>
          <w:lang w:val="en-US"/>
        </w:rPr>
      </w:pPr>
    </w:p>
    <w:p w14:paraId="62BAF86B" w14:textId="39B9BCF5" w:rsidR="00F4157D" w:rsidRPr="00C9465D" w:rsidRDefault="00491E2E" w:rsidP="00D47F8D">
      <w:pPr>
        <w:pStyle w:val="ListParagraph"/>
        <w:numPr>
          <w:ilvl w:val="0"/>
          <w:numId w:val="23"/>
        </w:numPr>
        <w:spacing w:after="200" w:line="240" w:lineRule="auto"/>
        <w:jc w:val="left"/>
        <w:rPr>
          <w:b/>
          <w:lang w:val="en-US"/>
        </w:rPr>
      </w:pPr>
      <w:r w:rsidRPr="00C9465D">
        <w:rPr>
          <w:b/>
          <w:lang w:val="en-US"/>
        </w:rPr>
        <w:t>THE CASE OF</w:t>
      </w:r>
      <w:r w:rsidR="00F4157D" w:rsidRPr="00C9465D">
        <w:rPr>
          <w:b/>
          <w:lang w:val="en-US"/>
        </w:rPr>
        <w:t xml:space="preserve"> </w:t>
      </w:r>
      <w:r w:rsidR="005A6367" w:rsidRPr="00C9465D">
        <w:rPr>
          <w:b/>
          <w:lang w:val="en-US"/>
        </w:rPr>
        <w:t xml:space="preserve">MR. </w:t>
      </w:r>
      <w:r w:rsidR="00F4157D" w:rsidRPr="00C9465D">
        <w:rPr>
          <w:b/>
          <w:lang w:val="en-US"/>
        </w:rPr>
        <w:t>GUACHALÁ CHIMBÓ</w:t>
      </w:r>
      <w:r w:rsidR="00193CBB" w:rsidRPr="00C9465D">
        <w:rPr>
          <w:b/>
          <w:lang w:val="en-US"/>
        </w:rPr>
        <w:t xml:space="preserve"> </w:t>
      </w:r>
      <w:r w:rsidRPr="00C9465D">
        <w:rPr>
          <w:b/>
          <w:lang w:val="en-US"/>
        </w:rPr>
        <w:t>AND EVENTS DURING HIS HOSPITALIZATION</w:t>
      </w:r>
    </w:p>
    <w:p w14:paraId="65DA7F8E" w14:textId="19A25A73" w:rsidR="00773CC1" w:rsidRPr="00C9465D" w:rsidRDefault="00F4157D" w:rsidP="00F4157D">
      <w:pPr>
        <w:spacing w:line="240" w:lineRule="auto"/>
        <w:jc w:val="both"/>
        <w:rPr>
          <w:rFonts w:ascii="Verdana" w:hAnsi="Verdana"/>
          <w:sz w:val="20"/>
          <w:szCs w:val="20"/>
          <w:lang w:val="en-US"/>
        </w:rPr>
      </w:pPr>
      <w:r w:rsidRPr="00C9465D">
        <w:rPr>
          <w:rFonts w:ascii="Verdana" w:hAnsi="Verdana"/>
          <w:sz w:val="20"/>
          <w:szCs w:val="20"/>
          <w:lang w:val="en-US"/>
        </w:rPr>
        <w:t>20.</w:t>
      </w:r>
      <w:r w:rsidRPr="00C9465D">
        <w:rPr>
          <w:rFonts w:ascii="Verdana" w:hAnsi="Verdana"/>
          <w:sz w:val="20"/>
          <w:szCs w:val="20"/>
          <w:lang w:val="en-US"/>
        </w:rPr>
        <w:tab/>
      </w:r>
      <w:r w:rsidR="00773CC1" w:rsidRPr="00C9465D">
        <w:rPr>
          <w:rFonts w:ascii="Verdana" w:hAnsi="Verdana"/>
          <w:sz w:val="20"/>
          <w:szCs w:val="20"/>
          <w:lang w:val="en-US"/>
        </w:rPr>
        <w:t>One of the particularities of this case relates to the absence of Mr. Guachalá’s consent at the time of his last hospitalization. The absence of adequate records and of a thorough investigation give rise to well-founded doubts about his treatment as a person that the hospital consider</w:t>
      </w:r>
      <w:r w:rsidR="005A6367" w:rsidRPr="00C9465D">
        <w:rPr>
          <w:rFonts w:ascii="Verdana" w:hAnsi="Verdana"/>
          <w:sz w:val="20"/>
          <w:szCs w:val="20"/>
          <w:lang w:val="en-US"/>
        </w:rPr>
        <w:t>ed</w:t>
      </w:r>
      <w:r w:rsidR="00773CC1" w:rsidRPr="00C9465D">
        <w:rPr>
          <w:rFonts w:ascii="Verdana" w:hAnsi="Verdana"/>
          <w:sz w:val="20"/>
          <w:szCs w:val="20"/>
          <w:lang w:val="en-US"/>
        </w:rPr>
        <w:t xml:space="preserve"> to be suffering from</w:t>
      </w:r>
      <w:r w:rsidR="005A6367" w:rsidRPr="00C9465D">
        <w:rPr>
          <w:rFonts w:ascii="Verdana" w:hAnsi="Verdana"/>
          <w:sz w:val="20"/>
          <w:szCs w:val="20"/>
          <w:lang w:val="en-US"/>
        </w:rPr>
        <w:t xml:space="preserve"> a</w:t>
      </w:r>
      <w:r w:rsidR="00773CC1" w:rsidRPr="00C9465D">
        <w:rPr>
          <w:rFonts w:ascii="Verdana" w:hAnsi="Verdana"/>
          <w:sz w:val="20"/>
          <w:szCs w:val="20"/>
          <w:lang w:val="en-US"/>
        </w:rPr>
        <w:t xml:space="preserve"> disabilit</w:t>
      </w:r>
      <w:r w:rsidR="005A6367" w:rsidRPr="00C9465D">
        <w:rPr>
          <w:rFonts w:ascii="Verdana" w:hAnsi="Verdana"/>
          <w:sz w:val="20"/>
          <w:szCs w:val="20"/>
          <w:lang w:val="en-US"/>
        </w:rPr>
        <w:t>y</w:t>
      </w:r>
      <w:r w:rsidR="00773CC1" w:rsidRPr="00C9465D">
        <w:rPr>
          <w:rFonts w:ascii="Verdana" w:hAnsi="Verdana"/>
          <w:sz w:val="20"/>
          <w:szCs w:val="20"/>
          <w:lang w:val="en-US"/>
        </w:rPr>
        <w:t>, and the consequences of the hospitalization that resulted in his disappearance.</w:t>
      </w:r>
    </w:p>
    <w:p w14:paraId="58E53270" w14:textId="7799A30A" w:rsidR="00F4157D" w:rsidRPr="00C9465D" w:rsidRDefault="00F4157D" w:rsidP="00F4157D">
      <w:pPr>
        <w:spacing w:line="240" w:lineRule="auto"/>
        <w:jc w:val="both"/>
        <w:rPr>
          <w:rFonts w:ascii="Verdana" w:hAnsi="Verdana"/>
          <w:sz w:val="20"/>
          <w:szCs w:val="20"/>
          <w:lang w:val="en-US"/>
        </w:rPr>
      </w:pPr>
      <w:r w:rsidRPr="00C9465D">
        <w:rPr>
          <w:rFonts w:ascii="Verdana" w:hAnsi="Verdana"/>
          <w:sz w:val="20"/>
          <w:szCs w:val="20"/>
          <w:lang w:val="en-US"/>
        </w:rPr>
        <w:t>21.</w:t>
      </w:r>
      <w:r w:rsidRPr="00C9465D">
        <w:rPr>
          <w:rFonts w:ascii="Verdana" w:hAnsi="Verdana"/>
          <w:sz w:val="20"/>
          <w:szCs w:val="20"/>
          <w:lang w:val="en-US"/>
        </w:rPr>
        <w:tab/>
      </w:r>
      <w:r w:rsidR="00773CC1" w:rsidRPr="00C9465D">
        <w:rPr>
          <w:rFonts w:ascii="Verdana" w:hAnsi="Verdana"/>
          <w:sz w:val="20"/>
          <w:szCs w:val="20"/>
          <w:lang w:val="en-US"/>
        </w:rPr>
        <w:t xml:space="preserve">In this regard, aspects that should be taken into account include: </w:t>
      </w:r>
      <w:r w:rsidRPr="00C9465D">
        <w:rPr>
          <w:rFonts w:ascii="Verdana" w:hAnsi="Verdana"/>
          <w:sz w:val="20"/>
          <w:szCs w:val="20"/>
          <w:lang w:val="en-US"/>
        </w:rPr>
        <w:t xml:space="preserve">(1) </w:t>
      </w:r>
      <w:r w:rsidR="00773CC1" w:rsidRPr="00C9465D">
        <w:rPr>
          <w:rFonts w:ascii="Verdana" w:hAnsi="Verdana"/>
          <w:sz w:val="20"/>
          <w:szCs w:val="20"/>
          <w:lang w:val="en-US"/>
        </w:rPr>
        <w:t xml:space="preserve">epilepsy is not a psychiatric illness; </w:t>
      </w:r>
      <w:r w:rsidRPr="00C9465D">
        <w:rPr>
          <w:rFonts w:ascii="Verdana" w:hAnsi="Verdana"/>
          <w:sz w:val="20"/>
          <w:szCs w:val="20"/>
          <w:lang w:val="en-US"/>
        </w:rPr>
        <w:t xml:space="preserve">(2) </w:t>
      </w:r>
      <w:r w:rsidR="00773CC1" w:rsidRPr="00C9465D">
        <w:rPr>
          <w:rFonts w:ascii="Verdana" w:hAnsi="Verdana"/>
          <w:sz w:val="20"/>
          <w:szCs w:val="20"/>
          <w:lang w:val="en-US"/>
        </w:rPr>
        <w:t xml:space="preserve">this was not a voluntary hospitalization because </w:t>
      </w:r>
      <w:r w:rsidR="004835AE" w:rsidRPr="00C9465D">
        <w:rPr>
          <w:rFonts w:ascii="Verdana" w:hAnsi="Verdana"/>
          <w:sz w:val="20"/>
          <w:szCs w:val="20"/>
          <w:lang w:val="en-US"/>
        </w:rPr>
        <w:t>Mr. Guachalá</w:t>
      </w:r>
      <w:r w:rsidR="00773CC1" w:rsidRPr="00C9465D">
        <w:rPr>
          <w:rFonts w:ascii="Verdana" w:hAnsi="Verdana"/>
          <w:sz w:val="20"/>
          <w:szCs w:val="20"/>
          <w:lang w:val="en-US"/>
        </w:rPr>
        <w:t>’s consent was not obtained</w:t>
      </w:r>
      <w:r w:rsidRPr="00C9465D">
        <w:rPr>
          <w:rFonts w:ascii="Verdana" w:hAnsi="Verdana"/>
          <w:sz w:val="20"/>
          <w:szCs w:val="20"/>
          <w:lang w:val="en-US"/>
        </w:rPr>
        <w:t>,</w:t>
      </w:r>
      <w:r w:rsidR="00193CBB" w:rsidRPr="00C9465D">
        <w:rPr>
          <w:rFonts w:ascii="Verdana" w:hAnsi="Verdana"/>
          <w:sz w:val="20"/>
          <w:szCs w:val="20"/>
          <w:lang w:val="en-US"/>
        </w:rPr>
        <w:t xml:space="preserve"> and </w:t>
      </w:r>
      <w:r w:rsidRPr="00C9465D">
        <w:rPr>
          <w:rFonts w:ascii="Verdana" w:hAnsi="Verdana"/>
          <w:sz w:val="20"/>
          <w:szCs w:val="20"/>
          <w:lang w:val="en-US"/>
        </w:rPr>
        <w:t xml:space="preserve">(3) </w:t>
      </w:r>
      <w:r w:rsidR="00773CC1" w:rsidRPr="00C9465D">
        <w:rPr>
          <w:rFonts w:ascii="Verdana" w:hAnsi="Verdana"/>
          <w:sz w:val="20"/>
          <w:szCs w:val="20"/>
          <w:lang w:val="en-US"/>
        </w:rPr>
        <w:t xml:space="preserve">the reason for </w:t>
      </w:r>
      <w:r w:rsidR="004835AE" w:rsidRPr="00C9465D">
        <w:rPr>
          <w:rFonts w:ascii="Verdana" w:hAnsi="Verdana"/>
          <w:sz w:val="20"/>
          <w:szCs w:val="20"/>
          <w:lang w:val="en-US"/>
        </w:rPr>
        <w:t>Mr. Guachalá</w:t>
      </w:r>
      <w:r w:rsidR="005A6367" w:rsidRPr="00C9465D">
        <w:rPr>
          <w:rFonts w:ascii="Verdana" w:hAnsi="Verdana"/>
          <w:sz w:val="20"/>
          <w:szCs w:val="20"/>
          <w:lang w:val="en-US"/>
        </w:rPr>
        <w:t>’s second hospitalization</w:t>
      </w:r>
      <w:r w:rsidR="00773CC1" w:rsidRPr="00C9465D">
        <w:rPr>
          <w:rFonts w:ascii="Verdana" w:hAnsi="Verdana"/>
          <w:sz w:val="20"/>
          <w:szCs w:val="20"/>
          <w:lang w:val="en-US"/>
        </w:rPr>
        <w:t xml:space="preserve"> is unclear</w:t>
      </w:r>
      <w:r w:rsidRPr="00C9465D">
        <w:rPr>
          <w:rFonts w:ascii="Verdana" w:hAnsi="Verdana"/>
          <w:sz w:val="20"/>
          <w:szCs w:val="20"/>
          <w:lang w:val="en-US"/>
        </w:rPr>
        <w:t xml:space="preserve">. </w:t>
      </w:r>
    </w:p>
    <w:p w14:paraId="7C870157" w14:textId="058CC424" w:rsidR="00A82CBA" w:rsidRPr="00C9465D" w:rsidRDefault="00F4157D" w:rsidP="00F4157D">
      <w:pPr>
        <w:spacing w:line="240" w:lineRule="auto"/>
        <w:jc w:val="both"/>
        <w:rPr>
          <w:rFonts w:ascii="Verdana" w:hAnsi="Verdana"/>
          <w:sz w:val="20"/>
          <w:szCs w:val="20"/>
          <w:lang w:val="en-US"/>
        </w:rPr>
      </w:pPr>
      <w:r w:rsidRPr="00C9465D">
        <w:rPr>
          <w:rFonts w:ascii="Verdana" w:hAnsi="Verdana"/>
          <w:sz w:val="20"/>
          <w:szCs w:val="20"/>
          <w:lang w:val="en-US"/>
        </w:rPr>
        <w:t xml:space="preserve">22. </w:t>
      </w:r>
      <w:r w:rsidRPr="00C9465D">
        <w:rPr>
          <w:rFonts w:ascii="Verdana" w:hAnsi="Verdana"/>
          <w:sz w:val="20"/>
          <w:szCs w:val="20"/>
          <w:lang w:val="en-US"/>
        </w:rPr>
        <w:tab/>
      </w:r>
      <w:r w:rsidR="00773CC1" w:rsidRPr="00C9465D">
        <w:rPr>
          <w:rFonts w:ascii="Verdana" w:hAnsi="Verdana"/>
          <w:sz w:val="20"/>
          <w:szCs w:val="20"/>
          <w:lang w:val="en-US"/>
        </w:rPr>
        <w:t>T</w:t>
      </w:r>
      <w:r w:rsidR="008C2989" w:rsidRPr="00C9465D">
        <w:rPr>
          <w:rFonts w:ascii="Verdana" w:hAnsi="Verdana"/>
          <w:sz w:val="20"/>
          <w:szCs w:val="20"/>
          <w:lang w:val="en-US"/>
        </w:rPr>
        <w:t>he medical record</w:t>
      </w:r>
      <w:r w:rsidR="00773CC1" w:rsidRPr="00C9465D">
        <w:rPr>
          <w:rFonts w:ascii="Verdana" w:hAnsi="Verdana"/>
          <w:sz w:val="20"/>
          <w:szCs w:val="20"/>
          <w:lang w:val="en-US"/>
        </w:rPr>
        <w:t xml:space="preserve"> does not reveal any useful evidence </w:t>
      </w:r>
      <w:r w:rsidR="00A82CBA" w:rsidRPr="00C9465D">
        <w:rPr>
          <w:rFonts w:ascii="Verdana" w:hAnsi="Verdana"/>
          <w:sz w:val="20"/>
          <w:szCs w:val="20"/>
          <w:lang w:val="en-US"/>
        </w:rPr>
        <w:t xml:space="preserve">or </w:t>
      </w:r>
      <w:r w:rsidR="005A6367" w:rsidRPr="00C9465D">
        <w:rPr>
          <w:rFonts w:ascii="Verdana" w:hAnsi="Verdana"/>
          <w:sz w:val="20"/>
          <w:szCs w:val="20"/>
          <w:lang w:val="en-US"/>
        </w:rPr>
        <w:t>annotation</w:t>
      </w:r>
      <w:r w:rsidR="00A82CBA" w:rsidRPr="00C9465D">
        <w:rPr>
          <w:rFonts w:ascii="Verdana" w:hAnsi="Verdana"/>
          <w:sz w:val="20"/>
          <w:szCs w:val="20"/>
          <w:lang w:val="en-US"/>
        </w:rPr>
        <w:t xml:space="preserve"> with regard to a determination of his powers of discernment that would have made him unable to provide his consent </w:t>
      </w:r>
      <w:r w:rsidR="005A6367" w:rsidRPr="00C9465D">
        <w:rPr>
          <w:rFonts w:ascii="Verdana" w:hAnsi="Verdana"/>
          <w:sz w:val="20"/>
          <w:szCs w:val="20"/>
          <w:lang w:val="en-US"/>
        </w:rPr>
        <w:t xml:space="preserve">in order </w:t>
      </w:r>
      <w:r w:rsidR="00A82CBA" w:rsidRPr="00C9465D">
        <w:rPr>
          <w:rFonts w:ascii="Verdana" w:hAnsi="Verdana"/>
          <w:sz w:val="20"/>
          <w:szCs w:val="20"/>
          <w:lang w:val="en-US"/>
        </w:rPr>
        <w:t xml:space="preserve">to proceed to </w:t>
      </w:r>
      <w:r w:rsidR="005A6367" w:rsidRPr="00C9465D">
        <w:rPr>
          <w:rFonts w:ascii="Verdana" w:hAnsi="Verdana"/>
          <w:sz w:val="20"/>
          <w:szCs w:val="20"/>
          <w:lang w:val="en-US"/>
        </w:rPr>
        <w:t>admit him</w:t>
      </w:r>
      <w:r w:rsidR="00A82CBA" w:rsidRPr="00C9465D">
        <w:rPr>
          <w:rFonts w:ascii="Verdana" w:hAnsi="Verdana"/>
          <w:sz w:val="20"/>
          <w:szCs w:val="20"/>
          <w:lang w:val="en-US"/>
        </w:rPr>
        <w:t xml:space="preserve">. No type of cognitive assessment was carried out. He was considered to be a person with </w:t>
      </w:r>
      <w:r w:rsidR="005A6367" w:rsidRPr="00C9465D">
        <w:rPr>
          <w:rFonts w:ascii="Verdana" w:hAnsi="Verdana"/>
          <w:sz w:val="20"/>
          <w:szCs w:val="20"/>
          <w:lang w:val="en-US"/>
        </w:rPr>
        <w:t xml:space="preserve">a </w:t>
      </w:r>
      <w:r w:rsidR="00A82CBA" w:rsidRPr="00C9465D">
        <w:rPr>
          <w:rFonts w:ascii="Verdana" w:hAnsi="Verdana"/>
          <w:sz w:val="20"/>
          <w:szCs w:val="20"/>
          <w:lang w:val="en-US"/>
        </w:rPr>
        <w:t>disabilit</w:t>
      </w:r>
      <w:r w:rsidR="005A6367" w:rsidRPr="00C9465D">
        <w:rPr>
          <w:rFonts w:ascii="Verdana" w:hAnsi="Verdana"/>
          <w:sz w:val="20"/>
          <w:szCs w:val="20"/>
          <w:lang w:val="en-US"/>
        </w:rPr>
        <w:t>y</w:t>
      </w:r>
      <w:r w:rsidR="00A82CBA" w:rsidRPr="00C9465D">
        <w:rPr>
          <w:rFonts w:ascii="Verdana" w:hAnsi="Verdana"/>
          <w:sz w:val="20"/>
          <w:szCs w:val="20"/>
          <w:lang w:val="en-US"/>
        </w:rPr>
        <w:t xml:space="preserve"> and, consequently, his mother was asked to give the consent, and even she was not provided with the minimum necessary information. All the foregoing appears in the documentation provided by the State.</w:t>
      </w:r>
    </w:p>
    <w:p w14:paraId="23B9C6F9" w14:textId="6F92B671" w:rsidR="00A82CBA" w:rsidRPr="00C9465D" w:rsidRDefault="00F4157D" w:rsidP="00F4157D">
      <w:pPr>
        <w:spacing w:line="240" w:lineRule="auto"/>
        <w:jc w:val="both"/>
        <w:rPr>
          <w:rFonts w:ascii="Verdana" w:hAnsi="Verdana"/>
          <w:sz w:val="20"/>
          <w:szCs w:val="20"/>
          <w:lang w:val="en-US"/>
        </w:rPr>
      </w:pPr>
      <w:r w:rsidRPr="00C9465D">
        <w:rPr>
          <w:rFonts w:ascii="Verdana" w:hAnsi="Verdana"/>
          <w:sz w:val="20"/>
          <w:szCs w:val="20"/>
          <w:lang w:val="en-US"/>
        </w:rPr>
        <w:t>23.</w:t>
      </w:r>
      <w:r w:rsidRPr="00C9465D">
        <w:rPr>
          <w:rFonts w:ascii="Verdana" w:hAnsi="Verdana"/>
          <w:sz w:val="20"/>
          <w:szCs w:val="20"/>
          <w:lang w:val="en-US"/>
        </w:rPr>
        <w:tab/>
      </w:r>
      <w:r w:rsidR="00A82CBA" w:rsidRPr="00C9465D">
        <w:rPr>
          <w:rFonts w:ascii="Verdana" w:hAnsi="Verdana"/>
          <w:sz w:val="20"/>
          <w:szCs w:val="20"/>
          <w:lang w:val="en-US"/>
        </w:rPr>
        <w:t>It is worth underlining that the irregularities in relation to the second hospitalization</w:t>
      </w:r>
      <w:r w:rsidR="00342101" w:rsidRPr="00C9465D">
        <w:rPr>
          <w:rFonts w:ascii="Verdana" w:hAnsi="Verdana"/>
          <w:sz w:val="20"/>
          <w:szCs w:val="20"/>
          <w:lang w:val="en-US"/>
        </w:rPr>
        <w:t xml:space="preserve"> – the</w:t>
      </w:r>
      <w:r w:rsidR="00A82CBA" w:rsidRPr="00C9465D">
        <w:rPr>
          <w:rFonts w:ascii="Verdana" w:hAnsi="Verdana"/>
          <w:sz w:val="20"/>
          <w:szCs w:val="20"/>
          <w:lang w:val="en-US"/>
        </w:rPr>
        <w:t xml:space="preserve"> failure to request consent, the treatment as a person with </w:t>
      </w:r>
      <w:r w:rsidR="00342101" w:rsidRPr="00C9465D">
        <w:rPr>
          <w:rFonts w:ascii="Verdana" w:hAnsi="Verdana"/>
          <w:sz w:val="20"/>
          <w:szCs w:val="20"/>
          <w:lang w:val="en-US"/>
        </w:rPr>
        <w:t xml:space="preserve">a </w:t>
      </w:r>
      <w:r w:rsidR="00A82CBA" w:rsidRPr="00C9465D">
        <w:rPr>
          <w:rFonts w:ascii="Verdana" w:hAnsi="Verdana"/>
          <w:sz w:val="20"/>
          <w:szCs w:val="20"/>
          <w:lang w:val="en-US"/>
        </w:rPr>
        <w:t>disabilit</w:t>
      </w:r>
      <w:r w:rsidR="00342101" w:rsidRPr="00C9465D">
        <w:rPr>
          <w:rFonts w:ascii="Verdana" w:hAnsi="Verdana"/>
          <w:sz w:val="20"/>
          <w:szCs w:val="20"/>
          <w:lang w:val="en-US"/>
        </w:rPr>
        <w:t>y,</w:t>
      </w:r>
      <w:r w:rsidR="00A82CBA" w:rsidRPr="00C9465D">
        <w:rPr>
          <w:rFonts w:ascii="Verdana" w:hAnsi="Verdana"/>
          <w:sz w:val="20"/>
          <w:szCs w:val="20"/>
          <w:lang w:val="en-US"/>
        </w:rPr>
        <w:t xml:space="preserve"> and the intersectionality of his vulnerable financial situation </w:t>
      </w:r>
      <w:r w:rsidR="00342101" w:rsidRPr="00C9465D">
        <w:rPr>
          <w:rFonts w:ascii="Verdana" w:hAnsi="Verdana"/>
          <w:sz w:val="20"/>
          <w:szCs w:val="20"/>
          <w:lang w:val="en-US"/>
        </w:rPr>
        <w:t>– raise</w:t>
      </w:r>
      <w:r w:rsidR="00A82CBA" w:rsidRPr="00C9465D">
        <w:rPr>
          <w:rFonts w:ascii="Verdana" w:hAnsi="Verdana"/>
          <w:sz w:val="20"/>
          <w:szCs w:val="20"/>
          <w:lang w:val="en-US"/>
        </w:rPr>
        <w:t xml:space="preserve"> doubts about the need for the forced hospitalization of Mr. Guachalá. It was his mother who gave consent for his admittance without receiving the necessary information to form a judgment on the real condition of her son. </w:t>
      </w:r>
    </w:p>
    <w:p w14:paraId="7E004936" w14:textId="07566BBF" w:rsidR="00F4157D" w:rsidRPr="00C9465D" w:rsidRDefault="00F4157D" w:rsidP="00F4157D">
      <w:pPr>
        <w:spacing w:line="240" w:lineRule="auto"/>
        <w:jc w:val="both"/>
        <w:rPr>
          <w:rFonts w:ascii="Verdana" w:hAnsi="Verdana"/>
          <w:sz w:val="20"/>
          <w:szCs w:val="20"/>
          <w:lang w:val="en-US"/>
        </w:rPr>
      </w:pPr>
      <w:r w:rsidRPr="00C9465D">
        <w:rPr>
          <w:rFonts w:ascii="Verdana" w:hAnsi="Verdana"/>
          <w:sz w:val="20"/>
          <w:szCs w:val="20"/>
          <w:lang w:val="en-US"/>
        </w:rPr>
        <w:t>24.</w:t>
      </w:r>
      <w:r w:rsidRPr="00C9465D">
        <w:rPr>
          <w:rFonts w:ascii="Verdana" w:hAnsi="Verdana"/>
          <w:sz w:val="20"/>
          <w:szCs w:val="20"/>
          <w:lang w:val="en-US"/>
        </w:rPr>
        <w:tab/>
      </w:r>
      <w:r w:rsidR="00A82CBA" w:rsidRPr="00C9465D">
        <w:rPr>
          <w:rFonts w:ascii="Verdana" w:hAnsi="Verdana"/>
          <w:sz w:val="20"/>
          <w:szCs w:val="20"/>
          <w:lang w:val="en-US"/>
        </w:rPr>
        <w:t xml:space="preserve">All the circumstances that occurred from the time of his admittance and during the hospitalization are questionable from the perspective of the right to health and the obligation of special care required by a patient interned in a psychiatric hospital. The documentation that recorded his hospital treatment and the expert evidence reveal inconsistencies and a total lack of care and of the treatment that </w:t>
      </w:r>
      <w:r w:rsidR="00CB1815" w:rsidRPr="00C9465D">
        <w:rPr>
          <w:rFonts w:ascii="Verdana" w:hAnsi="Verdana"/>
          <w:sz w:val="20"/>
          <w:szCs w:val="20"/>
          <w:lang w:val="en-US"/>
        </w:rPr>
        <w:t xml:space="preserve">Mr. Guachalá required. In this regard, in the </w:t>
      </w:r>
      <w:r w:rsidR="00CB1815" w:rsidRPr="00C9465D">
        <w:rPr>
          <w:rFonts w:ascii="Verdana" w:hAnsi="Verdana"/>
          <w:i/>
          <w:iCs/>
          <w:sz w:val="20"/>
          <w:szCs w:val="20"/>
          <w:lang w:val="en-US"/>
        </w:rPr>
        <w:t xml:space="preserve">case of </w:t>
      </w:r>
      <w:r w:rsidRPr="00C9465D">
        <w:rPr>
          <w:rFonts w:ascii="Verdana" w:hAnsi="Verdana"/>
          <w:i/>
          <w:iCs/>
          <w:sz w:val="20"/>
          <w:szCs w:val="20"/>
          <w:lang w:val="en-US"/>
        </w:rPr>
        <w:t xml:space="preserve">Ximenes Lopez </w:t>
      </w:r>
      <w:r w:rsidR="00193CBB" w:rsidRPr="00C9465D">
        <w:rPr>
          <w:rFonts w:ascii="Verdana" w:hAnsi="Verdana"/>
          <w:i/>
          <w:iCs/>
          <w:sz w:val="20"/>
          <w:szCs w:val="20"/>
          <w:lang w:val="en-US"/>
        </w:rPr>
        <w:t>v.</w:t>
      </w:r>
      <w:r w:rsidRPr="00C9465D">
        <w:rPr>
          <w:rFonts w:ascii="Verdana" w:hAnsi="Verdana"/>
          <w:i/>
          <w:iCs/>
          <w:sz w:val="20"/>
          <w:szCs w:val="20"/>
          <w:lang w:val="en-US"/>
        </w:rPr>
        <w:t xml:space="preserve"> Bra</w:t>
      </w:r>
      <w:r w:rsidR="00CB1815" w:rsidRPr="00C9465D">
        <w:rPr>
          <w:rFonts w:ascii="Verdana" w:hAnsi="Verdana"/>
          <w:i/>
          <w:iCs/>
          <w:sz w:val="20"/>
          <w:szCs w:val="20"/>
          <w:lang w:val="en-US"/>
        </w:rPr>
        <w:t>z</w:t>
      </w:r>
      <w:r w:rsidRPr="00C9465D">
        <w:rPr>
          <w:rFonts w:ascii="Verdana" w:hAnsi="Verdana"/>
          <w:i/>
          <w:iCs/>
          <w:sz w:val="20"/>
          <w:szCs w:val="20"/>
          <w:lang w:val="en-US"/>
        </w:rPr>
        <w:t>il</w:t>
      </w:r>
      <w:r w:rsidR="00CB1815" w:rsidRPr="00C9465D">
        <w:rPr>
          <w:rFonts w:ascii="Verdana" w:hAnsi="Verdana"/>
          <w:sz w:val="20"/>
          <w:szCs w:val="20"/>
          <w:lang w:val="en-US"/>
        </w:rPr>
        <w:t>,</w:t>
      </w:r>
      <w:r w:rsidRPr="00C9465D">
        <w:rPr>
          <w:rFonts w:ascii="Verdana" w:hAnsi="Verdana"/>
          <w:sz w:val="20"/>
          <w:szCs w:val="20"/>
          <w:lang w:val="en-US"/>
        </w:rPr>
        <w:t xml:space="preserve"> </w:t>
      </w:r>
      <w:r w:rsidR="00193CBB" w:rsidRPr="00C9465D">
        <w:rPr>
          <w:rFonts w:ascii="Verdana" w:hAnsi="Verdana"/>
          <w:sz w:val="20"/>
          <w:szCs w:val="20"/>
          <w:lang w:val="en-US"/>
        </w:rPr>
        <w:t>the Court</w:t>
      </w:r>
      <w:r w:rsidRPr="00C9465D">
        <w:rPr>
          <w:rFonts w:ascii="Verdana" w:hAnsi="Verdana"/>
          <w:sz w:val="20"/>
          <w:szCs w:val="20"/>
          <w:lang w:val="en-US"/>
        </w:rPr>
        <w:t xml:space="preserve"> </w:t>
      </w:r>
      <w:r w:rsidR="00CB1815" w:rsidRPr="00C9465D">
        <w:rPr>
          <w:rFonts w:ascii="Verdana" w:hAnsi="Verdana"/>
          <w:sz w:val="20"/>
          <w:szCs w:val="20"/>
          <w:lang w:val="en-US"/>
        </w:rPr>
        <w:t xml:space="preserve">emphasized that </w:t>
      </w:r>
      <w:r w:rsidRPr="00C9465D">
        <w:rPr>
          <w:rFonts w:ascii="Verdana" w:hAnsi="Verdana"/>
          <w:sz w:val="20"/>
          <w:szCs w:val="20"/>
          <w:lang w:val="en-US"/>
        </w:rPr>
        <w:t>"</w:t>
      </w:r>
      <w:r w:rsidR="00D85850" w:rsidRPr="00C9465D">
        <w:rPr>
          <w:rFonts w:ascii="Verdana" w:hAnsi="Verdana"/>
          <w:iCs/>
          <w:sz w:val="20"/>
          <w:szCs w:val="20"/>
          <w:lang w:val="en-US"/>
        </w:rPr>
        <w:t>persons with disabilities</w:t>
      </w:r>
      <w:r w:rsidRPr="00C9465D">
        <w:rPr>
          <w:rFonts w:ascii="Verdana" w:hAnsi="Verdana"/>
          <w:iCs/>
          <w:sz w:val="20"/>
          <w:szCs w:val="20"/>
          <w:lang w:val="en-US"/>
        </w:rPr>
        <w:t xml:space="preserve"> a</w:t>
      </w:r>
      <w:r w:rsidR="00CB1815" w:rsidRPr="00C9465D">
        <w:rPr>
          <w:rFonts w:ascii="Verdana" w:hAnsi="Verdana"/>
          <w:iCs/>
          <w:sz w:val="20"/>
          <w:szCs w:val="20"/>
          <w:lang w:val="en-US"/>
        </w:rPr>
        <w:t xml:space="preserve">re frequently subject to discrimination owing to their condition, so that States must adopt the necessary legislative, social, educational, work-related or any other </w:t>
      </w:r>
      <w:r w:rsidR="00CB1815" w:rsidRPr="00C9465D">
        <w:rPr>
          <w:rFonts w:ascii="Verdana" w:hAnsi="Verdana"/>
          <w:iCs/>
          <w:sz w:val="20"/>
          <w:szCs w:val="20"/>
          <w:lang w:val="en-US"/>
        </w:rPr>
        <w:lastRenderedPageBreak/>
        <w:t xml:space="preserve">measures to eliminate any discrimination associated with mental disabilities and to promote the full integration of persons suffering from such disabilities into society.” </w:t>
      </w:r>
      <w:r w:rsidR="00193CBB" w:rsidRPr="00C9465D">
        <w:rPr>
          <w:rFonts w:ascii="Verdana" w:hAnsi="Verdana"/>
          <w:sz w:val="20"/>
          <w:szCs w:val="20"/>
          <w:lang w:val="en-US"/>
        </w:rPr>
        <w:t>The Court</w:t>
      </w:r>
      <w:r w:rsidRPr="00C9465D">
        <w:rPr>
          <w:rFonts w:ascii="Verdana" w:hAnsi="Verdana"/>
          <w:sz w:val="20"/>
          <w:szCs w:val="20"/>
          <w:lang w:val="en-US"/>
        </w:rPr>
        <w:t xml:space="preserve"> </w:t>
      </w:r>
      <w:r w:rsidR="00CB1815" w:rsidRPr="00C9465D">
        <w:rPr>
          <w:rFonts w:ascii="Verdana" w:hAnsi="Verdana"/>
          <w:sz w:val="20"/>
          <w:szCs w:val="20"/>
          <w:lang w:val="en-US"/>
        </w:rPr>
        <w:t xml:space="preserve">emphasized the vulnerability of </w:t>
      </w:r>
      <w:r w:rsidR="00D85850" w:rsidRPr="00C9465D">
        <w:rPr>
          <w:rFonts w:ascii="Verdana" w:hAnsi="Verdana"/>
          <w:sz w:val="20"/>
          <w:szCs w:val="20"/>
          <w:lang w:val="en-US"/>
        </w:rPr>
        <w:t>persons with disabilities</w:t>
      </w:r>
      <w:r w:rsidRPr="00C9465D">
        <w:rPr>
          <w:rFonts w:ascii="Verdana" w:hAnsi="Verdana"/>
          <w:sz w:val="20"/>
          <w:szCs w:val="20"/>
          <w:lang w:val="en-US"/>
        </w:rPr>
        <w:t xml:space="preserve"> </w:t>
      </w:r>
      <w:r w:rsidR="00CB1815" w:rsidRPr="00C9465D">
        <w:rPr>
          <w:rFonts w:ascii="Verdana" w:hAnsi="Verdana"/>
          <w:sz w:val="20"/>
          <w:szCs w:val="20"/>
          <w:lang w:val="en-US"/>
        </w:rPr>
        <w:t xml:space="preserve">who are institutionalized in psychiatric institutions because they are more “particularly vulnerable to torture or other forms of cruel, inhuman or degrading treatment. The </w:t>
      </w:r>
      <w:r w:rsidR="00342101" w:rsidRPr="00C9465D">
        <w:rPr>
          <w:rFonts w:ascii="Verdana" w:hAnsi="Verdana"/>
          <w:sz w:val="20"/>
          <w:szCs w:val="20"/>
          <w:lang w:val="en-US"/>
        </w:rPr>
        <w:t xml:space="preserve">intrinsic </w:t>
      </w:r>
      <w:r w:rsidR="00CB1815" w:rsidRPr="00C9465D">
        <w:rPr>
          <w:rFonts w:ascii="Verdana" w:hAnsi="Verdana"/>
          <w:sz w:val="20"/>
          <w:szCs w:val="20"/>
          <w:lang w:val="en-US"/>
        </w:rPr>
        <w:t xml:space="preserve">vulnerability of persons with mental disabilities is </w:t>
      </w:r>
      <w:r w:rsidR="00342101" w:rsidRPr="00C9465D">
        <w:rPr>
          <w:rFonts w:ascii="Verdana" w:hAnsi="Verdana"/>
          <w:sz w:val="20"/>
          <w:szCs w:val="20"/>
          <w:lang w:val="en-US"/>
        </w:rPr>
        <w:t>exacerbated</w:t>
      </w:r>
      <w:r w:rsidR="00CB1815" w:rsidRPr="00C9465D">
        <w:rPr>
          <w:rFonts w:ascii="Verdana" w:hAnsi="Verdana"/>
          <w:sz w:val="20"/>
          <w:szCs w:val="20"/>
          <w:lang w:val="en-US"/>
        </w:rPr>
        <w:t xml:space="preserve"> by the high degree of intimacy that characterizes the treatments of psychiatric illnesses, which makes these persons more liable to suffer abusive treatment when they are institutionalized.</w:t>
      </w:r>
      <w:r w:rsidRPr="00C9465D">
        <w:rPr>
          <w:rFonts w:ascii="Verdana" w:hAnsi="Verdana"/>
          <w:i/>
          <w:sz w:val="20"/>
          <w:szCs w:val="20"/>
          <w:lang w:val="en-US"/>
        </w:rPr>
        <w:t>"</w:t>
      </w:r>
      <w:r w:rsidRPr="00C9465D">
        <w:rPr>
          <w:rStyle w:val="FootnoteReference"/>
          <w:rFonts w:ascii="Verdana" w:hAnsi="Verdana"/>
          <w:sz w:val="20"/>
          <w:szCs w:val="20"/>
          <w:lang w:val="en-US"/>
        </w:rPr>
        <w:footnoteReference w:id="499"/>
      </w:r>
    </w:p>
    <w:p w14:paraId="1704E330" w14:textId="318C777D" w:rsidR="00342101" w:rsidRPr="00C9465D" w:rsidRDefault="00F4157D" w:rsidP="00F4157D">
      <w:pPr>
        <w:spacing w:line="240" w:lineRule="auto"/>
        <w:jc w:val="both"/>
        <w:rPr>
          <w:rFonts w:ascii="Verdana" w:hAnsi="Verdana"/>
          <w:i/>
          <w:sz w:val="20"/>
          <w:szCs w:val="20"/>
          <w:lang w:val="en-US"/>
        </w:rPr>
      </w:pPr>
      <w:r w:rsidRPr="00C9465D">
        <w:rPr>
          <w:rFonts w:ascii="Verdana" w:hAnsi="Verdana"/>
          <w:sz w:val="20"/>
          <w:szCs w:val="20"/>
          <w:lang w:val="en-US"/>
        </w:rPr>
        <w:t xml:space="preserve">25. </w:t>
      </w:r>
      <w:r w:rsidRPr="00C9465D">
        <w:rPr>
          <w:rFonts w:ascii="Verdana" w:hAnsi="Verdana"/>
          <w:sz w:val="20"/>
          <w:szCs w:val="20"/>
          <w:lang w:val="en-US"/>
        </w:rPr>
        <w:tab/>
      </w:r>
      <w:r w:rsidR="00CB1815" w:rsidRPr="00C9465D">
        <w:rPr>
          <w:rFonts w:ascii="Verdana" w:hAnsi="Verdana"/>
          <w:sz w:val="20"/>
          <w:szCs w:val="20"/>
          <w:lang w:val="en-US"/>
        </w:rPr>
        <w:t>The consequence of this particular vulnerability is that establishments dedicated to institutionalization must comply with certain requirements and be especially monitored by the State. Given that “the medical personnel responsible for the care of the patients exercise a strong control or</w:t>
      </w:r>
      <w:r w:rsidR="00066500" w:rsidRPr="00C9465D">
        <w:rPr>
          <w:rFonts w:ascii="Verdana" w:hAnsi="Verdana"/>
          <w:sz w:val="20"/>
          <w:szCs w:val="20"/>
          <w:lang w:val="en-US"/>
        </w:rPr>
        <w:t xml:space="preserve"> authority</w:t>
      </w:r>
      <w:r w:rsidR="00CB1815" w:rsidRPr="00C9465D">
        <w:rPr>
          <w:rFonts w:ascii="Verdana" w:hAnsi="Verdana"/>
          <w:sz w:val="20"/>
          <w:szCs w:val="20"/>
          <w:lang w:val="en-US"/>
        </w:rPr>
        <w:t xml:space="preserve"> over </w:t>
      </w:r>
      <w:r w:rsidR="00066500" w:rsidRPr="00C9465D">
        <w:rPr>
          <w:rFonts w:ascii="Verdana" w:hAnsi="Verdana"/>
          <w:sz w:val="20"/>
          <w:szCs w:val="20"/>
          <w:lang w:val="en-US"/>
        </w:rPr>
        <w:t>those</w:t>
      </w:r>
      <w:r w:rsidR="00CB1815" w:rsidRPr="00C9465D">
        <w:rPr>
          <w:rFonts w:ascii="Verdana" w:hAnsi="Verdana"/>
          <w:sz w:val="20"/>
          <w:szCs w:val="20"/>
          <w:lang w:val="en-US"/>
        </w:rPr>
        <w:t xml:space="preserve"> in their custody. This intrinsic imbalance of power between a person institutionalized and those who are in authority, is multiplied exponentially in psychiatric institutions. Torture and other forms of cruel, inhuman or degrading treatment, when inflicted on such persons violates their mental, physical and moral integrity, </w:t>
      </w:r>
      <w:r w:rsidR="00D611BA" w:rsidRPr="00C9465D">
        <w:rPr>
          <w:rFonts w:ascii="Verdana" w:hAnsi="Verdana"/>
          <w:sz w:val="20"/>
          <w:szCs w:val="20"/>
          <w:lang w:val="en-US"/>
        </w:rPr>
        <w:t>represents an insult to their dignity and severely restricts their autonomy, which could result in worsening the illness.</w:t>
      </w:r>
      <w:r w:rsidRPr="00C9465D">
        <w:rPr>
          <w:rFonts w:ascii="Verdana" w:hAnsi="Verdana"/>
          <w:i/>
          <w:sz w:val="20"/>
          <w:szCs w:val="20"/>
          <w:lang w:val="en-US"/>
        </w:rPr>
        <w:t>"</w:t>
      </w:r>
      <w:r w:rsidRPr="00C9465D">
        <w:rPr>
          <w:rStyle w:val="FootnoteReference"/>
          <w:rFonts w:ascii="Verdana" w:hAnsi="Verdana"/>
          <w:sz w:val="20"/>
          <w:szCs w:val="20"/>
          <w:lang w:val="en-US"/>
        </w:rPr>
        <w:footnoteReference w:id="500"/>
      </w:r>
    </w:p>
    <w:p w14:paraId="2CF6A647" w14:textId="7FD9C118" w:rsidR="00F4157D" w:rsidRPr="00C9465D" w:rsidRDefault="00491E2E" w:rsidP="00D47F8D">
      <w:pPr>
        <w:pStyle w:val="ListParagraph"/>
        <w:numPr>
          <w:ilvl w:val="0"/>
          <w:numId w:val="23"/>
        </w:numPr>
        <w:spacing w:after="200" w:line="240" w:lineRule="auto"/>
        <w:ind w:left="1276" w:hanging="567"/>
        <w:rPr>
          <w:b/>
          <w:lang w:val="en-US"/>
        </w:rPr>
      </w:pPr>
      <w:r w:rsidRPr="00C9465D">
        <w:rPr>
          <w:b/>
          <w:lang w:val="en-US"/>
        </w:rPr>
        <w:t xml:space="preserve">THE ELEMENTS OF FORCED DISAPPEARANCE WERE NOT PRESENT </w:t>
      </w:r>
    </w:p>
    <w:p w14:paraId="0D55C33E" w14:textId="07B2B15E" w:rsidR="00F4157D" w:rsidRPr="00C9465D" w:rsidRDefault="00F4157D" w:rsidP="00F4157D">
      <w:pPr>
        <w:spacing w:line="240" w:lineRule="auto"/>
        <w:jc w:val="both"/>
        <w:rPr>
          <w:rFonts w:ascii="Verdana" w:hAnsi="Verdana"/>
          <w:sz w:val="20"/>
          <w:szCs w:val="20"/>
          <w:lang w:val="en-US"/>
        </w:rPr>
      </w:pPr>
      <w:r w:rsidRPr="00C9465D">
        <w:rPr>
          <w:rFonts w:ascii="Verdana" w:hAnsi="Verdana"/>
          <w:sz w:val="20"/>
          <w:szCs w:val="20"/>
          <w:lang w:val="en-US"/>
        </w:rPr>
        <w:t>2</w:t>
      </w:r>
      <w:r w:rsidR="00342101" w:rsidRPr="00C9465D">
        <w:rPr>
          <w:rFonts w:ascii="Verdana" w:hAnsi="Verdana"/>
          <w:sz w:val="20"/>
          <w:szCs w:val="20"/>
          <w:lang w:val="en-US"/>
        </w:rPr>
        <w:t>6</w:t>
      </w:r>
      <w:r w:rsidRPr="00C9465D">
        <w:rPr>
          <w:rFonts w:ascii="Verdana" w:hAnsi="Verdana"/>
          <w:sz w:val="20"/>
          <w:szCs w:val="20"/>
          <w:lang w:val="en-US"/>
        </w:rPr>
        <w:t>.</w:t>
      </w:r>
      <w:r w:rsidRPr="00C9465D">
        <w:rPr>
          <w:rFonts w:ascii="Verdana" w:hAnsi="Verdana"/>
          <w:sz w:val="20"/>
          <w:szCs w:val="20"/>
          <w:lang w:val="en-US"/>
        </w:rPr>
        <w:tab/>
      </w:r>
      <w:r w:rsidR="008F17CD" w:rsidRPr="00C9465D">
        <w:rPr>
          <w:rFonts w:ascii="Verdana" w:hAnsi="Verdana"/>
          <w:sz w:val="20"/>
          <w:szCs w:val="20"/>
          <w:lang w:val="en-US"/>
        </w:rPr>
        <w:t>Paragraph</w:t>
      </w:r>
      <w:r w:rsidRPr="00C9465D">
        <w:rPr>
          <w:rFonts w:ascii="Verdana" w:hAnsi="Verdana"/>
          <w:sz w:val="20"/>
          <w:szCs w:val="20"/>
          <w:lang w:val="en-US"/>
        </w:rPr>
        <w:t xml:space="preserve"> 22</w:t>
      </w:r>
      <w:r w:rsidR="002632CD" w:rsidRPr="00C9465D">
        <w:rPr>
          <w:rFonts w:ascii="Verdana" w:hAnsi="Verdana"/>
          <w:sz w:val="20"/>
          <w:szCs w:val="20"/>
          <w:lang w:val="en-US"/>
        </w:rPr>
        <w:t>7</w:t>
      </w:r>
      <w:r w:rsidRPr="00C9465D">
        <w:rPr>
          <w:rFonts w:ascii="Verdana" w:hAnsi="Verdana"/>
          <w:sz w:val="20"/>
          <w:szCs w:val="20"/>
          <w:lang w:val="en-US"/>
        </w:rPr>
        <w:t xml:space="preserve"> </w:t>
      </w:r>
      <w:r w:rsidR="008F17CD" w:rsidRPr="00C9465D">
        <w:rPr>
          <w:rFonts w:ascii="Verdana" w:hAnsi="Verdana"/>
          <w:sz w:val="20"/>
          <w:szCs w:val="20"/>
          <w:lang w:val="en-US"/>
        </w:rPr>
        <w:t>of the judgment</w:t>
      </w:r>
      <w:r w:rsidRPr="00C9465D">
        <w:rPr>
          <w:rFonts w:ascii="Verdana" w:hAnsi="Verdana"/>
          <w:sz w:val="20"/>
          <w:szCs w:val="20"/>
          <w:lang w:val="en-US"/>
        </w:rPr>
        <w:t xml:space="preserve"> </w:t>
      </w:r>
      <w:r w:rsidR="00260D95" w:rsidRPr="00C9465D">
        <w:rPr>
          <w:rFonts w:ascii="Verdana" w:hAnsi="Verdana"/>
          <w:sz w:val="20"/>
          <w:szCs w:val="20"/>
          <w:lang w:val="en-US"/>
        </w:rPr>
        <w:t>establishes</w:t>
      </w:r>
      <w:r w:rsidRPr="00C9465D">
        <w:rPr>
          <w:rFonts w:ascii="Verdana" w:hAnsi="Verdana"/>
          <w:sz w:val="20"/>
          <w:szCs w:val="20"/>
          <w:lang w:val="en-US"/>
        </w:rPr>
        <w:t xml:space="preserve"> </w:t>
      </w:r>
      <w:r w:rsidR="00066500" w:rsidRPr="00C9465D">
        <w:rPr>
          <w:rFonts w:ascii="Verdana" w:hAnsi="Verdana"/>
          <w:sz w:val="20"/>
          <w:szCs w:val="20"/>
          <w:lang w:val="en-US"/>
        </w:rPr>
        <w:t>that</w:t>
      </w:r>
      <w:r w:rsidRPr="00C9465D">
        <w:rPr>
          <w:rFonts w:ascii="Verdana" w:hAnsi="Verdana"/>
          <w:sz w:val="20"/>
          <w:szCs w:val="20"/>
          <w:lang w:val="en-US"/>
        </w:rPr>
        <w:t xml:space="preserve"> "</w:t>
      </w:r>
      <w:r w:rsidR="00066500" w:rsidRPr="00C9465D">
        <w:rPr>
          <w:rFonts w:ascii="Verdana" w:hAnsi="Verdana" w:cs="Tahoma"/>
          <w:sz w:val="20"/>
          <w:szCs w:val="20"/>
          <w:lang w:val="en-US"/>
        </w:rPr>
        <w:t xml:space="preserve">it has been established that the whereabouts of </w:t>
      </w:r>
      <w:r w:rsidR="00066500" w:rsidRPr="00C9465D">
        <w:rPr>
          <w:rFonts w:ascii="Verdana" w:hAnsi="Verdana"/>
          <w:sz w:val="20"/>
          <w:szCs w:val="20"/>
          <w:lang w:val="en-US"/>
        </w:rPr>
        <w:t>Luis Eduardo Guachalá Chimbo are still unknown. The Court emphasizes that more than 17 years have passed since he disappeared. The discovery of his whereabouts is a just expectation of hi</w:t>
      </w:r>
      <w:r w:rsidR="00D8209E" w:rsidRPr="00C9465D">
        <w:rPr>
          <w:rFonts w:ascii="Verdana" w:hAnsi="Verdana"/>
          <w:sz w:val="20"/>
          <w:szCs w:val="20"/>
          <w:lang w:val="en-US"/>
        </w:rPr>
        <w:t xml:space="preserve">s </w:t>
      </w:r>
      <w:r w:rsidR="00066500" w:rsidRPr="00C9465D">
        <w:rPr>
          <w:rFonts w:ascii="Verdana" w:hAnsi="Verdana"/>
          <w:sz w:val="20"/>
          <w:szCs w:val="20"/>
          <w:lang w:val="en-US"/>
        </w:rPr>
        <w:t>family and constitutes a measure of reparation that gives rise to the correlative duty of the State to satisfy it.</w:t>
      </w:r>
      <w:r w:rsidR="00066500" w:rsidRPr="00C9465D">
        <w:rPr>
          <w:rFonts w:ascii="Verdana" w:hAnsi="Verdana"/>
          <w:sz w:val="20"/>
          <w:szCs w:val="20"/>
          <w:vertAlign w:val="superscript"/>
          <w:lang w:val="en-US"/>
        </w:rPr>
        <w:footnoteReference w:id="501"/>
      </w:r>
      <w:r w:rsidR="00066500" w:rsidRPr="00C9465D">
        <w:rPr>
          <w:rFonts w:ascii="Verdana" w:hAnsi="Verdana"/>
          <w:sz w:val="20"/>
          <w:szCs w:val="20"/>
          <w:lang w:val="en-US"/>
        </w:rPr>
        <w:t xml:space="preserve"> The remains of a person who has died and the place where they are found may provide valuable information about what happened. Additionally, for the families of victims of disappearance, receiving the bodies of their loved ones is extremely important because it allows them to bury their loved ones in keeping with their beliefs, and to bring closure to the mourning process that they have been experiencing over the years</w:t>
      </w:r>
      <w:r w:rsidR="00066500" w:rsidRPr="00C9465D">
        <w:rPr>
          <w:rFonts w:ascii="Verdana" w:hAnsi="Verdana"/>
          <w:i/>
          <w:sz w:val="20"/>
          <w:szCs w:val="20"/>
          <w:lang w:val="en-US"/>
        </w:rPr>
        <w:t>.</w:t>
      </w:r>
      <w:r w:rsidR="00066500" w:rsidRPr="00C9465D">
        <w:rPr>
          <w:rFonts w:ascii="Verdana" w:hAnsi="Verdana"/>
          <w:sz w:val="20"/>
          <w:szCs w:val="20"/>
          <w:lang w:val="en-US"/>
        </w:rPr>
        <w:t xml:space="preserve">” I will now reinforce the </w:t>
      </w:r>
      <w:r w:rsidR="002632CD" w:rsidRPr="00C9465D">
        <w:rPr>
          <w:rFonts w:ascii="Verdana" w:hAnsi="Verdana"/>
          <w:sz w:val="20"/>
          <w:szCs w:val="20"/>
          <w:lang w:val="en-US"/>
        </w:rPr>
        <w:t>view</w:t>
      </w:r>
      <w:r w:rsidR="00066500" w:rsidRPr="00C9465D">
        <w:rPr>
          <w:rFonts w:ascii="Verdana" w:hAnsi="Verdana"/>
          <w:sz w:val="20"/>
          <w:szCs w:val="20"/>
          <w:lang w:val="en-US"/>
        </w:rPr>
        <w:t xml:space="preserve"> that this is not a</w:t>
      </w:r>
      <w:r w:rsidRPr="00C9465D">
        <w:rPr>
          <w:rFonts w:ascii="Verdana" w:hAnsi="Verdana"/>
          <w:sz w:val="20"/>
          <w:szCs w:val="20"/>
          <w:lang w:val="en-US"/>
        </w:rPr>
        <w:t xml:space="preserve"> </w:t>
      </w:r>
      <w:r w:rsidR="00CF3A9D" w:rsidRPr="00C9465D">
        <w:rPr>
          <w:rFonts w:ascii="Verdana" w:hAnsi="Verdana"/>
          <w:sz w:val="20"/>
          <w:szCs w:val="20"/>
          <w:lang w:val="en-US"/>
        </w:rPr>
        <w:t>forced disappearance</w:t>
      </w:r>
      <w:r w:rsidR="00066500" w:rsidRPr="00C9465D">
        <w:rPr>
          <w:rFonts w:ascii="Verdana" w:hAnsi="Verdana"/>
          <w:sz w:val="20"/>
          <w:szCs w:val="20"/>
          <w:lang w:val="en-US"/>
        </w:rPr>
        <w:t>,</w:t>
      </w:r>
      <w:r w:rsidRPr="00C9465D">
        <w:rPr>
          <w:rFonts w:ascii="Verdana" w:hAnsi="Verdana"/>
          <w:sz w:val="20"/>
          <w:szCs w:val="20"/>
          <w:lang w:val="en-US"/>
        </w:rPr>
        <w:t xml:space="preserve"> </w:t>
      </w:r>
      <w:r w:rsidR="00066500" w:rsidRPr="00C9465D">
        <w:rPr>
          <w:rFonts w:ascii="Verdana" w:hAnsi="Verdana"/>
          <w:sz w:val="20"/>
          <w:szCs w:val="20"/>
          <w:lang w:val="en-US"/>
        </w:rPr>
        <w:t>as claimed by</w:t>
      </w:r>
      <w:r w:rsidRPr="00C9465D">
        <w:rPr>
          <w:rFonts w:ascii="Verdana" w:hAnsi="Verdana"/>
          <w:sz w:val="20"/>
          <w:szCs w:val="20"/>
          <w:lang w:val="en-US"/>
        </w:rPr>
        <w:t xml:space="preserve"> </w:t>
      </w:r>
      <w:r w:rsidR="00193CBB" w:rsidRPr="00C9465D">
        <w:rPr>
          <w:rFonts w:ascii="Verdana" w:hAnsi="Verdana"/>
          <w:sz w:val="20"/>
          <w:szCs w:val="20"/>
          <w:lang w:val="en-US"/>
        </w:rPr>
        <w:t>the representatives</w:t>
      </w:r>
      <w:r w:rsidR="00066500" w:rsidRPr="00C9465D">
        <w:rPr>
          <w:rFonts w:ascii="Verdana" w:hAnsi="Verdana"/>
          <w:sz w:val="20"/>
          <w:szCs w:val="20"/>
          <w:lang w:val="en-US"/>
        </w:rPr>
        <w:t xml:space="preserve">, because it does not involve a systematic and organic act by </w:t>
      </w:r>
      <w:r w:rsidR="00193CBB" w:rsidRPr="00C9465D">
        <w:rPr>
          <w:rFonts w:ascii="Verdana" w:hAnsi="Verdana"/>
          <w:sz w:val="20"/>
          <w:szCs w:val="20"/>
          <w:lang w:val="en-US"/>
        </w:rPr>
        <w:t>the State</w:t>
      </w:r>
      <w:r w:rsidRPr="00C9465D">
        <w:rPr>
          <w:rFonts w:ascii="Verdana" w:hAnsi="Verdana"/>
          <w:sz w:val="20"/>
          <w:szCs w:val="20"/>
          <w:lang w:val="en-US"/>
        </w:rPr>
        <w:t>.</w:t>
      </w:r>
    </w:p>
    <w:p w14:paraId="2E2FE602" w14:textId="765EF665" w:rsidR="00F4157D" w:rsidRPr="00C9465D" w:rsidRDefault="00F4157D" w:rsidP="00F4157D">
      <w:pPr>
        <w:spacing w:line="240" w:lineRule="auto"/>
        <w:jc w:val="both"/>
        <w:rPr>
          <w:rFonts w:ascii="Verdana" w:hAnsi="Verdana"/>
          <w:sz w:val="20"/>
          <w:szCs w:val="20"/>
          <w:lang w:val="en-US"/>
        </w:rPr>
      </w:pPr>
      <w:r w:rsidRPr="00C9465D">
        <w:rPr>
          <w:rFonts w:ascii="Verdana" w:hAnsi="Verdana"/>
          <w:sz w:val="20"/>
          <w:szCs w:val="20"/>
          <w:lang w:val="en-US"/>
        </w:rPr>
        <w:t>2</w:t>
      </w:r>
      <w:r w:rsidR="00342101" w:rsidRPr="00C9465D">
        <w:rPr>
          <w:rFonts w:ascii="Verdana" w:hAnsi="Verdana"/>
          <w:sz w:val="20"/>
          <w:szCs w:val="20"/>
          <w:lang w:val="en-US"/>
        </w:rPr>
        <w:t>7</w:t>
      </w:r>
      <w:r w:rsidRPr="00C9465D">
        <w:rPr>
          <w:rFonts w:ascii="Verdana" w:hAnsi="Verdana"/>
          <w:sz w:val="20"/>
          <w:szCs w:val="20"/>
          <w:lang w:val="en-US"/>
        </w:rPr>
        <w:t>.</w:t>
      </w:r>
      <w:r w:rsidRPr="00C9465D">
        <w:rPr>
          <w:rFonts w:ascii="Verdana" w:hAnsi="Verdana"/>
          <w:sz w:val="20"/>
          <w:szCs w:val="20"/>
          <w:lang w:val="en-US"/>
        </w:rPr>
        <w:tab/>
      </w:r>
      <w:r w:rsidR="002632CD" w:rsidRPr="00C9465D">
        <w:rPr>
          <w:rFonts w:ascii="Verdana" w:hAnsi="Verdana"/>
          <w:sz w:val="20"/>
          <w:szCs w:val="20"/>
          <w:lang w:val="en-US"/>
        </w:rPr>
        <w:t xml:space="preserve">In this regard, </w:t>
      </w:r>
      <w:r w:rsidR="00193CBB" w:rsidRPr="00C9465D">
        <w:rPr>
          <w:rFonts w:ascii="Verdana" w:hAnsi="Verdana"/>
          <w:sz w:val="20"/>
          <w:szCs w:val="20"/>
          <w:lang w:val="en-US"/>
        </w:rPr>
        <w:t>the</w:t>
      </w:r>
      <w:r w:rsidR="002632CD" w:rsidRPr="00C9465D">
        <w:rPr>
          <w:rFonts w:ascii="Verdana" w:hAnsi="Verdana"/>
          <w:sz w:val="20"/>
          <w:szCs w:val="20"/>
          <w:lang w:val="en-US"/>
        </w:rPr>
        <w:t xml:space="preserve"> case law of the</w:t>
      </w:r>
      <w:r w:rsidR="00193CBB" w:rsidRPr="00C9465D">
        <w:rPr>
          <w:rFonts w:ascii="Verdana" w:hAnsi="Verdana"/>
          <w:sz w:val="20"/>
          <w:szCs w:val="20"/>
          <w:lang w:val="en-US"/>
        </w:rPr>
        <w:t xml:space="preserve"> </w:t>
      </w:r>
      <w:r w:rsidR="0021004C" w:rsidRPr="00C9465D">
        <w:rPr>
          <w:rFonts w:ascii="Verdana" w:hAnsi="Verdana"/>
          <w:sz w:val="20"/>
          <w:szCs w:val="20"/>
          <w:lang w:val="en-US"/>
        </w:rPr>
        <w:t>IACtHR</w:t>
      </w:r>
      <w:r w:rsidRPr="00C9465D">
        <w:rPr>
          <w:rFonts w:ascii="Verdana" w:hAnsi="Verdana"/>
          <w:sz w:val="20"/>
          <w:szCs w:val="20"/>
          <w:lang w:val="en-US"/>
        </w:rPr>
        <w:t xml:space="preserve"> </w:t>
      </w:r>
      <w:r w:rsidR="002632CD" w:rsidRPr="00C9465D">
        <w:rPr>
          <w:rFonts w:ascii="Verdana" w:hAnsi="Verdana"/>
          <w:sz w:val="20"/>
          <w:szCs w:val="20"/>
          <w:lang w:val="en-US"/>
        </w:rPr>
        <w:t>in cases of</w:t>
      </w:r>
      <w:r w:rsidRPr="00C9465D">
        <w:rPr>
          <w:rFonts w:ascii="Verdana" w:hAnsi="Verdana"/>
          <w:sz w:val="20"/>
          <w:szCs w:val="20"/>
          <w:lang w:val="en-US"/>
        </w:rPr>
        <w:t xml:space="preserve"> </w:t>
      </w:r>
      <w:r w:rsidR="00CF3A9D" w:rsidRPr="00C9465D">
        <w:rPr>
          <w:rFonts w:ascii="Verdana" w:hAnsi="Verdana"/>
          <w:sz w:val="20"/>
          <w:szCs w:val="20"/>
          <w:lang w:val="en-US"/>
        </w:rPr>
        <w:t>forced disappearance</w:t>
      </w:r>
      <w:r w:rsidRPr="00C9465D">
        <w:rPr>
          <w:rFonts w:ascii="Verdana" w:hAnsi="Verdana"/>
          <w:b/>
          <w:i/>
          <w:sz w:val="20"/>
          <w:szCs w:val="20"/>
          <w:lang w:val="en-US"/>
        </w:rPr>
        <w:t xml:space="preserve"> </w:t>
      </w:r>
      <w:r w:rsidR="002632CD" w:rsidRPr="00C9465D">
        <w:rPr>
          <w:rFonts w:ascii="Verdana" w:hAnsi="Verdana"/>
          <w:sz w:val="20"/>
          <w:szCs w:val="20"/>
          <w:lang w:val="en-US"/>
        </w:rPr>
        <w:t>has established the elements that should be present to constitute</w:t>
      </w:r>
      <w:r w:rsidRPr="00C9465D">
        <w:rPr>
          <w:rFonts w:ascii="Verdana" w:hAnsi="Verdana"/>
          <w:sz w:val="20"/>
          <w:szCs w:val="20"/>
          <w:lang w:val="en-US"/>
        </w:rPr>
        <w:t xml:space="preserve"> </w:t>
      </w:r>
      <w:r w:rsidR="00183C22" w:rsidRPr="00C9465D">
        <w:rPr>
          <w:rFonts w:ascii="Verdana" w:hAnsi="Verdana"/>
          <w:sz w:val="20"/>
          <w:szCs w:val="20"/>
          <w:lang w:val="en-US"/>
        </w:rPr>
        <w:t>a violation</w:t>
      </w:r>
      <w:r w:rsidRPr="00C9465D">
        <w:rPr>
          <w:rFonts w:ascii="Verdana" w:hAnsi="Verdana"/>
          <w:sz w:val="20"/>
          <w:szCs w:val="20"/>
          <w:lang w:val="en-US"/>
        </w:rPr>
        <w:t xml:space="preserve"> </w:t>
      </w:r>
      <w:r w:rsidR="002632CD" w:rsidRPr="00C9465D">
        <w:rPr>
          <w:rFonts w:ascii="Verdana" w:hAnsi="Verdana"/>
          <w:sz w:val="20"/>
          <w:szCs w:val="20"/>
          <w:lang w:val="en-US"/>
        </w:rPr>
        <w:t>of the American Convention. “It is necessary that the acts or omissions that resulted in this violation can be attributed to the defendant State. Those acts or omissions may have been committed by any power or organ of the State, regardless of its rank. Taking into account the dispute that exists, the Court will proceed to analyze whether the alleged facts can be attributed to the State and, then, if necessary, it will determine whether they constitute violations of the American Convention and the other international treaties cited.”</w:t>
      </w:r>
      <w:r w:rsidRPr="00C9465D">
        <w:rPr>
          <w:rStyle w:val="FootnoteReference"/>
          <w:rFonts w:ascii="Verdana" w:hAnsi="Verdana"/>
          <w:sz w:val="20"/>
          <w:szCs w:val="20"/>
          <w:lang w:val="en-US"/>
        </w:rPr>
        <w:footnoteReference w:id="502"/>
      </w:r>
      <w:r w:rsidRPr="00C9465D">
        <w:rPr>
          <w:rFonts w:ascii="Verdana" w:hAnsi="Verdana"/>
          <w:sz w:val="20"/>
          <w:szCs w:val="20"/>
          <w:lang w:val="en-US"/>
        </w:rPr>
        <w:t xml:space="preserve"> </w:t>
      </w:r>
      <w:r w:rsidR="002632CD" w:rsidRPr="00C9465D">
        <w:rPr>
          <w:rFonts w:ascii="Verdana" w:hAnsi="Verdana"/>
          <w:sz w:val="20"/>
          <w:szCs w:val="20"/>
          <w:lang w:val="en-US"/>
        </w:rPr>
        <w:t xml:space="preserve">It has also established that it must occur within the context of a “systematic and generalized practice of forced disappearances, political persecution, or other human rights violations and therefore cannot be used to corroborate other </w:t>
      </w:r>
      <w:r w:rsidR="00065723" w:rsidRPr="00C9465D">
        <w:rPr>
          <w:rFonts w:ascii="Verdana" w:hAnsi="Verdana"/>
          <w:sz w:val="20"/>
          <w:szCs w:val="20"/>
          <w:lang w:val="en-US"/>
        </w:rPr>
        <w:t>probative elements</w:t>
      </w:r>
      <w:r w:rsidRPr="00C9465D">
        <w:rPr>
          <w:rFonts w:ascii="Verdana" w:hAnsi="Verdana"/>
          <w:sz w:val="20"/>
          <w:szCs w:val="20"/>
          <w:lang w:val="en-US"/>
        </w:rPr>
        <w:t>.</w:t>
      </w:r>
      <w:r w:rsidR="00065723" w:rsidRPr="00C9465D">
        <w:rPr>
          <w:rFonts w:ascii="Verdana" w:hAnsi="Verdana"/>
          <w:sz w:val="20"/>
          <w:szCs w:val="20"/>
          <w:lang w:val="en-US"/>
        </w:rPr>
        <w:t>”</w:t>
      </w:r>
      <w:r w:rsidRPr="00C9465D">
        <w:rPr>
          <w:rStyle w:val="FootnoteReference"/>
          <w:rFonts w:ascii="Verdana" w:hAnsi="Verdana"/>
          <w:sz w:val="20"/>
          <w:szCs w:val="20"/>
          <w:lang w:val="en-US"/>
        </w:rPr>
        <w:footnoteReference w:id="503"/>
      </w:r>
      <w:r w:rsidRPr="00C9465D">
        <w:rPr>
          <w:rFonts w:ascii="Verdana" w:hAnsi="Verdana"/>
          <w:sz w:val="20"/>
          <w:szCs w:val="20"/>
          <w:lang w:val="en-US"/>
        </w:rPr>
        <w:t xml:space="preserve"> </w:t>
      </w:r>
    </w:p>
    <w:p w14:paraId="7E97B550" w14:textId="56EBEE2E" w:rsidR="00F4157D" w:rsidRPr="00C9465D" w:rsidRDefault="00F4157D" w:rsidP="00F4157D">
      <w:pPr>
        <w:spacing w:line="240" w:lineRule="auto"/>
        <w:jc w:val="both"/>
        <w:rPr>
          <w:rFonts w:ascii="Verdana" w:hAnsi="Verdana"/>
          <w:sz w:val="20"/>
          <w:szCs w:val="20"/>
          <w:lang w:val="en-US"/>
        </w:rPr>
      </w:pPr>
      <w:r w:rsidRPr="00C9465D">
        <w:rPr>
          <w:rFonts w:ascii="Verdana" w:hAnsi="Verdana"/>
          <w:sz w:val="20"/>
          <w:szCs w:val="20"/>
          <w:lang w:val="en-US"/>
        </w:rPr>
        <w:t>2</w:t>
      </w:r>
      <w:r w:rsidR="001E6EE3" w:rsidRPr="00C9465D">
        <w:rPr>
          <w:rFonts w:ascii="Verdana" w:hAnsi="Verdana"/>
          <w:sz w:val="20"/>
          <w:szCs w:val="20"/>
          <w:lang w:val="en-US"/>
        </w:rPr>
        <w:t>8</w:t>
      </w:r>
      <w:r w:rsidRPr="00C9465D">
        <w:rPr>
          <w:rFonts w:ascii="Verdana" w:hAnsi="Verdana"/>
          <w:sz w:val="20"/>
          <w:szCs w:val="20"/>
          <w:lang w:val="en-US"/>
        </w:rPr>
        <w:t>.</w:t>
      </w:r>
      <w:r w:rsidRPr="00C9465D">
        <w:rPr>
          <w:rFonts w:ascii="Verdana" w:hAnsi="Verdana"/>
          <w:sz w:val="20"/>
          <w:szCs w:val="20"/>
          <w:lang w:val="en-US"/>
        </w:rPr>
        <w:tab/>
      </w:r>
      <w:r w:rsidR="00183C22" w:rsidRPr="00C9465D">
        <w:rPr>
          <w:rFonts w:ascii="Verdana" w:hAnsi="Verdana"/>
          <w:sz w:val="20"/>
          <w:szCs w:val="20"/>
          <w:lang w:val="en-US"/>
        </w:rPr>
        <w:t xml:space="preserve">The </w:t>
      </w:r>
      <w:r w:rsidR="00C74790" w:rsidRPr="00C9465D">
        <w:rPr>
          <w:rFonts w:ascii="Verdana" w:hAnsi="Verdana"/>
          <w:sz w:val="20"/>
          <w:szCs w:val="20"/>
          <w:lang w:val="en-US"/>
        </w:rPr>
        <w:t>European Court of Human Rights</w:t>
      </w:r>
      <w:r w:rsidR="00491E2E" w:rsidRPr="00C9465D">
        <w:rPr>
          <w:rFonts w:ascii="Verdana" w:hAnsi="Verdana"/>
          <w:sz w:val="20"/>
          <w:szCs w:val="20"/>
          <w:lang w:val="en-US"/>
        </w:rPr>
        <w:t xml:space="preserve"> took into account the element</w:t>
      </w:r>
      <w:r w:rsidR="001E6EE3" w:rsidRPr="00C9465D">
        <w:rPr>
          <w:rFonts w:ascii="Verdana" w:hAnsi="Verdana"/>
          <w:sz w:val="20"/>
          <w:szCs w:val="20"/>
          <w:lang w:val="en-US"/>
        </w:rPr>
        <w:t xml:space="preserve"> of systematicity </w:t>
      </w:r>
      <w:r w:rsidR="00491E2E" w:rsidRPr="00C9465D">
        <w:rPr>
          <w:rFonts w:ascii="Verdana" w:hAnsi="Verdana"/>
          <w:sz w:val="20"/>
          <w:szCs w:val="20"/>
          <w:lang w:val="en-US"/>
        </w:rPr>
        <w:t xml:space="preserve">when examining the case of </w:t>
      </w:r>
      <w:r w:rsidRPr="00C9465D">
        <w:rPr>
          <w:rFonts w:ascii="Verdana" w:hAnsi="Verdana"/>
          <w:sz w:val="20"/>
          <w:szCs w:val="20"/>
          <w:lang w:val="en-US"/>
        </w:rPr>
        <w:t>Antonio Gutiérrez Dorado</w:t>
      </w:r>
      <w:r w:rsidR="00193CBB" w:rsidRPr="00C9465D">
        <w:rPr>
          <w:rFonts w:ascii="Verdana" w:hAnsi="Verdana"/>
          <w:sz w:val="20"/>
          <w:szCs w:val="20"/>
          <w:lang w:val="en-US"/>
        </w:rPr>
        <w:t xml:space="preserve"> and </w:t>
      </w:r>
      <w:r w:rsidRPr="00C9465D">
        <w:rPr>
          <w:rFonts w:ascii="Verdana" w:hAnsi="Verdana"/>
          <w:sz w:val="20"/>
          <w:szCs w:val="20"/>
          <w:lang w:val="en-US"/>
        </w:rPr>
        <w:t xml:space="preserve">Carmen Dorado Ortíz </w:t>
      </w:r>
      <w:r w:rsidR="00491E2E" w:rsidRPr="00C9465D">
        <w:rPr>
          <w:rFonts w:ascii="Verdana" w:hAnsi="Verdana"/>
          <w:sz w:val="20"/>
          <w:szCs w:val="20"/>
          <w:lang w:val="en-US"/>
        </w:rPr>
        <w:t>against Spain</w:t>
      </w:r>
      <w:r w:rsidRPr="00C9465D">
        <w:rPr>
          <w:rFonts w:ascii="Verdana" w:hAnsi="Verdana"/>
          <w:sz w:val="20"/>
          <w:szCs w:val="20"/>
          <w:lang w:val="en-US"/>
        </w:rPr>
        <w:t>.</w:t>
      </w:r>
    </w:p>
    <w:p w14:paraId="35BE34DB" w14:textId="4789E4A8" w:rsidR="00065723" w:rsidRPr="00C9465D" w:rsidRDefault="00F4157D" w:rsidP="00F4157D">
      <w:pPr>
        <w:spacing w:line="240" w:lineRule="auto"/>
        <w:jc w:val="both"/>
        <w:rPr>
          <w:rFonts w:ascii="Verdana" w:hAnsi="Verdana"/>
          <w:sz w:val="20"/>
          <w:szCs w:val="20"/>
          <w:lang w:val="en-US"/>
        </w:rPr>
      </w:pPr>
      <w:r w:rsidRPr="00C9465D">
        <w:rPr>
          <w:rFonts w:ascii="Verdana" w:hAnsi="Verdana"/>
          <w:sz w:val="20"/>
          <w:szCs w:val="20"/>
          <w:lang w:val="en-US"/>
        </w:rPr>
        <w:lastRenderedPageBreak/>
        <w:t xml:space="preserve">24. </w:t>
      </w:r>
      <w:r w:rsidR="006B644A" w:rsidRPr="00C9465D">
        <w:rPr>
          <w:rFonts w:ascii="Verdana" w:hAnsi="Verdana"/>
          <w:sz w:val="20"/>
          <w:szCs w:val="20"/>
          <w:lang w:val="en-US"/>
        </w:rPr>
        <w:tab/>
      </w:r>
      <w:r w:rsidR="00065723" w:rsidRPr="00C9465D">
        <w:rPr>
          <w:rFonts w:ascii="Verdana" w:hAnsi="Verdana"/>
          <w:sz w:val="20"/>
          <w:szCs w:val="20"/>
          <w:lang w:val="en-US"/>
        </w:rPr>
        <w:t xml:space="preserve">In this case, even though some elements of </w:t>
      </w:r>
      <w:r w:rsidR="00CF3A9D" w:rsidRPr="00C9465D">
        <w:rPr>
          <w:rFonts w:ascii="Verdana" w:hAnsi="Verdana"/>
          <w:sz w:val="20"/>
          <w:szCs w:val="20"/>
          <w:lang w:val="en-US"/>
        </w:rPr>
        <w:t>forced disappearance</w:t>
      </w:r>
      <w:r w:rsidR="00065723" w:rsidRPr="00C9465D">
        <w:rPr>
          <w:rFonts w:ascii="Verdana" w:hAnsi="Verdana"/>
          <w:sz w:val="20"/>
          <w:szCs w:val="20"/>
          <w:lang w:val="en-US"/>
        </w:rPr>
        <w:t xml:space="preserve"> are present, the element of </w:t>
      </w:r>
      <w:r w:rsidR="001E6EE3" w:rsidRPr="00C9465D">
        <w:rPr>
          <w:rFonts w:ascii="Verdana" w:hAnsi="Verdana"/>
          <w:sz w:val="20"/>
          <w:szCs w:val="20"/>
          <w:lang w:val="en-US"/>
        </w:rPr>
        <w:t>systematicity does</w:t>
      </w:r>
      <w:r w:rsidR="00065723" w:rsidRPr="00C9465D">
        <w:rPr>
          <w:rFonts w:ascii="Verdana" w:hAnsi="Verdana"/>
          <w:sz w:val="20"/>
          <w:szCs w:val="20"/>
          <w:lang w:val="en-US"/>
        </w:rPr>
        <w:t xml:space="preserve"> not appear, because a systematic process by the State and its agents to disappear patients interned in psychiatric hospital has not been cited or noted. Since disappearance is a situation that subsists over time </w:t>
      </w:r>
      <w:r w:rsidR="000173B2" w:rsidRPr="00C9465D">
        <w:rPr>
          <w:rFonts w:ascii="Verdana" w:hAnsi="Verdana"/>
          <w:sz w:val="20"/>
          <w:szCs w:val="20"/>
          <w:lang w:val="en-US"/>
        </w:rPr>
        <w:t>without interruption, this conclusion determines that the proce</w:t>
      </w:r>
      <w:r w:rsidR="001E6EE3" w:rsidRPr="00C9465D">
        <w:rPr>
          <w:rFonts w:ascii="Verdana" w:hAnsi="Verdana"/>
          <w:sz w:val="20"/>
          <w:szCs w:val="20"/>
          <w:lang w:val="en-US"/>
        </w:rPr>
        <w:t>sses</w:t>
      </w:r>
      <w:r w:rsidR="000173B2" w:rsidRPr="00C9465D">
        <w:rPr>
          <w:rFonts w:ascii="Verdana" w:hAnsi="Verdana"/>
          <w:sz w:val="20"/>
          <w:szCs w:val="20"/>
          <w:lang w:val="en-US"/>
        </w:rPr>
        <w:t xml:space="preserve"> for the search and </w:t>
      </w:r>
      <w:r w:rsidR="001E6EE3" w:rsidRPr="00C9465D">
        <w:rPr>
          <w:rFonts w:ascii="Verdana" w:hAnsi="Verdana"/>
          <w:sz w:val="20"/>
          <w:szCs w:val="20"/>
          <w:lang w:val="en-US"/>
        </w:rPr>
        <w:t>location of Mr. Guachalá</w:t>
      </w:r>
      <w:r w:rsidR="000173B2" w:rsidRPr="00C9465D">
        <w:rPr>
          <w:rFonts w:ascii="Verdana" w:hAnsi="Verdana"/>
          <w:sz w:val="20"/>
          <w:szCs w:val="20"/>
          <w:lang w:val="en-US"/>
        </w:rPr>
        <w:t xml:space="preserve">, and </w:t>
      </w:r>
      <w:r w:rsidR="001E6EE3" w:rsidRPr="00C9465D">
        <w:rPr>
          <w:rFonts w:ascii="Verdana" w:hAnsi="Verdana"/>
          <w:sz w:val="20"/>
          <w:szCs w:val="20"/>
          <w:lang w:val="en-US"/>
        </w:rPr>
        <w:t xml:space="preserve">the </w:t>
      </w:r>
      <w:r w:rsidR="000173B2" w:rsidRPr="00C9465D">
        <w:rPr>
          <w:rFonts w:ascii="Verdana" w:hAnsi="Verdana"/>
          <w:sz w:val="20"/>
          <w:szCs w:val="20"/>
          <w:lang w:val="en-US"/>
        </w:rPr>
        <w:t xml:space="preserve">eventual holding responsible of the </w:t>
      </w:r>
      <w:r w:rsidR="001E6EE3" w:rsidRPr="00C9465D">
        <w:rPr>
          <w:rFonts w:ascii="Verdana" w:hAnsi="Verdana"/>
          <w:sz w:val="20"/>
          <w:szCs w:val="20"/>
          <w:lang w:val="en-US"/>
        </w:rPr>
        <w:t>hypothetical perpetrators</w:t>
      </w:r>
      <w:r w:rsidR="000173B2" w:rsidRPr="00C9465D">
        <w:rPr>
          <w:rFonts w:ascii="Verdana" w:hAnsi="Verdana"/>
          <w:sz w:val="20"/>
          <w:szCs w:val="20"/>
          <w:lang w:val="en-US"/>
        </w:rPr>
        <w:t xml:space="preserve"> remain </w:t>
      </w:r>
      <w:r w:rsidR="001E6EE3" w:rsidRPr="00C9465D">
        <w:rPr>
          <w:rFonts w:ascii="Verdana" w:hAnsi="Verdana"/>
          <w:sz w:val="20"/>
          <w:szCs w:val="20"/>
          <w:lang w:val="en-US"/>
        </w:rPr>
        <w:t>open</w:t>
      </w:r>
      <w:r w:rsidR="000173B2" w:rsidRPr="00C9465D">
        <w:rPr>
          <w:rFonts w:ascii="Verdana" w:hAnsi="Verdana"/>
          <w:sz w:val="20"/>
          <w:szCs w:val="20"/>
          <w:lang w:val="en-US"/>
        </w:rPr>
        <w:t>.</w:t>
      </w:r>
    </w:p>
    <w:p w14:paraId="14B32C76" w14:textId="77777777" w:rsidR="00F4157D" w:rsidRPr="00C9465D" w:rsidRDefault="00F4157D" w:rsidP="00F4157D">
      <w:pPr>
        <w:jc w:val="both"/>
        <w:rPr>
          <w:rFonts w:ascii="Verdana" w:hAnsi="Verdana"/>
          <w:sz w:val="20"/>
          <w:szCs w:val="20"/>
          <w:lang w:val="en-US"/>
        </w:rPr>
      </w:pPr>
    </w:p>
    <w:p w14:paraId="38BD79C4" w14:textId="77777777" w:rsidR="00F4157D" w:rsidRPr="00C9465D" w:rsidRDefault="00F4157D" w:rsidP="00F4157D">
      <w:pPr>
        <w:jc w:val="both"/>
        <w:rPr>
          <w:rFonts w:ascii="Verdana" w:hAnsi="Verdana"/>
          <w:sz w:val="20"/>
          <w:szCs w:val="20"/>
          <w:lang w:val="en-US"/>
        </w:rPr>
      </w:pPr>
    </w:p>
    <w:p w14:paraId="57F5384E" w14:textId="77777777" w:rsidR="00F4157D" w:rsidRPr="00C9465D" w:rsidRDefault="00F4157D" w:rsidP="00F4157D">
      <w:pPr>
        <w:spacing w:after="0" w:line="240" w:lineRule="auto"/>
        <w:ind w:left="5664"/>
        <w:jc w:val="center"/>
        <w:rPr>
          <w:rFonts w:ascii="Verdana" w:eastAsia="Times New Roman" w:hAnsi="Verdana"/>
          <w:sz w:val="20"/>
          <w:szCs w:val="20"/>
          <w:lang w:val="en-US"/>
        </w:rPr>
      </w:pPr>
      <w:r w:rsidRPr="00C9465D">
        <w:rPr>
          <w:rFonts w:ascii="Verdana" w:eastAsia="Times New Roman" w:hAnsi="Verdana"/>
          <w:sz w:val="20"/>
          <w:szCs w:val="20"/>
          <w:lang w:val="en-US"/>
        </w:rPr>
        <w:t>Ricardo C. Pérez Manrique</w:t>
      </w:r>
    </w:p>
    <w:p w14:paraId="757DFBF3" w14:textId="70616DD4" w:rsidR="00F4157D" w:rsidRPr="00C971B8" w:rsidRDefault="002F03AA" w:rsidP="002F03AA">
      <w:pPr>
        <w:tabs>
          <w:tab w:val="left" w:pos="7110"/>
        </w:tabs>
        <w:spacing w:after="0" w:line="240" w:lineRule="auto"/>
        <w:jc w:val="both"/>
        <w:rPr>
          <w:rFonts w:ascii="Verdana" w:hAnsi="Verdana"/>
          <w:i/>
          <w:sz w:val="20"/>
          <w:szCs w:val="20"/>
          <w:lang w:val="en-US"/>
        </w:rPr>
      </w:pPr>
      <w:r w:rsidRPr="00C9465D">
        <w:rPr>
          <w:rFonts w:ascii="Verdana" w:eastAsia="Times New Roman" w:hAnsi="Verdana"/>
          <w:sz w:val="20"/>
          <w:szCs w:val="20"/>
          <w:lang w:val="en-US"/>
        </w:rPr>
        <w:tab/>
      </w:r>
      <w:r w:rsidR="00193CBB" w:rsidRPr="00C9465D">
        <w:rPr>
          <w:rFonts w:ascii="Verdana" w:eastAsia="Times New Roman" w:hAnsi="Verdana"/>
          <w:sz w:val="20"/>
          <w:szCs w:val="20"/>
          <w:lang w:val="en-US"/>
        </w:rPr>
        <w:t>Judge</w:t>
      </w:r>
    </w:p>
    <w:p w14:paraId="150724A3" w14:textId="24E7EEFC" w:rsidR="00AD1EDB" w:rsidRPr="00C971B8" w:rsidRDefault="00AD1EDB" w:rsidP="00AD1EDB">
      <w:pPr>
        <w:spacing w:after="0" w:line="240" w:lineRule="auto"/>
        <w:rPr>
          <w:rFonts w:ascii="Verdana" w:eastAsia="Times New Roman" w:hAnsi="Verdana" w:cs="Times New Roman"/>
          <w:sz w:val="20"/>
          <w:szCs w:val="20"/>
          <w:lang w:val="en-US"/>
        </w:rPr>
      </w:pPr>
    </w:p>
    <w:sectPr w:rsidR="00AD1EDB" w:rsidRPr="00C971B8" w:rsidSect="00F4157D">
      <w:headerReference w:type="default" r:id="rId12"/>
      <w:footerReference w:type="default" r:id="rId13"/>
      <w:footnotePr>
        <w:numRestart w:val="eachSect"/>
      </w:footnotePr>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110F9" w14:textId="77777777" w:rsidR="003C0F5F" w:rsidRDefault="003C0F5F" w:rsidP="00087FB8">
      <w:pPr>
        <w:spacing w:after="0" w:line="240" w:lineRule="auto"/>
      </w:pPr>
      <w:r>
        <w:separator/>
      </w:r>
    </w:p>
  </w:endnote>
  <w:endnote w:type="continuationSeparator" w:id="0">
    <w:p w14:paraId="2345200F" w14:textId="77777777" w:rsidR="003C0F5F" w:rsidRDefault="003C0F5F" w:rsidP="0008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Italic">
    <w:altName w:val="Book Antiqua"/>
    <w:charset w:val="4D"/>
    <w:family w:val="auto"/>
    <w:pitch w:val="variable"/>
    <w:sig w:usb0="A00002FF" w:usb1="7800205A" w:usb2="146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iddenHorzOCR">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8070000" w:usb2="00000010" w:usb3="00000000" w:csb0="00020001" w:csb1="00000000"/>
  </w:font>
  <w:font w:name="TimesNewRoman,Italic">
    <w:panose1 w:val="00000000000000000000"/>
    <w:charset w:val="00"/>
    <w:family w:val="roman"/>
    <w:notTrueType/>
    <w:pitch w:val="default"/>
    <w:sig w:usb0="00000003" w:usb1="00000000" w:usb2="00000000" w:usb3="00000000" w:csb0="00000001" w:csb1="00000000"/>
  </w:font>
  <w:font w:name="DejaVuSans">
    <w:panose1 w:val="00000000000000000000"/>
    <w:charset w:val="00"/>
    <w:family w:val="roman"/>
    <w:notTrueType/>
    <w:pitch w:val="default"/>
  </w:font>
  <w:font w:name="GillSans-Light">
    <w:panose1 w:val="00000000000000000000"/>
    <w:charset w:val="00"/>
    <w:family w:val="swiss"/>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611526"/>
      <w:docPartObj>
        <w:docPartGallery w:val="Page Numbers (Bottom of Page)"/>
        <w:docPartUnique/>
      </w:docPartObj>
    </w:sdtPr>
    <w:sdtEndPr/>
    <w:sdtContent>
      <w:p w14:paraId="47D33A70" w14:textId="218A0F80" w:rsidR="00300482" w:rsidRDefault="00300482">
        <w:pPr>
          <w:pStyle w:val="Footer"/>
          <w:jc w:val="center"/>
        </w:pPr>
        <w:r>
          <w:fldChar w:fldCharType="begin"/>
        </w:r>
        <w:r>
          <w:instrText>PAGE   \* MERGEFORMAT</w:instrText>
        </w:r>
        <w:r>
          <w:fldChar w:fldCharType="separate"/>
        </w:r>
        <w:r w:rsidR="00575621" w:rsidRPr="00575621">
          <w:rPr>
            <w:noProof/>
            <w:lang w:val="es-ES"/>
          </w:rPr>
          <w:t>77</w:t>
        </w:r>
        <w:r>
          <w:fldChar w:fldCharType="end"/>
        </w:r>
      </w:p>
    </w:sdtContent>
  </w:sdt>
  <w:p w14:paraId="7B5B248D" w14:textId="77777777" w:rsidR="00300482" w:rsidRDefault="00300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653154"/>
      <w:docPartObj>
        <w:docPartGallery w:val="Page Numbers (Bottom of Page)"/>
        <w:docPartUnique/>
      </w:docPartObj>
    </w:sdtPr>
    <w:sdtEndPr/>
    <w:sdtContent>
      <w:p w14:paraId="00D9AD99" w14:textId="77777777" w:rsidR="00332D36" w:rsidRDefault="00D47F8D">
        <w:pPr>
          <w:pStyle w:val="Footer"/>
          <w:jc w:val="center"/>
        </w:pPr>
        <w:r>
          <w:fldChar w:fldCharType="begin"/>
        </w:r>
        <w:r>
          <w:instrText>PAGE   \* MERGEFORMAT</w:instrText>
        </w:r>
        <w:r>
          <w:fldChar w:fldCharType="separate"/>
        </w:r>
        <w:r w:rsidRPr="0041223F">
          <w:rPr>
            <w:noProof/>
            <w:lang w:val="es-ES"/>
          </w:rPr>
          <w:t>1</w:t>
        </w:r>
        <w:r>
          <w:fldChar w:fldCharType="end"/>
        </w:r>
      </w:p>
    </w:sdtContent>
  </w:sdt>
  <w:p w14:paraId="39E56A07" w14:textId="77777777" w:rsidR="00332D36" w:rsidRDefault="003C0F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1538012412"/>
      <w:docPartObj>
        <w:docPartGallery w:val="Page Numbers (Bottom of Page)"/>
        <w:docPartUnique/>
      </w:docPartObj>
    </w:sdtPr>
    <w:sdtEndPr/>
    <w:sdtContent>
      <w:p w14:paraId="3855D7BA" w14:textId="77777777" w:rsidR="006829D3" w:rsidRPr="006829D3" w:rsidRDefault="00D47F8D">
        <w:pPr>
          <w:pStyle w:val="Footer"/>
          <w:jc w:val="center"/>
          <w:rPr>
            <w:rFonts w:ascii="Verdana" w:hAnsi="Verdana"/>
            <w:sz w:val="20"/>
            <w:szCs w:val="20"/>
          </w:rPr>
        </w:pPr>
        <w:r w:rsidRPr="006829D3">
          <w:rPr>
            <w:rFonts w:ascii="Verdana" w:hAnsi="Verdana"/>
            <w:sz w:val="20"/>
            <w:szCs w:val="20"/>
          </w:rPr>
          <w:fldChar w:fldCharType="begin"/>
        </w:r>
        <w:r w:rsidRPr="006829D3">
          <w:rPr>
            <w:rFonts w:ascii="Verdana" w:hAnsi="Verdana"/>
            <w:sz w:val="20"/>
            <w:szCs w:val="20"/>
          </w:rPr>
          <w:instrText>PAGE   \* MERGEFORMAT</w:instrText>
        </w:r>
        <w:r w:rsidRPr="006829D3">
          <w:rPr>
            <w:rFonts w:ascii="Verdana" w:hAnsi="Verdana"/>
            <w:sz w:val="20"/>
            <w:szCs w:val="20"/>
          </w:rPr>
          <w:fldChar w:fldCharType="separate"/>
        </w:r>
        <w:r w:rsidRPr="00014E2C">
          <w:rPr>
            <w:rFonts w:ascii="Verdana" w:hAnsi="Verdana"/>
            <w:noProof/>
            <w:sz w:val="20"/>
            <w:szCs w:val="20"/>
            <w:lang w:val="es-ES"/>
          </w:rPr>
          <w:t>8</w:t>
        </w:r>
        <w:r w:rsidRPr="006829D3">
          <w:rPr>
            <w:rFonts w:ascii="Verdana" w:hAnsi="Verdana"/>
            <w:sz w:val="20"/>
            <w:szCs w:val="20"/>
          </w:rPr>
          <w:fldChar w:fldCharType="end"/>
        </w:r>
      </w:p>
    </w:sdtContent>
  </w:sdt>
  <w:p w14:paraId="5041D4EF" w14:textId="77777777" w:rsidR="00A12BE8" w:rsidRDefault="003C0F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D34F" w14:textId="77777777" w:rsidR="00A34B8D" w:rsidRDefault="00D47F8D">
    <w:pPr>
      <w:pStyle w:val="Footer"/>
      <w:jc w:val="right"/>
    </w:pPr>
    <w:r>
      <w:fldChar w:fldCharType="begin"/>
    </w:r>
    <w:r>
      <w:instrText>PAGE   \* MERGEFORMAT</w:instrText>
    </w:r>
    <w:r>
      <w:fldChar w:fldCharType="separate"/>
    </w:r>
    <w:r w:rsidRPr="009F76B4">
      <w:rPr>
        <w:noProof/>
        <w:lang w:val="es-ES"/>
      </w:rPr>
      <w:t>1</w:t>
    </w:r>
    <w:r>
      <w:fldChar w:fldCharType="end"/>
    </w:r>
  </w:p>
  <w:p w14:paraId="66EF481A" w14:textId="77777777" w:rsidR="00A34B8D" w:rsidRDefault="003C0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B01E" w14:textId="77777777" w:rsidR="003C0F5F" w:rsidRDefault="003C0F5F" w:rsidP="00087FB8">
      <w:pPr>
        <w:spacing w:after="0" w:line="240" w:lineRule="auto"/>
      </w:pPr>
      <w:r>
        <w:separator/>
      </w:r>
    </w:p>
  </w:footnote>
  <w:footnote w:type="continuationSeparator" w:id="0">
    <w:p w14:paraId="43EA8CA6" w14:textId="77777777" w:rsidR="003C0F5F" w:rsidRDefault="003C0F5F" w:rsidP="00087FB8">
      <w:pPr>
        <w:spacing w:after="0" w:line="240" w:lineRule="auto"/>
      </w:pPr>
      <w:r>
        <w:continuationSeparator/>
      </w:r>
    </w:p>
  </w:footnote>
  <w:footnote w:id="1">
    <w:p w14:paraId="2B7D5B73" w14:textId="75C75A7F" w:rsidR="00300482" w:rsidRPr="00C9465D" w:rsidRDefault="00300482" w:rsidP="00BD26CF">
      <w:pPr>
        <w:pStyle w:val="Footnotes"/>
        <w:tabs>
          <w:tab w:val="clear" w:pos="426"/>
          <w:tab w:val="left" w:pos="567"/>
        </w:tabs>
        <w:spacing w:before="0"/>
        <w:rPr>
          <w:lang w:val="en-US"/>
        </w:rPr>
      </w:pPr>
      <w:r w:rsidRPr="00C9465D">
        <w:rPr>
          <w:rStyle w:val="FootnoteReference"/>
          <w:spacing w:val="0"/>
          <w:lang w:val="en-US"/>
        </w:rPr>
        <w:t>*</w:t>
      </w:r>
      <w:r w:rsidRPr="00C9465D">
        <w:rPr>
          <w:lang w:val="en-US"/>
        </w:rPr>
        <w:t xml:space="preserve"> </w:t>
      </w:r>
      <w:r w:rsidRPr="00C9465D">
        <w:rPr>
          <w:lang w:val="en-US"/>
        </w:rPr>
        <w:tab/>
      </w:r>
      <w:r w:rsidR="00193CBB" w:rsidRPr="00C9465D">
        <w:rPr>
          <w:lang w:val="en-US"/>
        </w:rPr>
        <w:t>Judge</w:t>
      </w:r>
      <w:r w:rsidRPr="00C9465D">
        <w:rPr>
          <w:lang w:val="en-US"/>
        </w:rPr>
        <w:t xml:space="preserve"> L. Patricio Pazmiño Freire, Vice</w:t>
      </w:r>
      <w:r w:rsidR="00193CBB" w:rsidRPr="00C9465D">
        <w:rPr>
          <w:lang w:val="en-US"/>
        </w:rPr>
        <w:t xml:space="preserve"> P</w:t>
      </w:r>
      <w:r w:rsidRPr="00C9465D">
        <w:rPr>
          <w:lang w:val="en-US"/>
        </w:rPr>
        <w:t>resident</w:t>
      </w:r>
      <w:r w:rsidR="00193CBB" w:rsidRPr="00C9465D">
        <w:rPr>
          <w:lang w:val="en-US"/>
        </w:rPr>
        <w:t xml:space="preserve"> of the Court</w:t>
      </w:r>
      <w:r w:rsidRPr="00C9465D">
        <w:rPr>
          <w:lang w:val="en-US"/>
        </w:rPr>
        <w:t xml:space="preserve">, </w:t>
      </w:r>
      <w:r w:rsidR="00193CBB" w:rsidRPr="00C9465D">
        <w:rPr>
          <w:lang w:val="en-US"/>
        </w:rPr>
        <w:t>an Ecuadorian national, did not take part in either the processing of th</w:t>
      </w:r>
      <w:r w:rsidR="00524861" w:rsidRPr="00C9465D">
        <w:rPr>
          <w:lang w:val="en-US"/>
        </w:rPr>
        <w:t>e</w:t>
      </w:r>
      <w:r w:rsidR="00193CBB" w:rsidRPr="00C9465D">
        <w:rPr>
          <w:lang w:val="en-US"/>
        </w:rPr>
        <w:t xml:space="preserve"> case, or the deliberation and signature of this judgment, in accordance with the provisions of Articles</w:t>
      </w:r>
      <w:r w:rsidRPr="00C9465D">
        <w:rPr>
          <w:lang w:val="en-US"/>
        </w:rPr>
        <w:t xml:space="preserve"> 19</w:t>
      </w:r>
      <w:r w:rsidR="00193CBB" w:rsidRPr="00C9465D">
        <w:rPr>
          <w:lang w:val="en-US"/>
        </w:rPr>
        <w:t>(</w:t>
      </w:r>
      <w:r w:rsidRPr="00C9465D">
        <w:rPr>
          <w:lang w:val="en-US"/>
        </w:rPr>
        <w:t>1</w:t>
      </w:r>
      <w:r w:rsidR="00193CBB" w:rsidRPr="00C9465D">
        <w:rPr>
          <w:lang w:val="en-US"/>
        </w:rPr>
        <w:t xml:space="preserve">) and </w:t>
      </w:r>
      <w:r w:rsidRPr="00C9465D">
        <w:rPr>
          <w:lang w:val="en-US"/>
        </w:rPr>
        <w:t>19</w:t>
      </w:r>
      <w:r w:rsidR="00193CBB" w:rsidRPr="00C9465D">
        <w:rPr>
          <w:lang w:val="en-US"/>
        </w:rPr>
        <w:t>(</w:t>
      </w:r>
      <w:r w:rsidRPr="00C9465D">
        <w:rPr>
          <w:lang w:val="en-US"/>
        </w:rPr>
        <w:t>2</w:t>
      </w:r>
      <w:r w:rsidR="00193CBB" w:rsidRPr="00C9465D">
        <w:rPr>
          <w:lang w:val="en-US"/>
        </w:rPr>
        <w:t>) of the Court’s Rules of Procedure</w:t>
      </w:r>
      <w:r w:rsidRPr="00C9465D">
        <w:rPr>
          <w:lang w:val="en-US"/>
        </w:rPr>
        <w:t>.</w:t>
      </w:r>
    </w:p>
  </w:footnote>
  <w:footnote w:id="2">
    <w:p w14:paraId="05FEAC6A" w14:textId="0C5A4887"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193CBB" w:rsidRPr="00C9465D">
        <w:rPr>
          <w:sz w:val="16"/>
          <w:szCs w:val="16"/>
          <w:lang w:val="en-US"/>
        </w:rPr>
        <w:t>The Commission</w:t>
      </w:r>
      <w:r w:rsidRPr="00C9465D">
        <w:rPr>
          <w:sz w:val="16"/>
          <w:szCs w:val="16"/>
          <w:lang w:val="en-US"/>
        </w:rPr>
        <w:t xml:space="preserve"> conclu</w:t>
      </w:r>
      <w:r w:rsidR="00577DE0" w:rsidRPr="00C9465D">
        <w:rPr>
          <w:sz w:val="16"/>
          <w:szCs w:val="16"/>
          <w:lang w:val="en-US"/>
        </w:rPr>
        <w:t xml:space="preserve">ded that </w:t>
      </w:r>
      <w:r w:rsidR="00193CBB" w:rsidRPr="00C9465D">
        <w:rPr>
          <w:sz w:val="16"/>
          <w:szCs w:val="16"/>
          <w:lang w:val="en-US"/>
        </w:rPr>
        <w:t>the State</w:t>
      </w:r>
      <w:r w:rsidRPr="00C9465D">
        <w:rPr>
          <w:sz w:val="16"/>
          <w:szCs w:val="16"/>
          <w:lang w:val="en-US"/>
        </w:rPr>
        <w:t xml:space="preserve"> </w:t>
      </w:r>
      <w:r w:rsidR="00577DE0" w:rsidRPr="00C9465D">
        <w:rPr>
          <w:sz w:val="16"/>
          <w:szCs w:val="16"/>
          <w:lang w:val="en-US"/>
        </w:rPr>
        <w:t>was responsible for the violation of the rights established in</w:t>
      </w:r>
      <w:r w:rsidRPr="00C9465D">
        <w:rPr>
          <w:sz w:val="16"/>
          <w:szCs w:val="16"/>
          <w:lang w:val="en-US"/>
        </w:rPr>
        <w:t xml:space="preserve"> </w:t>
      </w:r>
      <w:r w:rsidR="00193CBB" w:rsidRPr="00C9465D">
        <w:rPr>
          <w:sz w:val="16"/>
          <w:szCs w:val="16"/>
          <w:lang w:val="en-US"/>
        </w:rPr>
        <w:t>Articles</w:t>
      </w:r>
      <w:r w:rsidRPr="00C9465D">
        <w:rPr>
          <w:sz w:val="16"/>
          <w:szCs w:val="16"/>
          <w:lang w:val="en-US"/>
        </w:rPr>
        <w:t xml:space="preserve"> 3, </w:t>
      </w:r>
      <w:r w:rsidR="00577DE0" w:rsidRPr="00C9465D">
        <w:rPr>
          <w:sz w:val="16"/>
          <w:szCs w:val="16"/>
          <w:lang w:val="en-US"/>
        </w:rPr>
        <w:t>4(1)</w:t>
      </w:r>
      <w:r w:rsidRPr="00C9465D">
        <w:rPr>
          <w:sz w:val="16"/>
          <w:szCs w:val="16"/>
          <w:lang w:val="en-US"/>
        </w:rPr>
        <w:t xml:space="preserve">, </w:t>
      </w:r>
      <w:r w:rsidR="00577DE0" w:rsidRPr="00C9465D">
        <w:rPr>
          <w:sz w:val="16"/>
          <w:szCs w:val="16"/>
          <w:lang w:val="en-US"/>
        </w:rPr>
        <w:t>5(1)</w:t>
      </w:r>
      <w:r w:rsidRPr="00C9465D">
        <w:rPr>
          <w:sz w:val="16"/>
          <w:szCs w:val="16"/>
          <w:lang w:val="en-US"/>
        </w:rPr>
        <w:t xml:space="preserve">, </w:t>
      </w:r>
      <w:r w:rsidR="00577DE0" w:rsidRPr="00C9465D">
        <w:rPr>
          <w:sz w:val="16"/>
          <w:szCs w:val="16"/>
          <w:lang w:val="en-US"/>
        </w:rPr>
        <w:t>7(1)</w:t>
      </w:r>
      <w:r w:rsidRPr="00C9465D">
        <w:rPr>
          <w:sz w:val="16"/>
          <w:szCs w:val="16"/>
          <w:lang w:val="en-US"/>
        </w:rPr>
        <w:t>, 7</w:t>
      </w:r>
      <w:r w:rsidR="00577DE0" w:rsidRPr="00C9465D">
        <w:rPr>
          <w:sz w:val="16"/>
          <w:szCs w:val="16"/>
          <w:lang w:val="en-US"/>
        </w:rPr>
        <w:t>(</w:t>
      </w:r>
      <w:r w:rsidRPr="00C9465D">
        <w:rPr>
          <w:sz w:val="16"/>
          <w:szCs w:val="16"/>
          <w:lang w:val="en-US"/>
        </w:rPr>
        <w:t>3</w:t>
      </w:r>
      <w:r w:rsidR="00577DE0" w:rsidRPr="00C9465D">
        <w:rPr>
          <w:sz w:val="16"/>
          <w:szCs w:val="16"/>
          <w:lang w:val="en-US"/>
        </w:rPr>
        <w:t>)</w:t>
      </w:r>
      <w:r w:rsidRPr="00C9465D">
        <w:rPr>
          <w:sz w:val="16"/>
          <w:szCs w:val="16"/>
          <w:lang w:val="en-US"/>
        </w:rPr>
        <w:t xml:space="preserve">, </w:t>
      </w:r>
      <w:r w:rsidR="00577DE0" w:rsidRPr="00C9465D">
        <w:rPr>
          <w:sz w:val="16"/>
          <w:szCs w:val="16"/>
          <w:lang w:val="en-US"/>
        </w:rPr>
        <w:t>8(1)</w:t>
      </w:r>
      <w:r w:rsidRPr="00C9465D">
        <w:rPr>
          <w:sz w:val="16"/>
          <w:szCs w:val="16"/>
          <w:lang w:val="en-US"/>
        </w:rPr>
        <w:t xml:space="preserve">, </w:t>
      </w:r>
      <w:r w:rsidR="00577DE0" w:rsidRPr="00C9465D">
        <w:rPr>
          <w:sz w:val="16"/>
          <w:szCs w:val="16"/>
          <w:lang w:val="en-US"/>
        </w:rPr>
        <w:t>13(1)</w:t>
      </w:r>
      <w:r w:rsidRPr="00C9465D">
        <w:rPr>
          <w:sz w:val="16"/>
          <w:szCs w:val="16"/>
          <w:lang w:val="en-US"/>
        </w:rPr>
        <w:t>, 24, 2</w:t>
      </w:r>
      <w:r w:rsidR="00577DE0" w:rsidRPr="00C9465D">
        <w:rPr>
          <w:sz w:val="16"/>
          <w:szCs w:val="16"/>
          <w:lang w:val="en-US"/>
        </w:rPr>
        <w:t>5(1)</w:t>
      </w:r>
      <w:r w:rsidR="00193CBB" w:rsidRPr="00C9465D">
        <w:rPr>
          <w:sz w:val="16"/>
          <w:szCs w:val="16"/>
          <w:lang w:val="en-US"/>
        </w:rPr>
        <w:t xml:space="preserve"> and </w:t>
      </w:r>
      <w:r w:rsidRPr="00C9465D">
        <w:rPr>
          <w:sz w:val="16"/>
          <w:szCs w:val="16"/>
          <w:lang w:val="en-US"/>
        </w:rPr>
        <w:t>26</w:t>
      </w:r>
      <w:r w:rsidR="00193CBB" w:rsidRPr="00C9465D">
        <w:rPr>
          <w:sz w:val="16"/>
          <w:szCs w:val="16"/>
          <w:lang w:val="en-US"/>
        </w:rPr>
        <w:t xml:space="preserve"> of the American Convention</w:t>
      </w:r>
      <w:r w:rsidRPr="00C9465D">
        <w:rPr>
          <w:sz w:val="16"/>
          <w:szCs w:val="16"/>
          <w:lang w:val="en-US"/>
        </w:rPr>
        <w:t xml:space="preserve">, </w:t>
      </w:r>
      <w:r w:rsidR="00577DE0" w:rsidRPr="00C9465D">
        <w:rPr>
          <w:sz w:val="16"/>
          <w:szCs w:val="16"/>
          <w:lang w:val="en-US"/>
        </w:rPr>
        <w:t>in relation to the obligations established in</w:t>
      </w:r>
      <w:r w:rsidRPr="00C9465D">
        <w:rPr>
          <w:sz w:val="16"/>
          <w:szCs w:val="16"/>
          <w:lang w:val="en-US"/>
        </w:rPr>
        <w:t xml:space="preserve"> </w:t>
      </w:r>
      <w:r w:rsidR="00577DE0" w:rsidRPr="00C9465D">
        <w:rPr>
          <w:sz w:val="16"/>
          <w:szCs w:val="16"/>
          <w:lang w:val="en-US"/>
        </w:rPr>
        <w:t>Articles 1(1)</w:t>
      </w:r>
      <w:r w:rsidR="00193CBB" w:rsidRPr="00C9465D">
        <w:rPr>
          <w:sz w:val="16"/>
          <w:szCs w:val="16"/>
          <w:lang w:val="en-US"/>
        </w:rPr>
        <w:t xml:space="preserve"> and </w:t>
      </w:r>
      <w:r w:rsidRPr="00C9465D">
        <w:rPr>
          <w:sz w:val="16"/>
          <w:szCs w:val="16"/>
          <w:lang w:val="en-US"/>
        </w:rPr>
        <w:t xml:space="preserve">2 </w:t>
      </w:r>
      <w:r w:rsidR="00577DE0" w:rsidRPr="00C9465D">
        <w:rPr>
          <w:sz w:val="16"/>
          <w:szCs w:val="16"/>
          <w:lang w:val="en-US"/>
        </w:rPr>
        <w:t>of this instrument</w:t>
      </w:r>
      <w:r w:rsidRPr="00C9465D">
        <w:rPr>
          <w:sz w:val="16"/>
          <w:szCs w:val="16"/>
          <w:lang w:val="en-US"/>
        </w:rPr>
        <w:t xml:space="preserve">, </w:t>
      </w:r>
      <w:r w:rsidR="00577DE0" w:rsidRPr="00C9465D">
        <w:rPr>
          <w:sz w:val="16"/>
          <w:szCs w:val="16"/>
          <w:lang w:val="en-US"/>
        </w:rPr>
        <w:t>to the detriment of</w:t>
      </w:r>
      <w:r w:rsidRPr="00C9465D">
        <w:rPr>
          <w:sz w:val="16"/>
          <w:szCs w:val="16"/>
          <w:lang w:val="en-US"/>
        </w:rPr>
        <w:t xml:space="preserve"> Luis Eduardo Guachalá Chimbo</w:t>
      </w:r>
      <w:r w:rsidR="00193CBB" w:rsidRPr="00C9465D">
        <w:rPr>
          <w:sz w:val="16"/>
          <w:szCs w:val="16"/>
          <w:lang w:val="en-US"/>
        </w:rPr>
        <w:t xml:space="preserve"> and</w:t>
      </w:r>
      <w:r w:rsidR="00577DE0" w:rsidRPr="00C9465D">
        <w:rPr>
          <w:sz w:val="16"/>
          <w:szCs w:val="16"/>
          <w:lang w:val="en-US"/>
        </w:rPr>
        <w:t xml:space="preserve"> his family.</w:t>
      </w:r>
    </w:p>
  </w:footnote>
  <w:footnote w:id="3">
    <w:p w14:paraId="1629191B" w14:textId="78C53B32"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193CBB" w:rsidRPr="00C9465D">
        <w:rPr>
          <w:sz w:val="16"/>
          <w:szCs w:val="16"/>
          <w:lang w:val="en-US"/>
        </w:rPr>
        <w:t>The Commission</w:t>
      </w:r>
      <w:r w:rsidRPr="00C9465D">
        <w:rPr>
          <w:sz w:val="16"/>
          <w:szCs w:val="16"/>
          <w:lang w:val="en-US"/>
        </w:rPr>
        <w:t xml:space="preserve"> </w:t>
      </w:r>
      <w:r w:rsidR="00577DE0" w:rsidRPr="00C9465D">
        <w:rPr>
          <w:sz w:val="16"/>
          <w:szCs w:val="16"/>
          <w:lang w:val="en-US"/>
        </w:rPr>
        <w:t xml:space="preserve">appointed Commissioner </w:t>
      </w:r>
      <w:r w:rsidRPr="00C9465D">
        <w:rPr>
          <w:sz w:val="16"/>
          <w:szCs w:val="16"/>
          <w:lang w:val="en-US"/>
        </w:rPr>
        <w:t>Esmeralda Arosemena de Troitiño,</w:t>
      </w:r>
      <w:r w:rsidR="00577DE0" w:rsidRPr="00C9465D">
        <w:rPr>
          <w:sz w:val="16"/>
          <w:szCs w:val="16"/>
          <w:lang w:val="en-US"/>
        </w:rPr>
        <w:t xml:space="preserve"> the Executive Secretary</w:t>
      </w:r>
      <w:r w:rsidR="00570194" w:rsidRPr="00C9465D">
        <w:rPr>
          <w:sz w:val="16"/>
          <w:szCs w:val="16"/>
          <w:lang w:val="en-US"/>
        </w:rPr>
        <w:t xml:space="preserve"> at the time,</w:t>
      </w:r>
      <w:r w:rsidR="00577DE0" w:rsidRPr="00C9465D">
        <w:rPr>
          <w:sz w:val="16"/>
          <w:szCs w:val="16"/>
          <w:lang w:val="en-US"/>
        </w:rPr>
        <w:t xml:space="preserve"> </w:t>
      </w:r>
      <w:r w:rsidRPr="00C9465D">
        <w:rPr>
          <w:sz w:val="16"/>
          <w:szCs w:val="16"/>
          <w:lang w:val="en-US"/>
        </w:rPr>
        <w:t>Paulo Abrão</w:t>
      </w:r>
      <w:r w:rsidR="00570194" w:rsidRPr="00C9465D">
        <w:rPr>
          <w:sz w:val="16"/>
          <w:szCs w:val="16"/>
          <w:lang w:val="en-US"/>
        </w:rPr>
        <w:t>,</w:t>
      </w:r>
      <w:r w:rsidR="00193CBB" w:rsidRPr="00C9465D">
        <w:rPr>
          <w:sz w:val="16"/>
          <w:szCs w:val="16"/>
          <w:lang w:val="en-US"/>
        </w:rPr>
        <w:t xml:space="preserve"> an</w:t>
      </w:r>
      <w:r w:rsidR="00577DE0" w:rsidRPr="00C9465D">
        <w:rPr>
          <w:sz w:val="16"/>
          <w:szCs w:val="16"/>
          <w:lang w:val="en-US"/>
        </w:rPr>
        <w:t>d</w:t>
      </w:r>
      <w:r w:rsidRPr="00C9465D">
        <w:rPr>
          <w:sz w:val="16"/>
          <w:szCs w:val="16"/>
          <w:lang w:val="en-US"/>
        </w:rPr>
        <w:t xml:space="preserve"> </w:t>
      </w:r>
      <w:r w:rsidR="00577DE0" w:rsidRPr="00C9465D">
        <w:rPr>
          <w:sz w:val="16"/>
          <w:szCs w:val="16"/>
          <w:lang w:val="en-US"/>
        </w:rPr>
        <w:t>the Special Rapporteur on Economic, Social and Cultural Rights</w:t>
      </w:r>
      <w:r w:rsidRPr="00C9465D">
        <w:rPr>
          <w:sz w:val="16"/>
          <w:szCs w:val="16"/>
          <w:lang w:val="en-US"/>
        </w:rPr>
        <w:t>, Soledad García,</w:t>
      </w:r>
      <w:r w:rsidR="00577DE0" w:rsidRPr="00C9465D">
        <w:rPr>
          <w:sz w:val="16"/>
          <w:szCs w:val="16"/>
          <w:lang w:val="en-US"/>
        </w:rPr>
        <w:t xml:space="preserve"> as its delegates, and </w:t>
      </w:r>
      <w:r w:rsidRPr="00C9465D">
        <w:rPr>
          <w:sz w:val="16"/>
          <w:szCs w:val="16"/>
          <w:lang w:val="en-US"/>
        </w:rPr>
        <w:t xml:space="preserve"> Silvia Serrano Guzmán, Erick Acuna Pereda</w:t>
      </w:r>
      <w:r w:rsidR="00193CBB" w:rsidRPr="00C9465D">
        <w:rPr>
          <w:sz w:val="16"/>
          <w:szCs w:val="16"/>
          <w:lang w:val="en-US"/>
        </w:rPr>
        <w:t xml:space="preserve"> and </w:t>
      </w:r>
      <w:r w:rsidRPr="00C9465D">
        <w:rPr>
          <w:sz w:val="16"/>
          <w:szCs w:val="16"/>
          <w:lang w:val="en-US"/>
        </w:rPr>
        <w:t xml:space="preserve">Luis Carlos Buob Concha, </w:t>
      </w:r>
      <w:r w:rsidR="00577DE0" w:rsidRPr="00C9465D">
        <w:rPr>
          <w:sz w:val="16"/>
          <w:szCs w:val="16"/>
          <w:lang w:val="en-US"/>
        </w:rPr>
        <w:t>Executive Secretariat lawyers, as legal advisers.</w:t>
      </w:r>
    </w:p>
  </w:footnote>
  <w:footnote w:id="4">
    <w:p w14:paraId="5CEC0768" w14:textId="6517E6FA"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iCs/>
          <w:sz w:val="16"/>
          <w:szCs w:val="16"/>
          <w:lang w:val="en-US"/>
        </w:rPr>
        <w:t>Cf.</w:t>
      </w:r>
      <w:r w:rsidRPr="00C9465D">
        <w:rPr>
          <w:i/>
          <w:iCs/>
          <w:sz w:val="16"/>
          <w:szCs w:val="16"/>
          <w:lang w:val="en-US"/>
        </w:rPr>
        <w:t xml:space="preserve"> </w:t>
      </w:r>
      <w:r w:rsidR="00D8466F" w:rsidRPr="00C9465D">
        <w:rPr>
          <w:i/>
          <w:iCs/>
          <w:sz w:val="16"/>
          <w:szCs w:val="16"/>
          <w:lang w:val="en-US"/>
        </w:rPr>
        <w:t>Case of</w:t>
      </w:r>
      <w:r w:rsidRPr="00C9465D">
        <w:rPr>
          <w:i/>
          <w:iCs/>
          <w:sz w:val="16"/>
          <w:szCs w:val="16"/>
          <w:lang w:val="en-US"/>
        </w:rPr>
        <w:t xml:space="preserve"> Guachalá </w:t>
      </w:r>
      <w:r w:rsidR="00193CBB" w:rsidRPr="00C9465D">
        <w:rPr>
          <w:i/>
          <w:iCs/>
          <w:sz w:val="16"/>
          <w:szCs w:val="16"/>
          <w:lang w:val="en-US"/>
        </w:rPr>
        <w:t>Chimbo et al.</w:t>
      </w:r>
      <w:r w:rsidRPr="00C9465D">
        <w:rPr>
          <w:i/>
          <w:iCs/>
          <w:sz w:val="16"/>
          <w:szCs w:val="16"/>
          <w:lang w:val="en-US"/>
        </w:rPr>
        <w:t xml:space="preserve"> </w:t>
      </w:r>
      <w:r w:rsidR="00193CBB" w:rsidRPr="00C9465D">
        <w:rPr>
          <w:i/>
          <w:iCs/>
          <w:sz w:val="16"/>
          <w:szCs w:val="16"/>
          <w:lang w:val="en-US"/>
        </w:rPr>
        <w:t>v.</w:t>
      </w:r>
      <w:r w:rsidRPr="00C9465D">
        <w:rPr>
          <w:i/>
          <w:iCs/>
          <w:sz w:val="16"/>
          <w:szCs w:val="16"/>
          <w:lang w:val="en-US"/>
        </w:rPr>
        <w:t xml:space="preserve"> Ecuador</w:t>
      </w:r>
      <w:r w:rsidRPr="00C9465D">
        <w:rPr>
          <w:iCs/>
          <w:sz w:val="16"/>
          <w:szCs w:val="16"/>
          <w:lang w:val="en-US"/>
        </w:rPr>
        <w:t xml:space="preserve">. </w:t>
      </w:r>
      <w:r w:rsidR="00316F29" w:rsidRPr="00C9465D">
        <w:rPr>
          <w:iCs/>
          <w:sz w:val="16"/>
          <w:szCs w:val="16"/>
          <w:lang w:val="en-US"/>
        </w:rPr>
        <w:t>Order of</w:t>
      </w:r>
      <w:r w:rsidRPr="00C9465D">
        <w:rPr>
          <w:iCs/>
          <w:sz w:val="16"/>
          <w:szCs w:val="16"/>
          <w:lang w:val="en-US"/>
        </w:rPr>
        <w:t xml:space="preserve"> </w:t>
      </w:r>
      <w:r w:rsidR="00316F29" w:rsidRPr="00C9465D">
        <w:rPr>
          <w:iCs/>
          <w:sz w:val="16"/>
          <w:szCs w:val="16"/>
          <w:lang w:val="en-US"/>
        </w:rPr>
        <w:t>the President</w:t>
      </w:r>
      <w:r w:rsidR="00193CBB" w:rsidRPr="00C9465D">
        <w:rPr>
          <w:iCs/>
          <w:sz w:val="16"/>
          <w:szCs w:val="16"/>
          <w:lang w:val="en-US"/>
        </w:rPr>
        <w:t xml:space="preserve"> of the Inter-American Court of Human Rights</w:t>
      </w:r>
      <w:r w:rsidR="00316F29" w:rsidRPr="00C9465D">
        <w:rPr>
          <w:iCs/>
          <w:sz w:val="16"/>
          <w:szCs w:val="16"/>
          <w:lang w:val="en-US"/>
        </w:rPr>
        <w:t xml:space="preserve"> of October 9,</w:t>
      </w:r>
      <w:r w:rsidRPr="00C9465D">
        <w:rPr>
          <w:iCs/>
          <w:sz w:val="16"/>
          <w:szCs w:val="16"/>
          <w:lang w:val="en-US"/>
        </w:rPr>
        <w:t xml:space="preserve"> 2020</w:t>
      </w:r>
      <w:r w:rsidRPr="00C9465D">
        <w:rPr>
          <w:sz w:val="16"/>
          <w:szCs w:val="16"/>
          <w:lang w:val="en-US"/>
        </w:rPr>
        <w:t xml:space="preserve">. </w:t>
      </w:r>
      <w:r w:rsidR="00316F29" w:rsidRPr="00C9465D">
        <w:rPr>
          <w:sz w:val="16"/>
          <w:szCs w:val="16"/>
          <w:lang w:val="en-US"/>
        </w:rPr>
        <w:t>Available at</w:t>
      </w:r>
      <w:r w:rsidRPr="00C9465D">
        <w:rPr>
          <w:sz w:val="16"/>
          <w:szCs w:val="16"/>
          <w:lang w:val="en-US"/>
        </w:rPr>
        <w:t xml:space="preserve">: </w:t>
      </w:r>
      <w:hyperlink r:id="rId1" w:history="1">
        <w:r w:rsidRPr="00C9465D">
          <w:rPr>
            <w:rStyle w:val="Hyperlink"/>
            <w:sz w:val="16"/>
            <w:szCs w:val="16"/>
            <w:lang w:val="en-US"/>
          </w:rPr>
          <w:t>http://www.corteidh.or.cr/docs/asuntos/guachala_09_10_20.pdf</w:t>
        </w:r>
      </w:hyperlink>
      <w:r w:rsidRPr="00C9465D">
        <w:rPr>
          <w:sz w:val="16"/>
          <w:szCs w:val="16"/>
          <w:lang w:val="en-US"/>
        </w:rPr>
        <w:t xml:space="preserve"> </w:t>
      </w:r>
    </w:p>
  </w:footnote>
  <w:footnote w:id="5">
    <w:p w14:paraId="65E5118C" w14:textId="2C4DF4DE" w:rsidR="00300482" w:rsidRPr="00C9465D" w:rsidRDefault="00300482" w:rsidP="00BD26CF">
      <w:pPr>
        <w:tabs>
          <w:tab w:val="left" w:pos="567"/>
        </w:tabs>
        <w:spacing w:after="120" w:line="240" w:lineRule="auto"/>
        <w:jc w:val="both"/>
        <w:rPr>
          <w:rFonts w:ascii="Verdana" w:hAnsi="Verdana"/>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r>
      <w:r w:rsidR="00316F29" w:rsidRPr="00C9465D">
        <w:rPr>
          <w:rFonts w:ascii="Verdana" w:hAnsi="Verdana"/>
          <w:sz w:val="16"/>
          <w:szCs w:val="16"/>
          <w:lang w:val="en-US"/>
        </w:rPr>
        <w:t>There appeared at this hearing</w:t>
      </w:r>
      <w:r w:rsidRPr="00C9465D">
        <w:rPr>
          <w:rFonts w:ascii="Verdana" w:hAnsi="Verdana"/>
          <w:sz w:val="16"/>
          <w:szCs w:val="16"/>
          <w:lang w:val="en-US"/>
        </w:rPr>
        <w:t xml:space="preserve">: </w:t>
      </w:r>
      <w:r w:rsidR="00316F29" w:rsidRPr="00C9465D">
        <w:rPr>
          <w:rFonts w:ascii="Verdana" w:hAnsi="Verdana"/>
          <w:sz w:val="16"/>
          <w:szCs w:val="16"/>
          <w:lang w:val="en-US"/>
        </w:rPr>
        <w:t>(</w:t>
      </w:r>
      <w:r w:rsidRPr="00C9465D">
        <w:rPr>
          <w:rFonts w:ascii="Verdana" w:hAnsi="Verdana"/>
          <w:sz w:val="16"/>
          <w:szCs w:val="16"/>
          <w:lang w:val="en-US"/>
        </w:rPr>
        <w:t xml:space="preserve">a) </w:t>
      </w:r>
      <w:r w:rsidR="00316F29" w:rsidRPr="00C9465D">
        <w:rPr>
          <w:rFonts w:ascii="Verdana" w:hAnsi="Verdana"/>
          <w:sz w:val="16"/>
          <w:szCs w:val="16"/>
          <w:lang w:val="en-US"/>
        </w:rPr>
        <w:t>f</w:t>
      </w:r>
      <w:r w:rsidRPr="00C9465D">
        <w:rPr>
          <w:rFonts w:ascii="Verdana" w:hAnsi="Verdana"/>
          <w:sz w:val="16"/>
          <w:szCs w:val="16"/>
          <w:lang w:val="en-US"/>
        </w:rPr>
        <w:t xml:space="preserve">or </w:t>
      </w:r>
      <w:r w:rsidR="00193CBB" w:rsidRPr="00C9465D">
        <w:rPr>
          <w:rFonts w:ascii="Verdana" w:hAnsi="Verdana"/>
          <w:sz w:val="16"/>
          <w:szCs w:val="16"/>
          <w:lang w:val="en-US"/>
        </w:rPr>
        <w:t>the Inter-American Commission</w:t>
      </w:r>
      <w:r w:rsidRPr="00C9465D">
        <w:rPr>
          <w:rFonts w:ascii="Verdana" w:hAnsi="Verdana"/>
          <w:sz w:val="16"/>
          <w:szCs w:val="16"/>
          <w:lang w:val="en-US"/>
        </w:rPr>
        <w:t xml:space="preserve">: </w:t>
      </w:r>
      <w:r w:rsidRPr="00C9465D">
        <w:rPr>
          <w:rFonts w:ascii="Verdana" w:eastAsia="Verdana" w:hAnsi="Verdana" w:cs="Verdana"/>
          <w:sz w:val="16"/>
          <w:szCs w:val="16"/>
          <w:lang w:val="en-US"/>
        </w:rPr>
        <w:t>Antonia Urrejola Noguera, Com</w:t>
      </w:r>
      <w:r w:rsidR="00316F29" w:rsidRPr="00C9465D">
        <w:rPr>
          <w:rFonts w:ascii="Verdana" w:eastAsia="Verdana" w:hAnsi="Verdana" w:cs="Verdana"/>
          <w:sz w:val="16"/>
          <w:szCs w:val="16"/>
          <w:lang w:val="en-US"/>
        </w:rPr>
        <w:t>missioner</w:t>
      </w:r>
      <w:r w:rsidRPr="00C9465D">
        <w:rPr>
          <w:rFonts w:ascii="Verdana" w:eastAsia="Verdana" w:hAnsi="Verdana" w:cs="Verdana"/>
          <w:sz w:val="16"/>
          <w:szCs w:val="16"/>
          <w:lang w:val="en-US"/>
        </w:rPr>
        <w:t>; Marisol Blanchard</w:t>
      </w:r>
      <w:r w:rsidR="00316F29" w:rsidRPr="00C9465D">
        <w:rPr>
          <w:rFonts w:ascii="Verdana" w:eastAsia="Verdana" w:hAnsi="Verdana" w:cs="Verdana"/>
          <w:sz w:val="16"/>
          <w:szCs w:val="16"/>
          <w:lang w:val="en-US"/>
        </w:rPr>
        <w:t>, IACHR Deputy Executive Secretary;</w:t>
      </w:r>
      <w:r w:rsidRPr="00C9465D">
        <w:rPr>
          <w:rFonts w:ascii="Verdana" w:eastAsia="Verdana" w:hAnsi="Verdana" w:cs="Verdana"/>
          <w:sz w:val="16"/>
          <w:szCs w:val="16"/>
          <w:lang w:val="en-US"/>
        </w:rPr>
        <w:t xml:space="preserve"> Jorge Meza Flores, A</w:t>
      </w:r>
      <w:r w:rsidR="00316F29" w:rsidRPr="00C9465D">
        <w:rPr>
          <w:rFonts w:ascii="Verdana" w:eastAsia="Verdana" w:hAnsi="Verdana" w:cs="Verdana"/>
          <w:sz w:val="16"/>
          <w:szCs w:val="16"/>
          <w:lang w:val="en-US"/>
        </w:rPr>
        <w:t>dvise</w:t>
      </w:r>
      <w:r w:rsidRPr="00C9465D">
        <w:rPr>
          <w:rFonts w:ascii="Verdana" w:eastAsia="Verdana" w:hAnsi="Verdana" w:cs="Verdana"/>
          <w:sz w:val="16"/>
          <w:szCs w:val="16"/>
          <w:lang w:val="en-US"/>
        </w:rPr>
        <w:t>r,</w:t>
      </w:r>
      <w:r w:rsidR="00193CBB" w:rsidRPr="00C9465D">
        <w:rPr>
          <w:rFonts w:ascii="Verdana" w:eastAsia="Verdana" w:hAnsi="Verdana" w:cs="Verdana"/>
          <w:sz w:val="16"/>
          <w:szCs w:val="16"/>
          <w:lang w:val="en-US"/>
        </w:rPr>
        <w:t xml:space="preserve"> and </w:t>
      </w:r>
      <w:r w:rsidRPr="00C9465D">
        <w:rPr>
          <w:rFonts w:ascii="Verdana" w:eastAsia="Verdana" w:hAnsi="Verdana" w:cs="Verdana"/>
          <w:sz w:val="16"/>
          <w:szCs w:val="16"/>
          <w:lang w:val="en-US"/>
        </w:rPr>
        <w:t>Erick Acuña Pereda, A</w:t>
      </w:r>
      <w:r w:rsidR="00316F29" w:rsidRPr="00C9465D">
        <w:rPr>
          <w:rFonts w:ascii="Verdana" w:eastAsia="Verdana" w:hAnsi="Verdana" w:cs="Verdana"/>
          <w:sz w:val="16"/>
          <w:szCs w:val="16"/>
          <w:lang w:val="en-US"/>
        </w:rPr>
        <w:t>dvise</w:t>
      </w:r>
      <w:r w:rsidRPr="00C9465D">
        <w:rPr>
          <w:rFonts w:ascii="Verdana" w:eastAsia="Verdana" w:hAnsi="Verdana" w:cs="Verdana"/>
          <w:sz w:val="16"/>
          <w:szCs w:val="16"/>
          <w:lang w:val="en-US"/>
        </w:rPr>
        <w:t>r;</w:t>
      </w:r>
      <w:r w:rsidRPr="00C9465D">
        <w:rPr>
          <w:rFonts w:ascii="Verdana" w:hAnsi="Verdana"/>
          <w:sz w:val="16"/>
          <w:szCs w:val="16"/>
          <w:lang w:val="en-US"/>
        </w:rPr>
        <w:t xml:space="preserve"> </w:t>
      </w:r>
      <w:r w:rsidR="00316F29" w:rsidRPr="00C9465D">
        <w:rPr>
          <w:rFonts w:ascii="Verdana" w:hAnsi="Verdana"/>
          <w:sz w:val="16"/>
          <w:szCs w:val="16"/>
          <w:lang w:val="en-US"/>
        </w:rPr>
        <w:t>(</w:t>
      </w:r>
      <w:r w:rsidRPr="00C9465D">
        <w:rPr>
          <w:rFonts w:ascii="Verdana" w:hAnsi="Verdana"/>
          <w:sz w:val="16"/>
          <w:szCs w:val="16"/>
          <w:lang w:val="en-US"/>
        </w:rPr>
        <w:t xml:space="preserve">b) </w:t>
      </w:r>
      <w:r w:rsidR="00316F29" w:rsidRPr="00C9465D">
        <w:rPr>
          <w:rFonts w:ascii="Verdana" w:hAnsi="Verdana"/>
          <w:sz w:val="16"/>
          <w:szCs w:val="16"/>
          <w:lang w:val="en-US"/>
        </w:rPr>
        <w:t>f</w:t>
      </w:r>
      <w:r w:rsidRPr="00C9465D">
        <w:rPr>
          <w:rFonts w:ascii="Verdana" w:hAnsi="Verdana"/>
          <w:sz w:val="16"/>
          <w:szCs w:val="16"/>
          <w:lang w:val="en-US"/>
        </w:rPr>
        <w:t xml:space="preserve">or </w:t>
      </w:r>
      <w:r w:rsidR="00193CBB" w:rsidRPr="00C9465D">
        <w:rPr>
          <w:rFonts w:ascii="Verdana" w:hAnsi="Verdana"/>
          <w:sz w:val="16"/>
          <w:szCs w:val="16"/>
          <w:lang w:val="en-US"/>
        </w:rPr>
        <w:t>the representatives</w:t>
      </w:r>
      <w:r w:rsidRPr="00C9465D">
        <w:rPr>
          <w:rFonts w:ascii="Verdana" w:hAnsi="Verdana"/>
          <w:sz w:val="16"/>
          <w:szCs w:val="16"/>
          <w:lang w:val="en-US"/>
        </w:rPr>
        <w:t xml:space="preserve"> </w:t>
      </w:r>
      <w:r w:rsidR="00316F29" w:rsidRPr="00C9465D">
        <w:rPr>
          <w:rFonts w:ascii="Verdana" w:hAnsi="Verdana"/>
          <w:sz w:val="16"/>
          <w:szCs w:val="16"/>
          <w:lang w:val="en-US"/>
        </w:rPr>
        <w:t>of the presumed victims</w:t>
      </w:r>
      <w:r w:rsidRPr="00C9465D">
        <w:rPr>
          <w:rFonts w:ascii="Verdana" w:hAnsi="Verdana"/>
          <w:sz w:val="16"/>
          <w:szCs w:val="16"/>
          <w:lang w:val="en-US"/>
        </w:rPr>
        <w:t>: Mario Melo Cevallos</w:t>
      </w:r>
      <w:r w:rsidR="00193CBB" w:rsidRPr="00C9465D">
        <w:rPr>
          <w:rFonts w:ascii="Verdana" w:hAnsi="Verdana"/>
          <w:sz w:val="16"/>
          <w:szCs w:val="16"/>
          <w:lang w:val="en-US"/>
        </w:rPr>
        <w:t xml:space="preserve"> and </w:t>
      </w:r>
      <w:r w:rsidRPr="00C9465D">
        <w:rPr>
          <w:rFonts w:ascii="Verdana" w:hAnsi="Verdana"/>
          <w:sz w:val="16"/>
          <w:szCs w:val="16"/>
          <w:lang w:val="en-US"/>
        </w:rPr>
        <w:t xml:space="preserve">David Cordero Heredia, </w:t>
      </w:r>
      <w:r w:rsidR="00316F29" w:rsidRPr="00C9465D">
        <w:rPr>
          <w:rFonts w:ascii="Verdana" w:hAnsi="Verdana"/>
          <w:sz w:val="16"/>
          <w:szCs w:val="16"/>
          <w:lang w:val="en-US"/>
        </w:rPr>
        <w:t>lawyers of the</w:t>
      </w:r>
      <w:r w:rsidRPr="00C9465D">
        <w:rPr>
          <w:rFonts w:ascii="Verdana" w:hAnsi="Verdana"/>
          <w:sz w:val="16"/>
          <w:szCs w:val="16"/>
          <w:lang w:val="en-US"/>
        </w:rPr>
        <w:t xml:space="preserve"> </w:t>
      </w:r>
      <w:r w:rsidR="00316F29" w:rsidRPr="00C9465D">
        <w:rPr>
          <w:rFonts w:ascii="Verdana" w:hAnsi="Verdana"/>
          <w:sz w:val="16"/>
          <w:szCs w:val="16"/>
          <w:lang w:val="en-US"/>
        </w:rPr>
        <w:t>Human Rights Center of the</w:t>
      </w:r>
      <w:r w:rsidRPr="00C9465D">
        <w:rPr>
          <w:rFonts w:ascii="Verdana" w:hAnsi="Verdana"/>
          <w:sz w:val="16"/>
          <w:szCs w:val="16"/>
          <w:lang w:val="en-US"/>
        </w:rPr>
        <w:t xml:space="preserve"> Pontificia Universidad Católica del Ecuador (CDH-PUCE),</w:t>
      </w:r>
      <w:r w:rsidR="00193CBB" w:rsidRPr="00C9465D">
        <w:rPr>
          <w:rFonts w:ascii="Verdana" w:hAnsi="Verdana"/>
          <w:sz w:val="16"/>
          <w:szCs w:val="16"/>
          <w:lang w:val="en-US"/>
        </w:rPr>
        <w:t xml:space="preserve"> and </w:t>
      </w:r>
      <w:r w:rsidRPr="00C9465D">
        <w:rPr>
          <w:rFonts w:ascii="Verdana" w:hAnsi="Verdana"/>
          <w:sz w:val="16"/>
          <w:szCs w:val="16"/>
          <w:lang w:val="en-US"/>
        </w:rPr>
        <w:t xml:space="preserve">Pamela Chiriboga Arroyo, </w:t>
      </w:r>
      <w:r w:rsidR="00316F29" w:rsidRPr="00C9465D">
        <w:rPr>
          <w:rFonts w:ascii="Verdana" w:hAnsi="Verdana"/>
          <w:sz w:val="16"/>
          <w:szCs w:val="16"/>
          <w:lang w:val="en-US"/>
        </w:rPr>
        <w:t>lawyer of the</w:t>
      </w:r>
      <w:r w:rsidRPr="00C9465D">
        <w:rPr>
          <w:rFonts w:ascii="Verdana" w:hAnsi="Verdana"/>
          <w:sz w:val="16"/>
          <w:szCs w:val="16"/>
          <w:lang w:val="en-US"/>
        </w:rPr>
        <w:t xml:space="preserve"> Fundación Regional de Asesoría en Derechos Humanos (INREDH)</w:t>
      </w:r>
      <w:r w:rsidRPr="00C9465D">
        <w:rPr>
          <w:rFonts w:ascii="Verdana" w:hAnsi="Verdana" w:cs="Calibri"/>
          <w:sz w:val="16"/>
          <w:szCs w:val="16"/>
          <w:lang w:val="en-US"/>
        </w:rPr>
        <w:t>,</w:t>
      </w:r>
      <w:r w:rsidR="00193CBB" w:rsidRPr="00C9465D">
        <w:rPr>
          <w:rFonts w:ascii="Verdana" w:hAnsi="Verdana"/>
          <w:sz w:val="16"/>
          <w:szCs w:val="16"/>
          <w:lang w:val="en-US"/>
        </w:rPr>
        <w:t xml:space="preserve"> and </w:t>
      </w:r>
      <w:r w:rsidR="00316F29" w:rsidRPr="00C9465D">
        <w:rPr>
          <w:rFonts w:ascii="Verdana" w:hAnsi="Verdana"/>
          <w:sz w:val="16"/>
          <w:szCs w:val="16"/>
          <w:lang w:val="en-US"/>
        </w:rPr>
        <w:t>(</w:t>
      </w:r>
      <w:r w:rsidRPr="00C9465D">
        <w:rPr>
          <w:rFonts w:ascii="Verdana" w:hAnsi="Verdana"/>
          <w:sz w:val="16"/>
          <w:szCs w:val="16"/>
          <w:lang w:val="en-US"/>
        </w:rPr>
        <w:t xml:space="preserve">c) </w:t>
      </w:r>
      <w:r w:rsidR="00316F29" w:rsidRPr="00C9465D">
        <w:rPr>
          <w:rFonts w:ascii="Verdana" w:hAnsi="Verdana"/>
          <w:sz w:val="16"/>
          <w:szCs w:val="16"/>
          <w:lang w:val="en-US"/>
        </w:rPr>
        <w:t>f</w:t>
      </w:r>
      <w:r w:rsidRPr="00C9465D">
        <w:rPr>
          <w:rFonts w:ascii="Verdana" w:hAnsi="Verdana"/>
          <w:sz w:val="16"/>
          <w:szCs w:val="16"/>
          <w:lang w:val="en-US"/>
        </w:rPr>
        <w:t xml:space="preserve">or </w:t>
      </w:r>
      <w:r w:rsidR="00193CBB" w:rsidRPr="00C9465D">
        <w:rPr>
          <w:rFonts w:ascii="Verdana" w:hAnsi="Verdana"/>
          <w:sz w:val="16"/>
          <w:szCs w:val="16"/>
          <w:lang w:val="en-US"/>
        </w:rPr>
        <w:t>the State</w:t>
      </w:r>
      <w:r w:rsidRPr="00C9465D">
        <w:rPr>
          <w:rFonts w:ascii="Verdana" w:hAnsi="Verdana"/>
          <w:sz w:val="16"/>
          <w:szCs w:val="16"/>
          <w:lang w:val="en-US"/>
        </w:rPr>
        <w:t xml:space="preserve"> </w:t>
      </w:r>
      <w:r w:rsidR="00316F29" w:rsidRPr="00C9465D">
        <w:rPr>
          <w:rFonts w:ascii="Verdana" w:hAnsi="Verdana"/>
          <w:sz w:val="16"/>
          <w:szCs w:val="16"/>
          <w:lang w:val="en-US"/>
        </w:rPr>
        <w:t>of</w:t>
      </w:r>
      <w:r w:rsidRPr="00C9465D">
        <w:rPr>
          <w:rFonts w:ascii="Verdana" w:hAnsi="Verdana"/>
          <w:sz w:val="16"/>
          <w:szCs w:val="16"/>
          <w:lang w:val="en-US"/>
        </w:rPr>
        <w:t xml:space="preserve"> Ecuador: María Fernanda Álvarez, </w:t>
      </w:r>
      <w:r w:rsidR="00316F29" w:rsidRPr="00C9465D">
        <w:rPr>
          <w:rFonts w:ascii="Verdana" w:hAnsi="Verdana"/>
          <w:sz w:val="16"/>
          <w:szCs w:val="16"/>
          <w:lang w:val="en-US"/>
        </w:rPr>
        <w:t xml:space="preserve">National Director for Human Rights of the Attorney General’s Office and Principal Agent for the case; </w:t>
      </w:r>
      <w:r w:rsidRPr="00C9465D">
        <w:rPr>
          <w:rFonts w:ascii="Verdana" w:hAnsi="Verdana"/>
          <w:sz w:val="16"/>
          <w:szCs w:val="16"/>
          <w:lang w:val="en-US"/>
        </w:rPr>
        <w:t xml:space="preserve">Carlos Espín Arias, </w:t>
      </w:r>
      <w:r w:rsidR="00316F29" w:rsidRPr="00C9465D">
        <w:rPr>
          <w:rFonts w:ascii="Verdana" w:hAnsi="Verdana"/>
          <w:sz w:val="16"/>
          <w:szCs w:val="16"/>
          <w:lang w:val="en-US"/>
        </w:rPr>
        <w:t xml:space="preserve">Assistant National Director for Human Rights of the Attorney General’s Office and Deputy Agent for the case, </w:t>
      </w:r>
      <w:r w:rsidR="00193CBB" w:rsidRPr="00C9465D">
        <w:rPr>
          <w:rFonts w:ascii="Verdana" w:hAnsi="Verdana"/>
          <w:sz w:val="16"/>
          <w:szCs w:val="16"/>
          <w:lang w:val="en-US"/>
        </w:rPr>
        <w:t xml:space="preserve">and </w:t>
      </w:r>
      <w:r w:rsidRPr="00C9465D">
        <w:rPr>
          <w:rFonts w:ascii="Verdana" w:hAnsi="Verdana"/>
          <w:sz w:val="16"/>
          <w:szCs w:val="16"/>
          <w:lang w:val="en-US"/>
        </w:rPr>
        <w:t xml:space="preserve">Alonso Fonseca Garcés, </w:t>
      </w:r>
      <w:r w:rsidR="00316F29" w:rsidRPr="00C9465D">
        <w:rPr>
          <w:rFonts w:ascii="Verdana" w:hAnsi="Verdana"/>
          <w:sz w:val="16"/>
          <w:szCs w:val="16"/>
          <w:lang w:val="en-US"/>
        </w:rPr>
        <w:t>lawyer from the Nation Human Rights Directorate of the Attorney General’s Office</w:t>
      </w:r>
      <w:r w:rsidRPr="00C9465D">
        <w:rPr>
          <w:rFonts w:ascii="Verdana" w:hAnsi="Verdana"/>
          <w:sz w:val="16"/>
          <w:szCs w:val="16"/>
          <w:lang w:val="en-US"/>
        </w:rPr>
        <w:t xml:space="preserve"> </w:t>
      </w:r>
      <w:r w:rsidR="00316F29" w:rsidRPr="00C9465D">
        <w:rPr>
          <w:rFonts w:ascii="Verdana" w:hAnsi="Verdana"/>
          <w:sz w:val="16"/>
          <w:szCs w:val="16"/>
          <w:lang w:val="en-US"/>
        </w:rPr>
        <w:t>and Deputy Agent for the case</w:t>
      </w:r>
      <w:r w:rsidRPr="00C9465D">
        <w:rPr>
          <w:rFonts w:ascii="Verdana" w:hAnsi="Verdana"/>
          <w:sz w:val="16"/>
          <w:szCs w:val="16"/>
          <w:lang w:val="en-US"/>
        </w:rPr>
        <w:t>.</w:t>
      </w:r>
    </w:p>
  </w:footnote>
  <w:footnote w:id="6">
    <w:p w14:paraId="3E63E5AC" w14:textId="23AB19E1" w:rsidR="00300482" w:rsidRPr="00C9465D" w:rsidRDefault="00300482" w:rsidP="00BD26CF">
      <w:pPr>
        <w:pStyle w:val="Numberedparagraphs"/>
        <w:numPr>
          <w:ilvl w:val="0"/>
          <w:numId w:val="0"/>
        </w:numPr>
        <w:tabs>
          <w:tab w:val="left" w:pos="567"/>
        </w:tabs>
        <w:spacing w:before="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193CBB" w:rsidRPr="00C9465D">
        <w:rPr>
          <w:sz w:val="16"/>
          <w:szCs w:val="16"/>
          <w:lang w:val="en-US"/>
        </w:rPr>
        <w:t>The State</w:t>
      </w:r>
      <w:r w:rsidRPr="00C9465D">
        <w:rPr>
          <w:sz w:val="16"/>
          <w:szCs w:val="16"/>
          <w:lang w:val="en-US"/>
        </w:rPr>
        <w:t xml:space="preserve"> al</w:t>
      </w:r>
      <w:r w:rsidR="00316F29" w:rsidRPr="00C9465D">
        <w:rPr>
          <w:sz w:val="16"/>
          <w:szCs w:val="16"/>
          <w:lang w:val="en-US"/>
        </w:rPr>
        <w:t xml:space="preserve">leged that the </w:t>
      </w:r>
      <w:r w:rsidRPr="00C9465D">
        <w:rPr>
          <w:i/>
          <w:sz w:val="16"/>
          <w:szCs w:val="16"/>
          <w:lang w:val="en-US"/>
        </w:rPr>
        <w:t>amici curiae</w:t>
      </w:r>
      <w:r w:rsidRPr="00C9465D">
        <w:rPr>
          <w:sz w:val="16"/>
          <w:szCs w:val="16"/>
          <w:lang w:val="en-US"/>
        </w:rPr>
        <w:t xml:space="preserve"> </w:t>
      </w:r>
      <w:r w:rsidR="00316F29" w:rsidRPr="00C9465D">
        <w:rPr>
          <w:sz w:val="16"/>
          <w:szCs w:val="16"/>
          <w:lang w:val="en-US"/>
        </w:rPr>
        <w:t>briefs submitted by the Human Rights Clinic of the</w:t>
      </w:r>
      <w:r w:rsidRPr="00C9465D">
        <w:rPr>
          <w:sz w:val="16"/>
          <w:szCs w:val="16"/>
          <w:lang w:val="en-US"/>
        </w:rPr>
        <w:t xml:space="preserve"> Universidad de Santa Clara, </w:t>
      </w:r>
      <w:r w:rsidR="00316F29" w:rsidRPr="00C9465D">
        <w:rPr>
          <w:sz w:val="16"/>
          <w:szCs w:val="16"/>
          <w:lang w:val="en-US"/>
        </w:rPr>
        <w:t xml:space="preserve">the International Human Rights Practicum of Boston College Law School </w:t>
      </w:r>
      <w:r w:rsidRPr="00C9465D">
        <w:rPr>
          <w:sz w:val="16"/>
          <w:szCs w:val="16"/>
          <w:lang w:val="en-US"/>
        </w:rPr>
        <w:t>Practicum,</w:t>
      </w:r>
      <w:r w:rsidR="00316F29" w:rsidRPr="00C9465D">
        <w:rPr>
          <w:sz w:val="16"/>
          <w:szCs w:val="16"/>
          <w:lang w:val="en-US"/>
        </w:rPr>
        <w:t xml:space="preserve"> the Legal Clinic on Disabilities and Human Rights of the Law Faculty of the</w:t>
      </w:r>
      <w:r w:rsidRPr="00C9465D">
        <w:rPr>
          <w:sz w:val="16"/>
          <w:szCs w:val="16"/>
          <w:lang w:val="en-US"/>
        </w:rPr>
        <w:t xml:space="preserve"> Pontificia Universidad Católica del </w:t>
      </w:r>
      <w:r w:rsidR="001902D2" w:rsidRPr="00C9465D">
        <w:rPr>
          <w:sz w:val="16"/>
          <w:szCs w:val="16"/>
          <w:lang w:val="en-US"/>
        </w:rPr>
        <w:t>Peru</w:t>
      </w:r>
      <w:r w:rsidRPr="00C9465D">
        <w:rPr>
          <w:sz w:val="16"/>
          <w:szCs w:val="16"/>
          <w:lang w:val="en-US"/>
        </w:rPr>
        <w:t>,</w:t>
      </w:r>
      <w:r w:rsidR="00193CBB" w:rsidRPr="00C9465D">
        <w:rPr>
          <w:sz w:val="16"/>
          <w:szCs w:val="16"/>
          <w:lang w:val="en-US"/>
        </w:rPr>
        <w:t xml:space="preserve"> and </w:t>
      </w:r>
      <w:r w:rsidRPr="00C9465D">
        <w:rPr>
          <w:sz w:val="16"/>
          <w:szCs w:val="16"/>
          <w:lang w:val="en-US"/>
        </w:rPr>
        <w:t>Dan Israel García Gutiérrez “</w:t>
      </w:r>
      <w:r w:rsidR="00316F29" w:rsidRPr="00C9465D">
        <w:rPr>
          <w:sz w:val="16"/>
          <w:szCs w:val="16"/>
          <w:lang w:val="en-US"/>
        </w:rPr>
        <w:t xml:space="preserve">contain assertions that </w:t>
      </w:r>
      <w:r w:rsidR="00285435" w:rsidRPr="00C9465D">
        <w:rPr>
          <w:sz w:val="16"/>
          <w:szCs w:val="16"/>
          <w:lang w:val="en-US"/>
        </w:rPr>
        <w:t>ignore</w:t>
      </w:r>
      <w:r w:rsidR="00316F29" w:rsidRPr="00C9465D">
        <w:rPr>
          <w:sz w:val="16"/>
          <w:szCs w:val="16"/>
          <w:lang w:val="en-US"/>
        </w:rPr>
        <w:t xml:space="preserve"> the evidence provided by one of the parties; therefore, owing to their bias, they no longer constitute valid opinions to be taken into consideration by the Court.” In this regard,</w:t>
      </w:r>
      <w:r w:rsidRPr="00C9465D">
        <w:rPr>
          <w:sz w:val="16"/>
          <w:szCs w:val="16"/>
          <w:lang w:val="en-US"/>
        </w:rPr>
        <w:t xml:space="preserve"> </w:t>
      </w:r>
      <w:r w:rsidR="00193CBB" w:rsidRPr="00C9465D">
        <w:rPr>
          <w:sz w:val="16"/>
          <w:szCs w:val="16"/>
          <w:lang w:val="en-US"/>
        </w:rPr>
        <w:t>the Court</w:t>
      </w:r>
      <w:r w:rsidRPr="00C9465D">
        <w:rPr>
          <w:sz w:val="16"/>
          <w:szCs w:val="16"/>
          <w:lang w:val="en-US"/>
        </w:rPr>
        <w:t xml:space="preserve"> rec</w:t>
      </w:r>
      <w:r w:rsidR="00316F29" w:rsidRPr="00C9465D">
        <w:rPr>
          <w:sz w:val="16"/>
          <w:szCs w:val="16"/>
          <w:lang w:val="en-US"/>
        </w:rPr>
        <w:t xml:space="preserve">alls that, according to </w:t>
      </w:r>
      <w:r w:rsidR="00193CBB" w:rsidRPr="00C9465D">
        <w:rPr>
          <w:sz w:val="16"/>
          <w:szCs w:val="16"/>
          <w:lang w:val="en-US"/>
        </w:rPr>
        <w:t>the Rules of Procedure</w:t>
      </w:r>
      <w:r w:rsidRPr="00C9465D">
        <w:rPr>
          <w:sz w:val="16"/>
          <w:szCs w:val="16"/>
          <w:lang w:val="en-US"/>
        </w:rPr>
        <w:t xml:space="preserve">, </w:t>
      </w:r>
      <w:r w:rsidR="00316F29" w:rsidRPr="00C9465D">
        <w:rPr>
          <w:sz w:val="16"/>
          <w:szCs w:val="16"/>
          <w:lang w:val="en-US"/>
        </w:rPr>
        <w:t>the term</w:t>
      </w:r>
      <w:r w:rsidRPr="00C9465D">
        <w:rPr>
          <w:sz w:val="16"/>
          <w:szCs w:val="16"/>
          <w:lang w:val="en-US"/>
        </w:rPr>
        <w:t xml:space="preserve"> </w:t>
      </w:r>
      <w:r w:rsidRPr="00C9465D">
        <w:rPr>
          <w:i/>
          <w:sz w:val="16"/>
          <w:szCs w:val="16"/>
          <w:lang w:val="en-US"/>
        </w:rPr>
        <w:t>amicus curiae</w:t>
      </w:r>
      <w:r w:rsidRPr="00C9465D">
        <w:rPr>
          <w:sz w:val="16"/>
          <w:szCs w:val="16"/>
          <w:lang w:val="en-US"/>
        </w:rPr>
        <w:t xml:space="preserve"> “</w:t>
      </w:r>
      <w:r w:rsidR="00D8466F" w:rsidRPr="00C9465D">
        <w:rPr>
          <w:sz w:val="16"/>
          <w:szCs w:val="16"/>
          <w:lang w:val="en-US"/>
        </w:rPr>
        <w:t>refer to the person or institution who is unrelated to the case and to the proceeding and submits to the Court reasoned arguments on the facts contained in the presentation of the case or legal considerations on the subject-matter of the proceeding by means of a document or an argument presented at a hearing.</w:t>
      </w:r>
      <w:r w:rsidRPr="00C9465D">
        <w:rPr>
          <w:sz w:val="16"/>
          <w:szCs w:val="16"/>
          <w:lang w:val="en-US"/>
        </w:rPr>
        <w:t>”</w:t>
      </w:r>
      <w:r w:rsidR="00D8466F" w:rsidRPr="00C9465D">
        <w:rPr>
          <w:sz w:val="16"/>
          <w:szCs w:val="16"/>
          <w:lang w:val="en-US"/>
        </w:rPr>
        <w:t xml:space="preserve"> Given that it is not incumbent on the Court to rule on the accuracy of such briefs or on</w:t>
      </w:r>
      <w:r w:rsidR="00285435" w:rsidRPr="00C9465D">
        <w:rPr>
          <w:sz w:val="16"/>
          <w:szCs w:val="16"/>
          <w:lang w:val="en-US"/>
        </w:rPr>
        <w:t xml:space="preserve"> any</w:t>
      </w:r>
      <w:r w:rsidR="00D8466F" w:rsidRPr="00C9465D">
        <w:rPr>
          <w:sz w:val="16"/>
          <w:szCs w:val="16"/>
          <w:lang w:val="en-US"/>
        </w:rPr>
        <w:t xml:space="preserve"> requests or petitions they</w:t>
      </w:r>
      <w:r w:rsidR="00285435" w:rsidRPr="00C9465D">
        <w:rPr>
          <w:sz w:val="16"/>
          <w:szCs w:val="16"/>
          <w:lang w:val="en-US"/>
        </w:rPr>
        <w:t xml:space="preserve"> may</w:t>
      </w:r>
      <w:r w:rsidR="00D8466F" w:rsidRPr="00C9465D">
        <w:rPr>
          <w:sz w:val="16"/>
          <w:szCs w:val="16"/>
          <w:lang w:val="en-US"/>
        </w:rPr>
        <w:t xml:space="preserve"> contain, the State’s observations do not affect the admissibility of the </w:t>
      </w:r>
      <w:r w:rsidR="00D8466F" w:rsidRPr="00C9465D">
        <w:rPr>
          <w:rFonts w:eastAsia="Batang"/>
          <w:i/>
          <w:noProof/>
          <w:sz w:val="16"/>
          <w:szCs w:val="16"/>
          <w:lang w:val="en-US"/>
        </w:rPr>
        <w:t>amici curiae</w:t>
      </w:r>
      <w:r w:rsidR="00D8466F" w:rsidRPr="00C9465D">
        <w:rPr>
          <w:rFonts w:eastAsia="Batang"/>
          <w:noProof/>
          <w:sz w:val="16"/>
          <w:szCs w:val="16"/>
          <w:lang w:val="en-US"/>
        </w:rPr>
        <w:t xml:space="preserve">; without prejudice to the eventual relevance of such observations when assessing the information they contain. </w:t>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w:t>
      </w:r>
      <w:r w:rsidR="00D8466F" w:rsidRPr="00C9465D">
        <w:rPr>
          <w:i/>
          <w:sz w:val="16"/>
          <w:szCs w:val="16"/>
          <w:lang w:val="en-US"/>
        </w:rPr>
        <w:t xml:space="preserve">Expelled </w:t>
      </w:r>
      <w:r w:rsidRPr="00C9465D">
        <w:rPr>
          <w:i/>
          <w:sz w:val="16"/>
          <w:szCs w:val="16"/>
          <w:lang w:val="en-US"/>
        </w:rPr>
        <w:t>Dominicans</w:t>
      </w:r>
      <w:r w:rsidR="00193CBB" w:rsidRPr="00C9465D">
        <w:rPr>
          <w:i/>
          <w:sz w:val="16"/>
          <w:szCs w:val="16"/>
          <w:lang w:val="en-US"/>
        </w:rPr>
        <w:t xml:space="preserve"> and </w:t>
      </w:r>
      <w:r w:rsidRPr="00C9465D">
        <w:rPr>
          <w:i/>
          <w:sz w:val="16"/>
          <w:szCs w:val="16"/>
          <w:lang w:val="en-US"/>
        </w:rPr>
        <w:t xml:space="preserve">Haitians v. </w:t>
      </w:r>
      <w:r w:rsidR="00D8466F" w:rsidRPr="00C9465D">
        <w:rPr>
          <w:i/>
          <w:sz w:val="16"/>
          <w:szCs w:val="16"/>
          <w:lang w:val="en-US"/>
        </w:rPr>
        <w:t>Dominican Republic</w:t>
      </w:r>
      <w:r w:rsidRPr="00C9465D">
        <w:rPr>
          <w:i/>
          <w:sz w:val="16"/>
          <w:szCs w:val="16"/>
          <w:lang w:val="en-US"/>
        </w:rPr>
        <w:t xml:space="preserve">. </w:t>
      </w:r>
      <w:r w:rsidR="00D8466F" w:rsidRPr="00C9465D">
        <w:rPr>
          <w:i/>
          <w:sz w:val="16"/>
          <w:szCs w:val="16"/>
          <w:lang w:val="en-US"/>
        </w:rPr>
        <w:t>Preliminary objections, merits</w:t>
      </w:r>
      <w:r w:rsidR="00193CBB" w:rsidRPr="00C9465D">
        <w:rPr>
          <w:i/>
          <w:sz w:val="16"/>
          <w:szCs w:val="16"/>
          <w:lang w:val="en-US"/>
        </w:rPr>
        <w:t>, reparations and costs</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D8466F" w:rsidRPr="00C9465D">
        <w:rPr>
          <w:sz w:val="16"/>
          <w:szCs w:val="16"/>
          <w:lang w:val="en-US"/>
        </w:rPr>
        <w:t>August 28,</w:t>
      </w:r>
      <w:r w:rsidRPr="00C9465D">
        <w:rPr>
          <w:sz w:val="16"/>
          <w:szCs w:val="16"/>
          <w:lang w:val="en-US"/>
        </w:rPr>
        <w:t xml:space="preserve"> 2014. </w:t>
      </w:r>
      <w:r w:rsidR="00E2299F" w:rsidRPr="00C9465D">
        <w:rPr>
          <w:sz w:val="16"/>
          <w:szCs w:val="16"/>
          <w:lang w:val="en-US"/>
        </w:rPr>
        <w:t xml:space="preserve">Series </w:t>
      </w:r>
      <w:r w:rsidRPr="00C9465D">
        <w:rPr>
          <w:sz w:val="16"/>
          <w:szCs w:val="16"/>
          <w:lang w:val="en-US"/>
        </w:rPr>
        <w:t xml:space="preserve">C No. 282, </w:t>
      </w:r>
      <w:r w:rsidR="00D8466F" w:rsidRPr="00C9465D">
        <w:rPr>
          <w:sz w:val="16"/>
          <w:szCs w:val="16"/>
          <w:lang w:val="en-US"/>
        </w:rPr>
        <w:t>para.</w:t>
      </w:r>
      <w:r w:rsidRPr="00C9465D">
        <w:rPr>
          <w:sz w:val="16"/>
          <w:szCs w:val="16"/>
          <w:lang w:val="en-US"/>
        </w:rPr>
        <w:t xml:space="preserve"> 15,</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V.R.P., V.P.C.</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Nicaragua. </w:t>
      </w:r>
      <w:r w:rsidR="00D8466F" w:rsidRPr="00C9465D">
        <w:rPr>
          <w:i/>
          <w:sz w:val="16"/>
          <w:szCs w:val="16"/>
          <w:lang w:val="en-US"/>
        </w:rPr>
        <w:t>Preliminary objections, merits</w:t>
      </w:r>
      <w:r w:rsidR="00193CBB" w:rsidRPr="00C9465D">
        <w:rPr>
          <w:i/>
          <w:sz w:val="16"/>
          <w:szCs w:val="16"/>
          <w:lang w:val="en-US"/>
        </w:rPr>
        <w:t>, reparations and costs</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D8466F" w:rsidRPr="00C9465D">
        <w:rPr>
          <w:sz w:val="16"/>
          <w:szCs w:val="16"/>
          <w:lang w:val="en-US"/>
        </w:rPr>
        <w:t>March 8,</w:t>
      </w:r>
      <w:r w:rsidRPr="00C9465D">
        <w:rPr>
          <w:sz w:val="16"/>
          <w:szCs w:val="16"/>
          <w:lang w:val="en-US"/>
        </w:rPr>
        <w:t xml:space="preserve"> 2018. </w:t>
      </w:r>
      <w:r w:rsidR="00E2299F" w:rsidRPr="00C9465D">
        <w:rPr>
          <w:sz w:val="16"/>
          <w:szCs w:val="16"/>
          <w:lang w:val="en-US"/>
        </w:rPr>
        <w:t xml:space="preserve">Series </w:t>
      </w:r>
      <w:r w:rsidRPr="00C9465D">
        <w:rPr>
          <w:sz w:val="16"/>
          <w:szCs w:val="16"/>
          <w:lang w:val="en-US"/>
        </w:rPr>
        <w:t xml:space="preserve">C No. 350, </w:t>
      </w:r>
      <w:r w:rsidR="00D8466F" w:rsidRPr="00C9465D">
        <w:rPr>
          <w:sz w:val="16"/>
          <w:szCs w:val="16"/>
          <w:lang w:val="en-US"/>
        </w:rPr>
        <w:t>footnote</w:t>
      </w:r>
      <w:r w:rsidRPr="00C9465D">
        <w:rPr>
          <w:sz w:val="16"/>
          <w:szCs w:val="16"/>
          <w:lang w:val="en-US"/>
        </w:rPr>
        <w:t xml:space="preserve"> 12.</w:t>
      </w:r>
    </w:p>
  </w:footnote>
  <w:footnote w:id="7">
    <w:p w14:paraId="30E40783" w14:textId="72B895E2"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D8466F" w:rsidRPr="00C9465D">
        <w:rPr>
          <w:sz w:val="16"/>
          <w:szCs w:val="16"/>
          <w:lang w:val="en-US"/>
        </w:rPr>
        <w:t>The brief was signed by</w:t>
      </w:r>
      <w:r w:rsidRPr="00C9465D">
        <w:rPr>
          <w:sz w:val="16"/>
          <w:szCs w:val="16"/>
          <w:lang w:val="en-US"/>
        </w:rPr>
        <w:t xml:space="preserve"> Juliana Bustamante Reyes, Federico Isaza Piedrahita, Luis Enrique Penagos</w:t>
      </w:r>
      <w:r w:rsidR="00193CBB" w:rsidRPr="00C9465D">
        <w:rPr>
          <w:sz w:val="16"/>
          <w:szCs w:val="16"/>
          <w:lang w:val="en-US"/>
        </w:rPr>
        <w:t xml:space="preserve"> and </w:t>
      </w:r>
      <w:r w:rsidRPr="00C9465D">
        <w:rPr>
          <w:sz w:val="16"/>
          <w:szCs w:val="16"/>
          <w:lang w:val="en-US"/>
        </w:rPr>
        <w:t xml:space="preserve">Sofía Forero Alba. </w:t>
      </w:r>
      <w:r w:rsidR="00D8466F" w:rsidRPr="00C9465D">
        <w:rPr>
          <w:sz w:val="16"/>
          <w:szCs w:val="16"/>
          <w:lang w:val="en-US"/>
        </w:rPr>
        <w:t>The brief contains legal considerations concerning</w:t>
      </w:r>
      <w:r w:rsidRPr="00C9465D">
        <w:rPr>
          <w:sz w:val="16"/>
          <w:szCs w:val="16"/>
          <w:lang w:val="en-US"/>
        </w:rPr>
        <w:t xml:space="preserve"> </w:t>
      </w:r>
      <w:r w:rsidR="00D8466F" w:rsidRPr="00C9465D">
        <w:rPr>
          <w:sz w:val="16"/>
          <w:szCs w:val="16"/>
          <w:lang w:val="en-US"/>
        </w:rPr>
        <w:t>the right to recognition of juridical personality and legal capacity.</w:t>
      </w:r>
    </w:p>
  </w:footnote>
  <w:footnote w:id="8">
    <w:p w14:paraId="1FDF0FDD" w14:textId="433D2BA5" w:rsidR="00300482" w:rsidRPr="00C9465D" w:rsidRDefault="00300482" w:rsidP="00BD26CF">
      <w:pPr>
        <w:tabs>
          <w:tab w:val="left" w:pos="567"/>
        </w:tabs>
        <w:spacing w:after="120" w:line="240" w:lineRule="auto"/>
        <w:jc w:val="both"/>
        <w:rPr>
          <w:rFonts w:ascii="Verdana" w:hAnsi="Verdana"/>
          <w:b/>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r>
      <w:r w:rsidR="00D8466F" w:rsidRPr="00C9465D">
        <w:rPr>
          <w:rFonts w:ascii="Verdana" w:hAnsi="Verdana"/>
          <w:sz w:val="16"/>
          <w:szCs w:val="16"/>
          <w:lang w:val="en-US"/>
        </w:rPr>
        <w:t>The brief was signed by</w:t>
      </w:r>
      <w:r w:rsidRPr="00C9465D">
        <w:rPr>
          <w:rFonts w:ascii="Verdana" w:hAnsi="Verdana"/>
          <w:sz w:val="16"/>
          <w:szCs w:val="16"/>
          <w:lang w:val="en-US"/>
        </w:rPr>
        <w:t xml:space="preserve"> Cecilia Guillén Lugo. </w:t>
      </w:r>
      <w:r w:rsidR="00285435" w:rsidRPr="00C9465D">
        <w:rPr>
          <w:rFonts w:ascii="Verdana" w:hAnsi="Verdana"/>
          <w:sz w:val="16"/>
          <w:szCs w:val="16"/>
          <w:lang w:val="en-US"/>
        </w:rPr>
        <w:t>It</w:t>
      </w:r>
      <w:r w:rsidR="00D8466F" w:rsidRPr="00C9465D">
        <w:rPr>
          <w:rFonts w:ascii="Verdana" w:hAnsi="Verdana"/>
          <w:sz w:val="16"/>
          <w:szCs w:val="16"/>
          <w:lang w:val="en-US"/>
        </w:rPr>
        <w:t xml:space="preserve"> contains legal considerations concerning</w:t>
      </w:r>
      <w:r w:rsidRPr="00C9465D">
        <w:rPr>
          <w:rFonts w:ascii="Verdana" w:hAnsi="Verdana"/>
          <w:sz w:val="16"/>
          <w:szCs w:val="16"/>
          <w:lang w:val="en-US"/>
        </w:rPr>
        <w:t xml:space="preserve"> </w:t>
      </w:r>
      <w:r w:rsidR="00D8466F" w:rsidRPr="00C9465D">
        <w:rPr>
          <w:rFonts w:ascii="Verdana" w:hAnsi="Verdana"/>
          <w:sz w:val="16"/>
          <w:szCs w:val="16"/>
          <w:lang w:val="en-US"/>
        </w:rPr>
        <w:t xml:space="preserve">the rights of persons with disabilities and the </w:t>
      </w:r>
      <w:r w:rsidRPr="00C9465D">
        <w:rPr>
          <w:rFonts w:ascii="Verdana" w:hAnsi="Verdana"/>
          <w:sz w:val="16"/>
          <w:szCs w:val="16"/>
          <w:lang w:val="en-US"/>
        </w:rPr>
        <w:t>“</w:t>
      </w:r>
      <w:r w:rsidR="00D8466F" w:rsidRPr="00C9465D">
        <w:rPr>
          <w:rFonts w:ascii="Verdana" w:hAnsi="Verdana"/>
          <w:sz w:val="16"/>
          <w:szCs w:val="16"/>
          <w:lang w:val="en-US"/>
        </w:rPr>
        <w:t xml:space="preserve">deinstitutionalization </w:t>
      </w:r>
      <w:r w:rsidRPr="00C9465D">
        <w:rPr>
          <w:rFonts w:ascii="Verdana" w:hAnsi="Verdana"/>
          <w:sz w:val="16"/>
          <w:szCs w:val="16"/>
          <w:lang w:val="en-US"/>
        </w:rPr>
        <w:t>p</w:t>
      </w:r>
      <w:r w:rsidR="000D5EBD" w:rsidRPr="00C9465D">
        <w:rPr>
          <w:rFonts w:ascii="Verdana" w:hAnsi="Verdana"/>
          <w:sz w:val="16"/>
          <w:szCs w:val="16"/>
          <w:lang w:val="en-US"/>
        </w:rPr>
        <w:t>rogram</w:t>
      </w:r>
      <w:r w:rsidRPr="00C9465D">
        <w:rPr>
          <w:rFonts w:ascii="Verdana" w:hAnsi="Verdana"/>
          <w:sz w:val="16"/>
          <w:szCs w:val="16"/>
          <w:lang w:val="en-US"/>
        </w:rPr>
        <w:t xml:space="preserve">” </w:t>
      </w:r>
      <w:r w:rsidR="000D5EBD" w:rsidRPr="00C9465D">
        <w:rPr>
          <w:rFonts w:ascii="Verdana" w:hAnsi="Verdana"/>
          <w:sz w:val="16"/>
          <w:szCs w:val="16"/>
          <w:lang w:val="en-US"/>
        </w:rPr>
        <w:t>i</w:t>
      </w:r>
      <w:r w:rsidRPr="00C9465D">
        <w:rPr>
          <w:rFonts w:ascii="Verdana" w:hAnsi="Verdana"/>
          <w:sz w:val="16"/>
          <w:szCs w:val="16"/>
          <w:lang w:val="en-US"/>
        </w:rPr>
        <w:t>n Ecuador.</w:t>
      </w:r>
    </w:p>
  </w:footnote>
  <w:footnote w:id="9">
    <w:p w14:paraId="4B704942" w14:textId="5678A0B4"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D8466F" w:rsidRPr="00C9465D">
        <w:rPr>
          <w:sz w:val="16"/>
          <w:szCs w:val="16"/>
          <w:lang w:val="en-US"/>
        </w:rPr>
        <w:t>The brief was signed by</w:t>
      </w:r>
      <w:r w:rsidRPr="00C9465D">
        <w:rPr>
          <w:sz w:val="16"/>
          <w:szCs w:val="16"/>
          <w:lang w:val="en-US"/>
        </w:rPr>
        <w:t xml:space="preserve"> Francisco J. Rivera Juaristi. </w:t>
      </w:r>
      <w:r w:rsidR="00285435" w:rsidRPr="00C9465D">
        <w:rPr>
          <w:sz w:val="16"/>
          <w:szCs w:val="16"/>
          <w:lang w:val="en-US"/>
        </w:rPr>
        <w:t>It</w:t>
      </w:r>
      <w:r w:rsidR="00D8466F" w:rsidRPr="00C9465D">
        <w:rPr>
          <w:sz w:val="16"/>
          <w:szCs w:val="16"/>
          <w:lang w:val="en-US"/>
        </w:rPr>
        <w:t xml:space="preserve"> contains legal considerations concerning</w:t>
      </w:r>
      <w:r w:rsidRPr="00C9465D">
        <w:rPr>
          <w:sz w:val="16"/>
          <w:szCs w:val="16"/>
          <w:lang w:val="en-US"/>
        </w:rPr>
        <w:t xml:space="preserve"> </w:t>
      </w:r>
      <w:r w:rsidR="000D5EBD" w:rsidRPr="00C9465D">
        <w:rPr>
          <w:sz w:val="16"/>
          <w:szCs w:val="16"/>
          <w:lang w:val="en-US"/>
        </w:rPr>
        <w:t>informed consent, forced disappearance and the right to personal integrity</w:t>
      </w:r>
      <w:r w:rsidRPr="00C9465D">
        <w:rPr>
          <w:sz w:val="16"/>
          <w:szCs w:val="16"/>
          <w:lang w:val="en-US"/>
        </w:rPr>
        <w:t>.</w:t>
      </w:r>
    </w:p>
  </w:footnote>
  <w:footnote w:id="10">
    <w:p w14:paraId="2DB736C1" w14:textId="08EAB84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D8466F" w:rsidRPr="00C9465D">
        <w:rPr>
          <w:sz w:val="16"/>
          <w:szCs w:val="16"/>
          <w:lang w:val="en-US"/>
        </w:rPr>
        <w:t>The brief was signed by</w:t>
      </w:r>
      <w:r w:rsidRPr="00C9465D">
        <w:rPr>
          <w:sz w:val="16"/>
          <w:szCs w:val="16"/>
          <w:lang w:val="en-US"/>
        </w:rPr>
        <w:t xml:space="preserve"> Daniela Urosa, Nadia Bouquet</w:t>
      </w:r>
      <w:r w:rsidR="00193CBB" w:rsidRPr="00C9465D">
        <w:rPr>
          <w:sz w:val="16"/>
          <w:szCs w:val="16"/>
          <w:lang w:val="en-US"/>
        </w:rPr>
        <w:t xml:space="preserve"> and </w:t>
      </w:r>
      <w:r w:rsidRPr="00C9465D">
        <w:rPr>
          <w:sz w:val="16"/>
          <w:szCs w:val="16"/>
          <w:lang w:val="en-US"/>
        </w:rPr>
        <w:t xml:space="preserve">Marija Tesla. </w:t>
      </w:r>
      <w:r w:rsidR="00285435" w:rsidRPr="00C9465D">
        <w:rPr>
          <w:sz w:val="16"/>
          <w:szCs w:val="16"/>
          <w:lang w:val="en-US"/>
        </w:rPr>
        <w:t>It</w:t>
      </w:r>
      <w:r w:rsidR="000D5EBD" w:rsidRPr="00C9465D">
        <w:rPr>
          <w:sz w:val="16"/>
          <w:szCs w:val="16"/>
          <w:lang w:val="en-US"/>
        </w:rPr>
        <w:t xml:space="preserve"> contains legal considerations concerning the right to health of persons with disabilities and forced disappearance.</w:t>
      </w:r>
    </w:p>
  </w:footnote>
  <w:footnote w:id="11">
    <w:p w14:paraId="68BC526B" w14:textId="1FE1F464"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D8466F" w:rsidRPr="00C9465D">
        <w:rPr>
          <w:sz w:val="16"/>
          <w:szCs w:val="16"/>
          <w:lang w:val="en-US"/>
        </w:rPr>
        <w:t>The brief was signed by</w:t>
      </w:r>
      <w:r w:rsidRPr="00C9465D">
        <w:rPr>
          <w:sz w:val="16"/>
          <w:szCs w:val="16"/>
          <w:lang w:val="en-US"/>
        </w:rPr>
        <w:t xml:space="preserve"> Renata Anahí Bregaglio Lazarte, Astrid Flores Huamani, Renato Antonio Constantino Caycho</w:t>
      </w:r>
      <w:r w:rsidR="00193CBB" w:rsidRPr="00C9465D">
        <w:rPr>
          <w:sz w:val="16"/>
          <w:szCs w:val="16"/>
          <w:lang w:val="en-US"/>
        </w:rPr>
        <w:t xml:space="preserve"> and </w:t>
      </w:r>
      <w:r w:rsidRPr="00C9465D">
        <w:rPr>
          <w:sz w:val="16"/>
          <w:szCs w:val="16"/>
          <w:lang w:val="en-US"/>
        </w:rPr>
        <w:t xml:space="preserve">Paula Camino Morgado. </w:t>
      </w:r>
      <w:r w:rsidR="00285435" w:rsidRPr="00C9465D">
        <w:rPr>
          <w:sz w:val="16"/>
          <w:szCs w:val="16"/>
          <w:lang w:val="en-US"/>
        </w:rPr>
        <w:t>It</w:t>
      </w:r>
      <w:r w:rsidR="00D8466F" w:rsidRPr="00C9465D">
        <w:rPr>
          <w:sz w:val="16"/>
          <w:szCs w:val="16"/>
          <w:lang w:val="en-US"/>
        </w:rPr>
        <w:t xml:space="preserve"> contains legal considerations concerning</w:t>
      </w:r>
      <w:r w:rsidRPr="00C9465D">
        <w:rPr>
          <w:sz w:val="16"/>
          <w:szCs w:val="16"/>
          <w:lang w:val="en-US"/>
        </w:rPr>
        <w:t xml:space="preserve"> </w:t>
      </w:r>
      <w:r w:rsidR="000D5EBD" w:rsidRPr="00C9465D">
        <w:rPr>
          <w:sz w:val="16"/>
          <w:szCs w:val="16"/>
          <w:lang w:val="en-US"/>
        </w:rPr>
        <w:t>involuntary institutionalization and the informed consent of persons with mental disabilities</w:t>
      </w:r>
      <w:r w:rsidRPr="00C9465D">
        <w:rPr>
          <w:sz w:val="16"/>
          <w:szCs w:val="16"/>
          <w:lang w:val="en-US"/>
        </w:rPr>
        <w:t>.</w:t>
      </w:r>
    </w:p>
  </w:footnote>
  <w:footnote w:id="12">
    <w:p w14:paraId="1BB2B794" w14:textId="5A99410E"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D8466F" w:rsidRPr="00C9465D">
        <w:rPr>
          <w:sz w:val="16"/>
          <w:szCs w:val="16"/>
          <w:lang w:val="en-US"/>
        </w:rPr>
        <w:t>The brief was signed by</w:t>
      </w:r>
      <w:r w:rsidRPr="00C9465D">
        <w:rPr>
          <w:sz w:val="16"/>
          <w:szCs w:val="16"/>
          <w:lang w:val="en-US"/>
        </w:rPr>
        <w:t xml:space="preserve"> Dan Israel García Gutiérrez. </w:t>
      </w:r>
      <w:r w:rsidR="00285435" w:rsidRPr="00C9465D">
        <w:rPr>
          <w:sz w:val="16"/>
          <w:szCs w:val="16"/>
          <w:lang w:val="en-US"/>
        </w:rPr>
        <w:t>It</w:t>
      </w:r>
      <w:r w:rsidR="00D8466F" w:rsidRPr="00C9465D">
        <w:rPr>
          <w:sz w:val="16"/>
          <w:szCs w:val="16"/>
          <w:lang w:val="en-US"/>
        </w:rPr>
        <w:t xml:space="preserve"> contains legal considerations concerning</w:t>
      </w:r>
      <w:r w:rsidR="000D5EBD" w:rsidRPr="00C9465D">
        <w:rPr>
          <w:sz w:val="16"/>
          <w:szCs w:val="16"/>
          <w:lang w:val="en-US"/>
        </w:rPr>
        <w:t xml:space="preserve"> forced disappearance.</w:t>
      </w:r>
    </w:p>
  </w:footnote>
  <w:footnote w:id="13">
    <w:p w14:paraId="3239610A" w14:textId="592B5D7D"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D8466F" w:rsidRPr="00C9465D">
        <w:rPr>
          <w:sz w:val="16"/>
          <w:szCs w:val="16"/>
          <w:lang w:val="en-US"/>
        </w:rPr>
        <w:t>The brief was signed by</w:t>
      </w:r>
      <w:r w:rsidRPr="00C9465D">
        <w:rPr>
          <w:sz w:val="16"/>
          <w:szCs w:val="16"/>
          <w:lang w:val="en-US"/>
        </w:rPr>
        <w:t xml:space="preserve"> Constanza Argentieri, Paula Litvachky, Javier A. Galindo, Sebastian Bojacá, Mauricio Ariel Albarracín Caballero, Michael Ashley Stein, Lucía Giudice, Raphaela Lopes,</w:t>
      </w:r>
      <w:r w:rsidR="00193CBB" w:rsidRPr="00C9465D">
        <w:rPr>
          <w:sz w:val="16"/>
          <w:szCs w:val="16"/>
          <w:lang w:val="en-US"/>
        </w:rPr>
        <w:t xml:space="preserve"> and </w:t>
      </w:r>
      <w:r w:rsidRPr="00C9465D">
        <w:rPr>
          <w:sz w:val="16"/>
          <w:szCs w:val="16"/>
          <w:lang w:val="en-US"/>
        </w:rPr>
        <w:t xml:space="preserve">Fernando Ribeiro Delgado. </w:t>
      </w:r>
      <w:r w:rsidR="00285435" w:rsidRPr="00C9465D">
        <w:rPr>
          <w:sz w:val="16"/>
          <w:szCs w:val="16"/>
          <w:lang w:val="en-US"/>
        </w:rPr>
        <w:t>It</w:t>
      </w:r>
      <w:r w:rsidR="00D8466F" w:rsidRPr="00C9465D">
        <w:rPr>
          <w:sz w:val="16"/>
          <w:szCs w:val="16"/>
          <w:lang w:val="en-US"/>
        </w:rPr>
        <w:t xml:space="preserve"> contains legal considerations concerning</w:t>
      </w:r>
      <w:r w:rsidRPr="00C9465D">
        <w:rPr>
          <w:sz w:val="16"/>
          <w:szCs w:val="16"/>
          <w:lang w:val="en-US"/>
        </w:rPr>
        <w:t xml:space="preserve"> </w:t>
      </w:r>
      <w:r w:rsidR="000D5EBD" w:rsidRPr="00C9465D">
        <w:rPr>
          <w:sz w:val="16"/>
          <w:szCs w:val="16"/>
          <w:lang w:val="en-US"/>
        </w:rPr>
        <w:t xml:space="preserve">the right to health of persons with disabilities, the lack of justification for the segregation of mental health services, and the duty to prioritize </w:t>
      </w:r>
      <w:r w:rsidRPr="00C9465D">
        <w:rPr>
          <w:sz w:val="16"/>
          <w:szCs w:val="16"/>
          <w:lang w:val="en-US"/>
        </w:rPr>
        <w:t>“</w:t>
      </w:r>
      <w:r w:rsidR="000D5EBD" w:rsidRPr="00C9465D">
        <w:rPr>
          <w:sz w:val="16"/>
          <w:szCs w:val="16"/>
          <w:lang w:val="en-US"/>
        </w:rPr>
        <w:t>deinstitutionalization.</w:t>
      </w:r>
      <w:r w:rsidRPr="00C9465D">
        <w:rPr>
          <w:sz w:val="16"/>
          <w:szCs w:val="16"/>
          <w:lang w:val="en-US"/>
        </w:rPr>
        <w:t xml:space="preserve">” </w:t>
      </w:r>
    </w:p>
  </w:footnote>
  <w:footnote w:id="14">
    <w:p w14:paraId="5E4C7FEB" w14:textId="0EE07456"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0D5EBD" w:rsidRPr="00C9465D">
        <w:rPr>
          <w:sz w:val="16"/>
          <w:szCs w:val="16"/>
          <w:lang w:val="en-US"/>
        </w:rPr>
        <w:t xml:space="preserve">Owing to the exceptional circumstances caused by the COVID-19 pandemic, this judgment was deliberated and adopted during the 140th regular session, which was held virtually using technological means in keeping with the provisions of </w:t>
      </w:r>
      <w:r w:rsidR="00193CBB" w:rsidRPr="00C9465D">
        <w:rPr>
          <w:sz w:val="16"/>
          <w:szCs w:val="16"/>
          <w:lang w:val="en-US"/>
        </w:rPr>
        <w:t xml:space="preserve">the </w:t>
      </w:r>
      <w:r w:rsidR="00285435" w:rsidRPr="00C9465D">
        <w:rPr>
          <w:sz w:val="16"/>
          <w:szCs w:val="16"/>
          <w:lang w:val="en-US"/>
        </w:rPr>
        <w:t xml:space="preserve">Court’s </w:t>
      </w:r>
      <w:r w:rsidR="00193CBB" w:rsidRPr="00C9465D">
        <w:rPr>
          <w:sz w:val="16"/>
          <w:szCs w:val="16"/>
          <w:lang w:val="en-US"/>
        </w:rPr>
        <w:t>Rules of Procedure</w:t>
      </w:r>
      <w:r w:rsidRPr="00C9465D">
        <w:rPr>
          <w:sz w:val="16"/>
          <w:szCs w:val="16"/>
          <w:lang w:val="en-US"/>
        </w:rPr>
        <w:t>.</w:t>
      </w:r>
    </w:p>
  </w:footnote>
  <w:footnote w:id="15">
    <w:p w14:paraId="01A68E24" w14:textId="0CF3B0AA"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422D91" w:rsidRPr="00C9465D">
        <w:rPr>
          <w:sz w:val="16"/>
          <w:szCs w:val="16"/>
          <w:lang w:val="en-US"/>
        </w:rPr>
        <w:t>In general</w:t>
      </w:r>
      <w:r w:rsidR="00285435" w:rsidRPr="00C9465D">
        <w:rPr>
          <w:sz w:val="16"/>
          <w:szCs w:val="16"/>
          <w:lang w:val="en-US"/>
        </w:rPr>
        <w:t>,</w:t>
      </w:r>
      <w:r w:rsidR="00422D91" w:rsidRPr="00C9465D">
        <w:rPr>
          <w:sz w:val="16"/>
          <w:szCs w:val="16"/>
          <w:lang w:val="en-US"/>
        </w:rPr>
        <w:t xml:space="preserve"> and pursuant to Article 57(2) of the Rules of Procedure, documentary evidence </w:t>
      </w:r>
      <w:r w:rsidR="00285435" w:rsidRPr="00C9465D">
        <w:rPr>
          <w:sz w:val="16"/>
          <w:szCs w:val="16"/>
          <w:lang w:val="en-US"/>
        </w:rPr>
        <w:t>may</w:t>
      </w:r>
      <w:r w:rsidR="00422D91" w:rsidRPr="00C9465D">
        <w:rPr>
          <w:sz w:val="16"/>
          <w:szCs w:val="16"/>
          <w:lang w:val="en-US"/>
        </w:rPr>
        <w:t xml:space="preserve"> be presented together with the briefs submitting the case or with pleadings and motions, or with the answering brief, as applicable, and evidence remitted at other times is not admissible, subject to the exceptions established in the said Article 57(2) of the Rules of Procedure (namely, </w:t>
      </w:r>
      <w:r w:rsidR="00422D91" w:rsidRPr="00C9465D">
        <w:rPr>
          <w:i/>
          <w:iCs/>
          <w:sz w:val="16"/>
          <w:szCs w:val="16"/>
          <w:lang w:val="en-US"/>
        </w:rPr>
        <w:t>force majeure,</w:t>
      </w:r>
      <w:r w:rsidR="00422D91" w:rsidRPr="00C9465D">
        <w:rPr>
          <w:sz w:val="16"/>
          <w:szCs w:val="16"/>
          <w:lang w:val="en-US"/>
        </w:rPr>
        <w:t xml:space="preserve"> or grave impediment) or unless it relates to a supervening fact; in other words, one that occurred following the said procedural moments.</w:t>
      </w:r>
      <w:r w:rsidRPr="00C9465D">
        <w:rPr>
          <w:sz w:val="16"/>
          <w:szCs w:val="16"/>
          <w:lang w:val="en-US"/>
        </w:rPr>
        <w:t xml:space="preserve"> </w:t>
      </w:r>
    </w:p>
  </w:footnote>
  <w:footnote w:id="16">
    <w:p w14:paraId="6DA7B093" w14:textId="7EB4AFE1"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422D91" w:rsidRPr="00C9465D">
        <w:rPr>
          <w:sz w:val="16"/>
          <w:szCs w:val="16"/>
          <w:lang w:val="en-US"/>
        </w:rPr>
        <w:t>Annex</w:t>
      </w:r>
      <w:r w:rsidRPr="00C9465D">
        <w:rPr>
          <w:sz w:val="16"/>
          <w:szCs w:val="16"/>
          <w:lang w:val="en-US"/>
        </w:rPr>
        <w:t xml:space="preserve"> 7 </w:t>
      </w:r>
      <w:r w:rsidR="00422D91" w:rsidRPr="00C9465D">
        <w:rPr>
          <w:sz w:val="16"/>
          <w:szCs w:val="16"/>
          <w:lang w:val="en-US"/>
        </w:rPr>
        <w:t>corresponds to the following document</w:t>
      </w:r>
      <w:r w:rsidRPr="00C9465D">
        <w:rPr>
          <w:sz w:val="16"/>
          <w:szCs w:val="16"/>
          <w:lang w:val="en-US"/>
        </w:rPr>
        <w:t>: “</w:t>
      </w:r>
      <w:r w:rsidR="00422D91" w:rsidRPr="00C9465D">
        <w:rPr>
          <w:sz w:val="16"/>
          <w:szCs w:val="16"/>
          <w:lang w:val="en-US"/>
        </w:rPr>
        <w:t xml:space="preserve">National </w:t>
      </w:r>
      <w:r w:rsidRPr="00C9465D">
        <w:rPr>
          <w:sz w:val="16"/>
          <w:szCs w:val="16"/>
          <w:lang w:val="en-US"/>
        </w:rPr>
        <w:t>Sub</w:t>
      </w:r>
      <w:r w:rsidR="00422D91" w:rsidRPr="00C9465D">
        <w:rPr>
          <w:sz w:val="16"/>
          <w:szCs w:val="16"/>
          <w:lang w:val="en-US"/>
        </w:rPr>
        <w:t>-Secretariat for the Provision of Health Services: Minutes of a meeting, Monitoring progress in the proposal to modernize the Julio Endara Specialized Hospital [HEJE].</w:t>
      </w:r>
      <w:r w:rsidRPr="00C9465D">
        <w:rPr>
          <w:sz w:val="16"/>
          <w:szCs w:val="16"/>
          <w:lang w:val="en-US"/>
        </w:rPr>
        <w:t>”</w:t>
      </w:r>
    </w:p>
  </w:footnote>
  <w:footnote w:id="17">
    <w:p w14:paraId="552DEBC4" w14:textId="7544D9FA"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422D91" w:rsidRPr="00C9465D">
        <w:rPr>
          <w:sz w:val="16"/>
          <w:szCs w:val="16"/>
          <w:lang w:val="en-US"/>
        </w:rPr>
        <w:t>Annex</w:t>
      </w:r>
      <w:r w:rsidRPr="00C9465D">
        <w:rPr>
          <w:sz w:val="16"/>
          <w:szCs w:val="16"/>
          <w:lang w:val="en-US"/>
        </w:rPr>
        <w:t xml:space="preserve"> 8 </w:t>
      </w:r>
      <w:r w:rsidR="00422D91" w:rsidRPr="00C9465D">
        <w:rPr>
          <w:sz w:val="16"/>
          <w:szCs w:val="16"/>
          <w:lang w:val="en-US"/>
        </w:rPr>
        <w:t>corresponds to the following document</w:t>
      </w:r>
      <w:r w:rsidRPr="00C9465D">
        <w:rPr>
          <w:sz w:val="16"/>
          <w:szCs w:val="16"/>
          <w:lang w:val="en-US"/>
        </w:rPr>
        <w:t>: “</w:t>
      </w:r>
      <w:r w:rsidR="00422D91" w:rsidRPr="00C9465D">
        <w:rPr>
          <w:sz w:val="16"/>
          <w:szCs w:val="16"/>
          <w:lang w:val="en-US"/>
        </w:rPr>
        <w:t>Ministry of Public Health:</w:t>
      </w:r>
      <w:r w:rsidRPr="00C9465D">
        <w:rPr>
          <w:sz w:val="16"/>
          <w:szCs w:val="16"/>
          <w:lang w:val="en-US"/>
        </w:rPr>
        <w:t xml:space="preserve"> document</w:t>
      </w:r>
      <w:r w:rsidR="00422D91" w:rsidRPr="00C9465D">
        <w:rPr>
          <w:sz w:val="16"/>
          <w:szCs w:val="16"/>
          <w:lang w:val="en-US"/>
        </w:rPr>
        <w:t xml:space="preserve"> –</w:t>
      </w:r>
      <w:r w:rsidRPr="00C9465D">
        <w:rPr>
          <w:sz w:val="16"/>
          <w:szCs w:val="16"/>
          <w:lang w:val="en-US"/>
        </w:rPr>
        <w:t xml:space="preserve"> Implementa</w:t>
      </w:r>
      <w:r w:rsidR="00422D91" w:rsidRPr="00C9465D">
        <w:rPr>
          <w:sz w:val="16"/>
          <w:szCs w:val="16"/>
          <w:lang w:val="en-US"/>
        </w:rPr>
        <w:t xml:space="preserve">tion of the Model of Community Mental Health Care in the </w:t>
      </w:r>
      <w:r w:rsidRPr="00C9465D">
        <w:rPr>
          <w:sz w:val="16"/>
          <w:szCs w:val="16"/>
          <w:lang w:val="en-US"/>
        </w:rPr>
        <w:t>HEJE 2017-2025</w:t>
      </w:r>
      <w:r w:rsidR="00422D91" w:rsidRPr="00C9465D">
        <w:rPr>
          <w:sz w:val="16"/>
          <w:szCs w:val="16"/>
          <w:lang w:val="en-US"/>
        </w:rPr>
        <w:t>.</w:t>
      </w:r>
      <w:r w:rsidRPr="00C9465D">
        <w:rPr>
          <w:sz w:val="16"/>
          <w:szCs w:val="16"/>
          <w:lang w:val="en-US"/>
        </w:rPr>
        <w:t>”</w:t>
      </w:r>
    </w:p>
  </w:footnote>
  <w:footnote w:id="18">
    <w:p w14:paraId="5DBAA707" w14:textId="7CBC86FB"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422D91" w:rsidRPr="00C9465D">
        <w:rPr>
          <w:sz w:val="16"/>
          <w:szCs w:val="16"/>
          <w:lang w:val="en-US"/>
        </w:rPr>
        <w:t>Annex</w:t>
      </w:r>
      <w:r w:rsidRPr="00C9465D">
        <w:rPr>
          <w:sz w:val="16"/>
          <w:szCs w:val="16"/>
          <w:lang w:val="en-US"/>
        </w:rPr>
        <w:t xml:space="preserve"> 9 </w:t>
      </w:r>
      <w:r w:rsidR="00422D91" w:rsidRPr="00C9465D">
        <w:rPr>
          <w:sz w:val="16"/>
          <w:szCs w:val="16"/>
          <w:lang w:val="en-US"/>
        </w:rPr>
        <w:t>corresponds to the following document</w:t>
      </w:r>
      <w:r w:rsidRPr="00C9465D">
        <w:rPr>
          <w:sz w:val="16"/>
          <w:szCs w:val="16"/>
          <w:lang w:val="en-US"/>
        </w:rPr>
        <w:t>: “</w:t>
      </w:r>
      <w:r w:rsidR="00422D91" w:rsidRPr="00C9465D">
        <w:rPr>
          <w:sz w:val="16"/>
          <w:szCs w:val="16"/>
          <w:lang w:val="en-US"/>
        </w:rPr>
        <w:t xml:space="preserve">Ministry of Public Health: Zonal Coordinator No. 9 – Julio Endara Specialized Hospital – Report on the </w:t>
      </w:r>
      <w:r w:rsidR="00FC6A45" w:rsidRPr="00C9465D">
        <w:rPr>
          <w:sz w:val="16"/>
          <w:szCs w:val="16"/>
          <w:lang w:val="en-US"/>
        </w:rPr>
        <w:t>amendments</w:t>
      </w:r>
      <w:r w:rsidR="00422D91" w:rsidRPr="00C9465D">
        <w:rPr>
          <w:sz w:val="16"/>
          <w:szCs w:val="16"/>
          <w:lang w:val="en-US"/>
        </w:rPr>
        <w:t xml:space="preserve"> made </w:t>
      </w:r>
      <w:r w:rsidR="00FC6A45" w:rsidRPr="00C9465D">
        <w:rPr>
          <w:sz w:val="16"/>
          <w:szCs w:val="16"/>
          <w:lang w:val="en-US"/>
        </w:rPr>
        <w:t>to the</w:t>
      </w:r>
      <w:r w:rsidR="00422D91" w:rsidRPr="00C9465D">
        <w:rPr>
          <w:sz w:val="16"/>
          <w:szCs w:val="16"/>
          <w:lang w:val="en-US"/>
        </w:rPr>
        <w:t xml:space="preserve"> </w:t>
      </w:r>
      <w:r w:rsidR="00FC6A45" w:rsidRPr="00C9465D">
        <w:rPr>
          <w:sz w:val="16"/>
          <w:szCs w:val="16"/>
          <w:lang w:val="en-US"/>
        </w:rPr>
        <w:t>HEJE</w:t>
      </w:r>
      <w:r w:rsidR="00422D91" w:rsidRPr="00C9465D">
        <w:rPr>
          <w:sz w:val="16"/>
          <w:szCs w:val="16"/>
          <w:lang w:val="en-US"/>
        </w:rPr>
        <w:t xml:space="preserve"> internal </w:t>
      </w:r>
      <w:r w:rsidR="000D1F57" w:rsidRPr="00C9465D">
        <w:rPr>
          <w:sz w:val="16"/>
          <w:szCs w:val="16"/>
          <w:lang w:val="en-US"/>
        </w:rPr>
        <w:t>Rules and Regulations</w:t>
      </w:r>
      <w:r w:rsidR="00422D91" w:rsidRPr="00C9465D">
        <w:rPr>
          <w:sz w:val="16"/>
          <w:szCs w:val="16"/>
          <w:lang w:val="en-US"/>
        </w:rPr>
        <w:t>.</w:t>
      </w:r>
      <w:r w:rsidRPr="00C9465D">
        <w:rPr>
          <w:sz w:val="16"/>
          <w:szCs w:val="16"/>
          <w:lang w:val="en-US"/>
        </w:rPr>
        <w:t>”</w:t>
      </w:r>
    </w:p>
  </w:footnote>
  <w:footnote w:id="19">
    <w:p w14:paraId="0D2856DC" w14:textId="75FEDF35"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iCs/>
          <w:sz w:val="16"/>
          <w:szCs w:val="16"/>
          <w:lang w:val="en-US"/>
        </w:rPr>
        <w:t>Cf.</w:t>
      </w:r>
      <w:r w:rsidRPr="00C9465D">
        <w:rPr>
          <w:sz w:val="16"/>
          <w:szCs w:val="16"/>
          <w:lang w:val="en-US"/>
        </w:rPr>
        <w:t xml:space="preserve"> </w:t>
      </w:r>
      <w:r w:rsidR="00153C9F" w:rsidRPr="00C9465D">
        <w:rPr>
          <w:sz w:val="16"/>
          <w:szCs w:val="16"/>
          <w:lang w:val="en-US"/>
        </w:rPr>
        <w:t xml:space="preserve">Affidavit made by </w:t>
      </w:r>
      <w:r w:rsidRPr="00C9465D">
        <w:rPr>
          <w:sz w:val="16"/>
          <w:szCs w:val="16"/>
          <w:lang w:val="en-US"/>
        </w:rPr>
        <w:t xml:space="preserve">Nancy Guachalá Chimbo </w:t>
      </w:r>
      <w:r w:rsidR="00153C9F" w:rsidRPr="00C9465D">
        <w:rPr>
          <w:sz w:val="16"/>
          <w:szCs w:val="16"/>
          <w:lang w:val="en-US"/>
        </w:rPr>
        <w:t>on October 30,</w:t>
      </w:r>
      <w:r w:rsidRPr="00C9465D">
        <w:rPr>
          <w:sz w:val="16"/>
          <w:szCs w:val="16"/>
          <w:lang w:val="en-US"/>
        </w:rPr>
        <w:t xml:space="preserve"> 2020 (</w:t>
      </w:r>
      <w:r w:rsidR="00153C9F" w:rsidRPr="00C9465D">
        <w:rPr>
          <w:sz w:val="16"/>
          <w:szCs w:val="16"/>
          <w:lang w:val="en-US"/>
        </w:rPr>
        <w:t>evidence file</w:t>
      </w:r>
      <w:r w:rsidRPr="00C9465D">
        <w:rPr>
          <w:sz w:val="16"/>
          <w:szCs w:val="16"/>
          <w:lang w:val="en-US"/>
        </w:rPr>
        <w:t>, folios 2241</w:t>
      </w:r>
      <w:r w:rsidR="00153C9F" w:rsidRPr="00C9465D">
        <w:rPr>
          <w:sz w:val="16"/>
          <w:szCs w:val="16"/>
          <w:lang w:val="en-US"/>
        </w:rPr>
        <w:t xml:space="preserve"> to </w:t>
      </w:r>
      <w:r w:rsidRPr="00C9465D">
        <w:rPr>
          <w:sz w:val="16"/>
          <w:szCs w:val="16"/>
          <w:lang w:val="en-US"/>
        </w:rPr>
        <w:t xml:space="preserve">2247); </w:t>
      </w:r>
      <w:r w:rsidR="00153C9F" w:rsidRPr="00C9465D">
        <w:rPr>
          <w:sz w:val="16"/>
          <w:szCs w:val="16"/>
          <w:lang w:val="en-US"/>
        </w:rPr>
        <w:t xml:space="preserve">Affidavit made by </w:t>
      </w:r>
      <w:r w:rsidRPr="00C9465D">
        <w:rPr>
          <w:sz w:val="16"/>
          <w:szCs w:val="16"/>
          <w:lang w:val="en-US"/>
        </w:rPr>
        <w:t xml:space="preserve">Aida Beatriz Villareal Tobar </w:t>
      </w:r>
      <w:r w:rsidR="00153C9F" w:rsidRPr="00C9465D">
        <w:rPr>
          <w:sz w:val="16"/>
          <w:szCs w:val="16"/>
          <w:lang w:val="en-US"/>
        </w:rPr>
        <w:t>on October 30,</w:t>
      </w:r>
      <w:r w:rsidRPr="00C9465D">
        <w:rPr>
          <w:sz w:val="16"/>
          <w:szCs w:val="16"/>
          <w:lang w:val="en-US"/>
        </w:rPr>
        <w:t xml:space="preserve"> 2020 (</w:t>
      </w:r>
      <w:r w:rsidR="00153C9F" w:rsidRPr="00C9465D">
        <w:rPr>
          <w:sz w:val="16"/>
          <w:szCs w:val="16"/>
          <w:lang w:val="en-US"/>
        </w:rPr>
        <w:t>evidence file</w:t>
      </w:r>
      <w:r w:rsidRPr="00C9465D">
        <w:rPr>
          <w:sz w:val="16"/>
          <w:szCs w:val="16"/>
          <w:lang w:val="en-US"/>
        </w:rPr>
        <w:t>, folios 2254</w:t>
      </w:r>
      <w:r w:rsidR="00153C9F" w:rsidRPr="00C9465D">
        <w:rPr>
          <w:sz w:val="16"/>
          <w:szCs w:val="16"/>
          <w:lang w:val="en-US"/>
        </w:rPr>
        <w:t xml:space="preserve"> to </w:t>
      </w:r>
      <w:r w:rsidRPr="00C9465D">
        <w:rPr>
          <w:sz w:val="16"/>
          <w:szCs w:val="16"/>
          <w:lang w:val="en-US"/>
        </w:rPr>
        <w:t xml:space="preserve">2276); </w:t>
      </w:r>
      <w:r w:rsidR="00153C9F" w:rsidRPr="00C9465D">
        <w:rPr>
          <w:sz w:val="16"/>
          <w:szCs w:val="16"/>
          <w:lang w:val="en-US"/>
        </w:rPr>
        <w:t xml:space="preserve">Affidavit made by </w:t>
      </w:r>
      <w:r w:rsidRPr="00C9465D">
        <w:rPr>
          <w:sz w:val="16"/>
          <w:szCs w:val="16"/>
          <w:lang w:val="en-US"/>
        </w:rPr>
        <w:t xml:space="preserve">Pablo Bermúdez Aguinaga </w:t>
      </w:r>
      <w:r w:rsidR="00153C9F" w:rsidRPr="00C9465D">
        <w:rPr>
          <w:sz w:val="16"/>
          <w:szCs w:val="16"/>
          <w:lang w:val="en-US"/>
        </w:rPr>
        <w:t>on October 31,</w:t>
      </w:r>
      <w:r w:rsidRPr="00C9465D">
        <w:rPr>
          <w:sz w:val="16"/>
          <w:szCs w:val="16"/>
          <w:lang w:val="en-US"/>
        </w:rPr>
        <w:t xml:space="preserve"> 2020 (</w:t>
      </w:r>
      <w:r w:rsidR="00153C9F" w:rsidRPr="00C9465D">
        <w:rPr>
          <w:sz w:val="16"/>
          <w:szCs w:val="16"/>
          <w:lang w:val="en-US"/>
        </w:rPr>
        <w:t>evidence file</w:t>
      </w:r>
      <w:r w:rsidRPr="00C9465D">
        <w:rPr>
          <w:sz w:val="16"/>
          <w:szCs w:val="16"/>
          <w:lang w:val="en-US"/>
        </w:rPr>
        <w:t>, folios 2285</w:t>
      </w:r>
      <w:r w:rsidR="00153C9F" w:rsidRPr="00C9465D">
        <w:rPr>
          <w:sz w:val="16"/>
          <w:szCs w:val="16"/>
          <w:lang w:val="en-US"/>
        </w:rPr>
        <w:t xml:space="preserve"> to </w:t>
      </w:r>
      <w:r w:rsidRPr="00C9465D">
        <w:rPr>
          <w:sz w:val="16"/>
          <w:szCs w:val="16"/>
          <w:lang w:val="en-US"/>
        </w:rPr>
        <w:t xml:space="preserve">2291); </w:t>
      </w:r>
      <w:r w:rsidR="00153C9F" w:rsidRPr="00C9465D">
        <w:rPr>
          <w:sz w:val="16"/>
          <w:szCs w:val="16"/>
          <w:lang w:val="en-US"/>
        </w:rPr>
        <w:t xml:space="preserve">expert opinion provided by affidavit by </w:t>
      </w:r>
      <w:r w:rsidRPr="00C9465D">
        <w:rPr>
          <w:sz w:val="16"/>
          <w:szCs w:val="16"/>
          <w:lang w:val="en-US"/>
        </w:rPr>
        <w:t xml:space="preserve">Francisco Hurtado Caicedo </w:t>
      </w:r>
      <w:r w:rsidR="00153C9F" w:rsidRPr="00C9465D">
        <w:rPr>
          <w:sz w:val="16"/>
          <w:szCs w:val="16"/>
          <w:lang w:val="en-US"/>
        </w:rPr>
        <w:t>on October 31,</w:t>
      </w:r>
      <w:r w:rsidRPr="00C9465D">
        <w:rPr>
          <w:sz w:val="16"/>
          <w:szCs w:val="16"/>
          <w:lang w:val="en-US"/>
        </w:rPr>
        <w:t xml:space="preserve"> 2020 (</w:t>
      </w:r>
      <w:r w:rsidR="00153C9F" w:rsidRPr="00C9465D">
        <w:rPr>
          <w:sz w:val="16"/>
          <w:szCs w:val="16"/>
          <w:lang w:val="en-US"/>
        </w:rPr>
        <w:t>evidence file</w:t>
      </w:r>
      <w:r w:rsidRPr="00C9465D">
        <w:rPr>
          <w:sz w:val="16"/>
          <w:szCs w:val="16"/>
          <w:lang w:val="en-US"/>
        </w:rPr>
        <w:t>, folios 2301</w:t>
      </w:r>
      <w:r w:rsidR="00153C9F" w:rsidRPr="00C9465D">
        <w:rPr>
          <w:sz w:val="16"/>
          <w:szCs w:val="16"/>
          <w:lang w:val="en-US"/>
        </w:rPr>
        <w:t xml:space="preserve"> to </w:t>
      </w:r>
      <w:r w:rsidRPr="00C9465D">
        <w:rPr>
          <w:sz w:val="16"/>
          <w:szCs w:val="16"/>
          <w:lang w:val="en-US"/>
        </w:rPr>
        <w:t xml:space="preserve">2351); </w:t>
      </w:r>
      <w:r w:rsidR="00153C9F" w:rsidRPr="00C9465D">
        <w:rPr>
          <w:sz w:val="16"/>
          <w:szCs w:val="16"/>
          <w:lang w:val="en-US"/>
        </w:rPr>
        <w:t xml:space="preserve">expert opinion provided by affidavit by </w:t>
      </w:r>
      <w:r w:rsidRPr="00C9465D">
        <w:rPr>
          <w:sz w:val="16"/>
          <w:szCs w:val="16"/>
          <w:lang w:val="en-US"/>
        </w:rPr>
        <w:t xml:space="preserve">Elena Palacio van Isschot </w:t>
      </w:r>
      <w:r w:rsidR="00153C9F" w:rsidRPr="00C9465D">
        <w:rPr>
          <w:sz w:val="16"/>
          <w:szCs w:val="16"/>
          <w:lang w:val="en-US"/>
        </w:rPr>
        <w:t>on November 2,</w:t>
      </w:r>
      <w:r w:rsidRPr="00C9465D">
        <w:rPr>
          <w:sz w:val="16"/>
          <w:szCs w:val="16"/>
          <w:lang w:val="en-US"/>
        </w:rPr>
        <w:t xml:space="preserve"> 2020 (</w:t>
      </w:r>
      <w:r w:rsidR="00153C9F" w:rsidRPr="00C9465D">
        <w:rPr>
          <w:sz w:val="16"/>
          <w:szCs w:val="16"/>
          <w:lang w:val="en-US"/>
        </w:rPr>
        <w:t>evidence file</w:t>
      </w:r>
      <w:r w:rsidRPr="00C9465D">
        <w:rPr>
          <w:sz w:val="16"/>
          <w:szCs w:val="16"/>
          <w:lang w:val="en-US"/>
        </w:rPr>
        <w:t>, folios 2353</w:t>
      </w:r>
      <w:r w:rsidR="00153C9F" w:rsidRPr="00C9465D">
        <w:rPr>
          <w:sz w:val="16"/>
          <w:szCs w:val="16"/>
          <w:lang w:val="en-US"/>
        </w:rPr>
        <w:t xml:space="preserve"> to </w:t>
      </w:r>
      <w:r w:rsidRPr="00C9465D">
        <w:rPr>
          <w:sz w:val="16"/>
          <w:szCs w:val="16"/>
          <w:lang w:val="en-US"/>
        </w:rPr>
        <w:t xml:space="preserve">2376); </w:t>
      </w:r>
      <w:r w:rsidR="00153C9F" w:rsidRPr="00C9465D">
        <w:rPr>
          <w:sz w:val="16"/>
          <w:szCs w:val="16"/>
          <w:lang w:val="en-US"/>
        </w:rPr>
        <w:t xml:space="preserve">expert opinion provided by affidavit by </w:t>
      </w:r>
      <w:r w:rsidRPr="00C9465D">
        <w:rPr>
          <w:sz w:val="16"/>
          <w:szCs w:val="16"/>
          <w:lang w:val="en-US"/>
        </w:rPr>
        <w:t xml:space="preserve">Edison Javier Cárdenas Ortega </w:t>
      </w:r>
      <w:r w:rsidR="00153C9F" w:rsidRPr="00C9465D">
        <w:rPr>
          <w:sz w:val="16"/>
          <w:szCs w:val="16"/>
          <w:lang w:val="en-US"/>
        </w:rPr>
        <w:t>on October 29,</w:t>
      </w:r>
      <w:r w:rsidRPr="00C9465D">
        <w:rPr>
          <w:sz w:val="16"/>
          <w:szCs w:val="16"/>
          <w:lang w:val="en-US"/>
        </w:rPr>
        <w:t xml:space="preserve"> 2020 (</w:t>
      </w:r>
      <w:r w:rsidR="00153C9F" w:rsidRPr="00C9465D">
        <w:rPr>
          <w:sz w:val="16"/>
          <w:szCs w:val="16"/>
          <w:lang w:val="en-US"/>
        </w:rPr>
        <w:t>evidence file</w:t>
      </w:r>
      <w:r w:rsidRPr="00C9465D">
        <w:rPr>
          <w:sz w:val="16"/>
          <w:szCs w:val="16"/>
          <w:lang w:val="en-US"/>
        </w:rPr>
        <w:t>, folios 2215</w:t>
      </w:r>
      <w:r w:rsidR="00153C9F" w:rsidRPr="00C9465D">
        <w:rPr>
          <w:sz w:val="16"/>
          <w:szCs w:val="16"/>
          <w:lang w:val="en-US"/>
        </w:rPr>
        <w:t xml:space="preserve"> to </w:t>
      </w:r>
      <w:r w:rsidRPr="00C9465D">
        <w:rPr>
          <w:sz w:val="16"/>
          <w:szCs w:val="16"/>
          <w:lang w:val="en-US"/>
        </w:rPr>
        <w:t xml:space="preserve">2239); </w:t>
      </w:r>
      <w:r w:rsidR="00153C9F" w:rsidRPr="00C9465D">
        <w:rPr>
          <w:sz w:val="16"/>
          <w:szCs w:val="16"/>
          <w:lang w:val="en-US"/>
        </w:rPr>
        <w:t xml:space="preserve">expert opinion provided by affidavit by </w:t>
      </w:r>
      <w:r w:rsidRPr="00C9465D">
        <w:rPr>
          <w:sz w:val="16"/>
          <w:szCs w:val="16"/>
          <w:lang w:val="en-US"/>
        </w:rPr>
        <w:t xml:space="preserve">Andrés González Serrano </w:t>
      </w:r>
      <w:r w:rsidR="00153C9F" w:rsidRPr="00C9465D">
        <w:rPr>
          <w:sz w:val="16"/>
          <w:szCs w:val="16"/>
          <w:lang w:val="en-US"/>
        </w:rPr>
        <w:t>on October 30,</w:t>
      </w:r>
      <w:r w:rsidRPr="00C9465D">
        <w:rPr>
          <w:sz w:val="16"/>
          <w:szCs w:val="16"/>
          <w:lang w:val="en-US"/>
        </w:rPr>
        <w:t xml:space="preserve"> 2020 (</w:t>
      </w:r>
      <w:r w:rsidR="00153C9F" w:rsidRPr="00C9465D">
        <w:rPr>
          <w:sz w:val="16"/>
          <w:szCs w:val="16"/>
          <w:lang w:val="en-US"/>
        </w:rPr>
        <w:t>evidence file</w:t>
      </w:r>
      <w:r w:rsidRPr="00C9465D">
        <w:rPr>
          <w:sz w:val="16"/>
          <w:szCs w:val="16"/>
          <w:lang w:val="en-US"/>
        </w:rPr>
        <w:t>, folios 2168</w:t>
      </w:r>
      <w:r w:rsidR="00153C9F" w:rsidRPr="00C9465D">
        <w:rPr>
          <w:sz w:val="16"/>
          <w:szCs w:val="16"/>
          <w:lang w:val="en-US"/>
        </w:rPr>
        <w:t xml:space="preserve"> to </w:t>
      </w:r>
      <w:r w:rsidRPr="00C9465D">
        <w:rPr>
          <w:sz w:val="16"/>
          <w:szCs w:val="16"/>
          <w:lang w:val="en-US"/>
        </w:rPr>
        <w:t>2210),</w:t>
      </w:r>
      <w:r w:rsidR="00193CBB" w:rsidRPr="00C9465D">
        <w:rPr>
          <w:sz w:val="16"/>
          <w:szCs w:val="16"/>
          <w:lang w:val="en-US"/>
        </w:rPr>
        <w:t xml:space="preserve"> and </w:t>
      </w:r>
      <w:r w:rsidR="00153C9F" w:rsidRPr="00C9465D">
        <w:rPr>
          <w:sz w:val="16"/>
          <w:szCs w:val="16"/>
          <w:lang w:val="en-US"/>
        </w:rPr>
        <w:t xml:space="preserve">expert opinion provided by </w:t>
      </w:r>
      <w:r w:rsidRPr="00C9465D">
        <w:rPr>
          <w:sz w:val="16"/>
          <w:szCs w:val="16"/>
          <w:lang w:val="en-US"/>
        </w:rPr>
        <w:t xml:space="preserve">Carlos Ríos Espinosa </w:t>
      </w:r>
      <w:r w:rsidR="00153C9F" w:rsidRPr="00C9465D">
        <w:rPr>
          <w:sz w:val="16"/>
          <w:szCs w:val="16"/>
          <w:lang w:val="en-US"/>
        </w:rPr>
        <w:t>on November 19,</w:t>
      </w:r>
      <w:r w:rsidRPr="00C9465D">
        <w:rPr>
          <w:sz w:val="16"/>
          <w:szCs w:val="16"/>
          <w:lang w:val="en-US"/>
        </w:rPr>
        <w:t xml:space="preserve"> 2020 (</w:t>
      </w:r>
      <w:r w:rsidR="00153C9F" w:rsidRPr="00C9465D">
        <w:rPr>
          <w:sz w:val="16"/>
          <w:szCs w:val="16"/>
          <w:lang w:val="en-US"/>
        </w:rPr>
        <w:t>evidence file</w:t>
      </w:r>
      <w:r w:rsidRPr="00C9465D">
        <w:rPr>
          <w:sz w:val="16"/>
          <w:szCs w:val="16"/>
          <w:lang w:val="en-US"/>
        </w:rPr>
        <w:t>, folios 2378</w:t>
      </w:r>
      <w:r w:rsidR="00153C9F" w:rsidRPr="00C9465D">
        <w:rPr>
          <w:sz w:val="16"/>
          <w:szCs w:val="16"/>
          <w:lang w:val="en-US"/>
        </w:rPr>
        <w:t xml:space="preserve"> to </w:t>
      </w:r>
      <w:r w:rsidRPr="00C9465D">
        <w:rPr>
          <w:sz w:val="16"/>
          <w:szCs w:val="16"/>
          <w:lang w:val="en-US"/>
        </w:rPr>
        <w:t>2391).</w:t>
      </w:r>
    </w:p>
  </w:footnote>
  <w:footnote w:id="20">
    <w:p w14:paraId="5A4A745E" w14:textId="41978CC1" w:rsidR="00300482" w:rsidRPr="00C9465D" w:rsidRDefault="00300482" w:rsidP="00BD26CF">
      <w:pPr>
        <w:pStyle w:val="FootnoteText"/>
        <w:tabs>
          <w:tab w:val="left" w:pos="567"/>
        </w:tabs>
        <w:spacing w:after="120"/>
        <w:rPr>
          <w:i/>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iCs/>
          <w:sz w:val="16"/>
          <w:szCs w:val="16"/>
          <w:lang w:val="en-US"/>
        </w:rPr>
        <w:t>Cf.</w:t>
      </w:r>
      <w:r w:rsidRPr="00C9465D">
        <w:rPr>
          <w:sz w:val="16"/>
          <w:szCs w:val="16"/>
          <w:lang w:val="en-US"/>
        </w:rPr>
        <w:t xml:space="preserve"> </w:t>
      </w:r>
      <w:r w:rsidR="00153C9F" w:rsidRPr="00C9465D">
        <w:rPr>
          <w:sz w:val="16"/>
          <w:szCs w:val="16"/>
          <w:lang w:val="en-US"/>
        </w:rPr>
        <w:t>Statements made by</w:t>
      </w:r>
      <w:r w:rsidRPr="00C9465D">
        <w:rPr>
          <w:sz w:val="16"/>
          <w:szCs w:val="16"/>
          <w:lang w:val="en-US"/>
        </w:rPr>
        <w:t xml:space="preserve"> Zoila Chimbo Jarro, Claudia Estefanía Chávez Ledesma,</w:t>
      </w:r>
      <w:r w:rsidR="00193CBB" w:rsidRPr="00C9465D">
        <w:rPr>
          <w:sz w:val="16"/>
          <w:szCs w:val="16"/>
          <w:lang w:val="en-US"/>
        </w:rPr>
        <w:t xml:space="preserve"> and </w:t>
      </w:r>
      <w:r w:rsidRPr="00C9465D">
        <w:rPr>
          <w:sz w:val="16"/>
          <w:szCs w:val="16"/>
          <w:lang w:val="en-US"/>
        </w:rPr>
        <w:t xml:space="preserve">Christian Courtis </w:t>
      </w:r>
      <w:r w:rsidR="00153C9F" w:rsidRPr="00C9465D">
        <w:rPr>
          <w:sz w:val="16"/>
          <w:szCs w:val="16"/>
          <w:lang w:val="en-US"/>
        </w:rPr>
        <w:t>during the public hearing held in this case.</w:t>
      </w:r>
    </w:p>
  </w:footnote>
  <w:footnote w:id="21">
    <w:p w14:paraId="755F1E79" w14:textId="3ED97AC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153C9F" w:rsidRPr="00C9465D">
        <w:rPr>
          <w:iCs/>
          <w:sz w:val="16"/>
          <w:szCs w:val="16"/>
          <w:lang w:val="en-US"/>
        </w:rPr>
        <w:t>See</w:t>
      </w:r>
      <w:r w:rsidRPr="00C9465D">
        <w:rPr>
          <w:iCs/>
          <w:sz w:val="16"/>
          <w:szCs w:val="16"/>
          <w:lang w:val="en-US"/>
        </w:rPr>
        <w:t>,</w:t>
      </w:r>
      <w:r w:rsidRPr="00C9465D">
        <w:rPr>
          <w:sz w:val="16"/>
          <w:szCs w:val="16"/>
          <w:lang w:val="en-US"/>
        </w:rPr>
        <w:t xml:space="preserve"> </w:t>
      </w:r>
      <w:r w:rsidR="00153C9F" w:rsidRPr="00C9465D">
        <w:rPr>
          <w:sz w:val="16"/>
          <w:szCs w:val="16"/>
          <w:lang w:val="en-US"/>
        </w:rPr>
        <w:t xml:space="preserve">Statement of the Inter-American Court of April 9, </w:t>
      </w:r>
      <w:r w:rsidRPr="00C9465D">
        <w:rPr>
          <w:sz w:val="16"/>
          <w:szCs w:val="16"/>
          <w:lang w:val="en-US"/>
        </w:rPr>
        <w:t>2020, “Covid-19</w:t>
      </w:r>
      <w:r w:rsidR="00193CBB" w:rsidRPr="00C9465D">
        <w:rPr>
          <w:sz w:val="16"/>
          <w:szCs w:val="16"/>
          <w:lang w:val="en-US"/>
        </w:rPr>
        <w:t xml:space="preserve"> and </w:t>
      </w:r>
      <w:r w:rsidR="00153C9F" w:rsidRPr="00C9465D">
        <w:rPr>
          <w:sz w:val="16"/>
          <w:szCs w:val="16"/>
          <w:lang w:val="en-US"/>
        </w:rPr>
        <w:t>Human Rights</w:t>
      </w:r>
      <w:r w:rsidRPr="00C9465D">
        <w:rPr>
          <w:sz w:val="16"/>
          <w:szCs w:val="16"/>
          <w:lang w:val="en-US"/>
        </w:rPr>
        <w:t xml:space="preserve">: </w:t>
      </w:r>
      <w:r w:rsidR="00153C9F" w:rsidRPr="00C9465D">
        <w:rPr>
          <w:sz w:val="16"/>
          <w:szCs w:val="16"/>
          <w:lang w:val="en-US"/>
        </w:rPr>
        <w:t xml:space="preserve">The problems and challenges that must be addressed from the perspective of human rights and respect for international obligations.”  </w:t>
      </w:r>
      <w:r w:rsidR="00316F29" w:rsidRPr="00C9465D">
        <w:rPr>
          <w:sz w:val="16"/>
          <w:szCs w:val="16"/>
          <w:lang w:val="en-US"/>
        </w:rPr>
        <w:t>Available at</w:t>
      </w:r>
      <w:r w:rsidRPr="00C9465D">
        <w:rPr>
          <w:sz w:val="16"/>
          <w:szCs w:val="16"/>
          <w:lang w:val="en-US"/>
        </w:rPr>
        <w:t xml:space="preserve">: </w:t>
      </w:r>
      <w:hyperlink r:id="rId2" w:history="1">
        <w:r w:rsidRPr="00C9465D">
          <w:rPr>
            <w:rStyle w:val="Hyperlink"/>
            <w:sz w:val="16"/>
            <w:szCs w:val="16"/>
            <w:lang w:val="en-US"/>
          </w:rPr>
          <w:t>https://www.corteidh.or.cr/tablas/alerta/comunicado/cp-27-2020.html</w:t>
        </w:r>
      </w:hyperlink>
      <w:r w:rsidRPr="00C9465D">
        <w:rPr>
          <w:sz w:val="16"/>
          <w:szCs w:val="16"/>
          <w:lang w:val="en-US"/>
        </w:rPr>
        <w:t xml:space="preserve"> </w:t>
      </w:r>
    </w:p>
  </w:footnote>
  <w:footnote w:id="22">
    <w:p w14:paraId="52CFB364" w14:textId="07B5EF15" w:rsidR="00300482" w:rsidRPr="00C9465D" w:rsidRDefault="00300482" w:rsidP="00BD26CF">
      <w:pPr>
        <w:pStyle w:val="FootnoteText"/>
        <w:tabs>
          <w:tab w:val="left" w:pos="567"/>
        </w:tabs>
        <w:spacing w:after="120"/>
        <w:rPr>
          <w:i/>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w:t>
      </w:r>
      <w:r w:rsidR="00153C9F" w:rsidRPr="00C9465D">
        <w:rPr>
          <w:i/>
          <w:sz w:val="16"/>
          <w:szCs w:val="16"/>
          <w:lang w:val="en-US"/>
        </w:rPr>
        <w:t>the</w:t>
      </w:r>
      <w:r w:rsidRPr="00C9465D">
        <w:rPr>
          <w:i/>
          <w:sz w:val="16"/>
          <w:szCs w:val="16"/>
          <w:lang w:val="en-US"/>
        </w:rPr>
        <w:t xml:space="preserve"> Ituango</w:t>
      </w:r>
      <w:r w:rsidR="00153C9F" w:rsidRPr="00C9465D">
        <w:rPr>
          <w:i/>
          <w:sz w:val="16"/>
          <w:szCs w:val="16"/>
          <w:lang w:val="en-US"/>
        </w:rPr>
        <w:t xml:space="preserve"> Massacres</w:t>
      </w:r>
      <w:r w:rsidRPr="00C9465D">
        <w:rPr>
          <w:i/>
          <w:sz w:val="16"/>
          <w:szCs w:val="16"/>
          <w:lang w:val="en-US"/>
        </w:rPr>
        <w:t xml:space="preserve"> </w:t>
      </w:r>
      <w:r w:rsidR="00193CBB" w:rsidRPr="00C9465D">
        <w:rPr>
          <w:i/>
          <w:sz w:val="16"/>
          <w:szCs w:val="16"/>
          <w:lang w:val="en-US"/>
        </w:rPr>
        <w:t>v.</w:t>
      </w:r>
      <w:r w:rsidRPr="00C9465D">
        <w:rPr>
          <w:i/>
          <w:sz w:val="16"/>
          <w:szCs w:val="16"/>
          <w:lang w:val="en-US"/>
        </w:rPr>
        <w:t xml:space="preserve"> Colombia. </w:t>
      </w:r>
      <w:r w:rsidR="00D8466F" w:rsidRPr="00C9465D">
        <w:rPr>
          <w:i/>
          <w:sz w:val="16"/>
          <w:szCs w:val="16"/>
          <w:lang w:val="en-US"/>
        </w:rPr>
        <w:t>Preliminary objection, merits</w:t>
      </w:r>
      <w:r w:rsidR="00193CBB" w:rsidRPr="00C9465D">
        <w:rPr>
          <w:i/>
          <w:sz w:val="16"/>
          <w:szCs w:val="16"/>
          <w:lang w:val="en-US"/>
        </w:rPr>
        <w:t>, reparations and costs</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153C9F" w:rsidRPr="00C9465D">
        <w:rPr>
          <w:sz w:val="16"/>
          <w:szCs w:val="16"/>
          <w:lang w:val="en-US"/>
        </w:rPr>
        <w:t>July 1,</w:t>
      </w:r>
      <w:r w:rsidRPr="00C9465D">
        <w:rPr>
          <w:sz w:val="16"/>
          <w:szCs w:val="16"/>
          <w:lang w:val="en-US"/>
        </w:rPr>
        <w:t xml:space="preserve"> 2006. </w:t>
      </w:r>
      <w:r w:rsidR="00E2299F" w:rsidRPr="00C9465D">
        <w:rPr>
          <w:sz w:val="16"/>
          <w:szCs w:val="16"/>
          <w:lang w:val="en-US"/>
        </w:rPr>
        <w:t xml:space="preserve">Series </w:t>
      </w:r>
      <w:r w:rsidRPr="00C9465D">
        <w:rPr>
          <w:sz w:val="16"/>
          <w:szCs w:val="16"/>
          <w:lang w:val="en-US"/>
        </w:rPr>
        <w:t xml:space="preserve">C No. 148, </w:t>
      </w:r>
      <w:r w:rsidR="00D8466F" w:rsidRPr="00C9465D">
        <w:rPr>
          <w:sz w:val="16"/>
          <w:szCs w:val="16"/>
          <w:lang w:val="en-US"/>
        </w:rPr>
        <w:t>para.</w:t>
      </w:r>
      <w:r w:rsidRPr="00C9465D">
        <w:rPr>
          <w:sz w:val="16"/>
          <w:szCs w:val="16"/>
          <w:lang w:val="en-US"/>
        </w:rPr>
        <w:t xml:space="preserve"> 98,</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Spoltore </w:t>
      </w:r>
      <w:r w:rsidR="00193CBB" w:rsidRPr="00C9465D">
        <w:rPr>
          <w:i/>
          <w:sz w:val="16"/>
          <w:szCs w:val="16"/>
          <w:lang w:val="en-US"/>
        </w:rPr>
        <w:t>v.</w:t>
      </w:r>
      <w:r w:rsidRPr="00C9465D">
        <w:rPr>
          <w:i/>
          <w:sz w:val="16"/>
          <w:szCs w:val="16"/>
          <w:lang w:val="en-US"/>
        </w:rPr>
        <w:t xml:space="preserve"> Argentina. </w:t>
      </w:r>
      <w:r w:rsidR="00D8466F" w:rsidRPr="00C9465D">
        <w:rPr>
          <w:i/>
          <w:sz w:val="16"/>
          <w:szCs w:val="16"/>
          <w:lang w:val="en-US"/>
        </w:rPr>
        <w:t>Preliminary objection, merits</w:t>
      </w:r>
      <w:r w:rsidR="00193CBB" w:rsidRPr="00C9465D">
        <w:rPr>
          <w:i/>
          <w:sz w:val="16"/>
          <w:szCs w:val="16"/>
          <w:lang w:val="en-US"/>
        </w:rPr>
        <w:t>, reparations and costs</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153C9F" w:rsidRPr="00C9465D">
        <w:rPr>
          <w:sz w:val="16"/>
          <w:szCs w:val="16"/>
          <w:lang w:val="en-US"/>
        </w:rPr>
        <w:t xml:space="preserve">June 9, </w:t>
      </w:r>
      <w:r w:rsidRPr="00C9465D">
        <w:rPr>
          <w:sz w:val="16"/>
          <w:szCs w:val="16"/>
          <w:lang w:val="en-US"/>
        </w:rPr>
        <w:t xml:space="preserve">2020. </w:t>
      </w:r>
      <w:r w:rsidR="00E2299F" w:rsidRPr="00C9465D">
        <w:rPr>
          <w:sz w:val="16"/>
          <w:szCs w:val="16"/>
          <w:lang w:val="en-US"/>
        </w:rPr>
        <w:t xml:space="preserve">Series </w:t>
      </w:r>
      <w:r w:rsidRPr="00C9465D">
        <w:rPr>
          <w:sz w:val="16"/>
          <w:szCs w:val="16"/>
          <w:lang w:val="en-US"/>
        </w:rPr>
        <w:t xml:space="preserve">C No. 404, </w:t>
      </w:r>
      <w:r w:rsidR="00D8466F" w:rsidRPr="00C9465D">
        <w:rPr>
          <w:sz w:val="16"/>
          <w:szCs w:val="16"/>
          <w:lang w:val="en-US"/>
        </w:rPr>
        <w:t>para.</w:t>
      </w:r>
      <w:r w:rsidRPr="00C9465D">
        <w:rPr>
          <w:sz w:val="16"/>
          <w:szCs w:val="16"/>
          <w:lang w:val="en-US"/>
        </w:rPr>
        <w:t xml:space="preserve"> 50.</w:t>
      </w:r>
    </w:p>
  </w:footnote>
  <w:footnote w:id="23">
    <w:p w14:paraId="0521DC92" w14:textId="1C527003" w:rsidR="00300482" w:rsidRPr="00C9465D" w:rsidRDefault="00300482" w:rsidP="00BD26CF">
      <w:pPr>
        <w:pStyle w:val="FootnoteText"/>
        <w:tabs>
          <w:tab w:val="left" w:pos="567"/>
        </w:tabs>
        <w:spacing w:after="120"/>
        <w:rPr>
          <w:i/>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w:t>
      </w:r>
      <w:r w:rsidR="00153C9F" w:rsidRPr="00C9465D">
        <w:rPr>
          <w:i/>
          <w:sz w:val="16"/>
          <w:szCs w:val="16"/>
          <w:lang w:val="en-US"/>
        </w:rPr>
        <w:t>the</w:t>
      </w:r>
      <w:r w:rsidRPr="00C9465D">
        <w:rPr>
          <w:i/>
          <w:sz w:val="16"/>
          <w:szCs w:val="16"/>
          <w:lang w:val="en-US"/>
        </w:rPr>
        <w:t xml:space="preserve"> Río Negro</w:t>
      </w:r>
      <w:r w:rsidR="00153C9F" w:rsidRPr="00C9465D">
        <w:rPr>
          <w:i/>
          <w:sz w:val="16"/>
          <w:szCs w:val="16"/>
          <w:lang w:val="en-US"/>
        </w:rPr>
        <w:t xml:space="preserve"> Massacres</w:t>
      </w:r>
      <w:r w:rsidRPr="00C9465D">
        <w:rPr>
          <w:i/>
          <w:sz w:val="16"/>
          <w:szCs w:val="16"/>
          <w:lang w:val="en-US"/>
        </w:rPr>
        <w:t xml:space="preserve"> </w:t>
      </w:r>
      <w:r w:rsidR="00193CBB" w:rsidRPr="00C9465D">
        <w:rPr>
          <w:i/>
          <w:sz w:val="16"/>
          <w:szCs w:val="16"/>
          <w:lang w:val="en-US"/>
        </w:rPr>
        <w:t>v.</w:t>
      </w:r>
      <w:r w:rsidRPr="00C9465D">
        <w:rPr>
          <w:i/>
          <w:sz w:val="16"/>
          <w:szCs w:val="16"/>
          <w:lang w:val="en-US"/>
        </w:rPr>
        <w:t xml:space="preserve"> Guatemala. </w:t>
      </w:r>
      <w:r w:rsidR="00D8466F" w:rsidRPr="00C9465D">
        <w:rPr>
          <w:i/>
          <w:sz w:val="16"/>
          <w:szCs w:val="16"/>
          <w:lang w:val="en-US"/>
        </w:rPr>
        <w:t>Preliminary objection, merits</w:t>
      </w:r>
      <w:r w:rsidR="00193CBB" w:rsidRPr="00C9465D">
        <w:rPr>
          <w:i/>
          <w:sz w:val="16"/>
          <w:szCs w:val="16"/>
          <w:lang w:val="en-US"/>
        </w:rPr>
        <w:t>, reparations and costs</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153C9F" w:rsidRPr="00C9465D">
        <w:rPr>
          <w:sz w:val="16"/>
          <w:szCs w:val="16"/>
          <w:lang w:val="en-US"/>
        </w:rPr>
        <w:t>September 4,</w:t>
      </w:r>
      <w:r w:rsidRPr="00C9465D">
        <w:rPr>
          <w:sz w:val="16"/>
          <w:szCs w:val="16"/>
          <w:lang w:val="en-US"/>
        </w:rPr>
        <w:t xml:space="preserve"> 2012. </w:t>
      </w:r>
      <w:r w:rsidR="00E2299F" w:rsidRPr="00C9465D">
        <w:rPr>
          <w:sz w:val="16"/>
          <w:szCs w:val="16"/>
          <w:lang w:val="en-US"/>
        </w:rPr>
        <w:t xml:space="preserve">Series </w:t>
      </w:r>
      <w:r w:rsidRPr="00C9465D">
        <w:rPr>
          <w:sz w:val="16"/>
          <w:szCs w:val="16"/>
          <w:lang w:val="en-US"/>
        </w:rPr>
        <w:t xml:space="preserve">C No. 250, </w:t>
      </w:r>
      <w:r w:rsidR="00D8466F" w:rsidRPr="00C9465D">
        <w:rPr>
          <w:sz w:val="16"/>
          <w:szCs w:val="16"/>
          <w:lang w:val="en-US"/>
        </w:rPr>
        <w:t>para.</w:t>
      </w:r>
      <w:r w:rsidRPr="00C9465D">
        <w:rPr>
          <w:sz w:val="16"/>
          <w:szCs w:val="16"/>
          <w:lang w:val="en-US"/>
        </w:rPr>
        <w:t xml:space="preserve"> 48,</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Spoltore </w:t>
      </w:r>
      <w:r w:rsidR="00193CBB" w:rsidRPr="00C9465D">
        <w:rPr>
          <w:i/>
          <w:sz w:val="16"/>
          <w:szCs w:val="16"/>
          <w:lang w:val="en-US"/>
        </w:rPr>
        <w:t>v.</w:t>
      </w:r>
      <w:r w:rsidRPr="00C9465D">
        <w:rPr>
          <w:i/>
          <w:sz w:val="16"/>
          <w:szCs w:val="16"/>
          <w:lang w:val="en-US"/>
        </w:rPr>
        <w:t xml:space="preserve"> Argentina,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50.</w:t>
      </w:r>
    </w:p>
  </w:footnote>
  <w:footnote w:id="24">
    <w:p w14:paraId="7F178D53" w14:textId="2D01BFCD"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Cuscul Pivaral</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Guatemala. </w:t>
      </w:r>
      <w:r w:rsidR="00D8466F" w:rsidRPr="00C9465D">
        <w:rPr>
          <w:i/>
          <w:sz w:val="16"/>
          <w:szCs w:val="16"/>
          <w:lang w:val="en-US"/>
        </w:rPr>
        <w:t>Preliminary objection, merits</w:t>
      </w:r>
      <w:r w:rsidR="00193CBB" w:rsidRPr="00C9465D">
        <w:rPr>
          <w:i/>
          <w:sz w:val="16"/>
          <w:szCs w:val="16"/>
          <w:lang w:val="en-US"/>
        </w:rPr>
        <w:t>, reparations and costs</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153C9F" w:rsidRPr="00C9465D">
        <w:rPr>
          <w:sz w:val="16"/>
          <w:szCs w:val="16"/>
          <w:lang w:val="en-US"/>
        </w:rPr>
        <w:t>August 23,</w:t>
      </w:r>
      <w:r w:rsidRPr="00C9465D">
        <w:rPr>
          <w:sz w:val="16"/>
          <w:szCs w:val="16"/>
          <w:lang w:val="en-US"/>
        </w:rPr>
        <w:t xml:space="preserve"> 2018. </w:t>
      </w:r>
      <w:r w:rsidR="00E2299F" w:rsidRPr="00C9465D">
        <w:rPr>
          <w:sz w:val="16"/>
          <w:szCs w:val="16"/>
          <w:lang w:val="en-US"/>
        </w:rPr>
        <w:t xml:space="preserve">Series </w:t>
      </w:r>
      <w:r w:rsidRPr="00C9465D">
        <w:rPr>
          <w:sz w:val="16"/>
          <w:szCs w:val="16"/>
          <w:lang w:val="en-US"/>
        </w:rPr>
        <w:t xml:space="preserve">C No. 359, </w:t>
      </w:r>
      <w:r w:rsidR="00D8466F" w:rsidRPr="00C9465D">
        <w:rPr>
          <w:sz w:val="16"/>
          <w:szCs w:val="16"/>
          <w:lang w:val="en-US"/>
        </w:rPr>
        <w:t>para.</w:t>
      </w:r>
      <w:r w:rsidRPr="00C9465D">
        <w:rPr>
          <w:sz w:val="16"/>
          <w:szCs w:val="16"/>
          <w:lang w:val="en-US"/>
        </w:rPr>
        <w:t xml:space="preserve"> 29,</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Spoltore </w:t>
      </w:r>
      <w:r w:rsidR="00193CBB" w:rsidRPr="00C9465D">
        <w:rPr>
          <w:i/>
          <w:sz w:val="16"/>
          <w:szCs w:val="16"/>
          <w:lang w:val="en-US"/>
        </w:rPr>
        <w:t>v.</w:t>
      </w:r>
      <w:r w:rsidRPr="00C9465D">
        <w:rPr>
          <w:i/>
          <w:sz w:val="16"/>
          <w:szCs w:val="16"/>
          <w:lang w:val="en-US"/>
        </w:rPr>
        <w:t xml:space="preserve"> Argentina,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52.</w:t>
      </w:r>
    </w:p>
  </w:footnote>
  <w:footnote w:id="25">
    <w:p w14:paraId="23A33D5F" w14:textId="35A039E2"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153C9F" w:rsidRPr="00C9465D">
        <w:rPr>
          <w:sz w:val="16"/>
          <w:szCs w:val="16"/>
          <w:lang w:val="en-US"/>
        </w:rPr>
        <w:t xml:space="preserve">Medical report of the Julio Endara Psychiatric Hospital of April 21, </w:t>
      </w:r>
      <w:r w:rsidRPr="00C9465D">
        <w:rPr>
          <w:sz w:val="16"/>
          <w:szCs w:val="16"/>
          <w:lang w:val="en-US"/>
        </w:rPr>
        <w:t>2004 (</w:t>
      </w:r>
      <w:r w:rsidR="00153C9F" w:rsidRPr="00C9465D">
        <w:rPr>
          <w:sz w:val="16"/>
          <w:szCs w:val="16"/>
          <w:lang w:val="en-US"/>
        </w:rPr>
        <w:t>evidence file</w:t>
      </w:r>
      <w:r w:rsidRPr="00C9465D">
        <w:rPr>
          <w:sz w:val="16"/>
          <w:szCs w:val="16"/>
          <w:lang w:val="en-US"/>
        </w:rPr>
        <w:t>, folio 2),</w:t>
      </w:r>
      <w:r w:rsidR="00193CBB" w:rsidRPr="00C9465D">
        <w:rPr>
          <w:sz w:val="16"/>
          <w:szCs w:val="16"/>
          <w:lang w:val="en-US"/>
        </w:rPr>
        <w:t xml:space="preserve"> and </w:t>
      </w:r>
      <w:r w:rsidR="00153C9F" w:rsidRPr="00C9465D">
        <w:rPr>
          <w:sz w:val="16"/>
          <w:szCs w:val="16"/>
          <w:lang w:val="en-US"/>
        </w:rPr>
        <w:t xml:space="preserve">Sworn statement of </w:t>
      </w:r>
      <w:r w:rsidRPr="00C9465D">
        <w:rPr>
          <w:sz w:val="16"/>
          <w:szCs w:val="16"/>
          <w:lang w:val="en-US"/>
        </w:rPr>
        <w:t xml:space="preserve">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20).</w:t>
      </w:r>
    </w:p>
  </w:footnote>
  <w:footnote w:id="26">
    <w:p w14:paraId="487622BA" w14:textId="5EE95C28"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xml:space="preserve">, folio 20), </w:t>
      </w:r>
      <w:r w:rsidR="002C5740" w:rsidRPr="00C9465D">
        <w:rPr>
          <w:sz w:val="16"/>
          <w:szCs w:val="16"/>
          <w:lang w:val="en-US"/>
        </w:rPr>
        <w:t xml:space="preserve">and Medical record of </w:t>
      </w:r>
      <w:r w:rsidRPr="00C9465D">
        <w:rPr>
          <w:sz w:val="16"/>
          <w:szCs w:val="16"/>
          <w:lang w:val="en-US"/>
        </w:rPr>
        <w:t xml:space="preserve">Luis Eduardo Guachalá Chimbo </w:t>
      </w:r>
      <w:r w:rsidR="002C5740" w:rsidRPr="00C9465D">
        <w:rPr>
          <w:sz w:val="16"/>
          <w:szCs w:val="16"/>
          <w:lang w:val="en-US"/>
        </w:rPr>
        <w:t>from the Julio Endara Psychiatric Hospital</w:t>
      </w:r>
      <w:r w:rsidRPr="00C9465D">
        <w:rPr>
          <w:sz w:val="16"/>
          <w:szCs w:val="16"/>
          <w:lang w:val="en-US"/>
        </w:rPr>
        <w:t xml:space="preserve"> </w:t>
      </w:r>
      <w:r w:rsidR="00D8209E" w:rsidRPr="00C9465D">
        <w:rPr>
          <w:sz w:val="16"/>
          <w:szCs w:val="16"/>
          <w:lang w:val="en-US"/>
        </w:rPr>
        <w:t>of June 11,</w:t>
      </w:r>
      <w:r w:rsidRPr="00C9465D">
        <w:rPr>
          <w:sz w:val="16"/>
          <w:szCs w:val="16"/>
          <w:lang w:val="en-US"/>
        </w:rPr>
        <w:t xml:space="preserve"> 2003 (</w:t>
      </w:r>
      <w:r w:rsidR="00153C9F" w:rsidRPr="00C9465D">
        <w:rPr>
          <w:sz w:val="16"/>
          <w:szCs w:val="16"/>
          <w:lang w:val="en-US"/>
        </w:rPr>
        <w:t>evidence file</w:t>
      </w:r>
      <w:r w:rsidRPr="00C9465D">
        <w:rPr>
          <w:sz w:val="16"/>
          <w:szCs w:val="16"/>
          <w:lang w:val="en-US"/>
        </w:rPr>
        <w:t>, folio 2552).</w:t>
      </w:r>
    </w:p>
  </w:footnote>
  <w:footnote w:id="27">
    <w:p w14:paraId="771F22C4" w14:textId="0AA72204"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Medical record of</w:t>
      </w:r>
      <w:r w:rsidRPr="00C9465D">
        <w:rPr>
          <w:sz w:val="16"/>
          <w:szCs w:val="16"/>
          <w:lang w:val="en-US"/>
        </w:rPr>
        <w:t xml:space="preserve"> </w:t>
      </w:r>
      <w:r w:rsidR="002C5740" w:rsidRPr="00C9465D">
        <w:rPr>
          <w:sz w:val="16"/>
          <w:szCs w:val="16"/>
          <w:lang w:val="en-US"/>
        </w:rPr>
        <w:t>the Julio Endara Psychiatric Hospital</w:t>
      </w:r>
      <w:r w:rsidRPr="00C9465D">
        <w:rPr>
          <w:sz w:val="16"/>
          <w:szCs w:val="16"/>
          <w:lang w:val="en-US"/>
        </w:rPr>
        <w:t xml:space="preserve"> </w:t>
      </w:r>
      <w:r w:rsidR="002C5740" w:rsidRPr="00C9465D">
        <w:rPr>
          <w:sz w:val="16"/>
          <w:szCs w:val="16"/>
          <w:lang w:val="en-US"/>
        </w:rPr>
        <w:t>of April 21,</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3),</w:t>
      </w:r>
      <w:r w:rsidR="00193CBB" w:rsidRPr="00C9465D">
        <w:rPr>
          <w:sz w:val="16"/>
          <w:szCs w:val="16"/>
          <w:lang w:val="en-US"/>
        </w:rPr>
        <w:t xml:space="preserve"> and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xml:space="preserve">, folio 20). </w:t>
      </w:r>
    </w:p>
  </w:footnote>
  <w:footnote w:id="28">
    <w:p w14:paraId="0E2D7A42" w14:textId="6034B77C"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2C5740" w:rsidRPr="00C9465D">
        <w:rPr>
          <w:sz w:val="16"/>
          <w:szCs w:val="16"/>
          <w:lang w:val="en-US"/>
        </w:rPr>
        <w:t>Affidavit made by</w:t>
      </w:r>
      <w:r w:rsidRPr="00C9465D">
        <w:rPr>
          <w:sz w:val="16"/>
          <w:szCs w:val="16"/>
          <w:lang w:val="en-US"/>
        </w:rPr>
        <w:t xml:space="preserve"> Elena Palacio van Isschot </w:t>
      </w:r>
      <w:r w:rsidR="00153C9F" w:rsidRPr="00C9465D">
        <w:rPr>
          <w:sz w:val="16"/>
          <w:szCs w:val="16"/>
          <w:lang w:val="en-US"/>
        </w:rPr>
        <w:t>on November 2,</w:t>
      </w:r>
      <w:r w:rsidRPr="00C9465D">
        <w:rPr>
          <w:sz w:val="16"/>
          <w:szCs w:val="16"/>
          <w:lang w:val="en-US"/>
        </w:rPr>
        <w:t xml:space="preserve"> 2020 (</w:t>
      </w:r>
      <w:r w:rsidR="00153C9F" w:rsidRPr="00C9465D">
        <w:rPr>
          <w:sz w:val="16"/>
          <w:szCs w:val="16"/>
          <w:lang w:val="en-US"/>
        </w:rPr>
        <w:t>evidence file</w:t>
      </w:r>
      <w:r w:rsidRPr="00C9465D">
        <w:rPr>
          <w:sz w:val="16"/>
          <w:szCs w:val="16"/>
          <w:lang w:val="en-US"/>
        </w:rPr>
        <w:t>, folio 2355).</w:t>
      </w:r>
    </w:p>
  </w:footnote>
  <w:footnote w:id="29">
    <w:p w14:paraId="01B7DE4B" w14:textId="45E16A91"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2C5740" w:rsidRPr="00C9465D">
        <w:rPr>
          <w:sz w:val="16"/>
          <w:szCs w:val="16"/>
          <w:lang w:val="en-US"/>
        </w:rPr>
        <w:t>Affidavit made by</w:t>
      </w:r>
      <w:r w:rsidRPr="00C9465D">
        <w:rPr>
          <w:sz w:val="16"/>
          <w:szCs w:val="16"/>
          <w:lang w:val="en-US"/>
        </w:rPr>
        <w:t xml:space="preserve"> Elena Palacio van Isschot </w:t>
      </w:r>
      <w:r w:rsidR="00153C9F" w:rsidRPr="00C9465D">
        <w:rPr>
          <w:sz w:val="16"/>
          <w:szCs w:val="16"/>
          <w:lang w:val="en-US"/>
        </w:rPr>
        <w:t>on November 2,</w:t>
      </w:r>
      <w:r w:rsidRPr="00C9465D">
        <w:rPr>
          <w:sz w:val="16"/>
          <w:szCs w:val="16"/>
          <w:lang w:val="en-US"/>
        </w:rPr>
        <w:t xml:space="preserve"> 2020 (</w:t>
      </w:r>
      <w:r w:rsidR="00153C9F" w:rsidRPr="00C9465D">
        <w:rPr>
          <w:sz w:val="16"/>
          <w:szCs w:val="16"/>
          <w:lang w:val="en-US"/>
        </w:rPr>
        <w:t>evidence file</w:t>
      </w:r>
      <w:r w:rsidRPr="00C9465D">
        <w:rPr>
          <w:sz w:val="16"/>
          <w:szCs w:val="16"/>
          <w:lang w:val="en-US"/>
        </w:rPr>
        <w:t>, folio 2355).</w:t>
      </w:r>
    </w:p>
  </w:footnote>
  <w:footnote w:id="30">
    <w:p w14:paraId="05D78C16" w14:textId="3EDA8133"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2C5740" w:rsidRPr="00C9465D">
        <w:rPr>
          <w:sz w:val="16"/>
          <w:szCs w:val="16"/>
          <w:lang w:val="en-US"/>
        </w:rPr>
        <w:t>Affidavit made by</w:t>
      </w:r>
      <w:r w:rsidRPr="00C9465D">
        <w:rPr>
          <w:sz w:val="16"/>
          <w:szCs w:val="16"/>
          <w:lang w:val="en-US"/>
        </w:rPr>
        <w:t xml:space="preserve"> Elena Palacio van Isschot </w:t>
      </w:r>
      <w:r w:rsidR="00153C9F" w:rsidRPr="00C9465D">
        <w:rPr>
          <w:sz w:val="16"/>
          <w:szCs w:val="16"/>
          <w:lang w:val="en-US"/>
        </w:rPr>
        <w:t>on November 2,</w:t>
      </w:r>
      <w:r w:rsidRPr="00C9465D">
        <w:rPr>
          <w:sz w:val="16"/>
          <w:szCs w:val="16"/>
          <w:lang w:val="en-US"/>
        </w:rPr>
        <w:t xml:space="preserve"> 2020 (</w:t>
      </w:r>
      <w:r w:rsidR="00153C9F" w:rsidRPr="00C9465D">
        <w:rPr>
          <w:sz w:val="16"/>
          <w:szCs w:val="16"/>
          <w:lang w:val="en-US"/>
        </w:rPr>
        <w:t>evidence file</w:t>
      </w:r>
      <w:r w:rsidRPr="00C9465D">
        <w:rPr>
          <w:sz w:val="16"/>
          <w:szCs w:val="16"/>
          <w:lang w:val="en-US"/>
        </w:rPr>
        <w:t>, folio 2358).</w:t>
      </w:r>
    </w:p>
  </w:footnote>
  <w:footnote w:id="31">
    <w:p w14:paraId="0085BA4F" w14:textId="42460C51"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20).</w:t>
      </w:r>
    </w:p>
  </w:footnote>
  <w:footnote w:id="32">
    <w:p w14:paraId="25491AFA" w14:textId="5CED735D"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xml:space="preserve">, folio 21). </w:t>
      </w:r>
    </w:p>
  </w:footnote>
  <w:footnote w:id="33">
    <w:p w14:paraId="009CBE18" w14:textId="02D4D038"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21).</w:t>
      </w:r>
    </w:p>
  </w:footnote>
  <w:footnote w:id="34">
    <w:p w14:paraId="77CD50CB" w14:textId="74D2D313"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rStyle w:val="FootnoteReference"/>
          <w:sz w:val="16"/>
          <w:szCs w:val="16"/>
          <w:lang w:val="en-US"/>
        </w:rPr>
        <w:tab/>
      </w:r>
      <w:r w:rsidR="00E2299F" w:rsidRPr="00C9465D">
        <w:rPr>
          <w:rStyle w:val="FootnoteReference"/>
          <w:i/>
          <w:sz w:val="16"/>
          <w:szCs w:val="16"/>
          <w:vertAlign w:val="baseline"/>
          <w:lang w:val="en-US"/>
        </w:rPr>
        <w:t>Cf.</w:t>
      </w:r>
      <w:r w:rsidRPr="00C9465D">
        <w:rPr>
          <w:rStyle w:val="FootnoteReference"/>
          <w:sz w:val="16"/>
          <w:szCs w:val="16"/>
          <w:vertAlign w:val="baseline"/>
          <w:lang w:val="en-US"/>
        </w:rPr>
        <w:t xml:space="preserve"> </w:t>
      </w:r>
      <w:r w:rsidR="001A4FA7" w:rsidRPr="00C9465D">
        <w:rPr>
          <w:sz w:val="16"/>
          <w:szCs w:val="16"/>
          <w:lang w:val="en-US"/>
        </w:rPr>
        <w:t>Pichincha Prosecution Service</w:t>
      </w:r>
      <w:r w:rsidRPr="00C9465D">
        <w:rPr>
          <w:sz w:val="16"/>
          <w:szCs w:val="16"/>
          <w:lang w:val="en-US"/>
        </w:rPr>
        <w:t xml:space="preserve">. </w:t>
      </w:r>
      <w:r w:rsidR="001A4FA7" w:rsidRPr="00C9465D">
        <w:rPr>
          <w:sz w:val="16"/>
          <w:szCs w:val="16"/>
          <w:lang w:val="en-US"/>
        </w:rPr>
        <w:t>Service for the Investigation of Disappeared Persons</w:t>
      </w:r>
      <w:r w:rsidRPr="00C9465D">
        <w:rPr>
          <w:sz w:val="16"/>
          <w:szCs w:val="16"/>
          <w:lang w:val="en-US"/>
        </w:rPr>
        <w:t xml:space="preserve">. </w:t>
      </w:r>
      <w:r w:rsidR="001A4FA7" w:rsidRPr="00C9465D">
        <w:rPr>
          <w:sz w:val="16"/>
          <w:szCs w:val="16"/>
          <w:lang w:val="en-US"/>
        </w:rPr>
        <w:t>Social Environment</w:t>
      </w:r>
      <w:r w:rsidR="00DA52AB" w:rsidRPr="00C9465D">
        <w:rPr>
          <w:sz w:val="16"/>
          <w:szCs w:val="16"/>
          <w:lang w:val="en-US"/>
        </w:rPr>
        <w:t>al Assessment</w:t>
      </w:r>
      <w:r w:rsidR="001A4FA7" w:rsidRPr="00C9465D">
        <w:rPr>
          <w:sz w:val="16"/>
          <w:szCs w:val="16"/>
          <w:lang w:val="en-US"/>
        </w:rPr>
        <w:t xml:space="preserve"> of November 10, </w:t>
      </w:r>
      <w:r w:rsidRPr="00C9465D">
        <w:rPr>
          <w:rStyle w:val="FootnoteReference"/>
          <w:sz w:val="16"/>
          <w:szCs w:val="16"/>
          <w:vertAlign w:val="baseline"/>
          <w:lang w:val="en-US"/>
        </w:rPr>
        <w:t>2014 (</w:t>
      </w:r>
      <w:r w:rsidR="00153C9F" w:rsidRPr="00C9465D">
        <w:rPr>
          <w:rStyle w:val="FootnoteReference"/>
          <w:sz w:val="16"/>
          <w:szCs w:val="16"/>
          <w:vertAlign w:val="baseline"/>
          <w:lang w:val="en-US"/>
        </w:rPr>
        <w:t>evidence file</w:t>
      </w:r>
      <w:r w:rsidRPr="00C9465D">
        <w:rPr>
          <w:rStyle w:val="FootnoteReference"/>
          <w:sz w:val="16"/>
          <w:szCs w:val="16"/>
          <w:vertAlign w:val="baseline"/>
          <w:lang w:val="en-US"/>
        </w:rPr>
        <w:t xml:space="preserve">, folio </w:t>
      </w:r>
      <w:r w:rsidRPr="00C9465D">
        <w:rPr>
          <w:sz w:val="16"/>
          <w:szCs w:val="16"/>
          <w:lang w:val="en-US"/>
        </w:rPr>
        <w:t>4333</w:t>
      </w:r>
      <w:r w:rsidRPr="00C9465D">
        <w:rPr>
          <w:rStyle w:val="FootnoteReference"/>
          <w:sz w:val="16"/>
          <w:szCs w:val="16"/>
          <w:vertAlign w:val="baseline"/>
          <w:lang w:val="en-US"/>
        </w:rPr>
        <w:t>).</w:t>
      </w:r>
    </w:p>
  </w:footnote>
  <w:footnote w:id="35">
    <w:p w14:paraId="18355276" w14:textId="18ADA310"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21).</w:t>
      </w:r>
    </w:p>
  </w:footnote>
  <w:footnote w:id="36">
    <w:p w14:paraId="04A57E41" w14:textId="5DAAE4E5"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folios 20, 21</w:t>
      </w:r>
      <w:r w:rsidR="00193CBB" w:rsidRPr="00C9465D">
        <w:rPr>
          <w:sz w:val="16"/>
          <w:szCs w:val="16"/>
          <w:lang w:val="en-US"/>
        </w:rPr>
        <w:t xml:space="preserve"> and </w:t>
      </w:r>
      <w:r w:rsidRPr="00C9465D">
        <w:rPr>
          <w:sz w:val="16"/>
          <w:szCs w:val="16"/>
          <w:lang w:val="en-US"/>
        </w:rPr>
        <w:t>22).</w:t>
      </w:r>
    </w:p>
  </w:footnote>
  <w:footnote w:id="37">
    <w:p w14:paraId="5BE93B6F" w14:textId="31D5144A"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1A4FA7" w:rsidRPr="00C9465D">
        <w:rPr>
          <w:sz w:val="16"/>
          <w:szCs w:val="16"/>
          <w:lang w:val="en-US"/>
        </w:rPr>
        <w:t>R</w:t>
      </w:r>
      <w:r w:rsidR="00DA52AB" w:rsidRPr="00C9465D">
        <w:rPr>
          <w:sz w:val="16"/>
          <w:szCs w:val="16"/>
          <w:lang w:val="en-US"/>
        </w:rPr>
        <w:t>uling</w:t>
      </w:r>
      <w:r w:rsidR="001A4FA7" w:rsidRPr="00C9465D">
        <w:rPr>
          <w:sz w:val="16"/>
          <w:szCs w:val="16"/>
          <w:lang w:val="en-US"/>
        </w:rPr>
        <w:t xml:space="preserve"> of the Constitutional Court of</w:t>
      </w:r>
      <w:r w:rsidRPr="00C9465D">
        <w:rPr>
          <w:sz w:val="16"/>
          <w:szCs w:val="16"/>
          <w:lang w:val="en-US"/>
        </w:rPr>
        <w:t xml:space="preserve"> Ecuador </w:t>
      </w:r>
      <w:r w:rsidR="001A4FA7" w:rsidRPr="00C9465D">
        <w:rPr>
          <w:sz w:val="16"/>
          <w:szCs w:val="16"/>
          <w:lang w:val="en-US"/>
        </w:rPr>
        <w:t>of June 6,</w:t>
      </w:r>
      <w:r w:rsidRPr="00C9465D">
        <w:rPr>
          <w:sz w:val="16"/>
          <w:szCs w:val="16"/>
          <w:lang w:val="en-US"/>
        </w:rPr>
        <w:t xml:space="preserve"> 2006 (</w:t>
      </w:r>
      <w:r w:rsidR="00153C9F" w:rsidRPr="00C9465D">
        <w:rPr>
          <w:sz w:val="16"/>
          <w:szCs w:val="16"/>
          <w:lang w:val="en-US"/>
        </w:rPr>
        <w:t>evidence file</w:t>
      </w:r>
      <w:r w:rsidRPr="00C9465D">
        <w:rPr>
          <w:sz w:val="16"/>
          <w:szCs w:val="16"/>
          <w:lang w:val="en-US"/>
        </w:rPr>
        <w:t>, folio 60),</w:t>
      </w:r>
      <w:r w:rsidR="00193CBB" w:rsidRPr="00C9465D">
        <w:rPr>
          <w:sz w:val="16"/>
          <w:szCs w:val="16"/>
          <w:lang w:val="en-US"/>
        </w:rPr>
        <w:t xml:space="preserve"> and </w:t>
      </w:r>
      <w:r w:rsidR="001A4FA7" w:rsidRPr="00C9465D">
        <w:rPr>
          <w:sz w:val="16"/>
          <w:szCs w:val="16"/>
          <w:lang w:val="en-US"/>
        </w:rPr>
        <w:t xml:space="preserve">Communication of the Management of the </w:t>
      </w:r>
      <w:r w:rsidR="002C5740" w:rsidRPr="00C9465D">
        <w:rPr>
          <w:sz w:val="16"/>
          <w:szCs w:val="16"/>
          <w:lang w:val="en-US"/>
        </w:rPr>
        <w:t>Julio Endara Psychiatric Hospital</w:t>
      </w:r>
      <w:r w:rsidRPr="00C9465D">
        <w:rPr>
          <w:sz w:val="16"/>
          <w:szCs w:val="16"/>
          <w:lang w:val="en-US"/>
        </w:rPr>
        <w:t xml:space="preserve"> </w:t>
      </w:r>
      <w:r w:rsidR="001A4FA7" w:rsidRPr="00C9465D">
        <w:rPr>
          <w:sz w:val="16"/>
          <w:szCs w:val="16"/>
          <w:lang w:val="en-US"/>
        </w:rPr>
        <w:t>of March 21,</w:t>
      </w:r>
      <w:r w:rsidRPr="00C9465D">
        <w:rPr>
          <w:sz w:val="16"/>
          <w:szCs w:val="16"/>
          <w:lang w:val="en-US"/>
        </w:rPr>
        <w:t xml:space="preserve"> 2016 (</w:t>
      </w:r>
      <w:r w:rsidR="00153C9F" w:rsidRPr="00C9465D">
        <w:rPr>
          <w:sz w:val="16"/>
          <w:szCs w:val="16"/>
          <w:lang w:val="en-US"/>
        </w:rPr>
        <w:t>evidence file</w:t>
      </w:r>
      <w:r w:rsidRPr="00C9465D">
        <w:rPr>
          <w:sz w:val="16"/>
          <w:szCs w:val="16"/>
          <w:lang w:val="en-US"/>
        </w:rPr>
        <w:t>, folio 916).</w:t>
      </w:r>
    </w:p>
  </w:footnote>
  <w:footnote w:id="38">
    <w:p w14:paraId="1D99F787" w14:textId="7B67C761"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422D91" w:rsidRPr="00C9465D">
        <w:rPr>
          <w:sz w:val="16"/>
          <w:szCs w:val="16"/>
          <w:lang w:val="en-US"/>
        </w:rPr>
        <w:t>Ministry of Public Health</w:t>
      </w:r>
      <w:r w:rsidRPr="00C9465D">
        <w:rPr>
          <w:sz w:val="16"/>
          <w:szCs w:val="16"/>
          <w:lang w:val="en-US"/>
        </w:rPr>
        <w:t xml:space="preserve">, </w:t>
      </w:r>
      <w:r w:rsidR="001F65A3" w:rsidRPr="00C9465D">
        <w:rPr>
          <w:sz w:val="16"/>
          <w:szCs w:val="16"/>
          <w:lang w:val="en-US"/>
        </w:rPr>
        <w:t>Julio Endara Hospital</w:t>
      </w:r>
      <w:r w:rsidRPr="00C9465D">
        <w:rPr>
          <w:sz w:val="16"/>
          <w:szCs w:val="16"/>
          <w:lang w:val="en-US"/>
        </w:rPr>
        <w:t xml:space="preserve">. </w:t>
      </w:r>
      <w:r w:rsidR="001A4FA7" w:rsidRPr="00C9465D">
        <w:rPr>
          <w:sz w:val="16"/>
          <w:szCs w:val="16"/>
          <w:lang w:val="en-US"/>
        </w:rPr>
        <w:t>Medical record of</w:t>
      </w:r>
      <w:r w:rsidRPr="00C9465D">
        <w:rPr>
          <w:sz w:val="16"/>
          <w:szCs w:val="16"/>
          <w:lang w:val="en-US"/>
        </w:rPr>
        <w:t xml:space="preserve"> Luis Eduardo Guachalá Chimbo (</w:t>
      </w:r>
      <w:r w:rsidR="00153C9F" w:rsidRPr="00C9465D">
        <w:rPr>
          <w:sz w:val="16"/>
          <w:szCs w:val="16"/>
          <w:lang w:val="en-US"/>
        </w:rPr>
        <w:t>evidence file</w:t>
      </w:r>
      <w:r w:rsidRPr="00C9465D">
        <w:rPr>
          <w:sz w:val="16"/>
          <w:szCs w:val="16"/>
          <w:lang w:val="en-US"/>
        </w:rPr>
        <w:t>, folio 1697),</w:t>
      </w:r>
      <w:r w:rsidR="00193CBB" w:rsidRPr="00C9465D">
        <w:rPr>
          <w:sz w:val="16"/>
          <w:szCs w:val="16"/>
          <w:lang w:val="en-US"/>
        </w:rPr>
        <w:t xml:space="preserve"> and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22).</w:t>
      </w:r>
    </w:p>
  </w:footnote>
  <w:footnote w:id="39">
    <w:p w14:paraId="15B554E1" w14:textId="245169AE"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22).</w:t>
      </w:r>
    </w:p>
  </w:footnote>
  <w:footnote w:id="40">
    <w:p w14:paraId="7802A272" w14:textId="4E776B57"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731ED2" w:rsidRPr="00C9465D">
        <w:rPr>
          <w:sz w:val="16"/>
          <w:szCs w:val="16"/>
          <w:lang w:val="en-US"/>
        </w:rPr>
        <w:t>Discharge record of July</w:t>
      </w:r>
      <w:r w:rsidRPr="00C9465D">
        <w:rPr>
          <w:sz w:val="16"/>
          <w:szCs w:val="16"/>
          <w:lang w:val="en-US"/>
        </w:rPr>
        <w:t xml:space="preserve"> 2</w:t>
      </w:r>
      <w:r w:rsidR="00731ED2" w:rsidRPr="00C9465D">
        <w:rPr>
          <w:sz w:val="16"/>
          <w:szCs w:val="16"/>
          <w:lang w:val="en-US"/>
        </w:rPr>
        <w:t xml:space="preserve">, </w:t>
      </w:r>
      <w:r w:rsidRPr="00C9465D">
        <w:rPr>
          <w:sz w:val="16"/>
          <w:szCs w:val="16"/>
          <w:lang w:val="en-US"/>
        </w:rPr>
        <w:t>2003 (</w:t>
      </w:r>
      <w:r w:rsidR="00153C9F" w:rsidRPr="00C9465D">
        <w:rPr>
          <w:sz w:val="16"/>
          <w:szCs w:val="16"/>
          <w:lang w:val="en-US"/>
        </w:rPr>
        <w:t>evidence file</w:t>
      </w:r>
      <w:r w:rsidRPr="00C9465D">
        <w:rPr>
          <w:sz w:val="16"/>
          <w:szCs w:val="16"/>
          <w:lang w:val="en-US"/>
        </w:rPr>
        <w:t>, folio 1710),</w:t>
      </w:r>
      <w:r w:rsidR="00193CBB" w:rsidRPr="00C9465D">
        <w:rPr>
          <w:sz w:val="16"/>
          <w:szCs w:val="16"/>
          <w:lang w:val="en-US"/>
        </w:rPr>
        <w:t xml:space="preserve"> and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23).</w:t>
      </w:r>
    </w:p>
  </w:footnote>
  <w:footnote w:id="41">
    <w:p w14:paraId="63A940DA" w14:textId="3575F8C2"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23),</w:t>
      </w:r>
      <w:r w:rsidR="00193CBB" w:rsidRPr="00C9465D">
        <w:rPr>
          <w:sz w:val="16"/>
          <w:szCs w:val="16"/>
          <w:lang w:val="en-US"/>
        </w:rPr>
        <w:t xml:space="preserve"> and </w:t>
      </w:r>
      <w:r w:rsidR="00731ED2" w:rsidRPr="00C9465D">
        <w:rPr>
          <w:sz w:val="16"/>
          <w:szCs w:val="16"/>
          <w:lang w:val="en-US"/>
        </w:rPr>
        <w:t xml:space="preserve">Statement made by </w:t>
      </w:r>
      <w:r w:rsidRPr="00C9465D">
        <w:rPr>
          <w:sz w:val="16"/>
          <w:szCs w:val="16"/>
          <w:lang w:val="en-US"/>
        </w:rPr>
        <w:t xml:space="preserve">E.Q. </w:t>
      </w:r>
      <w:r w:rsidR="00731ED2" w:rsidRPr="00C9465D">
        <w:rPr>
          <w:sz w:val="16"/>
          <w:szCs w:val="16"/>
          <w:lang w:val="en-US"/>
        </w:rPr>
        <w:t xml:space="preserve">before the Provincial Headquarters of the Judicial Police of </w:t>
      </w:r>
      <w:r w:rsidRPr="00C9465D">
        <w:rPr>
          <w:sz w:val="16"/>
          <w:szCs w:val="16"/>
          <w:lang w:val="en-US"/>
        </w:rPr>
        <w:t xml:space="preserve">Pichincha </w:t>
      </w:r>
      <w:r w:rsidR="00731ED2" w:rsidRPr="00C9465D">
        <w:rPr>
          <w:sz w:val="16"/>
          <w:szCs w:val="16"/>
          <w:lang w:val="en-US"/>
        </w:rPr>
        <w:t>on February 19,</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2695).</w:t>
      </w:r>
    </w:p>
  </w:footnote>
  <w:footnote w:id="42">
    <w:p w14:paraId="6F29CB1A" w14:textId="2DD4F3BE"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006056FD"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23).</w:t>
      </w:r>
    </w:p>
  </w:footnote>
  <w:footnote w:id="43">
    <w:p w14:paraId="181EF8D6" w14:textId="3D49FDED"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23).</w:t>
      </w:r>
    </w:p>
  </w:footnote>
  <w:footnote w:id="44">
    <w:p w14:paraId="773CE24F" w14:textId="06DD52EE"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Medical record of</w:t>
      </w:r>
      <w:r w:rsidRPr="00C9465D">
        <w:rPr>
          <w:sz w:val="16"/>
          <w:szCs w:val="16"/>
          <w:lang w:val="en-US"/>
        </w:rPr>
        <w:t xml:space="preserve"> </w:t>
      </w:r>
      <w:r w:rsidR="002C5740" w:rsidRPr="00C9465D">
        <w:rPr>
          <w:sz w:val="16"/>
          <w:szCs w:val="16"/>
          <w:lang w:val="en-US"/>
        </w:rPr>
        <w:t>Julio Endara Psychiatric Hospital</w:t>
      </w:r>
      <w:r w:rsidRPr="00C9465D">
        <w:rPr>
          <w:sz w:val="16"/>
          <w:szCs w:val="16"/>
          <w:lang w:val="en-US"/>
        </w:rPr>
        <w:t xml:space="preserve"> </w:t>
      </w:r>
      <w:r w:rsidR="002C5740" w:rsidRPr="00C9465D">
        <w:rPr>
          <w:sz w:val="16"/>
          <w:szCs w:val="16"/>
          <w:lang w:val="en-US"/>
        </w:rPr>
        <w:t>of April 21,</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2),</w:t>
      </w:r>
      <w:r w:rsidR="00193CBB" w:rsidRPr="00C9465D">
        <w:rPr>
          <w:sz w:val="16"/>
          <w:szCs w:val="16"/>
          <w:lang w:val="en-US"/>
        </w:rPr>
        <w:t xml:space="preserve"> and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24).</w:t>
      </w:r>
    </w:p>
  </w:footnote>
  <w:footnote w:id="45">
    <w:p w14:paraId="75C2F638" w14:textId="268D1E96"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422D91" w:rsidRPr="00C9465D">
        <w:rPr>
          <w:sz w:val="16"/>
          <w:szCs w:val="16"/>
          <w:lang w:val="en-US"/>
        </w:rPr>
        <w:t>Ministry of Public Health</w:t>
      </w:r>
      <w:r w:rsidRPr="00C9465D">
        <w:rPr>
          <w:sz w:val="16"/>
          <w:szCs w:val="16"/>
          <w:lang w:val="en-US"/>
        </w:rPr>
        <w:t xml:space="preserve">, </w:t>
      </w:r>
      <w:r w:rsidR="002C5740" w:rsidRPr="00C9465D">
        <w:rPr>
          <w:sz w:val="16"/>
          <w:szCs w:val="16"/>
          <w:lang w:val="en-US"/>
        </w:rPr>
        <w:t>Julio Endara Psychiatric Hospital</w:t>
      </w:r>
      <w:r w:rsidRPr="00C9465D">
        <w:rPr>
          <w:sz w:val="16"/>
          <w:szCs w:val="16"/>
          <w:lang w:val="en-US"/>
        </w:rPr>
        <w:t xml:space="preserve">. </w:t>
      </w:r>
      <w:r w:rsidR="00D8209E" w:rsidRPr="00C9465D">
        <w:rPr>
          <w:sz w:val="16"/>
          <w:szCs w:val="16"/>
          <w:lang w:val="en-US"/>
        </w:rPr>
        <w:t>Admittance form of January</w:t>
      </w:r>
      <w:r w:rsidRPr="00C9465D">
        <w:rPr>
          <w:sz w:val="16"/>
          <w:szCs w:val="16"/>
          <w:lang w:val="en-US"/>
        </w:rPr>
        <w:t xml:space="preserve"> 10</w:t>
      </w:r>
      <w:r w:rsidR="00D8209E" w:rsidRPr="00C9465D">
        <w:rPr>
          <w:sz w:val="16"/>
          <w:szCs w:val="16"/>
          <w:lang w:val="en-US"/>
        </w:rPr>
        <w:t xml:space="preserve">, </w:t>
      </w:r>
      <w:r w:rsidRPr="00C9465D">
        <w:rPr>
          <w:sz w:val="16"/>
          <w:szCs w:val="16"/>
          <w:lang w:val="en-US"/>
        </w:rPr>
        <w:t>2004 (</w:t>
      </w:r>
      <w:r w:rsidR="00153C9F" w:rsidRPr="00C9465D">
        <w:rPr>
          <w:sz w:val="16"/>
          <w:szCs w:val="16"/>
          <w:lang w:val="en-US"/>
        </w:rPr>
        <w:t>evidence file</w:t>
      </w:r>
      <w:r w:rsidRPr="00C9465D">
        <w:rPr>
          <w:sz w:val="16"/>
          <w:szCs w:val="16"/>
          <w:lang w:val="en-US"/>
        </w:rPr>
        <w:t>, folio 1727).</w:t>
      </w:r>
    </w:p>
  </w:footnote>
  <w:footnote w:id="46">
    <w:p w14:paraId="536CB68F" w14:textId="3620761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Medical record of</w:t>
      </w:r>
      <w:r w:rsidRPr="00C9465D">
        <w:rPr>
          <w:sz w:val="16"/>
          <w:szCs w:val="16"/>
          <w:lang w:val="en-US"/>
        </w:rPr>
        <w:t xml:space="preserve"> </w:t>
      </w:r>
      <w:r w:rsidR="002C5740" w:rsidRPr="00C9465D">
        <w:rPr>
          <w:sz w:val="16"/>
          <w:szCs w:val="16"/>
          <w:lang w:val="en-US"/>
        </w:rPr>
        <w:t>Julio Endara Psychiatric Hospital</w:t>
      </w:r>
      <w:r w:rsidRPr="00C9465D">
        <w:rPr>
          <w:sz w:val="16"/>
          <w:szCs w:val="16"/>
          <w:lang w:val="en-US"/>
        </w:rPr>
        <w:t xml:space="preserve"> </w:t>
      </w:r>
      <w:r w:rsidR="002C5740" w:rsidRPr="00C9465D">
        <w:rPr>
          <w:sz w:val="16"/>
          <w:szCs w:val="16"/>
          <w:lang w:val="en-US"/>
        </w:rPr>
        <w:t>of April 21,</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2),</w:t>
      </w:r>
      <w:r w:rsidR="00193CBB" w:rsidRPr="00C9465D">
        <w:rPr>
          <w:sz w:val="16"/>
          <w:szCs w:val="16"/>
          <w:lang w:val="en-US"/>
        </w:rPr>
        <w:t xml:space="preserve"> and</w:t>
      </w:r>
      <w:r w:rsidR="00D8209E" w:rsidRPr="00C9465D">
        <w:rPr>
          <w:sz w:val="16"/>
          <w:szCs w:val="16"/>
          <w:lang w:val="en-US"/>
        </w:rPr>
        <w:t xml:space="preserve"> Admittance form of</w:t>
      </w:r>
      <w:r w:rsidR="00193CBB" w:rsidRPr="00C9465D">
        <w:rPr>
          <w:sz w:val="16"/>
          <w:szCs w:val="16"/>
          <w:lang w:val="en-US"/>
        </w:rPr>
        <w:t xml:space="preserve"> </w:t>
      </w:r>
      <w:r w:rsidR="002F3237" w:rsidRPr="00C9465D">
        <w:rPr>
          <w:sz w:val="16"/>
          <w:szCs w:val="16"/>
          <w:lang w:val="en-US"/>
        </w:rPr>
        <w:t>Mr. Guachalá</w:t>
      </w:r>
      <w:r w:rsidRPr="00C9465D">
        <w:rPr>
          <w:sz w:val="16"/>
          <w:szCs w:val="16"/>
          <w:lang w:val="en-US"/>
        </w:rPr>
        <w:t xml:space="preserve"> Chimbo (</w:t>
      </w:r>
      <w:r w:rsidR="00153C9F" w:rsidRPr="00C9465D">
        <w:rPr>
          <w:sz w:val="16"/>
          <w:szCs w:val="16"/>
          <w:lang w:val="en-US"/>
        </w:rPr>
        <w:t>evidence file</w:t>
      </w:r>
      <w:r w:rsidRPr="00C9465D">
        <w:rPr>
          <w:sz w:val="16"/>
          <w:szCs w:val="16"/>
          <w:lang w:val="en-US"/>
        </w:rPr>
        <w:t>, folio 1705).</w:t>
      </w:r>
    </w:p>
  </w:footnote>
  <w:footnote w:id="47">
    <w:p w14:paraId="6F794C22" w14:textId="70648CA9" w:rsidR="00300482" w:rsidRPr="00C9465D" w:rsidRDefault="00300482" w:rsidP="00BD26CF">
      <w:pPr>
        <w:pStyle w:val="FootnoteText"/>
        <w:tabs>
          <w:tab w:val="left" w:pos="567"/>
        </w:tabs>
        <w:spacing w:after="120"/>
        <w:rPr>
          <w:b/>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B4099D" w:rsidRPr="00C9465D">
        <w:rPr>
          <w:sz w:val="16"/>
          <w:szCs w:val="16"/>
          <w:lang w:val="en-US"/>
        </w:rPr>
        <w:t>Statement of Zoila</w:t>
      </w:r>
      <w:r w:rsidRPr="00C9465D">
        <w:rPr>
          <w:sz w:val="16"/>
          <w:szCs w:val="16"/>
          <w:lang w:val="en-US"/>
        </w:rPr>
        <w:t xml:space="preserve"> Chimbo Jarro </w:t>
      </w:r>
      <w:r w:rsidR="00B4099D" w:rsidRPr="00C9465D">
        <w:rPr>
          <w:sz w:val="16"/>
          <w:szCs w:val="16"/>
          <w:lang w:val="en-US"/>
        </w:rPr>
        <w:t>on April 4,</w:t>
      </w:r>
      <w:r w:rsidRPr="00C9465D">
        <w:rPr>
          <w:sz w:val="16"/>
          <w:szCs w:val="16"/>
          <w:lang w:val="en-US"/>
        </w:rPr>
        <w:t xml:space="preserve"> </w:t>
      </w:r>
      <w:r w:rsidR="004C5E70" w:rsidRPr="00C9465D">
        <w:rPr>
          <w:sz w:val="16"/>
          <w:szCs w:val="16"/>
          <w:lang w:val="en-US"/>
        </w:rPr>
        <w:t>2016,</w:t>
      </w:r>
      <w:r w:rsidRPr="00C9465D">
        <w:rPr>
          <w:sz w:val="16"/>
          <w:szCs w:val="16"/>
          <w:lang w:val="en-US"/>
        </w:rPr>
        <w:t xml:space="preserve"> </w:t>
      </w:r>
      <w:r w:rsidR="00766510" w:rsidRPr="00C9465D">
        <w:rPr>
          <w:sz w:val="16"/>
          <w:szCs w:val="16"/>
          <w:lang w:val="en-US"/>
        </w:rPr>
        <w:t>before the</w:t>
      </w:r>
      <w:r w:rsidR="00193CBB" w:rsidRPr="00C9465D">
        <w:rPr>
          <w:sz w:val="16"/>
          <w:szCs w:val="16"/>
          <w:lang w:val="en-US"/>
        </w:rPr>
        <w:t xml:space="preserve"> Inter-American Commission on Human Rights</w:t>
      </w:r>
      <w:r w:rsidRPr="00C9465D">
        <w:rPr>
          <w:sz w:val="16"/>
          <w:szCs w:val="16"/>
          <w:lang w:val="en-US"/>
        </w:rPr>
        <w:t xml:space="preserve">. </w:t>
      </w:r>
      <w:r w:rsidR="00316F29" w:rsidRPr="00C9465D">
        <w:rPr>
          <w:sz w:val="16"/>
          <w:szCs w:val="16"/>
          <w:lang w:val="en-US"/>
        </w:rPr>
        <w:t>Available at</w:t>
      </w:r>
      <w:r w:rsidRPr="00C9465D">
        <w:rPr>
          <w:sz w:val="16"/>
          <w:szCs w:val="16"/>
          <w:lang w:val="en-US"/>
        </w:rPr>
        <w:t xml:space="preserve">: </w:t>
      </w:r>
      <w:hyperlink r:id="rId3" w:history="1">
        <w:r w:rsidRPr="00C9465D">
          <w:rPr>
            <w:rStyle w:val="Hyperlink"/>
            <w:sz w:val="16"/>
            <w:szCs w:val="16"/>
            <w:lang w:val="en-US"/>
          </w:rPr>
          <w:t>http://www.oas.org/es/cidh/multimedia/sesiones/157/default.asp</w:t>
        </w:r>
      </w:hyperlink>
      <w:r w:rsidRPr="00C9465D">
        <w:rPr>
          <w:sz w:val="16"/>
          <w:szCs w:val="16"/>
          <w:lang w:val="en-US"/>
        </w:rPr>
        <w:t xml:space="preserve"> </w:t>
      </w:r>
    </w:p>
  </w:footnote>
  <w:footnote w:id="48">
    <w:p w14:paraId="0BE1770F" w14:textId="6CE52662"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6056FD" w:rsidRPr="00C9465D">
        <w:rPr>
          <w:sz w:val="16"/>
          <w:szCs w:val="16"/>
          <w:lang w:val="en-US"/>
        </w:rPr>
        <w:t xml:space="preserve">Admittance </w:t>
      </w:r>
      <w:r w:rsidR="008964D7" w:rsidRPr="00C9465D">
        <w:rPr>
          <w:sz w:val="16"/>
          <w:szCs w:val="16"/>
          <w:lang w:val="en-US"/>
        </w:rPr>
        <w:t>form</w:t>
      </w:r>
      <w:r w:rsidR="006056FD" w:rsidRPr="00C9465D">
        <w:rPr>
          <w:sz w:val="16"/>
          <w:szCs w:val="16"/>
          <w:lang w:val="en-US"/>
        </w:rPr>
        <w:t xml:space="preserve"> of</w:t>
      </w:r>
      <w:r w:rsidR="002F3237" w:rsidRPr="00C9465D">
        <w:rPr>
          <w:sz w:val="16"/>
          <w:szCs w:val="16"/>
          <w:lang w:val="en-US"/>
        </w:rPr>
        <w:t xml:space="preserve"> Mr. Guachalá</w:t>
      </w:r>
      <w:r w:rsidRPr="00C9465D">
        <w:rPr>
          <w:sz w:val="16"/>
          <w:szCs w:val="16"/>
          <w:lang w:val="en-US"/>
        </w:rPr>
        <w:t xml:space="preserve"> Chimbo (</w:t>
      </w:r>
      <w:r w:rsidR="00153C9F" w:rsidRPr="00C9465D">
        <w:rPr>
          <w:sz w:val="16"/>
          <w:szCs w:val="16"/>
          <w:lang w:val="en-US"/>
        </w:rPr>
        <w:t>evidence file</w:t>
      </w:r>
      <w:r w:rsidRPr="00C9465D">
        <w:rPr>
          <w:sz w:val="16"/>
          <w:szCs w:val="16"/>
          <w:lang w:val="en-US"/>
        </w:rPr>
        <w:t>, folio 1706).</w:t>
      </w:r>
    </w:p>
  </w:footnote>
  <w:footnote w:id="49">
    <w:p w14:paraId="0CA45B4D" w14:textId="29231F47"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6056FD" w:rsidRPr="00C9465D">
        <w:rPr>
          <w:sz w:val="16"/>
          <w:szCs w:val="16"/>
          <w:lang w:val="en-US"/>
        </w:rPr>
        <w:t>Hospitalization authorization form</w:t>
      </w:r>
      <w:r w:rsidRPr="00C9465D">
        <w:rPr>
          <w:sz w:val="16"/>
          <w:szCs w:val="16"/>
          <w:lang w:val="en-US"/>
        </w:rPr>
        <w:t xml:space="preserve"> (</w:t>
      </w:r>
      <w:r w:rsidR="00153C9F" w:rsidRPr="00C9465D">
        <w:rPr>
          <w:sz w:val="16"/>
          <w:szCs w:val="16"/>
          <w:lang w:val="en-US"/>
        </w:rPr>
        <w:t>evidence file</w:t>
      </w:r>
      <w:r w:rsidRPr="00C9465D">
        <w:rPr>
          <w:sz w:val="16"/>
          <w:szCs w:val="16"/>
          <w:lang w:val="en-US"/>
        </w:rPr>
        <w:t>, folio 145).</w:t>
      </w:r>
    </w:p>
  </w:footnote>
  <w:footnote w:id="50">
    <w:p w14:paraId="184F5A2A" w14:textId="621497D6"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folios 24</w:t>
      </w:r>
      <w:r w:rsidR="00193CBB" w:rsidRPr="00C9465D">
        <w:rPr>
          <w:sz w:val="16"/>
          <w:szCs w:val="16"/>
          <w:lang w:val="en-US"/>
        </w:rPr>
        <w:t xml:space="preserve"> and </w:t>
      </w:r>
      <w:r w:rsidRPr="00C9465D">
        <w:rPr>
          <w:sz w:val="16"/>
          <w:szCs w:val="16"/>
          <w:lang w:val="en-US"/>
        </w:rPr>
        <w:t>25).</w:t>
      </w:r>
    </w:p>
  </w:footnote>
  <w:footnote w:id="51">
    <w:p w14:paraId="3742B1C9" w14:textId="04638F26"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25).</w:t>
      </w:r>
    </w:p>
  </w:footnote>
  <w:footnote w:id="52">
    <w:p w14:paraId="0E0B21B7" w14:textId="29B781B4"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Medical record of</w:t>
      </w:r>
      <w:r w:rsidRPr="00C9465D">
        <w:rPr>
          <w:sz w:val="16"/>
          <w:szCs w:val="16"/>
          <w:lang w:val="en-US"/>
        </w:rPr>
        <w:t xml:space="preserve"> </w:t>
      </w:r>
      <w:r w:rsidR="002C5740" w:rsidRPr="00C9465D">
        <w:rPr>
          <w:sz w:val="16"/>
          <w:szCs w:val="16"/>
          <w:lang w:val="en-US"/>
        </w:rPr>
        <w:t>Julio Endara Psychiatric Hospital</w:t>
      </w:r>
      <w:r w:rsidRPr="00C9465D">
        <w:rPr>
          <w:sz w:val="16"/>
          <w:szCs w:val="16"/>
          <w:lang w:val="en-US"/>
        </w:rPr>
        <w:t xml:space="preserve"> </w:t>
      </w:r>
      <w:r w:rsidR="002C5740" w:rsidRPr="00C9465D">
        <w:rPr>
          <w:sz w:val="16"/>
          <w:szCs w:val="16"/>
          <w:lang w:val="en-US"/>
        </w:rPr>
        <w:t>of April 21,</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2).</w:t>
      </w:r>
    </w:p>
  </w:footnote>
  <w:footnote w:id="53">
    <w:p w14:paraId="3922B02C" w14:textId="4E298FCE" w:rsidR="00300482" w:rsidRPr="00C9465D" w:rsidRDefault="00300482" w:rsidP="00BD26CF">
      <w:pPr>
        <w:pStyle w:val="FootnoteText"/>
        <w:tabs>
          <w:tab w:val="left" w:pos="567"/>
          <w:tab w:val="left" w:pos="4950"/>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A703B6" w:rsidRPr="00C9465D">
        <w:rPr>
          <w:sz w:val="16"/>
          <w:szCs w:val="16"/>
          <w:lang w:val="en-US"/>
        </w:rPr>
        <w:t>Hypoprosexia refers to reduced ability to focus attention, revealed by the incapacity of the individual to concentrate of an object or task.</w:t>
      </w:r>
    </w:p>
  </w:footnote>
  <w:footnote w:id="54">
    <w:p w14:paraId="6C8A8ED2" w14:textId="60ED9367" w:rsidR="00300482" w:rsidRPr="00C9465D" w:rsidRDefault="00300482" w:rsidP="00BD26CF">
      <w:pPr>
        <w:pStyle w:val="FootnoteText"/>
        <w:tabs>
          <w:tab w:val="left" w:pos="567"/>
        </w:tabs>
        <w:spacing w:after="120"/>
        <w:rPr>
          <w:rFonts w:cstheme="minorBidi"/>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A703B6" w:rsidRPr="00C9465D">
        <w:rPr>
          <w:rFonts w:cstheme="minorBidi"/>
          <w:sz w:val="16"/>
          <w:szCs w:val="16"/>
          <w:lang w:val="en-US"/>
        </w:rPr>
        <w:t>Bradypsychia is a neurological symptom characterized by</w:t>
      </w:r>
      <w:r w:rsidR="00B07F41" w:rsidRPr="00C9465D">
        <w:rPr>
          <w:rFonts w:cstheme="minorBidi"/>
          <w:sz w:val="16"/>
          <w:szCs w:val="16"/>
          <w:lang w:val="en-US"/>
        </w:rPr>
        <w:t xml:space="preserve"> slowness of thought or mental activity.</w:t>
      </w:r>
    </w:p>
  </w:footnote>
  <w:footnote w:id="55">
    <w:p w14:paraId="408B1EB8" w14:textId="5B676228"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Medical record of</w:t>
      </w:r>
      <w:r w:rsidRPr="00C9465D">
        <w:rPr>
          <w:sz w:val="16"/>
          <w:szCs w:val="16"/>
          <w:lang w:val="en-US"/>
        </w:rPr>
        <w:t xml:space="preserve"> </w:t>
      </w:r>
      <w:r w:rsidR="002C5740" w:rsidRPr="00C9465D">
        <w:rPr>
          <w:sz w:val="16"/>
          <w:szCs w:val="16"/>
          <w:lang w:val="en-US"/>
        </w:rPr>
        <w:t>Julio Endara Psychiatric Hospital</w:t>
      </w:r>
      <w:r w:rsidRPr="00C9465D">
        <w:rPr>
          <w:sz w:val="16"/>
          <w:szCs w:val="16"/>
          <w:lang w:val="en-US"/>
        </w:rPr>
        <w:t xml:space="preserve"> </w:t>
      </w:r>
      <w:r w:rsidR="002C5740" w:rsidRPr="00C9465D">
        <w:rPr>
          <w:sz w:val="16"/>
          <w:szCs w:val="16"/>
          <w:lang w:val="en-US"/>
        </w:rPr>
        <w:t>of April 21,</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2).</w:t>
      </w:r>
    </w:p>
  </w:footnote>
  <w:footnote w:id="56">
    <w:p w14:paraId="525CBA88" w14:textId="7574D68E"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Medical record of</w:t>
      </w:r>
      <w:r w:rsidRPr="00C9465D">
        <w:rPr>
          <w:sz w:val="16"/>
          <w:szCs w:val="16"/>
          <w:lang w:val="en-US"/>
        </w:rPr>
        <w:t xml:space="preserve"> </w:t>
      </w:r>
      <w:r w:rsidR="002C5740" w:rsidRPr="00C9465D">
        <w:rPr>
          <w:sz w:val="16"/>
          <w:szCs w:val="16"/>
          <w:lang w:val="en-US"/>
        </w:rPr>
        <w:t>Julio Endara Psychiatric Hospital</w:t>
      </w:r>
      <w:r w:rsidRPr="00C9465D">
        <w:rPr>
          <w:sz w:val="16"/>
          <w:szCs w:val="16"/>
          <w:lang w:val="en-US"/>
        </w:rPr>
        <w:t xml:space="preserve"> </w:t>
      </w:r>
      <w:r w:rsidR="002C5740" w:rsidRPr="00C9465D">
        <w:rPr>
          <w:sz w:val="16"/>
          <w:szCs w:val="16"/>
          <w:lang w:val="en-US"/>
        </w:rPr>
        <w:t>of April 21,</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2).</w:t>
      </w:r>
    </w:p>
  </w:footnote>
  <w:footnote w:id="57">
    <w:p w14:paraId="2B2568C2" w14:textId="32392440"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Medical record of</w:t>
      </w:r>
      <w:r w:rsidRPr="00C9465D">
        <w:rPr>
          <w:sz w:val="16"/>
          <w:szCs w:val="16"/>
          <w:lang w:val="en-US"/>
        </w:rPr>
        <w:t xml:space="preserve"> </w:t>
      </w:r>
      <w:r w:rsidR="002C5740" w:rsidRPr="00C9465D">
        <w:rPr>
          <w:sz w:val="16"/>
          <w:szCs w:val="16"/>
          <w:lang w:val="en-US"/>
        </w:rPr>
        <w:t>Julio Endara Psychiatric Hospital</w:t>
      </w:r>
      <w:r w:rsidRPr="00C9465D">
        <w:rPr>
          <w:sz w:val="16"/>
          <w:szCs w:val="16"/>
          <w:lang w:val="en-US"/>
        </w:rPr>
        <w:t xml:space="preserve"> </w:t>
      </w:r>
      <w:r w:rsidR="002C5740" w:rsidRPr="00C9465D">
        <w:rPr>
          <w:sz w:val="16"/>
          <w:szCs w:val="16"/>
          <w:lang w:val="en-US"/>
        </w:rPr>
        <w:t>of April 21,</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2).</w:t>
      </w:r>
    </w:p>
  </w:footnote>
  <w:footnote w:id="58">
    <w:p w14:paraId="14AB2C29" w14:textId="5034CBCF"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25).</w:t>
      </w:r>
    </w:p>
  </w:footnote>
  <w:footnote w:id="59">
    <w:p w14:paraId="4C2E7989" w14:textId="674DA193"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26).</w:t>
      </w:r>
    </w:p>
  </w:footnote>
  <w:footnote w:id="60">
    <w:p w14:paraId="2DF96765" w14:textId="4120F885"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Medical record of</w:t>
      </w:r>
      <w:r w:rsidRPr="00C9465D">
        <w:rPr>
          <w:sz w:val="16"/>
          <w:szCs w:val="16"/>
          <w:lang w:val="en-US"/>
        </w:rPr>
        <w:t xml:space="preserve"> </w:t>
      </w:r>
      <w:r w:rsidR="002C5740" w:rsidRPr="00C9465D">
        <w:rPr>
          <w:sz w:val="16"/>
          <w:szCs w:val="16"/>
          <w:lang w:val="en-US"/>
        </w:rPr>
        <w:t>Julio Endara Psychiatric Hospital</w:t>
      </w:r>
      <w:r w:rsidRPr="00C9465D">
        <w:rPr>
          <w:sz w:val="16"/>
          <w:szCs w:val="16"/>
          <w:lang w:val="en-US"/>
        </w:rPr>
        <w:t xml:space="preserve"> </w:t>
      </w:r>
      <w:r w:rsidR="002C5740" w:rsidRPr="00C9465D">
        <w:rPr>
          <w:sz w:val="16"/>
          <w:szCs w:val="16"/>
          <w:lang w:val="en-US"/>
        </w:rPr>
        <w:t>of April 21,</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2).</w:t>
      </w:r>
    </w:p>
  </w:footnote>
  <w:footnote w:id="61">
    <w:p w14:paraId="0BCE25C1" w14:textId="2F3E8EC1"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xml:space="preserve">, folio 26), </w:t>
      </w:r>
      <w:r w:rsidR="00B07F41" w:rsidRPr="00C9465D">
        <w:rPr>
          <w:sz w:val="16"/>
          <w:szCs w:val="16"/>
          <w:lang w:val="en-US"/>
        </w:rPr>
        <w:t>and</w:t>
      </w:r>
      <w:r w:rsidRPr="00C9465D">
        <w:rPr>
          <w:sz w:val="16"/>
          <w:szCs w:val="16"/>
          <w:lang w:val="en-US"/>
        </w:rPr>
        <w:t xml:space="preserve"> </w:t>
      </w:r>
      <w:r w:rsidR="002C5740" w:rsidRPr="00C9465D">
        <w:rPr>
          <w:sz w:val="16"/>
          <w:szCs w:val="16"/>
          <w:lang w:val="en-US"/>
        </w:rPr>
        <w:t>Medical record of</w:t>
      </w:r>
      <w:r w:rsidRPr="00C9465D">
        <w:rPr>
          <w:sz w:val="16"/>
          <w:szCs w:val="16"/>
          <w:lang w:val="en-US"/>
        </w:rPr>
        <w:t xml:space="preserve"> </w:t>
      </w:r>
      <w:r w:rsidR="002C5740" w:rsidRPr="00C9465D">
        <w:rPr>
          <w:sz w:val="16"/>
          <w:szCs w:val="16"/>
          <w:lang w:val="en-US"/>
        </w:rPr>
        <w:t>Julio Endara Psychiatric Hospital</w:t>
      </w:r>
      <w:r w:rsidRPr="00C9465D">
        <w:rPr>
          <w:sz w:val="16"/>
          <w:szCs w:val="16"/>
          <w:lang w:val="en-US"/>
        </w:rPr>
        <w:t xml:space="preserve"> </w:t>
      </w:r>
      <w:r w:rsidR="002C5740" w:rsidRPr="00C9465D">
        <w:rPr>
          <w:sz w:val="16"/>
          <w:szCs w:val="16"/>
          <w:lang w:val="en-US"/>
        </w:rPr>
        <w:t>of April 21,</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2).</w:t>
      </w:r>
    </w:p>
  </w:footnote>
  <w:footnote w:id="62">
    <w:p w14:paraId="7E8B1BD3" w14:textId="06DD00D4"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Medical record of</w:t>
      </w:r>
      <w:r w:rsidRPr="00C9465D">
        <w:rPr>
          <w:sz w:val="16"/>
          <w:szCs w:val="16"/>
          <w:lang w:val="en-US"/>
        </w:rPr>
        <w:t xml:space="preserve"> </w:t>
      </w:r>
      <w:r w:rsidR="002C5740" w:rsidRPr="00C9465D">
        <w:rPr>
          <w:sz w:val="16"/>
          <w:szCs w:val="16"/>
          <w:lang w:val="en-US"/>
        </w:rPr>
        <w:t>Julio Endara Psychiatric Hospital</w:t>
      </w:r>
      <w:r w:rsidRPr="00C9465D">
        <w:rPr>
          <w:sz w:val="16"/>
          <w:szCs w:val="16"/>
          <w:lang w:val="en-US"/>
        </w:rPr>
        <w:t xml:space="preserve"> </w:t>
      </w:r>
      <w:r w:rsidR="002C5740" w:rsidRPr="00C9465D">
        <w:rPr>
          <w:sz w:val="16"/>
          <w:szCs w:val="16"/>
          <w:lang w:val="en-US"/>
        </w:rPr>
        <w:t>of April 21,</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2).</w:t>
      </w:r>
    </w:p>
  </w:footnote>
  <w:footnote w:id="63">
    <w:p w14:paraId="39B76F21" w14:textId="13C4848C"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26).</w:t>
      </w:r>
    </w:p>
  </w:footnote>
  <w:footnote w:id="64">
    <w:p w14:paraId="78E63016" w14:textId="1FD5F45F"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Medical record of</w:t>
      </w:r>
      <w:r w:rsidRPr="00C9465D">
        <w:rPr>
          <w:sz w:val="16"/>
          <w:szCs w:val="16"/>
          <w:lang w:val="en-US"/>
        </w:rPr>
        <w:t xml:space="preserve"> </w:t>
      </w:r>
      <w:r w:rsidR="002C5740" w:rsidRPr="00C9465D">
        <w:rPr>
          <w:sz w:val="16"/>
          <w:szCs w:val="16"/>
          <w:lang w:val="en-US"/>
        </w:rPr>
        <w:t>Julio Endara Psychiatric Hospital</w:t>
      </w:r>
      <w:r w:rsidRPr="00C9465D">
        <w:rPr>
          <w:sz w:val="16"/>
          <w:szCs w:val="16"/>
          <w:lang w:val="en-US"/>
        </w:rPr>
        <w:t xml:space="preserve"> </w:t>
      </w:r>
      <w:r w:rsidR="002C5740" w:rsidRPr="00C9465D">
        <w:rPr>
          <w:sz w:val="16"/>
          <w:szCs w:val="16"/>
          <w:lang w:val="en-US"/>
        </w:rPr>
        <w:t>of April 21,</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2).</w:t>
      </w:r>
    </w:p>
  </w:footnote>
  <w:footnote w:id="65">
    <w:p w14:paraId="33F855DB" w14:textId="4EC0A5C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xml:space="preserve">, folios 25 </w:t>
      </w:r>
      <w:r w:rsidR="00B07F41" w:rsidRPr="00C9465D">
        <w:rPr>
          <w:sz w:val="16"/>
          <w:szCs w:val="16"/>
          <w:lang w:val="en-US"/>
        </w:rPr>
        <w:t>to</w:t>
      </w:r>
      <w:r w:rsidRPr="00C9465D">
        <w:rPr>
          <w:sz w:val="16"/>
          <w:szCs w:val="16"/>
          <w:lang w:val="en-US"/>
        </w:rPr>
        <w:t xml:space="preserve"> 27); </w:t>
      </w:r>
      <w:r w:rsidR="002C5740" w:rsidRPr="00C9465D">
        <w:rPr>
          <w:sz w:val="16"/>
          <w:szCs w:val="16"/>
          <w:lang w:val="en-US"/>
        </w:rPr>
        <w:t>Medical record of</w:t>
      </w:r>
      <w:r w:rsidRPr="00C9465D">
        <w:rPr>
          <w:sz w:val="16"/>
          <w:szCs w:val="16"/>
          <w:lang w:val="en-US"/>
        </w:rPr>
        <w:t xml:space="preserve"> </w:t>
      </w:r>
      <w:r w:rsidR="002C5740" w:rsidRPr="00C9465D">
        <w:rPr>
          <w:sz w:val="16"/>
          <w:szCs w:val="16"/>
          <w:lang w:val="en-US"/>
        </w:rPr>
        <w:t>Julio Endara Psychiatric Hospital</w:t>
      </w:r>
      <w:r w:rsidRPr="00C9465D">
        <w:rPr>
          <w:sz w:val="16"/>
          <w:szCs w:val="16"/>
          <w:lang w:val="en-US"/>
        </w:rPr>
        <w:t xml:space="preserve"> </w:t>
      </w:r>
      <w:r w:rsidR="002C5740" w:rsidRPr="00C9465D">
        <w:rPr>
          <w:sz w:val="16"/>
          <w:szCs w:val="16"/>
          <w:lang w:val="en-US"/>
        </w:rPr>
        <w:t>of April 21,</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folios 2</w:t>
      </w:r>
      <w:r w:rsidR="00193CBB" w:rsidRPr="00C9465D">
        <w:rPr>
          <w:sz w:val="16"/>
          <w:szCs w:val="16"/>
          <w:lang w:val="en-US"/>
        </w:rPr>
        <w:t xml:space="preserve"> and </w:t>
      </w:r>
      <w:r w:rsidRPr="00C9465D">
        <w:rPr>
          <w:sz w:val="16"/>
          <w:szCs w:val="16"/>
          <w:lang w:val="en-US"/>
        </w:rPr>
        <w:t>3),</w:t>
      </w:r>
      <w:r w:rsidR="00193CBB" w:rsidRPr="00C9465D">
        <w:rPr>
          <w:sz w:val="16"/>
          <w:szCs w:val="16"/>
          <w:lang w:val="en-US"/>
        </w:rPr>
        <w:t xml:space="preserve"> and </w:t>
      </w:r>
      <w:r w:rsidR="00B07F41" w:rsidRPr="00C9465D">
        <w:rPr>
          <w:sz w:val="16"/>
          <w:szCs w:val="16"/>
          <w:lang w:val="en-US"/>
        </w:rPr>
        <w:t xml:space="preserve">Complaint of February 2, </w:t>
      </w:r>
      <w:r w:rsidRPr="00C9465D">
        <w:rPr>
          <w:sz w:val="16"/>
          <w:szCs w:val="16"/>
          <w:lang w:val="en-US"/>
        </w:rPr>
        <w:t>2004 (</w:t>
      </w:r>
      <w:r w:rsidR="00153C9F" w:rsidRPr="00C9465D">
        <w:rPr>
          <w:sz w:val="16"/>
          <w:szCs w:val="16"/>
          <w:lang w:val="en-US"/>
        </w:rPr>
        <w:t>evidence file</w:t>
      </w:r>
      <w:r w:rsidRPr="00C9465D">
        <w:rPr>
          <w:sz w:val="16"/>
          <w:szCs w:val="16"/>
          <w:lang w:val="en-US"/>
        </w:rPr>
        <w:t>, folio 33).</w:t>
      </w:r>
    </w:p>
  </w:footnote>
  <w:footnote w:id="66">
    <w:p w14:paraId="77E831D3" w14:textId="287C9F6E"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27).</w:t>
      </w:r>
    </w:p>
  </w:footnote>
  <w:footnote w:id="67">
    <w:p w14:paraId="5365E5B8" w14:textId="19DE07E8"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F044F7" w:rsidRPr="00C9465D">
        <w:rPr>
          <w:sz w:val="16"/>
          <w:szCs w:val="16"/>
          <w:lang w:val="en-US"/>
        </w:rPr>
        <w:t>Change of shift report of</w:t>
      </w:r>
      <w:r w:rsidRPr="00C9465D">
        <w:rPr>
          <w:sz w:val="16"/>
          <w:szCs w:val="16"/>
          <w:lang w:val="en-US"/>
        </w:rPr>
        <w:t xml:space="preserve"> </w:t>
      </w:r>
      <w:r w:rsidR="00BF6AD0" w:rsidRPr="00C9465D">
        <w:rPr>
          <w:sz w:val="16"/>
          <w:szCs w:val="16"/>
          <w:lang w:val="en-US"/>
        </w:rPr>
        <w:t>January 17,</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folios 35</w:t>
      </w:r>
      <w:r w:rsidR="00193CBB" w:rsidRPr="00C9465D">
        <w:rPr>
          <w:sz w:val="16"/>
          <w:szCs w:val="16"/>
          <w:lang w:val="en-US"/>
        </w:rPr>
        <w:t xml:space="preserve"> and </w:t>
      </w:r>
      <w:r w:rsidRPr="00C9465D">
        <w:rPr>
          <w:sz w:val="16"/>
          <w:szCs w:val="16"/>
          <w:lang w:val="en-US"/>
        </w:rPr>
        <w:t>36).</w:t>
      </w:r>
    </w:p>
  </w:footnote>
  <w:footnote w:id="68">
    <w:p w14:paraId="072A94B2" w14:textId="1527E5AB"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t>Com</w:t>
      </w:r>
      <w:r w:rsidR="00F044F7" w:rsidRPr="00C9465D">
        <w:rPr>
          <w:sz w:val="16"/>
          <w:szCs w:val="16"/>
          <w:lang w:val="en-US"/>
        </w:rPr>
        <w:t xml:space="preserve">munication of the nurse to the </w:t>
      </w:r>
      <w:r w:rsidRPr="00C9465D">
        <w:rPr>
          <w:sz w:val="16"/>
          <w:szCs w:val="16"/>
          <w:lang w:val="en-US"/>
        </w:rPr>
        <w:t xml:space="preserve">Director </w:t>
      </w:r>
      <w:r w:rsidR="00F044F7" w:rsidRPr="00C9465D">
        <w:rPr>
          <w:sz w:val="16"/>
          <w:szCs w:val="16"/>
          <w:lang w:val="en-US"/>
        </w:rPr>
        <w:t>of the</w:t>
      </w:r>
      <w:r w:rsidRPr="00C9465D">
        <w:rPr>
          <w:sz w:val="16"/>
          <w:szCs w:val="16"/>
          <w:lang w:val="en-US"/>
        </w:rPr>
        <w:t xml:space="preserve"> Julio Endara</w:t>
      </w:r>
      <w:r w:rsidR="00F044F7" w:rsidRPr="00C9465D">
        <w:rPr>
          <w:sz w:val="16"/>
          <w:szCs w:val="16"/>
          <w:lang w:val="en-US"/>
        </w:rPr>
        <w:t xml:space="preserve"> Psychiatric Hospital of September 27, </w:t>
      </w:r>
      <w:r w:rsidRPr="00C9465D">
        <w:rPr>
          <w:sz w:val="16"/>
          <w:szCs w:val="16"/>
          <w:lang w:val="en-US"/>
        </w:rPr>
        <w:t>2004 (</w:t>
      </w:r>
      <w:r w:rsidR="00153C9F" w:rsidRPr="00C9465D">
        <w:rPr>
          <w:sz w:val="16"/>
          <w:szCs w:val="16"/>
          <w:lang w:val="en-US"/>
        </w:rPr>
        <w:t>evidence file</w:t>
      </w:r>
      <w:r w:rsidRPr="00C9465D">
        <w:rPr>
          <w:sz w:val="16"/>
          <w:szCs w:val="16"/>
          <w:lang w:val="en-US"/>
        </w:rPr>
        <w:t>, folio 40).</w:t>
      </w:r>
    </w:p>
  </w:footnote>
  <w:footnote w:id="69">
    <w:p w14:paraId="62689778" w14:textId="44DF179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B712CD" w:rsidRPr="00C9465D">
        <w:rPr>
          <w:sz w:val="16"/>
          <w:szCs w:val="16"/>
          <w:lang w:val="en-US"/>
        </w:rPr>
        <w:t>Statement made by Zoila Chimbo during the public hearing held in this case</w:t>
      </w:r>
      <w:r w:rsidRPr="00C9465D">
        <w:rPr>
          <w:sz w:val="16"/>
          <w:szCs w:val="16"/>
          <w:lang w:val="en-US"/>
        </w:rPr>
        <w:t xml:space="preserve">. </w:t>
      </w:r>
    </w:p>
  </w:footnote>
  <w:footnote w:id="70">
    <w:p w14:paraId="079723C5" w14:textId="388E261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27).</w:t>
      </w:r>
    </w:p>
  </w:footnote>
  <w:footnote w:id="71">
    <w:p w14:paraId="4C43EB65" w14:textId="1996C73D"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27).</w:t>
      </w:r>
    </w:p>
  </w:footnote>
  <w:footnote w:id="72">
    <w:p w14:paraId="1FB61F9A" w14:textId="122BCECD"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28).</w:t>
      </w:r>
    </w:p>
  </w:footnote>
  <w:footnote w:id="73">
    <w:p w14:paraId="263125E2" w14:textId="7E56A32F"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Medical record of</w:t>
      </w:r>
      <w:r w:rsidRPr="00C9465D">
        <w:rPr>
          <w:sz w:val="16"/>
          <w:szCs w:val="16"/>
          <w:lang w:val="en-US"/>
        </w:rPr>
        <w:t xml:space="preserve"> </w:t>
      </w:r>
      <w:r w:rsidR="002C5740" w:rsidRPr="00C9465D">
        <w:rPr>
          <w:sz w:val="16"/>
          <w:szCs w:val="16"/>
          <w:lang w:val="en-US"/>
        </w:rPr>
        <w:t>Julio Endara Psychiatric Hospital</w:t>
      </w:r>
      <w:r w:rsidRPr="00C9465D">
        <w:rPr>
          <w:sz w:val="16"/>
          <w:szCs w:val="16"/>
          <w:lang w:val="en-US"/>
        </w:rPr>
        <w:t xml:space="preserve"> </w:t>
      </w:r>
      <w:r w:rsidR="002C5740" w:rsidRPr="00C9465D">
        <w:rPr>
          <w:sz w:val="16"/>
          <w:szCs w:val="16"/>
          <w:lang w:val="en-US"/>
        </w:rPr>
        <w:t>of April 21,</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xml:space="preserve">, folio 3), </w:t>
      </w:r>
      <w:r w:rsidR="004F5593" w:rsidRPr="00C9465D">
        <w:rPr>
          <w:sz w:val="16"/>
          <w:szCs w:val="16"/>
          <w:lang w:val="en-US"/>
        </w:rPr>
        <w:t>and</w:t>
      </w:r>
      <w:r w:rsidRPr="00C9465D">
        <w:rPr>
          <w:sz w:val="16"/>
          <w:szCs w:val="16"/>
          <w:lang w:val="en-US"/>
        </w:rPr>
        <w:t xml:space="preserve"> Luis Eduardo Guachalá Chimbo</w:t>
      </w:r>
      <w:r w:rsidR="004F5593" w:rsidRPr="00C9465D">
        <w:rPr>
          <w:sz w:val="16"/>
          <w:szCs w:val="16"/>
          <w:lang w:val="en-US"/>
        </w:rPr>
        <w:t>’s medical record at the</w:t>
      </w:r>
      <w:r w:rsidRPr="00C9465D">
        <w:rPr>
          <w:sz w:val="16"/>
          <w:szCs w:val="16"/>
          <w:lang w:val="en-US"/>
        </w:rPr>
        <w:t xml:space="preserve"> </w:t>
      </w:r>
      <w:r w:rsidR="002C5740" w:rsidRPr="00C9465D">
        <w:rPr>
          <w:sz w:val="16"/>
          <w:szCs w:val="16"/>
          <w:lang w:val="en-US"/>
        </w:rPr>
        <w:t>Julio Endara Psychiatric Hospital</w:t>
      </w:r>
      <w:r w:rsidRPr="00C9465D">
        <w:rPr>
          <w:sz w:val="16"/>
          <w:szCs w:val="16"/>
          <w:lang w:val="en-US"/>
        </w:rPr>
        <w:t xml:space="preserve"> </w:t>
      </w:r>
      <w:r w:rsidR="004F5593" w:rsidRPr="00C9465D">
        <w:rPr>
          <w:sz w:val="16"/>
          <w:szCs w:val="16"/>
          <w:lang w:val="en-US"/>
        </w:rPr>
        <w:t xml:space="preserve">from January 10 to January 21, </w:t>
      </w:r>
      <w:r w:rsidRPr="00C9465D">
        <w:rPr>
          <w:sz w:val="16"/>
          <w:szCs w:val="16"/>
          <w:lang w:val="en-US"/>
        </w:rPr>
        <w:t>2004 (</w:t>
      </w:r>
      <w:r w:rsidR="00153C9F" w:rsidRPr="00C9465D">
        <w:rPr>
          <w:sz w:val="16"/>
          <w:szCs w:val="16"/>
          <w:lang w:val="en-US"/>
        </w:rPr>
        <w:t>evidence file</w:t>
      </w:r>
      <w:r w:rsidRPr="00C9465D">
        <w:rPr>
          <w:sz w:val="16"/>
          <w:szCs w:val="16"/>
          <w:lang w:val="en-US"/>
        </w:rPr>
        <w:t>, folio 12).</w:t>
      </w:r>
    </w:p>
  </w:footnote>
  <w:footnote w:id="74">
    <w:p w14:paraId="64AA6FAF" w14:textId="579D7258"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4F5593" w:rsidRPr="00C9465D">
        <w:rPr>
          <w:sz w:val="16"/>
          <w:szCs w:val="16"/>
          <w:lang w:val="en-US"/>
        </w:rPr>
        <w:t>Record of the social worker’s search actions</w:t>
      </w:r>
      <w:r w:rsidRPr="00C9465D">
        <w:rPr>
          <w:sz w:val="16"/>
          <w:szCs w:val="16"/>
          <w:lang w:val="en-US"/>
        </w:rPr>
        <w:t xml:space="preserve"> (</w:t>
      </w:r>
      <w:r w:rsidR="00153C9F" w:rsidRPr="00C9465D">
        <w:rPr>
          <w:sz w:val="16"/>
          <w:szCs w:val="16"/>
          <w:lang w:val="en-US"/>
        </w:rPr>
        <w:t>evidence file</w:t>
      </w:r>
      <w:r w:rsidRPr="00C9465D">
        <w:rPr>
          <w:sz w:val="16"/>
          <w:szCs w:val="16"/>
          <w:lang w:val="en-US"/>
        </w:rPr>
        <w:t xml:space="preserve">, folio 7), </w:t>
      </w:r>
      <w:r w:rsidR="004F5593" w:rsidRPr="00C9465D">
        <w:rPr>
          <w:sz w:val="16"/>
          <w:szCs w:val="16"/>
          <w:lang w:val="en-US"/>
        </w:rPr>
        <w:t>and</w:t>
      </w:r>
      <w:r w:rsidRPr="00C9465D">
        <w:rPr>
          <w:sz w:val="16"/>
          <w:szCs w:val="16"/>
          <w:lang w:val="en-US"/>
        </w:rPr>
        <w:t xml:space="preserve"> </w:t>
      </w:r>
      <w:r w:rsidR="004F5593" w:rsidRPr="00C9465D">
        <w:rPr>
          <w:sz w:val="16"/>
          <w:szCs w:val="16"/>
          <w:lang w:val="en-US"/>
        </w:rPr>
        <w:t xml:space="preserve">Luis Eduardo Guachalá Chimbo’s medical record at the </w:t>
      </w:r>
      <w:r w:rsidR="002C5740" w:rsidRPr="00C9465D">
        <w:rPr>
          <w:sz w:val="16"/>
          <w:szCs w:val="16"/>
          <w:lang w:val="en-US"/>
        </w:rPr>
        <w:t>Julio Endara Psychiatric Hospital</w:t>
      </w:r>
      <w:r w:rsidRPr="00C9465D">
        <w:rPr>
          <w:sz w:val="16"/>
          <w:szCs w:val="16"/>
          <w:lang w:val="en-US"/>
        </w:rPr>
        <w:t xml:space="preserve"> </w:t>
      </w:r>
      <w:r w:rsidR="004F5593" w:rsidRPr="00C9465D">
        <w:rPr>
          <w:sz w:val="16"/>
          <w:szCs w:val="16"/>
          <w:lang w:val="en-US"/>
        </w:rPr>
        <w:t xml:space="preserve">from January 10 to January 21, </w:t>
      </w:r>
      <w:r w:rsidRPr="00C9465D">
        <w:rPr>
          <w:sz w:val="16"/>
          <w:szCs w:val="16"/>
          <w:lang w:val="en-US"/>
        </w:rPr>
        <w:t>2004 (</w:t>
      </w:r>
      <w:r w:rsidR="00153C9F" w:rsidRPr="00C9465D">
        <w:rPr>
          <w:sz w:val="16"/>
          <w:szCs w:val="16"/>
          <w:lang w:val="en-US"/>
        </w:rPr>
        <w:t>evidence file</w:t>
      </w:r>
      <w:r w:rsidRPr="00C9465D">
        <w:rPr>
          <w:sz w:val="16"/>
          <w:szCs w:val="16"/>
          <w:lang w:val="en-US"/>
        </w:rPr>
        <w:t>, folio 12).</w:t>
      </w:r>
    </w:p>
  </w:footnote>
  <w:footnote w:id="75">
    <w:p w14:paraId="798B7F49" w14:textId="0DBC55BD"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4F5593" w:rsidRPr="00C9465D">
        <w:rPr>
          <w:sz w:val="16"/>
          <w:szCs w:val="16"/>
          <w:lang w:val="en-US"/>
        </w:rPr>
        <w:t>Record of the social worker’s search actions</w:t>
      </w:r>
      <w:r w:rsidRPr="00C9465D">
        <w:rPr>
          <w:sz w:val="16"/>
          <w:szCs w:val="16"/>
          <w:lang w:val="en-US"/>
        </w:rPr>
        <w:t xml:space="preserve"> </w:t>
      </w:r>
      <w:r w:rsidR="004F5593" w:rsidRPr="00C9465D">
        <w:rPr>
          <w:sz w:val="16"/>
          <w:szCs w:val="16"/>
          <w:lang w:val="en-US"/>
        </w:rPr>
        <w:t>from January 19 to February 12,</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7).</w:t>
      </w:r>
    </w:p>
  </w:footnote>
  <w:footnote w:id="76">
    <w:p w14:paraId="779F173E" w14:textId="3C33405B"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4F5593" w:rsidRPr="00C9465D">
        <w:rPr>
          <w:sz w:val="16"/>
          <w:szCs w:val="16"/>
          <w:lang w:val="en-US"/>
        </w:rPr>
        <w:t>Record of the social worker’s search actions</w:t>
      </w:r>
      <w:r w:rsidRPr="00C9465D">
        <w:rPr>
          <w:sz w:val="16"/>
          <w:szCs w:val="16"/>
          <w:lang w:val="en-US"/>
        </w:rPr>
        <w:t xml:space="preserve"> </w:t>
      </w:r>
      <w:r w:rsidR="004F5593" w:rsidRPr="00C9465D">
        <w:rPr>
          <w:sz w:val="16"/>
          <w:szCs w:val="16"/>
          <w:lang w:val="en-US"/>
        </w:rPr>
        <w:t>from January 19 to February 12,</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xml:space="preserve">, folio 7); </w:t>
      </w:r>
      <w:r w:rsidR="004F5593" w:rsidRPr="00C9465D">
        <w:rPr>
          <w:sz w:val="16"/>
          <w:szCs w:val="16"/>
          <w:lang w:val="en-US"/>
        </w:rPr>
        <w:t>Record of distress calls reported by the National Police on January 19,</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42),</w:t>
      </w:r>
      <w:r w:rsidR="00193CBB" w:rsidRPr="00C9465D">
        <w:rPr>
          <w:sz w:val="16"/>
          <w:szCs w:val="16"/>
          <w:lang w:val="en-US"/>
        </w:rPr>
        <w:t xml:space="preserve"> and </w:t>
      </w:r>
      <w:r w:rsidR="004F5593" w:rsidRPr="00C9465D">
        <w:rPr>
          <w:sz w:val="16"/>
          <w:szCs w:val="16"/>
          <w:lang w:val="en-US"/>
        </w:rPr>
        <w:t>National Police phone call management system of January 19,</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43).</w:t>
      </w:r>
    </w:p>
  </w:footnote>
  <w:footnote w:id="77">
    <w:p w14:paraId="2D4B8BF4" w14:textId="5CF30781"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4F5593" w:rsidRPr="00C9465D">
        <w:rPr>
          <w:sz w:val="16"/>
          <w:szCs w:val="16"/>
          <w:lang w:val="en-US"/>
        </w:rPr>
        <w:t>Record of the social worker’s search actions</w:t>
      </w:r>
      <w:r w:rsidRPr="00C9465D">
        <w:rPr>
          <w:sz w:val="16"/>
          <w:szCs w:val="16"/>
          <w:lang w:val="en-US"/>
        </w:rPr>
        <w:t xml:space="preserve"> </w:t>
      </w:r>
      <w:r w:rsidR="004F5593" w:rsidRPr="00C9465D">
        <w:rPr>
          <w:sz w:val="16"/>
          <w:szCs w:val="16"/>
          <w:lang w:val="en-US"/>
        </w:rPr>
        <w:t>from January 19 to February 12,</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7),</w:t>
      </w:r>
      <w:r w:rsidR="00193CBB" w:rsidRPr="00C9465D">
        <w:rPr>
          <w:sz w:val="16"/>
          <w:szCs w:val="16"/>
          <w:lang w:val="en-US"/>
        </w:rPr>
        <w:t xml:space="preserve"> and </w:t>
      </w:r>
      <w:r w:rsidR="004F5593" w:rsidRPr="00C9465D">
        <w:rPr>
          <w:sz w:val="16"/>
          <w:szCs w:val="16"/>
          <w:lang w:val="en-US"/>
        </w:rPr>
        <w:t>Record of arrival time of members of</w:t>
      </w:r>
      <w:r w:rsidRPr="00C9465D">
        <w:rPr>
          <w:sz w:val="16"/>
          <w:szCs w:val="16"/>
          <w:lang w:val="en-US"/>
        </w:rPr>
        <w:t xml:space="preserve"> </w:t>
      </w:r>
      <w:r w:rsidR="004F5593" w:rsidRPr="00C9465D">
        <w:rPr>
          <w:sz w:val="16"/>
          <w:szCs w:val="16"/>
          <w:lang w:val="en-US"/>
        </w:rPr>
        <w:t>the National Police of January 19,</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44).</w:t>
      </w:r>
    </w:p>
  </w:footnote>
  <w:footnote w:id="78">
    <w:p w14:paraId="4644CECE" w14:textId="55A45CC8"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28),</w:t>
      </w:r>
      <w:r w:rsidR="00193CBB" w:rsidRPr="00C9465D">
        <w:rPr>
          <w:sz w:val="16"/>
          <w:szCs w:val="16"/>
          <w:lang w:val="en-US"/>
        </w:rPr>
        <w:t xml:space="preserve"> and </w:t>
      </w:r>
      <w:r w:rsidR="002C5740" w:rsidRPr="00C9465D">
        <w:rPr>
          <w:sz w:val="16"/>
          <w:szCs w:val="16"/>
          <w:lang w:val="en-US"/>
        </w:rPr>
        <w:t>Affidavit made by</w:t>
      </w:r>
      <w:r w:rsidRPr="00C9465D">
        <w:rPr>
          <w:sz w:val="16"/>
          <w:szCs w:val="16"/>
          <w:lang w:val="en-US"/>
        </w:rPr>
        <w:t xml:space="preserve"> Nancy Guachalá </w:t>
      </w:r>
      <w:r w:rsidR="00153C9F" w:rsidRPr="00C9465D">
        <w:rPr>
          <w:sz w:val="16"/>
          <w:szCs w:val="16"/>
          <w:lang w:val="en-US"/>
        </w:rPr>
        <w:t>on October 30,</w:t>
      </w:r>
      <w:r w:rsidRPr="00C9465D">
        <w:rPr>
          <w:sz w:val="16"/>
          <w:szCs w:val="16"/>
          <w:lang w:val="en-US"/>
        </w:rPr>
        <w:t xml:space="preserve"> 2020 (</w:t>
      </w:r>
      <w:r w:rsidR="00153C9F" w:rsidRPr="00C9465D">
        <w:rPr>
          <w:sz w:val="16"/>
          <w:szCs w:val="16"/>
          <w:lang w:val="en-US"/>
        </w:rPr>
        <w:t>evidence file</w:t>
      </w:r>
      <w:r w:rsidRPr="00C9465D">
        <w:rPr>
          <w:sz w:val="16"/>
          <w:szCs w:val="16"/>
          <w:lang w:val="en-US"/>
        </w:rPr>
        <w:t>, folio 2243).</w:t>
      </w:r>
    </w:p>
  </w:footnote>
  <w:footnote w:id="79">
    <w:p w14:paraId="58BE9365" w14:textId="624C1C9C"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28).</w:t>
      </w:r>
    </w:p>
  </w:footnote>
  <w:footnote w:id="80">
    <w:p w14:paraId="2A2F5AD2" w14:textId="6A441DC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4F5593" w:rsidRPr="00C9465D">
        <w:rPr>
          <w:sz w:val="16"/>
          <w:szCs w:val="16"/>
          <w:lang w:val="en-US"/>
        </w:rPr>
        <w:t>Complaint</w:t>
      </w:r>
      <w:r w:rsidRPr="00C9465D">
        <w:rPr>
          <w:sz w:val="16"/>
          <w:szCs w:val="16"/>
          <w:lang w:val="en-US"/>
        </w:rPr>
        <w:t xml:space="preserve"> </w:t>
      </w:r>
      <w:r w:rsidR="004F5593" w:rsidRPr="00C9465D">
        <w:rPr>
          <w:sz w:val="16"/>
          <w:szCs w:val="16"/>
          <w:lang w:val="en-US"/>
        </w:rPr>
        <w:t>of January 20,</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48).</w:t>
      </w:r>
    </w:p>
  </w:footnote>
  <w:footnote w:id="81">
    <w:p w14:paraId="75BBE9C0" w14:textId="162BA244"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4F5593" w:rsidRPr="00C9465D">
        <w:rPr>
          <w:sz w:val="16"/>
          <w:szCs w:val="16"/>
          <w:lang w:val="en-US"/>
        </w:rPr>
        <w:t>Discharge sheet dated January 21,</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xml:space="preserve">, folio 38). </w:t>
      </w:r>
    </w:p>
  </w:footnote>
  <w:footnote w:id="82">
    <w:p w14:paraId="49853221" w14:textId="1C6CFA53"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sz w:val="16"/>
          <w:szCs w:val="16"/>
          <w:lang w:val="en-US"/>
        </w:rPr>
        <w:tab/>
      </w:r>
      <w:r w:rsidR="00E2299F" w:rsidRPr="00C9465D">
        <w:rPr>
          <w:rStyle w:val="FootnoteReference"/>
          <w:i/>
          <w:sz w:val="16"/>
          <w:szCs w:val="16"/>
          <w:vertAlign w:val="baseline"/>
          <w:lang w:val="en-US"/>
        </w:rPr>
        <w:t>Cf.</w:t>
      </w:r>
      <w:r w:rsidRPr="00C9465D">
        <w:rPr>
          <w:rStyle w:val="FootnoteReference"/>
          <w:sz w:val="16"/>
          <w:szCs w:val="16"/>
          <w:vertAlign w:val="baseline"/>
          <w:lang w:val="en-US"/>
        </w:rPr>
        <w:t xml:space="preserve"> </w:t>
      </w:r>
      <w:r w:rsidR="004F5593" w:rsidRPr="00C9465D">
        <w:rPr>
          <w:rStyle w:val="FootnoteReference"/>
          <w:sz w:val="16"/>
          <w:szCs w:val="16"/>
          <w:vertAlign w:val="baseline"/>
          <w:lang w:val="en-US"/>
        </w:rPr>
        <w:t>Public Prosecution Service of</w:t>
      </w:r>
      <w:r w:rsidRPr="00C9465D">
        <w:rPr>
          <w:rStyle w:val="FootnoteReference"/>
          <w:sz w:val="16"/>
          <w:szCs w:val="16"/>
          <w:vertAlign w:val="baseline"/>
          <w:lang w:val="en-US"/>
        </w:rPr>
        <w:t xml:space="preserve"> Ecuador, </w:t>
      </w:r>
      <w:r w:rsidR="004F5593" w:rsidRPr="00C9465D">
        <w:rPr>
          <w:rStyle w:val="FootnoteReference"/>
          <w:sz w:val="16"/>
          <w:szCs w:val="16"/>
          <w:vertAlign w:val="baseline"/>
          <w:lang w:val="en-US"/>
        </w:rPr>
        <w:t>district</w:t>
      </w:r>
      <w:r w:rsidR="004F5593" w:rsidRPr="00C9465D">
        <w:rPr>
          <w:sz w:val="16"/>
          <w:szCs w:val="16"/>
          <w:lang w:val="en-US"/>
        </w:rPr>
        <w:t xml:space="preserve"> of</w:t>
      </w:r>
      <w:r w:rsidRPr="00C9465D">
        <w:rPr>
          <w:rStyle w:val="FootnoteReference"/>
          <w:sz w:val="16"/>
          <w:szCs w:val="16"/>
          <w:vertAlign w:val="baseline"/>
          <w:lang w:val="en-US"/>
        </w:rPr>
        <w:t xml:space="preserve"> Pichincha, </w:t>
      </w:r>
      <w:r w:rsidR="004F5593" w:rsidRPr="00C9465D">
        <w:rPr>
          <w:sz w:val="16"/>
          <w:szCs w:val="16"/>
          <w:lang w:val="en-US"/>
        </w:rPr>
        <w:t xml:space="preserve">Crimes against Life Unit. Official communication </w:t>
      </w:r>
      <w:r w:rsidR="004F5593" w:rsidRPr="00C9465D">
        <w:rPr>
          <w:rStyle w:val="FootnoteReference"/>
          <w:sz w:val="16"/>
          <w:szCs w:val="16"/>
          <w:vertAlign w:val="baseline"/>
          <w:lang w:val="en-US"/>
        </w:rPr>
        <w:t>of January 21,</w:t>
      </w:r>
      <w:r w:rsidRPr="00C9465D">
        <w:rPr>
          <w:rStyle w:val="FootnoteReference"/>
          <w:sz w:val="16"/>
          <w:szCs w:val="16"/>
          <w:vertAlign w:val="baseline"/>
          <w:lang w:val="en-US"/>
        </w:rPr>
        <w:t xml:space="preserve"> 2004</w:t>
      </w:r>
      <w:r w:rsidRPr="00C9465D">
        <w:rPr>
          <w:sz w:val="16"/>
          <w:szCs w:val="16"/>
          <w:lang w:val="en-US"/>
        </w:rPr>
        <w:t xml:space="preserve"> (</w:t>
      </w:r>
      <w:r w:rsidR="00153C9F" w:rsidRPr="00C9465D">
        <w:rPr>
          <w:sz w:val="16"/>
          <w:szCs w:val="16"/>
          <w:lang w:val="en-US"/>
        </w:rPr>
        <w:t>evidence file</w:t>
      </w:r>
      <w:r w:rsidRPr="00C9465D">
        <w:rPr>
          <w:sz w:val="16"/>
          <w:szCs w:val="16"/>
          <w:lang w:val="en-US"/>
        </w:rPr>
        <w:t>, folio 7030).</w:t>
      </w:r>
    </w:p>
  </w:footnote>
  <w:footnote w:id="83">
    <w:p w14:paraId="4B053F1B" w14:textId="15560A4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4F5593" w:rsidRPr="00C9465D">
        <w:rPr>
          <w:sz w:val="16"/>
          <w:szCs w:val="16"/>
          <w:lang w:val="en-US"/>
        </w:rPr>
        <w:t>Record of the social worker’s search actions</w:t>
      </w:r>
      <w:r w:rsidRPr="00C9465D">
        <w:rPr>
          <w:sz w:val="16"/>
          <w:szCs w:val="16"/>
          <w:lang w:val="en-US"/>
        </w:rPr>
        <w:t xml:space="preserve"> </w:t>
      </w:r>
      <w:r w:rsidR="004F5593" w:rsidRPr="00C9465D">
        <w:rPr>
          <w:sz w:val="16"/>
          <w:szCs w:val="16"/>
          <w:lang w:val="en-US"/>
        </w:rPr>
        <w:t>from January 19 to February 12,</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7),</w:t>
      </w:r>
      <w:r w:rsidR="00193CBB" w:rsidRPr="00C9465D">
        <w:rPr>
          <w:sz w:val="16"/>
          <w:szCs w:val="16"/>
          <w:lang w:val="en-US"/>
        </w:rPr>
        <w:t xml:space="preserve"> and </w:t>
      </w:r>
      <w:r w:rsidRPr="00C9465D">
        <w:rPr>
          <w:sz w:val="16"/>
          <w:szCs w:val="16"/>
          <w:lang w:val="en-US"/>
        </w:rPr>
        <w:t>Certifica</w:t>
      </w:r>
      <w:r w:rsidR="00766510" w:rsidRPr="00C9465D">
        <w:rPr>
          <w:sz w:val="16"/>
          <w:szCs w:val="16"/>
          <w:lang w:val="en-US"/>
        </w:rPr>
        <w:t xml:space="preserve">tion of the Pichincha Forensic Medicine Department of </w:t>
      </w:r>
      <w:r w:rsidR="004F5593" w:rsidRPr="00C9465D">
        <w:rPr>
          <w:sz w:val="16"/>
          <w:szCs w:val="16"/>
          <w:lang w:val="en-US"/>
        </w:rPr>
        <w:t>the National Police</w:t>
      </w:r>
      <w:r w:rsidR="00766510" w:rsidRPr="00C9465D">
        <w:rPr>
          <w:sz w:val="16"/>
          <w:szCs w:val="16"/>
          <w:lang w:val="en-US"/>
        </w:rPr>
        <w:t xml:space="preserve"> of</w:t>
      </w:r>
      <w:r w:rsidRPr="00C9465D">
        <w:rPr>
          <w:sz w:val="16"/>
          <w:szCs w:val="16"/>
          <w:lang w:val="en-US"/>
        </w:rPr>
        <w:t xml:space="preserve"> Ecuador </w:t>
      </w:r>
      <w:r w:rsidR="00766510" w:rsidRPr="00C9465D">
        <w:rPr>
          <w:sz w:val="16"/>
          <w:szCs w:val="16"/>
          <w:lang w:val="en-US"/>
        </w:rPr>
        <w:t>of September 4,</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2530).</w:t>
      </w:r>
    </w:p>
  </w:footnote>
  <w:footnote w:id="84">
    <w:p w14:paraId="2352D803" w14:textId="1379F461"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4F5593" w:rsidRPr="00C9465D">
        <w:rPr>
          <w:sz w:val="16"/>
          <w:szCs w:val="16"/>
          <w:lang w:val="en-US"/>
        </w:rPr>
        <w:t>Record of the social worker’s search actions</w:t>
      </w:r>
      <w:r w:rsidRPr="00C9465D">
        <w:rPr>
          <w:sz w:val="16"/>
          <w:szCs w:val="16"/>
          <w:lang w:val="en-US"/>
        </w:rPr>
        <w:t xml:space="preserve"> </w:t>
      </w:r>
      <w:r w:rsidR="004F5593" w:rsidRPr="00C9465D">
        <w:rPr>
          <w:sz w:val="16"/>
          <w:szCs w:val="16"/>
          <w:lang w:val="en-US"/>
        </w:rPr>
        <w:t>from January 19 to February 12,</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7).</w:t>
      </w:r>
    </w:p>
  </w:footnote>
  <w:footnote w:id="85">
    <w:p w14:paraId="3C359F77" w14:textId="61ADFD8F"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4F5593" w:rsidRPr="00C9465D">
        <w:rPr>
          <w:sz w:val="16"/>
          <w:szCs w:val="16"/>
          <w:lang w:val="en-US"/>
        </w:rPr>
        <w:t>Record of the social worker’s search actions</w:t>
      </w:r>
      <w:r w:rsidRPr="00C9465D">
        <w:rPr>
          <w:sz w:val="16"/>
          <w:szCs w:val="16"/>
          <w:lang w:val="en-US"/>
        </w:rPr>
        <w:t xml:space="preserve"> </w:t>
      </w:r>
      <w:r w:rsidR="004F5593" w:rsidRPr="00C9465D">
        <w:rPr>
          <w:sz w:val="16"/>
          <w:szCs w:val="16"/>
          <w:lang w:val="en-US"/>
        </w:rPr>
        <w:t>from January 19 to February 12,</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7).</w:t>
      </w:r>
    </w:p>
  </w:footnote>
  <w:footnote w:id="86">
    <w:p w14:paraId="703370CB" w14:textId="7AD48A45"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4F5593" w:rsidRPr="00C9465D">
        <w:rPr>
          <w:sz w:val="16"/>
          <w:szCs w:val="16"/>
          <w:lang w:val="en-US"/>
        </w:rPr>
        <w:t>Record of the social worker’s search actions</w:t>
      </w:r>
      <w:r w:rsidRPr="00C9465D">
        <w:rPr>
          <w:sz w:val="16"/>
          <w:szCs w:val="16"/>
          <w:lang w:val="en-US"/>
        </w:rPr>
        <w:t xml:space="preserve"> </w:t>
      </w:r>
      <w:r w:rsidR="004F5593" w:rsidRPr="00C9465D">
        <w:rPr>
          <w:sz w:val="16"/>
          <w:szCs w:val="16"/>
          <w:lang w:val="en-US"/>
        </w:rPr>
        <w:t>from January 19 to February 12,</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7).</w:t>
      </w:r>
    </w:p>
  </w:footnote>
  <w:footnote w:id="87">
    <w:p w14:paraId="007B106A" w14:textId="375E3EEC" w:rsidR="00300482" w:rsidRPr="00C9465D" w:rsidRDefault="00300482" w:rsidP="00BD26CF">
      <w:pPr>
        <w:pStyle w:val="FootnoteText"/>
        <w:tabs>
          <w:tab w:val="left" w:pos="567"/>
        </w:tabs>
        <w:spacing w:after="120"/>
        <w:rPr>
          <w:sz w:val="16"/>
          <w:szCs w:val="16"/>
          <w:lang w:val="en-US"/>
        </w:rPr>
      </w:pPr>
      <w:r w:rsidRPr="00C9465D">
        <w:rPr>
          <w:sz w:val="16"/>
          <w:szCs w:val="16"/>
          <w:vertAlign w:val="superscript"/>
          <w:lang w:val="en-US"/>
        </w:rPr>
        <w:footnoteRef/>
      </w:r>
      <w:r w:rsidRPr="00C9465D">
        <w:rPr>
          <w:sz w:val="16"/>
          <w:szCs w:val="16"/>
          <w:vertAlign w:val="superscript"/>
          <w:lang w:val="en-US"/>
        </w:rPr>
        <w:t xml:space="preserve"> </w:t>
      </w:r>
      <w:r w:rsidRPr="00C9465D">
        <w:rPr>
          <w:sz w:val="16"/>
          <w:szCs w:val="16"/>
          <w:lang w:val="en-US"/>
        </w:rPr>
        <w:t xml:space="preserve">  </w:t>
      </w:r>
      <w:r w:rsidRPr="00C9465D">
        <w:rPr>
          <w:sz w:val="16"/>
          <w:szCs w:val="16"/>
          <w:lang w:val="en-US"/>
        </w:rPr>
        <w:tab/>
      </w:r>
      <w:r w:rsidR="004F5593" w:rsidRPr="00C9465D">
        <w:rPr>
          <w:sz w:val="16"/>
          <w:szCs w:val="16"/>
          <w:lang w:val="en-US"/>
        </w:rPr>
        <w:t>Record of the social worker’s search actions</w:t>
      </w:r>
      <w:r w:rsidRPr="00C9465D">
        <w:rPr>
          <w:sz w:val="16"/>
          <w:szCs w:val="16"/>
          <w:lang w:val="en-US"/>
        </w:rPr>
        <w:t xml:space="preserve"> </w:t>
      </w:r>
      <w:r w:rsidR="004F5593" w:rsidRPr="00C9465D">
        <w:rPr>
          <w:sz w:val="16"/>
          <w:szCs w:val="16"/>
          <w:lang w:val="en-US"/>
        </w:rPr>
        <w:t>from January 19 to February 12,</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7).</w:t>
      </w:r>
    </w:p>
  </w:footnote>
  <w:footnote w:id="88">
    <w:p w14:paraId="0C315EF2" w14:textId="70AFB7ED" w:rsidR="00300482" w:rsidRPr="00C9465D" w:rsidRDefault="00300482" w:rsidP="00BD26CF">
      <w:pPr>
        <w:pStyle w:val="FootnoteText"/>
        <w:tabs>
          <w:tab w:val="left" w:pos="567"/>
        </w:tabs>
        <w:spacing w:after="120"/>
        <w:rPr>
          <w:sz w:val="16"/>
          <w:szCs w:val="16"/>
          <w:vertAlign w:val="superscript"/>
          <w:lang w:val="en-US"/>
        </w:rPr>
      </w:pPr>
      <w:r w:rsidRPr="00C9465D">
        <w:rPr>
          <w:rStyle w:val="FootnoteReference"/>
          <w:sz w:val="16"/>
          <w:szCs w:val="16"/>
          <w:lang w:val="en-US"/>
        </w:rPr>
        <w:footnoteRef/>
      </w:r>
      <w:r w:rsidRPr="00C9465D">
        <w:rPr>
          <w:sz w:val="16"/>
          <w:szCs w:val="16"/>
          <w:vertAlign w:val="superscript"/>
          <w:lang w:val="en-US"/>
        </w:rPr>
        <w:t xml:space="preserve">   </w:t>
      </w:r>
      <w:r w:rsidRPr="00C9465D">
        <w:rPr>
          <w:sz w:val="16"/>
          <w:szCs w:val="16"/>
          <w:lang w:val="en-US"/>
        </w:rPr>
        <w:t xml:space="preserve">      </w:t>
      </w:r>
      <w:r w:rsidR="004F5593" w:rsidRPr="00C9465D">
        <w:rPr>
          <w:sz w:val="16"/>
          <w:szCs w:val="16"/>
          <w:lang w:val="en-US"/>
        </w:rPr>
        <w:t>Record of the social worker’s search actions</w:t>
      </w:r>
      <w:r w:rsidRPr="00C9465D">
        <w:rPr>
          <w:sz w:val="16"/>
          <w:szCs w:val="16"/>
          <w:lang w:val="en-US"/>
        </w:rPr>
        <w:t xml:space="preserve"> </w:t>
      </w:r>
      <w:r w:rsidR="004F5593" w:rsidRPr="00C9465D">
        <w:rPr>
          <w:sz w:val="16"/>
          <w:szCs w:val="16"/>
          <w:lang w:val="en-US"/>
        </w:rPr>
        <w:t>from January 19 to February 12,</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7).</w:t>
      </w:r>
    </w:p>
  </w:footnote>
  <w:footnote w:id="89">
    <w:p w14:paraId="5D141260" w14:textId="6D33D534"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4F5593" w:rsidRPr="00C9465D">
        <w:rPr>
          <w:sz w:val="16"/>
          <w:szCs w:val="16"/>
          <w:lang w:val="en-US"/>
        </w:rPr>
        <w:t>Record of the social worker’s search actions</w:t>
      </w:r>
      <w:r w:rsidRPr="00C9465D">
        <w:rPr>
          <w:sz w:val="16"/>
          <w:szCs w:val="16"/>
          <w:lang w:val="en-US"/>
        </w:rPr>
        <w:t xml:space="preserve"> </w:t>
      </w:r>
      <w:r w:rsidR="004F5593" w:rsidRPr="00C9465D">
        <w:rPr>
          <w:sz w:val="16"/>
          <w:szCs w:val="16"/>
          <w:lang w:val="en-US"/>
        </w:rPr>
        <w:t>from January 19 to February 12,</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10).</w:t>
      </w:r>
    </w:p>
  </w:footnote>
  <w:footnote w:id="90">
    <w:p w14:paraId="749E7053" w14:textId="710BE837"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Pr="00C9465D">
        <w:rPr>
          <w:sz w:val="16"/>
          <w:szCs w:val="16"/>
          <w:lang w:val="en-US"/>
        </w:rPr>
        <w:t>Certifica</w:t>
      </w:r>
      <w:r w:rsidR="00766510" w:rsidRPr="00C9465D">
        <w:rPr>
          <w:sz w:val="16"/>
          <w:szCs w:val="16"/>
          <w:lang w:val="en-US"/>
        </w:rPr>
        <w:t>tion of the Fire Department of the Metropolitan District of Quito of October 4,</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113).</w:t>
      </w:r>
    </w:p>
  </w:footnote>
  <w:footnote w:id="91">
    <w:p w14:paraId="7D482299" w14:textId="7506B558"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rStyle w:val="FootnoteReference"/>
          <w:sz w:val="16"/>
          <w:szCs w:val="16"/>
          <w:lang w:val="en-US"/>
        </w:rPr>
        <w:tab/>
      </w:r>
      <w:r w:rsidR="00E2299F" w:rsidRPr="00C9465D">
        <w:rPr>
          <w:rStyle w:val="FootnoteReference"/>
          <w:i/>
          <w:sz w:val="16"/>
          <w:szCs w:val="16"/>
          <w:vertAlign w:val="baseline"/>
          <w:lang w:val="en-US"/>
        </w:rPr>
        <w:t>Cf.</w:t>
      </w:r>
      <w:r w:rsidRPr="00C9465D">
        <w:rPr>
          <w:rStyle w:val="FootnoteReference"/>
          <w:sz w:val="16"/>
          <w:szCs w:val="16"/>
          <w:vertAlign w:val="baseline"/>
          <w:lang w:val="en-US"/>
        </w:rPr>
        <w:t xml:space="preserve"> </w:t>
      </w:r>
      <w:r w:rsidR="00766510" w:rsidRPr="00C9465D">
        <w:rPr>
          <w:sz w:val="16"/>
          <w:szCs w:val="16"/>
          <w:lang w:val="en-US"/>
        </w:rPr>
        <w:t xml:space="preserve">Certification of the Fire Department of the Metropolitan District of Quito of October 4, 2004 </w:t>
      </w:r>
      <w:r w:rsidRPr="00C9465D">
        <w:rPr>
          <w:rStyle w:val="FootnoteReference"/>
          <w:sz w:val="16"/>
          <w:szCs w:val="16"/>
          <w:vertAlign w:val="baseline"/>
          <w:lang w:val="en-US"/>
        </w:rPr>
        <w:t>(</w:t>
      </w:r>
      <w:r w:rsidR="00153C9F" w:rsidRPr="00C9465D">
        <w:rPr>
          <w:rStyle w:val="FootnoteReference"/>
          <w:sz w:val="16"/>
          <w:szCs w:val="16"/>
          <w:vertAlign w:val="baseline"/>
          <w:lang w:val="en-US"/>
        </w:rPr>
        <w:t>evidence file</w:t>
      </w:r>
      <w:r w:rsidRPr="00C9465D">
        <w:rPr>
          <w:rStyle w:val="FootnoteReference"/>
          <w:sz w:val="16"/>
          <w:szCs w:val="16"/>
          <w:vertAlign w:val="baseline"/>
          <w:lang w:val="en-US"/>
        </w:rPr>
        <w:t>, folio 113).</w:t>
      </w:r>
    </w:p>
  </w:footnote>
  <w:footnote w:id="92">
    <w:p w14:paraId="62FBE770" w14:textId="2E40692A"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766510" w:rsidRPr="00C9465D">
        <w:rPr>
          <w:sz w:val="16"/>
          <w:szCs w:val="16"/>
          <w:lang w:val="en-US"/>
        </w:rPr>
        <w:t xml:space="preserve">Record of search of the </w:t>
      </w:r>
      <w:r w:rsidR="000B5DF1" w:rsidRPr="00C9465D">
        <w:rPr>
          <w:sz w:val="16"/>
          <w:szCs w:val="16"/>
          <w:lang w:val="en-US"/>
        </w:rPr>
        <w:t>site of the facts</w:t>
      </w:r>
      <w:r w:rsidR="00766510" w:rsidRPr="00C9465D">
        <w:rPr>
          <w:sz w:val="16"/>
          <w:szCs w:val="16"/>
          <w:lang w:val="en-US"/>
        </w:rPr>
        <w:t xml:space="preserve"> of February 17, </w:t>
      </w:r>
      <w:r w:rsidRPr="00C9465D">
        <w:rPr>
          <w:sz w:val="16"/>
          <w:szCs w:val="16"/>
          <w:lang w:val="en-US"/>
        </w:rPr>
        <w:t>2004 (</w:t>
      </w:r>
      <w:r w:rsidR="00153C9F" w:rsidRPr="00C9465D">
        <w:rPr>
          <w:sz w:val="16"/>
          <w:szCs w:val="16"/>
          <w:lang w:val="en-US"/>
        </w:rPr>
        <w:t>evidence file</w:t>
      </w:r>
      <w:r w:rsidRPr="00C9465D">
        <w:rPr>
          <w:sz w:val="16"/>
          <w:szCs w:val="16"/>
          <w:lang w:val="en-US"/>
        </w:rPr>
        <w:t>, folios 7035 a</w:t>
      </w:r>
      <w:r w:rsidR="00766510" w:rsidRPr="00C9465D">
        <w:rPr>
          <w:sz w:val="16"/>
          <w:szCs w:val="16"/>
          <w:lang w:val="en-US"/>
        </w:rPr>
        <w:t>nd</w:t>
      </w:r>
      <w:r w:rsidRPr="00C9465D">
        <w:rPr>
          <w:sz w:val="16"/>
          <w:szCs w:val="16"/>
          <w:lang w:val="en-US"/>
        </w:rPr>
        <w:t xml:space="preserve"> 7036) </w:t>
      </w:r>
      <w:r w:rsidR="00766510" w:rsidRPr="00C9465D">
        <w:rPr>
          <w:sz w:val="16"/>
          <w:szCs w:val="16"/>
          <w:lang w:val="en-US"/>
        </w:rPr>
        <w:t xml:space="preserve">and Expert report on </w:t>
      </w:r>
      <w:r w:rsidRPr="00C9465D">
        <w:rPr>
          <w:sz w:val="16"/>
          <w:szCs w:val="16"/>
          <w:lang w:val="en-US"/>
        </w:rPr>
        <w:t xml:space="preserve"> </w:t>
      </w:r>
      <w:r w:rsidR="00766510" w:rsidRPr="00C9465D">
        <w:rPr>
          <w:sz w:val="16"/>
          <w:szCs w:val="16"/>
          <w:lang w:val="en-US"/>
        </w:rPr>
        <w:t xml:space="preserve">search of the </w:t>
      </w:r>
      <w:r w:rsidR="000B5DF1" w:rsidRPr="00C9465D">
        <w:rPr>
          <w:sz w:val="16"/>
          <w:szCs w:val="16"/>
          <w:lang w:val="en-US"/>
        </w:rPr>
        <w:t>site of the facts</w:t>
      </w:r>
      <w:r w:rsidR="00766510" w:rsidRPr="00C9465D">
        <w:rPr>
          <w:sz w:val="16"/>
          <w:szCs w:val="16"/>
          <w:lang w:val="en-US"/>
        </w:rPr>
        <w:t xml:space="preserve"> of October 18,</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xml:space="preserve">, folios 7123 </w:t>
      </w:r>
      <w:r w:rsidR="00766510" w:rsidRPr="00C9465D">
        <w:rPr>
          <w:sz w:val="16"/>
          <w:szCs w:val="16"/>
          <w:lang w:val="en-US"/>
        </w:rPr>
        <w:t>to</w:t>
      </w:r>
      <w:r w:rsidRPr="00C9465D">
        <w:rPr>
          <w:sz w:val="16"/>
          <w:szCs w:val="16"/>
          <w:lang w:val="en-US"/>
        </w:rPr>
        <w:t xml:space="preserve"> 7126).</w:t>
      </w:r>
    </w:p>
  </w:footnote>
  <w:footnote w:id="93">
    <w:p w14:paraId="059B6EAB" w14:textId="5E70E7DD"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766510" w:rsidRPr="00C9465D">
        <w:rPr>
          <w:sz w:val="16"/>
          <w:szCs w:val="16"/>
          <w:lang w:val="en-US"/>
        </w:rPr>
        <w:t>Statement made by</w:t>
      </w:r>
      <w:r w:rsidRPr="00C9465D">
        <w:rPr>
          <w:sz w:val="16"/>
          <w:szCs w:val="16"/>
          <w:lang w:val="en-US"/>
        </w:rPr>
        <w:t xml:space="preserve"> Zoila Chimbo Jarro </w:t>
      </w:r>
      <w:r w:rsidR="00766510" w:rsidRPr="00C9465D">
        <w:rPr>
          <w:sz w:val="16"/>
          <w:szCs w:val="16"/>
          <w:lang w:val="en-US"/>
        </w:rPr>
        <w:t>before the Provincial Headquarters of the Judicial Police of Pichincha</w:t>
      </w:r>
      <w:r w:rsidRPr="00C9465D">
        <w:rPr>
          <w:sz w:val="16"/>
          <w:szCs w:val="16"/>
          <w:lang w:val="en-US"/>
        </w:rPr>
        <w:t xml:space="preserve"> </w:t>
      </w:r>
      <w:r w:rsidR="00766510" w:rsidRPr="00C9465D">
        <w:rPr>
          <w:sz w:val="16"/>
          <w:szCs w:val="16"/>
          <w:lang w:val="en-US"/>
        </w:rPr>
        <w:t>on February 3,</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2423).</w:t>
      </w:r>
    </w:p>
  </w:footnote>
  <w:footnote w:id="94">
    <w:p w14:paraId="36F14ADF" w14:textId="52FD98BD" w:rsidR="00300482" w:rsidRPr="00C9465D" w:rsidRDefault="00300482" w:rsidP="00BD26CF">
      <w:pPr>
        <w:pStyle w:val="FootnoteText"/>
        <w:tabs>
          <w:tab w:val="left" w:pos="567"/>
        </w:tabs>
        <w:spacing w:after="120"/>
        <w:rPr>
          <w:rStyle w:val="FootnoteReference"/>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rStyle w:val="FootnoteReference"/>
          <w:i/>
          <w:sz w:val="16"/>
          <w:szCs w:val="16"/>
          <w:vertAlign w:val="baseline"/>
          <w:lang w:val="en-US"/>
        </w:rPr>
        <w:t>Cf.</w:t>
      </w:r>
      <w:r w:rsidRPr="00C9465D">
        <w:rPr>
          <w:rStyle w:val="FootnoteReference"/>
          <w:sz w:val="16"/>
          <w:szCs w:val="16"/>
          <w:vertAlign w:val="baseline"/>
          <w:lang w:val="en-US"/>
        </w:rPr>
        <w:t xml:space="preserve"> </w:t>
      </w:r>
      <w:r w:rsidR="00766510" w:rsidRPr="00C9465D">
        <w:rPr>
          <w:rStyle w:val="FootnoteReference"/>
          <w:sz w:val="16"/>
          <w:szCs w:val="16"/>
          <w:vertAlign w:val="baseline"/>
          <w:lang w:val="en-US"/>
        </w:rPr>
        <w:t>Statement made by</w:t>
      </w:r>
      <w:r w:rsidRPr="00C9465D">
        <w:rPr>
          <w:rStyle w:val="FootnoteReference"/>
          <w:sz w:val="16"/>
          <w:szCs w:val="16"/>
          <w:vertAlign w:val="baseline"/>
          <w:lang w:val="en-US"/>
        </w:rPr>
        <w:t xml:space="preserve"> </w:t>
      </w:r>
      <w:r w:rsidRPr="00C9465D">
        <w:rPr>
          <w:sz w:val="16"/>
          <w:szCs w:val="16"/>
          <w:lang w:val="en-US"/>
        </w:rPr>
        <w:t xml:space="preserve">E.Q. </w:t>
      </w:r>
      <w:r w:rsidR="00766510" w:rsidRPr="00C9465D">
        <w:rPr>
          <w:sz w:val="16"/>
          <w:szCs w:val="16"/>
          <w:lang w:val="en-US"/>
        </w:rPr>
        <w:t>before</w:t>
      </w:r>
      <w:r w:rsidRPr="00C9465D">
        <w:rPr>
          <w:sz w:val="16"/>
          <w:szCs w:val="16"/>
          <w:lang w:val="en-US"/>
        </w:rPr>
        <w:t xml:space="preserve"> </w:t>
      </w:r>
      <w:r w:rsidR="00766510" w:rsidRPr="00C9465D">
        <w:rPr>
          <w:sz w:val="16"/>
          <w:szCs w:val="16"/>
          <w:lang w:val="en-US"/>
        </w:rPr>
        <w:t>the Provincial Headquarters of the Judicial Police of Pichincha</w:t>
      </w:r>
      <w:r w:rsidRPr="00C9465D">
        <w:rPr>
          <w:sz w:val="16"/>
          <w:szCs w:val="16"/>
          <w:lang w:val="en-US"/>
        </w:rPr>
        <w:t xml:space="preserve"> </w:t>
      </w:r>
      <w:r w:rsidR="00766510" w:rsidRPr="00C9465D">
        <w:rPr>
          <w:rStyle w:val="FootnoteReference"/>
          <w:sz w:val="16"/>
          <w:szCs w:val="16"/>
          <w:vertAlign w:val="baseline"/>
          <w:lang w:val="en-US"/>
        </w:rPr>
        <w:t>on February 19,</w:t>
      </w:r>
      <w:r w:rsidRPr="00C9465D">
        <w:rPr>
          <w:rStyle w:val="FootnoteReference"/>
          <w:sz w:val="16"/>
          <w:szCs w:val="16"/>
          <w:vertAlign w:val="baseline"/>
          <w:lang w:val="en-US"/>
        </w:rPr>
        <w:t xml:space="preserve"> 2004 (</w:t>
      </w:r>
      <w:r w:rsidR="00153C9F" w:rsidRPr="00C9465D">
        <w:rPr>
          <w:rStyle w:val="FootnoteReference"/>
          <w:sz w:val="16"/>
          <w:szCs w:val="16"/>
          <w:vertAlign w:val="baseline"/>
          <w:lang w:val="en-US"/>
        </w:rPr>
        <w:t>evidence file</w:t>
      </w:r>
      <w:r w:rsidRPr="00C9465D">
        <w:rPr>
          <w:rStyle w:val="FootnoteReference"/>
          <w:sz w:val="16"/>
          <w:szCs w:val="16"/>
          <w:vertAlign w:val="baseline"/>
          <w:lang w:val="en-US"/>
        </w:rPr>
        <w:t>, folio</w:t>
      </w:r>
      <w:r w:rsidRPr="00C9465D">
        <w:rPr>
          <w:sz w:val="16"/>
          <w:szCs w:val="16"/>
          <w:lang w:val="en-US"/>
        </w:rPr>
        <w:t>s</w:t>
      </w:r>
      <w:r w:rsidRPr="00C9465D">
        <w:rPr>
          <w:rStyle w:val="FootnoteReference"/>
          <w:sz w:val="16"/>
          <w:szCs w:val="16"/>
          <w:vertAlign w:val="baseline"/>
          <w:lang w:val="en-US"/>
        </w:rPr>
        <w:t xml:space="preserve"> 2695 a</w:t>
      </w:r>
      <w:r w:rsidR="00766510" w:rsidRPr="00C9465D">
        <w:rPr>
          <w:rStyle w:val="FootnoteReference"/>
          <w:sz w:val="16"/>
          <w:szCs w:val="16"/>
          <w:vertAlign w:val="baseline"/>
          <w:lang w:val="en-US"/>
        </w:rPr>
        <w:t>nd</w:t>
      </w:r>
      <w:r w:rsidRPr="00C9465D">
        <w:rPr>
          <w:rStyle w:val="FootnoteReference"/>
          <w:sz w:val="16"/>
          <w:szCs w:val="16"/>
          <w:vertAlign w:val="baseline"/>
          <w:lang w:val="en-US"/>
        </w:rPr>
        <w:t xml:space="preserve"> </w:t>
      </w:r>
      <w:r w:rsidRPr="00C9465D">
        <w:rPr>
          <w:sz w:val="16"/>
          <w:szCs w:val="16"/>
          <w:lang w:val="en-US"/>
        </w:rPr>
        <w:t>2696</w:t>
      </w:r>
      <w:r w:rsidRPr="00C9465D">
        <w:rPr>
          <w:rStyle w:val="FootnoteReference"/>
          <w:sz w:val="16"/>
          <w:szCs w:val="16"/>
          <w:vertAlign w:val="baseline"/>
          <w:lang w:val="en-US"/>
        </w:rPr>
        <w:t>);</w:t>
      </w:r>
      <w:r w:rsidRPr="00C9465D">
        <w:rPr>
          <w:sz w:val="16"/>
          <w:szCs w:val="16"/>
          <w:lang w:val="en-US"/>
        </w:rPr>
        <w:t xml:space="preserve"> </w:t>
      </w:r>
      <w:r w:rsidR="00766510" w:rsidRPr="00C9465D">
        <w:rPr>
          <w:rStyle w:val="FootnoteReference"/>
          <w:sz w:val="16"/>
          <w:szCs w:val="16"/>
          <w:vertAlign w:val="baseline"/>
          <w:lang w:val="en-US"/>
        </w:rPr>
        <w:t>Statement made by</w:t>
      </w:r>
      <w:r w:rsidRPr="00C9465D">
        <w:rPr>
          <w:rStyle w:val="FootnoteReference"/>
          <w:sz w:val="16"/>
          <w:szCs w:val="16"/>
          <w:vertAlign w:val="baseline"/>
          <w:lang w:val="en-US"/>
        </w:rPr>
        <w:t xml:space="preserve"> J</w:t>
      </w:r>
      <w:r w:rsidRPr="00C9465D">
        <w:rPr>
          <w:sz w:val="16"/>
          <w:szCs w:val="16"/>
          <w:lang w:val="en-US"/>
        </w:rPr>
        <w:t>enny Sandra Beltrán Bautista</w:t>
      </w:r>
      <w:r w:rsidRPr="00C9465D">
        <w:rPr>
          <w:rStyle w:val="FootnoteReference"/>
          <w:sz w:val="16"/>
          <w:szCs w:val="16"/>
          <w:vertAlign w:val="baseline"/>
          <w:lang w:val="en-US"/>
        </w:rPr>
        <w:t xml:space="preserve"> </w:t>
      </w:r>
      <w:r w:rsidR="00766510" w:rsidRPr="00C9465D">
        <w:rPr>
          <w:sz w:val="16"/>
          <w:szCs w:val="16"/>
          <w:lang w:val="en-US"/>
        </w:rPr>
        <w:t>before the Provincial Headquarters of the Judicial Police of Pichincha</w:t>
      </w:r>
      <w:r w:rsidRPr="00C9465D">
        <w:rPr>
          <w:sz w:val="16"/>
          <w:szCs w:val="16"/>
          <w:lang w:val="en-US"/>
        </w:rPr>
        <w:t xml:space="preserve"> </w:t>
      </w:r>
      <w:r w:rsidR="00766510" w:rsidRPr="00C9465D">
        <w:rPr>
          <w:rStyle w:val="FootnoteReference"/>
          <w:sz w:val="16"/>
          <w:szCs w:val="16"/>
          <w:vertAlign w:val="baseline"/>
          <w:lang w:val="en-US"/>
        </w:rPr>
        <w:t>on February 19,</w:t>
      </w:r>
      <w:r w:rsidRPr="00C9465D">
        <w:rPr>
          <w:rStyle w:val="FootnoteReference"/>
          <w:sz w:val="16"/>
          <w:szCs w:val="16"/>
          <w:vertAlign w:val="baseline"/>
          <w:lang w:val="en-US"/>
        </w:rPr>
        <w:t xml:space="preserve"> 2004 (</w:t>
      </w:r>
      <w:r w:rsidR="00153C9F" w:rsidRPr="00C9465D">
        <w:rPr>
          <w:rStyle w:val="FootnoteReference"/>
          <w:sz w:val="16"/>
          <w:szCs w:val="16"/>
          <w:vertAlign w:val="baseline"/>
          <w:lang w:val="en-US"/>
        </w:rPr>
        <w:t>evidence file</w:t>
      </w:r>
      <w:r w:rsidRPr="00C9465D">
        <w:rPr>
          <w:rStyle w:val="FootnoteReference"/>
          <w:sz w:val="16"/>
          <w:szCs w:val="16"/>
          <w:vertAlign w:val="baseline"/>
          <w:lang w:val="en-US"/>
        </w:rPr>
        <w:t>, folio</w:t>
      </w:r>
      <w:r w:rsidRPr="00C9465D">
        <w:rPr>
          <w:sz w:val="16"/>
          <w:szCs w:val="16"/>
          <w:lang w:val="en-US"/>
        </w:rPr>
        <w:t>s</w:t>
      </w:r>
      <w:r w:rsidRPr="00C9465D">
        <w:rPr>
          <w:rStyle w:val="FootnoteReference"/>
          <w:sz w:val="16"/>
          <w:szCs w:val="16"/>
          <w:vertAlign w:val="baseline"/>
          <w:lang w:val="en-US"/>
        </w:rPr>
        <w:t xml:space="preserve"> 2697 a</w:t>
      </w:r>
      <w:r w:rsidR="00766510" w:rsidRPr="00C9465D">
        <w:rPr>
          <w:sz w:val="16"/>
          <w:szCs w:val="16"/>
          <w:lang w:val="en-US"/>
        </w:rPr>
        <w:t>nd</w:t>
      </w:r>
      <w:r w:rsidRPr="00C9465D">
        <w:rPr>
          <w:rStyle w:val="FootnoteReference"/>
          <w:sz w:val="16"/>
          <w:szCs w:val="16"/>
          <w:vertAlign w:val="baseline"/>
          <w:lang w:val="en-US"/>
        </w:rPr>
        <w:t xml:space="preserve"> </w:t>
      </w:r>
      <w:r w:rsidRPr="00C9465D">
        <w:rPr>
          <w:sz w:val="16"/>
          <w:szCs w:val="16"/>
          <w:lang w:val="en-US"/>
        </w:rPr>
        <w:t>2698</w:t>
      </w:r>
      <w:r w:rsidRPr="00C9465D">
        <w:rPr>
          <w:rStyle w:val="FootnoteReference"/>
          <w:sz w:val="16"/>
          <w:szCs w:val="16"/>
          <w:vertAlign w:val="baseline"/>
          <w:lang w:val="en-US"/>
        </w:rPr>
        <w:t>);</w:t>
      </w:r>
      <w:r w:rsidRPr="00C9465D">
        <w:rPr>
          <w:sz w:val="16"/>
          <w:szCs w:val="16"/>
          <w:lang w:val="en-US"/>
        </w:rPr>
        <w:t xml:space="preserve"> </w:t>
      </w:r>
      <w:r w:rsidR="00766510" w:rsidRPr="00C9465D">
        <w:rPr>
          <w:rStyle w:val="FootnoteReference"/>
          <w:sz w:val="16"/>
          <w:szCs w:val="16"/>
          <w:vertAlign w:val="baseline"/>
          <w:lang w:val="en-US"/>
        </w:rPr>
        <w:t>Statement made by</w:t>
      </w:r>
      <w:r w:rsidRPr="00C9465D">
        <w:rPr>
          <w:rStyle w:val="FootnoteReference"/>
          <w:sz w:val="16"/>
          <w:szCs w:val="16"/>
          <w:vertAlign w:val="baseline"/>
          <w:lang w:val="en-US"/>
        </w:rPr>
        <w:t xml:space="preserve"> J</w:t>
      </w:r>
      <w:r w:rsidRPr="00C9465D">
        <w:rPr>
          <w:sz w:val="16"/>
          <w:szCs w:val="16"/>
          <w:lang w:val="en-US"/>
        </w:rPr>
        <w:t>osé Luis Borja Quishpe</w:t>
      </w:r>
      <w:r w:rsidRPr="00C9465D">
        <w:rPr>
          <w:rStyle w:val="FootnoteReference"/>
          <w:sz w:val="16"/>
          <w:szCs w:val="16"/>
          <w:vertAlign w:val="baseline"/>
          <w:lang w:val="en-US"/>
        </w:rPr>
        <w:t xml:space="preserve"> </w:t>
      </w:r>
      <w:r w:rsidR="00766510" w:rsidRPr="00C9465D">
        <w:rPr>
          <w:sz w:val="16"/>
          <w:szCs w:val="16"/>
          <w:lang w:val="en-US"/>
        </w:rPr>
        <w:t>before the Provincial Headquarters of the Judicial Police of Pichincha</w:t>
      </w:r>
      <w:r w:rsidRPr="00C9465D">
        <w:rPr>
          <w:sz w:val="16"/>
          <w:szCs w:val="16"/>
          <w:lang w:val="en-US"/>
        </w:rPr>
        <w:t xml:space="preserve"> </w:t>
      </w:r>
      <w:r w:rsidR="00766510" w:rsidRPr="00C9465D">
        <w:rPr>
          <w:rStyle w:val="FootnoteReference"/>
          <w:sz w:val="16"/>
          <w:szCs w:val="16"/>
          <w:vertAlign w:val="baseline"/>
          <w:lang w:val="en-US"/>
        </w:rPr>
        <w:t>on February 19,</w:t>
      </w:r>
      <w:r w:rsidRPr="00C9465D">
        <w:rPr>
          <w:rStyle w:val="FootnoteReference"/>
          <w:sz w:val="16"/>
          <w:szCs w:val="16"/>
          <w:vertAlign w:val="baseline"/>
          <w:lang w:val="en-US"/>
        </w:rPr>
        <w:t xml:space="preserve"> 2004 (</w:t>
      </w:r>
      <w:r w:rsidR="00153C9F" w:rsidRPr="00C9465D">
        <w:rPr>
          <w:rStyle w:val="FootnoteReference"/>
          <w:sz w:val="16"/>
          <w:szCs w:val="16"/>
          <w:vertAlign w:val="baseline"/>
          <w:lang w:val="en-US"/>
        </w:rPr>
        <w:t>evidence file</w:t>
      </w:r>
      <w:r w:rsidRPr="00C9465D">
        <w:rPr>
          <w:rStyle w:val="FootnoteReference"/>
          <w:sz w:val="16"/>
          <w:szCs w:val="16"/>
          <w:vertAlign w:val="baseline"/>
          <w:lang w:val="en-US"/>
        </w:rPr>
        <w:t>, folio</w:t>
      </w:r>
      <w:r w:rsidRPr="00C9465D">
        <w:rPr>
          <w:sz w:val="16"/>
          <w:szCs w:val="16"/>
          <w:lang w:val="en-US"/>
        </w:rPr>
        <w:t>s</w:t>
      </w:r>
      <w:r w:rsidRPr="00C9465D">
        <w:rPr>
          <w:rStyle w:val="FootnoteReference"/>
          <w:sz w:val="16"/>
          <w:szCs w:val="16"/>
          <w:vertAlign w:val="baseline"/>
          <w:lang w:val="en-US"/>
        </w:rPr>
        <w:t xml:space="preserve"> 2699</w:t>
      </w:r>
      <w:r w:rsidRPr="00C9465D">
        <w:rPr>
          <w:sz w:val="16"/>
          <w:szCs w:val="16"/>
          <w:lang w:val="en-US"/>
        </w:rPr>
        <w:t xml:space="preserve"> a</w:t>
      </w:r>
      <w:r w:rsidR="00766510" w:rsidRPr="00C9465D">
        <w:rPr>
          <w:sz w:val="16"/>
          <w:szCs w:val="16"/>
          <w:lang w:val="en-US"/>
        </w:rPr>
        <w:t>nd</w:t>
      </w:r>
      <w:r w:rsidRPr="00C9465D">
        <w:rPr>
          <w:sz w:val="16"/>
          <w:szCs w:val="16"/>
          <w:lang w:val="en-US"/>
        </w:rPr>
        <w:t xml:space="preserve"> 2700</w:t>
      </w:r>
      <w:r w:rsidRPr="00C9465D">
        <w:rPr>
          <w:rStyle w:val="FootnoteReference"/>
          <w:sz w:val="16"/>
          <w:szCs w:val="16"/>
          <w:vertAlign w:val="baseline"/>
          <w:lang w:val="en-US"/>
        </w:rPr>
        <w:t xml:space="preserve">); </w:t>
      </w:r>
      <w:r w:rsidR="00766510" w:rsidRPr="00C9465D">
        <w:rPr>
          <w:rStyle w:val="FootnoteReference"/>
          <w:sz w:val="16"/>
          <w:szCs w:val="16"/>
          <w:vertAlign w:val="baseline"/>
          <w:lang w:val="en-US"/>
        </w:rPr>
        <w:t>Statement made by</w:t>
      </w:r>
      <w:r w:rsidRPr="00C9465D">
        <w:rPr>
          <w:rStyle w:val="FootnoteReference"/>
          <w:sz w:val="16"/>
          <w:szCs w:val="16"/>
          <w:vertAlign w:val="baseline"/>
          <w:lang w:val="en-US"/>
        </w:rPr>
        <w:t xml:space="preserve"> L</w:t>
      </w:r>
      <w:r w:rsidRPr="00C9465D">
        <w:rPr>
          <w:sz w:val="16"/>
          <w:szCs w:val="16"/>
          <w:lang w:val="en-US"/>
        </w:rPr>
        <w:t>uis Alfonso Veloz Amuguimba</w:t>
      </w:r>
      <w:r w:rsidRPr="00C9465D">
        <w:rPr>
          <w:rStyle w:val="FootnoteReference"/>
          <w:sz w:val="16"/>
          <w:szCs w:val="16"/>
          <w:vertAlign w:val="baseline"/>
          <w:lang w:val="en-US"/>
        </w:rPr>
        <w:t xml:space="preserve"> </w:t>
      </w:r>
      <w:r w:rsidR="00766510" w:rsidRPr="00C9465D">
        <w:rPr>
          <w:sz w:val="16"/>
          <w:szCs w:val="16"/>
          <w:lang w:val="en-US"/>
        </w:rPr>
        <w:t>before the Provincial Headquarters of the Judicial Police of Pichincha</w:t>
      </w:r>
      <w:r w:rsidRPr="00C9465D">
        <w:rPr>
          <w:sz w:val="16"/>
          <w:szCs w:val="16"/>
          <w:lang w:val="en-US"/>
        </w:rPr>
        <w:t xml:space="preserve"> </w:t>
      </w:r>
      <w:r w:rsidR="00766510" w:rsidRPr="00C9465D">
        <w:rPr>
          <w:rStyle w:val="FootnoteReference"/>
          <w:sz w:val="16"/>
          <w:szCs w:val="16"/>
          <w:vertAlign w:val="baseline"/>
          <w:lang w:val="en-US"/>
        </w:rPr>
        <w:t>on February 19,</w:t>
      </w:r>
      <w:r w:rsidRPr="00C9465D">
        <w:rPr>
          <w:rStyle w:val="FootnoteReference"/>
          <w:sz w:val="16"/>
          <w:szCs w:val="16"/>
          <w:vertAlign w:val="baseline"/>
          <w:lang w:val="en-US"/>
        </w:rPr>
        <w:t xml:space="preserve"> 2004 (</w:t>
      </w:r>
      <w:r w:rsidR="00153C9F" w:rsidRPr="00C9465D">
        <w:rPr>
          <w:rStyle w:val="FootnoteReference"/>
          <w:sz w:val="16"/>
          <w:szCs w:val="16"/>
          <w:vertAlign w:val="baseline"/>
          <w:lang w:val="en-US"/>
        </w:rPr>
        <w:t>evidence file</w:t>
      </w:r>
      <w:r w:rsidRPr="00C9465D">
        <w:rPr>
          <w:rStyle w:val="FootnoteReference"/>
          <w:sz w:val="16"/>
          <w:szCs w:val="16"/>
          <w:vertAlign w:val="baseline"/>
          <w:lang w:val="en-US"/>
        </w:rPr>
        <w:t>, folio</w:t>
      </w:r>
      <w:r w:rsidRPr="00C9465D">
        <w:rPr>
          <w:sz w:val="16"/>
          <w:szCs w:val="16"/>
          <w:lang w:val="en-US"/>
        </w:rPr>
        <w:t>s</w:t>
      </w:r>
      <w:r w:rsidRPr="00C9465D">
        <w:rPr>
          <w:rStyle w:val="FootnoteReference"/>
          <w:sz w:val="16"/>
          <w:szCs w:val="16"/>
          <w:vertAlign w:val="baseline"/>
          <w:lang w:val="en-US"/>
        </w:rPr>
        <w:t xml:space="preserve"> 27</w:t>
      </w:r>
      <w:r w:rsidRPr="00C9465D">
        <w:rPr>
          <w:sz w:val="16"/>
          <w:szCs w:val="16"/>
          <w:lang w:val="en-US"/>
        </w:rPr>
        <w:t>01 a</w:t>
      </w:r>
      <w:r w:rsidR="00766510" w:rsidRPr="00C9465D">
        <w:rPr>
          <w:sz w:val="16"/>
          <w:szCs w:val="16"/>
          <w:lang w:val="en-US"/>
        </w:rPr>
        <w:t>nd</w:t>
      </w:r>
      <w:r w:rsidRPr="00C9465D">
        <w:rPr>
          <w:sz w:val="16"/>
          <w:szCs w:val="16"/>
          <w:lang w:val="en-US"/>
        </w:rPr>
        <w:t xml:space="preserve"> 2702</w:t>
      </w:r>
      <w:r w:rsidRPr="00C9465D">
        <w:rPr>
          <w:rStyle w:val="FootnoteReference"/>
          <w:sz w:val="16"/>
          <w:szCs w:val="16"/>
          <w:vertAlign w:val="baseline"/>
          <w:lang w:val="en-US"/>
        </w:rPr>
        <w:t>),</w:t>
      </w:r>
      <w:r w:rsidR="00193CBB" w:rsidRPr="00C9465D">
        <w:rPr>
          <w:rStyle w:val="FootnoteReference"/>
          <w:sz w:val="16"/>
          <w:szCs w:val="16"/>
          <w:vertAlign w:val="baseline"/>
          <w:lang w:val="en-US"/>
        </w:rPr>
        <w:t xml:space="preserve"> and </w:t>
      </w:r>
      <w:r w:rsidR="00766510" w:rsidRPr="00C9465D">
        <w:rPr>
          <w:sz w:val="16"/>
          <w:szCs w:val="16"/>
          <w:lang w:val="en-US"/>
        </w:rPr>
        <w:t>Statement made by</w:t>
      </w:r>
      <w:r w:rsidRPr="00C9465D">
        <w:rPr>
          <w:sz w:val="16"/>
          <w:szCs w:val="16"/>
          <w:lang w:val="en-US"/>
        </w:rPr>
        <w:t xml:space="preserve"> Richard Gonzálo Ganchozo Mendoza </w:t>
      </w:r>
      <w:r w:rsidR="00766510" w:rsidRPr="00C9465D">
        <w:rPr>
          <w:sz w:val="16"/>
          <w:szCs w:val="16"/>
          <w:lang w:val="en-US"/>
        </w:rPr>
        <w:t>before the Provincial Headquarters of the Judicial Police of Pichincha</w:t>
      </w:r>
      <w:r w:rsidRPr="00C9465D">
        <w:rPr>
          <w:sz w:val="16"/>
          <w:szCs w:val="16"/>
          <w:lang w:val="en-US"/>
        </w:rPr>
        <w:t xml:space="preserve"> </w:t>
      </w:r>
      <w:r w:rsidR="00766510" w:rsidRPr="00C9465D">
        <w:rPr>
          <w:rStyle w:val="FootnoteReference"/>
          <w:sz w:val="16"/>
          <w:szCs w:val="16"/>
          <w:vertAlign w:val="baseline"/>
          <w:lang w:val="en-US"/>
        </w:rPr>
        <w:t>on February 17,</w:t>
      </w:r>
      <w:r w:rsidRPr="00C9465D">
        <w:rPr>
          <w:rStyle w:val="FootnoteReference"/>
          <w:sz w:val="16"/>
          <w:szCs w:val="16"/>
          <w:vertAlign w:val="baseline"/>
          <w:lang w:val="en-US"/>
        </w:rPr>
        <w:t xml:space="preserve"> 2004 (</w:t>
      </w:r>
      <w:r w:rsidR="00153C9F" w:rsidRPr="00C9465D">
        <w:rPr>
          <w:rStyle w:val="FootnoteReference"/>
          <w:sz w:val="16"/>
          <w:szCs w:val="16"/>
          <w:vertAlign w:val="baseline"/>
          <w:lang w:val="en-US"/>
        </w:rPr>
        <w:t>evidence file</w:t>
      </w:r>
      <w:r w:rsidRPr="00C9465D">
        <w:rPr>
          <w:rStyle w:val="FootnoteReference"/>
          <w:sz w:val="16"/>
          <w:szCs w:val="16"/>
          <w:vertAlign w:val="baseline"/>
          <w:lang w:val="en-US"/>
        </w:rPr>
        <w:t>, folio</w:t>
      </w:r>
      <w:r w:rsidRPr="00C9465D">
        <w:rPr>
          <w:sz w:val="16"/>
          <w:szCs w:val="16"/>
          <w:lang w:val="en-US"/>
        </w:rPr>
        <w:t xml:space="preserve"> 2434).</w:t>
      </w:r>
    </w:p>
  </w:footnote>
  <w:footnote w:id="95">
    <w:p w14:paraId="61D2220E" w14:textId="630FF6EF" w:rsidR="00300482" w:rsidRPr="00C9465D" w:rsidRDefault="00300482" w:rsidP="00BD26CF">
      <w:pPr>
        <w:pStyle w:val="FootnoteText"/>
        <w:tabs>
          <w:tab w:val="left" w:pos="567"/>
        </w:tabs>
        <w:spacing w:after="120"/>
        <w:rPr>
          <w:rStyle w:val="FootnoteReference"/>
          <w:sz w:val="16"/>
          <w:szCs w:val="16"/>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766510" w:rsidRPr="00C9465D">
        <w:rPr>
          <w:sz w:val="16"/>
          <w:szCs w:val="16"/>
          <w:lang w:val="en-US"/>
        </w:rPr>
        <w:t xml:space="preserve">Record of search of the </w:t>
      </w:r>
      <w:r w:rsidR="000B5DF1" w:rsidRPr="00C9465D">
        <w:rPr>
          <w:sz w:val="16"/>
          <w:szCs w:val="16"/>
          <w:lang w:val="en-US"/>
        </w:rPr>
        <w:t>site of the facts</w:t>
      </w:r>
      <w:r w:rsidRPr="00C9465D">
        <w:rPr>
          <w:sz w:val="16"/>
          <w:szCs w:val="16"/>
          <w:lang w:val="en-US"/>
        </w:rPr>
        <w:t xml:space="preserve"> </w:t>
      </w:r>
      <w:r w:rsidR="00766510" w:rsidRPr="00C9465D">
        <w:rPr>
          <w:sz w:val="16"/>
          <w:szCs w:val="16"/>
          <w:lang w:val="en-US"/>
        </w:rPr>
        <w:t>of February 17,</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xml:space="preserve">, folio 2421), </w:t>
      </w:r>
      <w:r w:rsidR="00766510" w:rsidRPr="00C9465D">
        <w:rPr>
          <w:sz w:val="16"/>
          <w:szCs w:val="16"/>
          <w:lang w:val="en-US"/>
        </w:rPr>
        <w:t>and</w:t>
      </w:r>
      <w:r w:rsidRPr="00C9465D">
        <w:rPr>
          <w:sz w:val="16"/>
          <w:szCs w:val="16"/>
          <w:lang w:val="en-US"/>
        </w:rPr>
        <w:t xml:space="preserve"> </w:t>
      </w:r>
      <w:r w:rsidR="00766510" w:rsidRPr="00C9465D">
        <w:rPr>
          <w:sz w:val="16"/>
          <w:szCs w:val="16"/>
          <w:lang w:val="en-US"/>
        </w:rPr>
        <w:t xml:space="preserve">Expert report on  search of the </w:t>
      </w:r>
      <w:r w:rsidR="000B5DF1" w:rsidRPr="00C9465D">
        <w:rPr>
          <w:sz w:val="16"/>
          <w:szCs w:val="16"/>
          <w:lang w:val="en-US"/>
        </w:rPr>
        <w:t>site of the facts</w:t>
      </w:r>
      <w:r w:rsidR="00766510" w:rsidRPr="00C9465D">
        <w:rPr>
          <w:sz w:val="16"/>
          <w:szCs w:val="16"/>
          <w:lang w:val="en-US"/>
        </w:rPr>
        <w:t xml:space="preserve"> of October 18, </w:t>
      </w:r>
      <w:r w:rsidRPr="00C9465D">
        <w:rPr>
          <w:sz w:val="16"/>
          <w:szCs w:val="16"/>
          <w:lang w:val="en-US"/>
        </w:rPr>
        <w:t>2004 (</w:t>
      </w:r>
      <w:r w:rsidR="00153C9F" w:rsidRPr="00C9465D">
        <w:rPr>
          <w:sz w:val="16"/>
          <w:szCs w:val="16"/>
          <w:lang w:val="en-US"/>
        </w:rPr>
        <w:t>evidence file</w:t>
      </w:r>
      <w:r w:rsidRPr="00C9465D">
        <w:rPr>
          <w:sz w:val="16"/>
          <w:szCs w:val="16"/>
          <w:lang w:val="en-US"/>
        </w:rPr>
        <w:t xml:space="preserve">, folios 7123 </w:t>
      </w:r>
      <w:r w:rsidR="00766510" w:rsidRPr="00C9465D">
        <w:rPr>
          <w:sz w:val="16"/>
          <w:szCs w:val="16"/>
          <w:lang w:val="en-US"/>
        </w:rPr>
        <w:t>to</w:t>
      </w:r>
      <w:r w:rsidRPr="00C9465D">
        <w:rPr>
          <w:sz w:val="16"/>
          <w:szCs w:val="16"/>
          <w:lang w:val="en-US"/>
        </w:rPr>
        <w:t xml:space="preserve"> 7126).</w:t>
      </w:r>
    </w:p>
  </w:footnote>
  <w:footnote w:id="96">
    <w:p w14:paraId="55715325" w14:textId="1B654009" w:rsidR="00300482" w:rsidRPr="00C9465D" w:rsidRDefault="00300482" w:rsidP="00BD26CF">
      <w:pPr>
        <w:pStyle w:val="FootnoteText"/>
        <w:tabs>
          <w:tab w:val="left" w:pos="567"/>
        </w:tabs>
        <w:spacing w:after="120"/>
        <w:rPr>
          <w:rStyle w:val="FootnoteReference"/>
          <w:sz w:val="16"/>
          <w:szCs w:val="16"/>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766510" w:rsidRPr="00C9465D">
        <w:rPr>
          <w:rStyle w:val="FootnoteReference"/>
          <w:sz w:val="16"/>
          <w:szCs w:val="16"/>
          <w:vertAlign w:val="baseline"/>
          <w:lang w:val="en-US"/>
        </w:rPr>
        <w:t>Statement made by</w:t>
      </w:r>
      <w:r w:rsidRPr="00C9465D">
        <w:rPr>
          <w:rStyle w:val="FootnoteReference"/>
          <w:sz w:val="16"/>
          <w:szCs w:val="16"/>
          <w:vertAlign w:val="baseline"/>
          <w:lang w:val="en-US"/>
        </w:rPr>
        <w:t xml:space="preserve"> R</w:t>
      </w:r>
      <w:r w:rsidRPr="00C9465D">
        <w:rPr>
          <w:sz w:val="16"/>
          <w:szCs w:val="16"/>
          <w:lang w:val="en-US"/>
        </w:rPr>
        <w:t>ommel Petronio Artieda Maruri</w:t>
      </w:r>
      <w:r w:rsidRPr="00C9465D">
        <w:rPr>
          <w:rStyle w:val="FootnoteReference"/>
          <w:sz w:val="16"/>
          <w:szCs w:val="16"/>
          <w:vertAlign w:val="baseline"/>
          <w:lang w:val="en-US"/>
        </w:rPr>
        <w:t xml:space="preserve"> </w:t>
      </w:r>
      <w:r w:rsidR="00766510" w:rsidRPr="00C9465D">
        <w:rPr>
          <w:sz w:val="16"/>
          <w:szCs w:val="16"/>
          <w:lang w:val="en-US"/>
        </w:rPr>
        <w:t>before the Provincial Headquarters of the Judicial Police of Pichincha</w:t>
      </w:r>
      <w:r w:rsidRPr="00C9465D">
        <w:rPr>
          <w:sz w:val="16"/>
          <w:szCs w:val="16"/>
          <w:lang w:val="en-US"/>
        </w:rPr>
        <w:t xml:space="preserve"> </w:t>
      </w:r>
      <w:r w:rsidR="00766510" w:rsidRPr="00C9465D">
        <w:rPr>
          <w:rStyle w:val="FootnoteReference"/>
          <w:sz w:val="16"/>
          <w:szCs w:val="16"/>
          <w:vertAlign w:val="baseline"/>
          <w:lang w:val="en-US"/>
        </w:rPr>
        <w:t>on February 17,</w:t>
      </w:r>
      <w:r w:rsidRPr="00C9465D">
        <w:rPr>
          <w:rStyle w:val="FootnoteReference"/>
          <w:sz w:val="16"/>
          <w:szCs w:val="16"/>
          <w:vertAlign w:val="baseline"/>
          <w:lang w:val="en-US"/>
        </w:rPr>
        <w:t xml:space="preserve"> 2004 (</w:t>
      </w:r>
      <w:r w:rsidR="00153C9F" w:rsidRPr="00C9465D">
        <w:rPr>
          <w:rStyle w:val="FootnoteReference"/>
          <w:sz w:val="16"/>
          <w:szCs w:val="16"/>
          <w:vertAlign w:val="baseline"/>
          <w:lang w:val="en-US"/>
        </w:rPr>
        <w:t>evidence file</w:t>
      </w:r>
      <w:r w:rsidRPr="00C9465D">
        <w:rPr>
          <w:rStyle w:val="FootnoteReference"/>
          <w:sz w:val="16"/>
          <w:szCs w:val="16"/>
          <w:vertAlign w:val="baseline"/>
          <w:lang w:val="en-US"/>
        </w:rPr>
        <w:t>, folios 2693</w:t>
      </w:r>
      <w:r w:rsidRPr="00C9465D">
        <w:rPr>
          <w:sz w:val="16"/>
          <w:szCs w:val="16"/>
          <w:lang w:val="en-US"/>
        </w:rPr>
        <w:t xml:space="preserve"> a</w:t>
      </w:r>
      <w:r w:rsidR="007556E2" w:rsidRPr="00C9465D">
        <w:rPr>
          <w:sz w:val="16"/>
          <w:szCs w:val="16"/>
          <w:lang w:val="en-US"/>
        </w:rPr>
        <w:t>nd</w:t>
      </w:r>
      <w:r w:rsidRPr="00C9465D">
        <w:rPr>
          <w:sz w:val="16"/>
          <w:szCs w:val="16"/>
          <w:lang w:val="en-US"/>
        </w:rPr>
        <w:t xml:space="preserve"> 2694</w:t>
      </w:r>
      <w:r w:rsidRPr="00C9465D">
        <w:rPr>
          <w:rStyle w:val="FootnoteReference"/>
          <w:sz w:val="16"/>
          <w:szCs w:val="16"/>
          <w:vertAlign w:val="baseline"/>
          <w:lang w:val="en-US"/>
        </w:rPr>
        <w:t xml:space="preserve">); </w:t>
      </w:r>
    </w:p>
  </w:footnote>
  <w:footnote w:id="97">
    <w:p w14:paraId="778F8708" w14:textId="49392EE1" w:rsidR="00300482" w:rsidRPr="00C9465D" w:rsidRDefault="00300482" w:rsidP="00BD26CF">
      <w:pPr>
        <w:pStyle w:val="FootnoteText"/>
        <w:tabs>
          <w:tab w:val="left" w:pos="567"/>
        </w:tabs>
        <w:spacing w:after="120"/>
        <w:rPr>
          <w:rStyle w:val="FootnoteReference"/>
          <w:sz w:val="16"/>
          <w:szCs w:val="16"/>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7556E2" w:rsidRPr="00C9465D">
        <w:rPr>
          <w:sz w:val="16"/>
          <w:szCs w:val="16"/>
          <w:lang w:val="en-US"/>
        </w:rPr>
        <w:t xml:space="preserve">Forensic dental report of July 13, </w:t>
      </w:r>
      <w:r w:rsidRPr="00C9465D">
        <w:rPr>
          <w:sz w:val="16"/>
          <w:szCs w:val="16"/>
          <w:lang w:val="en-US"/>
        </w:rPr>
        <w:t>2005 (</w:t>
      </w:r>
      <w:r w:rsidR="00153C9F" w:rsidRPr="00C9465D">
        <w:rPr>
          <w:sz w:val="16"/>
          <w:szCs w:val="16"/>
          <w:lang w:val="en-US"/>
        </w:rPr>
        <w:t>evidence file</w:t>
      </w:r>
      <w:r w:rsidRPr="00C9465D">
        <w:rPr>
          <w:sz w:val="16"/>
          <w:szCs w:val="16"/>
          <w:lang w:val="en-US"/>
        </w:rPr>
        <w:t>, folios 7231 a</w:t>
      </w:r>
      <w:r w:rsidR="007556E2" w:rsidRPr="00C9465D">
        <w:rPr>
          <w:sz w:val="16"/>
          <w:szCs w:val="16"/>
          <w:lang w:val="en-US"/>
        </w:rPr>
        <w:t>nd</w:t>
      </w:r>
      <w:r w:rsidRPr="00C9465D">
        <w:rPr>
          <w:sz w:val="16"/>
          <w:szCs w:val="16"/>
          <w:lang w:val="en-US"/>
        </w:rPr>
        <w:t xml:space="preserve"> 7232). </w:t>
      </w:r>
    </w:p>
  </w:footnote>
  <w:footnote w:id="98">
    <w:p w14:paraId="323222F8" w14:textId="54AE1472" w:rsidR="00300482" w:rsidRPr="00C9465D" w:rsidRDefault="00300482" w:rsidP="00BD26CF">
      <w:pPr>
        <w:pStyle w:val="FootnoteText"/>
        <w:tabs>
          <w:tab w:val="left" w:pos="567"/>
        </w:tabs>
        <w:spacing w:after="120"/>
        <w:rPr>
          <w:rStyle w:val="FootnoteReference"/>
          <w:sz w:val="16"/>
          <w:szCs w:val="16"/>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6A3DAB" w:rsidRPr="00C9465D">
        <w:rPr>
          <w:sz w:val="16"/>
          <w:szCs w:val="16"/>
          <w:lang w:val="en-US"/>
        </w:rPr>
        <w:t>Brief filed by</w:t>
      </w:r>
      <w:r w:rsidRPr="00C9465D">
        <w:rPr>
          <w:sz w:val="16"/>
          <w:szCs w:val="16"/>
          <w:lang w:val="en-US"/>
        </w:rPr>
        <w:t xml:space="preserve"> Zoila Chimbo Jarro </w:t>
      </w:r>
      <w:r w:rsidR="006A3DAB" w:rsidRPr="00C9465D">
        <w:rPr>
          <w:sz w:val="16"/>
          <w:szCs w:val="16"/>
          <w:lang w:val="en-US"/>
        </w:rPr>
        <w:t>before the Pichincha District Prosecutor</w:t>
      </w:r>
      <w:r w:rsidRPr="00C9465D">
        <w:rPr>
          <w:sz w:val="16"/>
          <w:szCs w:val="16"/>
          <w:lang w:val="en-US"/>
        </w:rPr>
        <w:t xml:space="preserve"> </w:t>
      </w:r>
      <w:r w:rsidR="006A3DAB" w:rsidRPr="00C9465D">
        <w:rPr>
          <w:sz w:val="16"/>
          <w:szCs w:val="16"/>
          <w:lang w:val="en-US"/>
        </w:rPr>
        <w:t>on November 26,</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folios 7128 a</w:t>
      </w:r>
      <w:r w:rsidR="006A3DAB" w:rsidRPr="00C9465D">
        <w:rPr>
          <w:sz w:val="16"/>
          <w:szCs w:val="16"/>
          <w:lang w:val="en-US"/>
        </w:rPr>
        <w:t>nd</w:t>
      </w:r>
      <w:r w:rsidRPr="00C9465D">
        <w:rPr>
          <w:sz w:val="16"/>
          <w:szCs w:val="16"/>
          <w:lang w:val="en-US"/>
        </w:rPr>
        <w:t xml:space="preserve"> 7129); </w:t>
      </w:r>
      <w:r w:rsidR="006A3DAB" w:rsidRPr="00C9465D">
        <w:rPr>
          <w:sz w:val="16"/>
          <w:szCs w:val="16"/>
          <w:lang w:val="en-US"/>
        </w:rPr>
        <w:t>Undated brief filed by</w:t>
      </w:r>
      <w:r w:rsidRPr="00C9465D">
        <w:rPr>
          <w:sz w:val="16"/>
          <w:szCs w:val="16"/>
          <w:lang w:val="en-US"/>
        </w:rPr>
        <w:t xml:space="preserve"> Zoila Chimbo Jarro </w:t>
      </w:r>
      <w:r w:rsidR="006A3DAB" w:rsidRPr="00C9465D">
        <w:rPr>
          <w:sz w:val="16"/>
          <w:szCs w:val="16"/>
          <w:lang w:val="en-US"/>
        </w:rPr>
        <w:t>before the Pichincha District Prosecutor</w:t>
      </w:r>
      <w:r w:rsidRPr="00C9465D">
        <w:rPr>
          <w:sz w:val="16"/>
          <w:szCs w:val="16"/>
          <w:lang w:val="en-US"/>
        </w:rPr>
        <w:t xml:space="preserve"> (</w:t>
      </w:r>
      <w:r w:rsidR="00153C9F" w:rsidRPr="00C9465D">
        <w:rPr>
          <w:sz w:val="16"/>
          <w:szCs w:val="16"/>
          <w:lang w:val="en-US"/>
        </w:rPr>
        <w:t>evidence file</w:t>
      </w:r>
      <w:r w:rsidRPr="00C9465D">
        <w:rPr>
          <w:sz w:val="16"/>
          <w:szCs w:val="16"/>
          <w:lang w:val="en-US"/>
        </w:rPr>
        <w:t>, folios 7130 a</w:t>
      </w:r>
      <w:r w:rsidR="006A3DAB" w:rsidRPr="00C9465D">
        <w:rPr>
          <w:sz w:val="16"/>
          <w:szCs w:val="16"/>
          <w:lang w:val="en-US"/>
        </w:rPr>
        <w:t>nd</w:t>
      </w:r>
      <w:r w:rsidRPr="00C9465D">
        <w:rPr>
          <w:sz w:val="16"/>
          <w:szCs w:val="16"/>
          <w:lang w:val="en-US"/>
        </w:rPr>
        <w:t xml:space="preserve"> 7131); </w:t>
      </w:r>
      <w:r w:rsidR="006A3DAB" w:rsidRPr="00C9465D">
        <w:rPr>
          <w:sz w:val="16"/>
          <w:szCs w:val="16"/>
          <w:lang w:val="en-US"/>
        </w:rPr>
        <w:t>Undated brief filed by</w:t>
      </w:r>
      <w:r w:rsidRPr="00C9465D">
        <w:rPr>
          <w:sz w:val="16"/>
          <w:szCs w:val="16"/>
          <w:lang w:val="en-US"/>
        </w:rPr>
        <w:t xml:space="preserve"> Zoila Chimbo Jarro </w:t>
      </w:r>
      <w:r w:rsidR="006A3DAB" w:rsidRPr="00C9465D">
        <w:rPr>
          <w:sz w:val="16"/>
          <w:szCs w:val="16"/>
          <w:lang w:val="en-US"/>
        </w:rPr>
        <w:t>before the Pichincha District Prosecutor</w:t>
      </w:r>
      <w:r w:rsidRPr="00C9465D">
        <w:rPr>
          <w:sz w:val="16"/>
          <w:szCs w:val="16"/>
          <w:lang w:val="en-US"/>
        </w:rPr>
        <w:t xml:space="preserve">  (</w:t>
      </w:r>
      <w:r w:rsidR="00153C9F" w:rsidRPr="00C9465D">
        <w:rPr>
          <w:sz w:val="16"/>
          <w:szCs w:val="16"/>
          <w:lang w:val="en-US"/>
        </w:rPr>
        <w:t>evidence file</w:t>
      </w:r>
      <w:r w:rsidRPr="00C9465D">
        <w:rPr>
          <w:sz w:val="16"/>
          <w:szCs w:val="16"/>
          <w:lang w:val="en-US"/>
        </w:rPr>
        <w:t>, folios 7214 a</w:t>
      </w:r>
      <w:r w:rsidR="006A3DAB" w:rsidRPr="00C9465D">
        <w:rPr>
          <w:sz w:val="16"/>
          <w:szCs w:val="16"/>
          <w:lang w:val="en-US"/>
        </w:rPr>
        <w:t>nd</w:t>
      </w:r>
      <w:r w:rsidRPr="00C9465D">
        <w:rPr>
          <w:sz w:val="16"/>
          <w:szCs w:val="16"/>
          <w:lang w:val="en-US"/>
        </w:rPr>
        <w:t xml:space="preserve"> 7215); </w:t>
      </w:r>
      <w:r w:rsidR="006A3DAB" w:rsidRPr="00C9465D">
        <w:rPr>
          <w:sz w:val="16"/>
          <w:szCs w:val="16"/>
          <w:lang w:val="en-US"/>
        </w:rPr>
        <w:t>Brief filed by</w:t>
      </w:r>
      <w:r w:rsidRPr="00C9465D">
        <w:rPr>
          <w:sz w:val="16"/>
          <w:szCs w:val="16"/>
          <w:lang w:val="en-US"/>
        </w:rPr>
        <w:t xml:space="preserve"> Zoila Chimbo Jarro </w:t>
      </w:r>
      <w:r w:rsidR="006A3DAB" w:rsidRPr="00C9465D">
        <w:rPr>
          <w:sz w:val="16"/>
          <w:szCs w:val="16"/>
          <w:lang w:val="en-US"/>
        </w:rPr>
        <w:t>before the Pichincha District Prosecutor</w:t>
      </w:r>
      <w:r w:rsidRPr="00C9465D">
        <w:rPr>
          <w:sz w:val="16"/>
          <w:szCs w:val="16"/>
          <w:lang w:val="en-US"/>
        </w:rPr>
        <w:t xml:space="preserve"> </w:t>
      </w:r>
      <w:r w:rsidR="006A3DAB" w:rsidRPr="00C9465D">
        <w:rPr>
          <w:sz w:val="16"/>
          <w:szCs w:val="16"/>
          <w:lang w:val="en-US"/>
        </w:rPr>
        <w:t xml:space="preserve">on July 4, </w:t>
      </w:r>
      <w:r w:rsidRPr="00C9465D">
        <w:rPr>
          <w:sz w:val="16"/>
          <w:szCs w:val="16"/>
          <w:lang w:val="en-US"/>
        </w:rPr>
        <w:t>2005  (</w:t>
      </w:r>
      <w:r w:rsidR="00153C9F" w:rsidRPr="00C9465D">
        <w:rPr>
          <w:sz w:val="16"/>
          <w:szCs w:val="16"/>
          <w:lang w:val="en-US"/>
        </w:rPr>
        <w:t>evidence file</w:t>
      </w:r>
      <w:r w:rsidRPr="00C9465D">
        <w:rPr>
          <w:sz w:val="16"/>
          <w:szCs w:val="16"/>
          <w:lang w:val="en-US"/>
        </w:rPr>
        <w:t xml:space="preserve">, folios 7218 </w:t>
      </w:r>
      <w:r w:rsidR="006A3DAB" w:rsidRPr="00C9465D">
        <w:rPr>
          <w:sz w:val="16"/>
          <w:szCs w:val="16"/>
          <w:lang w:val="en-US"/>
        </w:rPr>
        <w:t>to</w:t>
      </w:r>
      <w:r w:rsidRPr="00C9465D">
        <w:rPr>
          <w:sz w:val="16"/>
          <w:szCs w:val="16"/>
          <w:lang w:val="en-US"/>
        </w:rPr>
        <w:t xml:space="preserve"> 7221);  </w:t>
      </w:r>
    </w:p>
  </w:footnote>
  <w:footnote w:id="99">
    <w:p w14:paraId="48746008" w14:textId="768C6DAC" w:rsidR="00300482" w:rsidRPr="00C9465D" w:rsidRDefault="00300482" w:rsidP="00BD26CF">
      <w:pPr>
        <w:pStyle w:val="FootnoteText"/>
        <w:tabs>
          <w:tab w:val="left" w:pos="567"/>
        </w:tabs>
        <w:spacing w:after="120"/>
        <w:rPr>
          <w:rStyle w:val="FootnoteReference"/>
          <w:sz w:val="16"/>
          <w:szCs w:val="16"/>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6A3DAB" w:rsidRPr="00C9465D">
        <w:rPr>
          <w:sz w:val="16"/>
          <w:szCs w:val="16"/>
          <w:lang w:val="en-US"/>
        </w:rPr>
        <w:t>Pichincha District Prosecutor</w:t>
      </w:r>
      <w:r w:rsidRPr="00C9465D">
        <w:rPr>
          <w:sz w:val="16"/>
          <w:szCs w:val="16"/>
          <w:lang w:val="en-US"/>
        </w:rPr>
        <w:t xml:space="preserve">. </w:t>
      </w:r>
      <w:r w:rsidR="006A3DAB" w:rsidRPr="00C9465D">
        <w:rPr>
          <w:sz w:val="16"/>
          <w:szCs w:val="16"/>
          <w:lang w:val="en-US"/>
        </w:rPr>
        <w:t>Decision of the Unit for Crimes against Life</w:t>
      </w:r>
      <w:r w:rsidRPr="00C9465D">
        <w:rPr>
          <w:sz w:val="16"/>
          <w:szCs w:val="16"/>
          <w:lang w:val="en-US"/>
        </w:rPr>
        <w:t xml:space="preserve"> </w:t>
      </w:r>
      <w:r w:rsidR="006A3DAB" w:rsidRPr="00C9465D">
        <w:rPr>
          <w:sz w:val="16"/>
          <w:szCs w:val="16"/>
          <w:lang w:val="en-US"/>
        </w:rPr>
        <w:t>of July 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folios 7222 a</w:t>
      </w:r>
      <w:r w:rsidR="006A3DAB" w:rsidRPr="00C9465D">
        <w:rPr>
          <w:sz w:val="16"/>
          <w:szCs w:val="16"/>
          <w:lang w:val="en-US"/>
        </w:rPr>
        <w:t>nd</w:t>
      </w:r>
      <w:r w:rsidRPr="00C9465D">
        <w:rPr>
          <w:sz w:val="16"/>
          <w:szCs w:val="16"/>
          <w:lang w:val="en-US"/>
        </w:rPr>
        <w:t xml:space="preserve"> 7223).</w:t>
      </w:r>
    </w:p>
  </w:footnote>
  <w:footnote w:id="100">
    <w:p w14:paraId="3394E7E0" w14:textId="52C290CB" w:rsidR="00300482" w:rsidRPr="00C9465D" w:rsidRDefault="00300482" w:rsidP="00BD26CF">
      <w:pPr>
        <w:pStyle w:val="FootnoteText"/>
        <w:tabs>
          <w:tab w:val="left" w:pos="567"/>
        </w:tabs>
        <w:spacing w:after="120"/>
        <w:rPr>
          <w:rStyle w:val="FootnoteReference"/>
          <w:sz w:val="16"/>
          <w:szCs w:val="16"/>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6A3DAB" w:rsidRPr="00C9465D">
        <w:rPr>
          <w:sz w:val="16"/>
          <w:szCs w:val="16"/>
          <w:lang w:val="en-US"/>
        </w:rPr>
        <w:t>Pichincha District Prosecutor</w:t>
      </w:r>
      <w:r w:rsidRPr="00C9465D">
        <w:rPr>
          <w:sz w:val="16"/>
          <w:szCs w:val="16"/>
          <w:lang w:val="en-US"/>
        </w:rPr>
        <w:t xml:space="preserve">. </w:t>
      </w:r>
      <w:r w:rsidR="006A3DAB" w:rsidRPr="00C9465D">
        <w:rPr>
          <w:sz w:val="16"/>
          <w:szCs w:val="16"/>
          <w:lang w:val="en-US"/>
        </w:rPr>
        <w:t>Decision</w:t>
      </w:r>
      <w:r w:rsidRPr="00C9465D">
        <w:rPr>
          <w:sz w:val="16"/>
          <w:szCs w:val="16"/>
          <w:lang w:val="en-US"/>
        </w:rPr>
        <w:t xml:space="preserve"> </w:t>
      </w:r>
      <w:r w:rsidR="006A3DAB" w:rsidRPr="00C9465D">
        <w:rPr>
          <w:sz w:val="16"/>
          <w:szCs w:val="16"/>
          <w:lang w:val="en-US"/>
        </w:rPr>
        <w:t>of August 29,</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folios 7247 a</w:t>
      </w:r>
      <w:r w:rsidR="00194B20" w:rsidRPr="00C9465D">
        <w:rPr>
          <w:sz w:val="16"/>
          <w:szCs w:val="16"/>
          <w:lang w:val="en-US"/>
        </w:rPr>
        <w:t>nd</w:t>
      </w:r>
      <w:r w:rsidRPr="00C9465D">
        <w:rPr>
          <w:sz w:val="16"/>
          <w:szCs w:val="16"/>
          <w:lang w:val="en-US"/>
        </w:rPr>
        <w:t xml:space="preserve"> 7248).</w:t>
      </w:r>
    </w:p>
  </w:footnote>
  <w:footnote w:id="101">
    <w:p w14:paraId="72905576" w14:textId="06F14681"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sz w:val="16"/>
          <w:szCs w:val="16"/>
          <w:lang w:val="en-US"/>
        </w:rPr>
        <w:tab/>
      </w:r>
      <w:r w:rsidR="006A3DAB" w:rsidRPr="00C9465D">
        <w:rPr>
          <w:sz w:val="16"/>
          <w:szCs w:val="16"/>
          <w:lang w:val="en-US"/>
        </w:rPr>
        <w:t>Pichincha District Prosecutor</w:t>
      </w:r>
      <w:r w:rsidRPr="00C9465D">
        <w:rPr>
          <w:sz w:val="16"/>
          <w:szCs w:val="16"/>
          <w:lang w:val="en-US"/>
        </w:rPr>
        <w:t xml:space="preserve">. </w:t>
      </w:r>
      <w:r w:rsidR="006A3DAB" w:rsidRPr="00C9465D">
        <w:rPr>
          <w:sz w:val="16"/>
          <w:szCs w:val="16"/>
          <w:lang w:val="en-US"/>
        </w:rPr>
        <w:t>Decision</w:t>
      </w:r>
      <w:r w:rsidRPr="00C9465D">
        <w:rPr>
          <w:sz w:val="16"/>
          <w:szCs w:val="16"/>
          <w:lang w:val="en-US"/>
        </w:rPr>
        <w:t xml:space="preserve"> </w:t>
      </w:r>
      <w:r w:rsidR="006A3DAB" w:rsidRPr="00C9465D">
        <w:rPr>
          <w:sz w:val="16"/>
          <w:szCs w:val="16"/>
          <w:lang w:val="en-US"/>
        </w:rPr>
        <w:t>of August 29,</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7248).</w:t>
      </w:r>
    </w:p>
  </w:footnote>
  <w:footnote w:id="102">
    <w:p w14:paraId="262B8EF3" w14:textId="42CF75E2"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rStyle w:val="FootnoteReference"/>
          <w:sz w:val="16"/>
          <w:szCs w:val="16"/>
          <w:lang w:val="en-US"/>
        </w:rPr>
        <w:tab/>
      </w:r>
      <w:r w:rsidR="006808B7" w:rsidRPr="00C9465D">
        <w:rPr>
          <w:rStyle w:val="FootnoteReference"/>
          <w:sz w:val="16"/>
          <w:szCs w:val="16"/>
          <w:vertAlign w:val="baseline"/>
          <w:lang w:val="en-US"/>
        </w:rPr>
        <w:t>Pichincha 18th Criminal Court</w:t>
      </w:r>
      <w:r w:rsidRPr="00C9465D">
        <w:rPr>
          <w:rStyle w:val="FootnoteReference"/>
          <w:sz w:val="16"/>
          <w:szCs w:val="16"/>
          <w:vertAlign w:val="baseline"/>
          <w:lang w:val="en-US"/>
        </w:rPr>
        <w:t xml:space="preserve">. </w:t>
      </w:r>
      <w:r w:rsidR="006A3DAB" w:rsidRPr="00C9465D">
        <w:rPr>
          <w:rStyle w:val="FootnoteReference"/>
          <w:sz w:val="16"/>
          <w:szCs w:val="16"/>
          <w:vertAlign w:val="baseline"/>
          <w:lang w:val="en-US"/>
        </w:rPr>
        <w:t>Decision</w:t>
      </w:r>
      <w:r w:rsidRPr="00C9465D">
        <w:rPr>
          <w:rStyle w:val="FootnoteReference"/>
          <w:sz w:val="16"/>
          <w:szCs w:val="16"/>
          <w:vertAlign w:val="baseline"/>
          <w:lang w:val="en-US"/>
        </w:rPr>
        <w:t xml:space="preserve"> </w:t>
      </w:r>
      <w:r w:rsidR="00194B20" w:rsidRPr="00C9465D">
        <w:rPr>
          <w:rStyle w:val="FootnoteReference"/>
          <w:sz w:val="16"/>
          <w:szCs w:val="16"/>
          <w:vertAlign w:val="baseline"/>
          <w:lang w:val="en-US"/>
        </w:rPr>
        <w:t>o</w:t>
      </w:r>
      <w:r w:rsidR="00194B20" w:rsidRPr="00C9465D">
        <w:rPr>
          <w:sz w:val="16"/>
          <w:szCs w:val="16"/>
          <w:lang w:val="en-US"/>
        </w:rPr>
        <w:t>f September 12,</w:t>
      </w:r>
      <w:r w:rsidRPr="00C9465D">
        <w:rPr>
          <w:rStyle w:val="FootnoteReference"/>
          <w:sz w:val="16"/>
          <w:szCs w:val="16"/>
          <w:vertAlign w:val="baseline"/>
          <w:lang w:val="en-US"/>
        </w:rPr>
        <w:t xml:space="preserve"> 2005 (</w:t>
      </w:r>
      <w:r w:rsidR="00153C9F" w:rsidRPr="00C9465D">
        <w:rPr>
          <w:rStyle w:val="FootnoteReference"/>
          <w:sz w:val="16"/>
          <w:szCs w:val="16"/>
          <w:vertAlign w:val="baseline"/>
          <w:lang w:val="en-US"/>
        </w:rPr>
        <w:t>evidence file</w:t>
      </w:r>
      <w:r w:rsidRPr="00C9465D">
        <w:rPr>
          <w:rStyle w:val="FootnoteReference"/>
          <w:sz w:val="16"/>
          <w:szCs w:val="16"/>
          <w:vertAlign w:val="baseline"/>
          <w:lang w:val="en-US"/>
        </w:rPr>
        <w:t>, folio 7251).</w:t>
      </w:r>
    </w:p>
  </w:footnote>
  <w:footnote w:id="103">
    <w:p w14:paraId="2006AD38" w14:textId="1C3FCC1C"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6A3DAB" w:rsidRPr="00C9465D">
        <w:rPr>
          <w:sz w:val="16"/>
          <w:szCs w:val="16"/>
          <w:lang w:val="en-US"/>
        </w:rPr>
        <w:t>Brief filed by</w:t>
      </w:r>
      <w:r w:rsidRPr="00C9465D">
        <w:rPr>
          <w:sz w:val="16"/>
          <w:szCs w:val="16"/>
          <w:lang w:val="en-US"/>
        </w:rPr>
        <w:t xml:space="preserve"> Zoila Chimbo Jarro </w:t>
      </w:r>
      <w:r w:rsidR="004D5ADC" w:rsidRPr="00C9465D">
        <w:rPr>
          <w:sz w:val="16"/>
          <w:szCs w:val="16"/>
          <w:lang w:val="en-US"/>
        </w:rPr>
        <w:t>with</w:t>
      </w:r>
      <w:r w:rsidR="00194B20" w:rsidRPr="00C9465D">
        <w:rPr>
          <w:sz w:val="16"/>
          <w:szCs w:val="16"/>
          <w:lang w:val="en-US"/>
        </w:rPr>
        <w:t xml:space="preserve"> the</w:t>
      </w:r>
      <w:r w:rsidRPr="00C9465D">
        <w:rPr>
          <w:sz w:val="16"/>
          <w:szCs w:val="16"/>
          <w:lang w:val="en-US"/>
        </w:rPr>
        <w:t xml:space="preserve"> </w:t>
      </w:r>
      <w:r w:rsidR="006808B7" w:rsidRPr="00C9465D">
        <w:rPr>
          <w:sz w:val="16"/>
          <w:szCs w:val="16"/>
          <w:lang w:val="en-US"/>
        </w:rPr>
        <w:t>Pichincha 18th Criminal Court</w:t>
      </w:r>
      <w:r w:rsidRPr="00C9465D">
        <w:rPr>
          <w:sz w:val="16"/>
          <w:szCs w:val="16"/>
          <w:lang w:val="en-US"/>
        </w:rPr>
        <w:t xml:space="preserve"> </w:t>
      </w:r>
      <w:r w:rsidR="00194B20" w:rsidRPr="00C9465D">
        <w:rPr>
          <w:sz w:val="16"/>
          <w:szCs w:val="16"/>
          <w:lang w:val="en-US"/>
        </w:rPr>
        <w:t>on September 14,</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xml:space="preserve">, folios 7252 </w:t>
      </w:r>
      <w:r w:rsidR="00194B20" w:rsidRPr="00C9465D">
        <w:rPr>
          <w:sz w:val="16"/>
          <w:szCs w:val="16"/>
          <w:lang w:val="en-US"/>
        </w:rPr>
        <w:t>to</w:t>
      </w:r>
      <w:r w:rsidRPr="00C9465D">
        <w:rPr>
          <w:sz w:val="16"/>
          <w:szCs w:val="16"/>
          <w:lang w:val="en-US"/>
        </w:rPr>
        <w:t xml:space="preserve"> 7255),</w:t>
      </w:r>
      <w:r w:rsidR="00193CBB" w:rsidRPr="00C9465D">
        <w:rPr>
          <w:sz w:val="16"/>
          <w:szCs w:val="16"/>
          <w:lang w:val="en-US"/>
        </w:rPr>
        <w:t xml:space="preserve"> and </w:t>
      </w:r>
      <w:r w:rsidR="006A3DAB" w:rsidRPr="00C9465D">
        <w:rPr>
          <w:sz w:val="16"/>
          <w:szCs w:val="16"/>
          <w:lang w:val="en-US"/>
        </w:rPr>
        <w:t>Decision</w:t>
      </w:r>
      <w:r w:rsidRPr="00C9465D">
        <w:rPr>
          <w:sz w:val="16"/>
          <w:szCs w:val="16"/>
          <w:lang w:val="en-US"/>
        </w:rPr>
        <w:t xml:space="preserve"> </w:t>
      </w:r>
      <w:r w:rsidR="00194B20" w:rsidRPr="00C9465D">
        <w:rPr>
          <w:sz w:val="16"/>
          <w:szCs w:val="16"/>
          <w:lang w:val="en-US"/>
        </w:rPr>
        <w:t>of the</w:t>
      </w:r>
      <w:r w:rsidRPr="00C9465D">
        <w:rPr>
          <w:sz w:val="16"/>
          <w:szCs w:val="16"/>
          <w:lang w:val="en-US"/>
        </w:rPr>
        <w:t xml:space="preserve"> </w:t>
      </w:r>
      <w:r w:rsidR="006808B7" w:rsidRPr="00C9465D">
        <w:rPr>
          <w:sz w:val="16"/>
          <w:szCs w:val="16"/>
          <w:lang w:val="en-US"/>
        </w:rPr>
        <w:t>Pichincha 18th Criminal Court</w:t>
      </w:r>
      <w:r w:rsidRPr="00C9465D">
        <w:rPr>
          <w:sz w:val="16"/>
          <w:szCs w:val="16"/>
          <w:lang w:val="en-US"/>
        </w:rPr>
        <w:t xml:space="preserve"> </w:t>
      </w:r>
      <w:r w:rsidR="00194B20" w:rsidRPr="00C9465D">
        <w:rPr>
          <w:sz w:val="16"/>
          <w:szCs w:val="16"/>
          <w:lang w:val="en-US"/>
        </w:rPr>
        <w:t>of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7256).</w:t>
      </w:r>
    </w:p>
  </w:footnote>
  <w:footnote w:id="104">
    <w:p w14:paraId="58B3C0A5" w14:textId="425BA437"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6A3DAB" w:rsidRPr="00C9465D">
        <w:rPr>
          <w:sz w:val="16"/>
          <w:szCs w:val="16"/>
          <w:lang w:val="en-US"/>
        </w:rPr>
        <w:t>Decision</w:t>
      </w:r>
      <w:r w:rsidRPr="00C9465D">
        <w:rPr>
          <w:sz w:val="16"/>
          <w:szCs w:val="16"/>
          <w:lang w:val="en-US"/>
        </w:rPr>
        <w:t xml:space="preserve"> </w:t>
      </w:r>
      <w:r w:rsidR="004D5ADC" w:rsidRPr="00C9465D">
        <w:rPr>
          <w:sz w:val="16"/>
          <w:szCs w:val="16"/>
          <w:lang w:val="en-US"/>
        </w:rPr>
        <w:t>of the</w:t>
      </w:r>
      <w:r w:rsidRPr="00C9465D">
        <w:rPr>
          <w:sz w:val="16"/>
          <w:szCs w:val="16"/>
          <w:lang w:val="en-US"/>
        </w:rPr>
        <w:t xml:space="preserve"> </w:t>
      </w:r>
      <w:r w:rsidR="00194B20" w:rsidRPr="00C9465D">
        <w:rPr>
          <w:sz w:val="16"/>
          <w:szCs w:val="16"/>
          <w:lang w:val="en-US"/>
        </w:rPr>
        <w:t>Pichincha District Prosecutor</w:t>
      </w:r>
      <w:r w:rsidRPr="00C9465D">
        <w:rPr>
          <w:sz w:val="16"/>
          <w:szCs w:val="16"/>
          <w:lang w:val="en-US"/>
        </w:rPr>
        <w:t xml:space="preserve"> </w:t>
      </w:r>
      <w:r w:rsidR="00194B20" w:rsidRPr="00C9465D">
        <w:rPr>
          <w:sz w:val="16"/>
          <w:szCs w:val="16"/>
          <w:lang w:val="en-US"/>
        </w:rPr>
        <w:t>of July 13,</w:t>
      </w:r>
      <w:r w:rsidRPr="00C9465D">
        <w:rPr>
          <w:sz w:val="16"/>
          <w:szCs w:val="16"/>
          <w:lang w:val="en-US"/>
        </w:rPr>
        <w:t xml:space="preserve"> 2006 (</w:t>
      </w:r>
      <w:r w:rsidR="00153C9F" w:rsidRPr="00C9465D">
        <w:rPr>
          <w:sz w:val="16"/>
          <w:szCs w:val="16"/>
          <w:lang w:val="en-US"/>
        </w:rPr>
        <w:t>evidence file</w:t>
      </w:r>
      <w:r w:rsidRPr="00C9465D">
        <w:rPr>
          <w:sz w:val="16"/>
          <w:szCs w:val="16"/>
          <w:lang w:val="en-US"/>
        </w:rPr>
        <w:t>, folio 7260).</w:t>
      </w:r>
    </w:p>
  </w:footnote>
  <w:footnote w:id="105">
    <w:p w14:paraId="02F26910" w14:textId="1D215422"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6808B7" w:rsidRPr="00C9465D">
        <w:rPr>
          <w:sz w:val="16"/>
          <w:szCs w:val="16"/>
          <w:lang w:val="en-US"/>
        </w:rPr>
        <w:t>Pichincha 18th Criminal Court</w:t>
      </w:r>
      <w:r w:rsidRPr="00C9465D">
        <w:rPr>
          <w:sz w:val="16"/>
          <w:szCs w:val="16"/>
          <w:lang w:val="en-US"/>
        </w:rPr>
        <w:t xml:space="preserve">. </w:t>
      </w:r>
      <w:r w:rsidR="006A3DAB" w:rsidRPr="00C9465D">
        <w:rPr>
          <w:sz w:val="16"/>
          <w:szCs w:val="16"/>
          <w:lang w:val="en-US"/>
        </w:rPr>
        <w:t>Decision</w:t>
      </w:r>
      <w:r w:rsidRPr="00C9465D">
        <w:rPr>
          <w:sz w:val="16"/>
          <w:szCs w:val="16"/>
          <w:lang w:val="en-US"/>
        </w:rPr>
        <w:t xml:space="preserve"> </w:t>
      </w:r>
      <w:r w:rsidR="00194B20" w:rsidRPr="00C9465D">
        <w:rPr>
          <w:sz w:val="16"/>
          <w:szCs w:val="16"/>
          <w:lang w:val="en-US"/>
        </w:rPr>
        <w:t>of July 19,</w:t>
      </w:r>
      <w:r w:rsidRPr="00C9465D">
        <w:rPr>
          <w:sz w:val="16"/>
          <w:szCs w:val="16"/>
          <w:lang w:val="en-US"/>
        </w:rPr>
        <w:t xml:space="preserve"> 2006 (</w:t>
      </w:r>
      <w:r w:rsidR="00153C9F" w:rsidRPr="00C9465D">
        <w:rPr>
          <w:sz w:val="16"/>
          <w:szCs w:val="16"/>
          <w:lang w:val="en-US"/>
        </w:rPr>
        <w:t>evidence file</w:t>
      </w:r>
      <w:r w:rsidRPr="00C9465D">
        <w:rPr>
          <w:sz w:val="16"/>
          <w:szCs w:val="16"/>
          <w:lang w:val="en-US"/>
        </w:rPr>
        <w:t>, folio 7261).</w:t>
      </w:r>
    </w:p>
  </w:footnote>
  <w:footnote w:id="106">
    <w:p w14:paraId="7F61070B" w14:textId="50B79963" w:rsidR="00300482" w:rsidRPr="00C9465D" w:rsidRDefault="00300482" w:rsidP="00BD26CF">
      <w:pPr>
        <w:pStyle w:val="FootnoteText"/>
        <w:tabs>
          <w:tab w:val="left" w:pos="567"/>
        </w:tabs>
        <w:spacing w:after="120"/>
        <w:rPr>
          <w:rStyle w:val="FootnoteReference"/>
          <w:sz w:val="16"/>
          <w:szCs w:val="16"/>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rStyle w:val="FootnoteReference"/>
          <w:sz w:val="16"/>
          <w:szCs w:val="16"/>
          <w:lang w:val="en-US"/>
        </w:rPr>
        <w:tab/>
      </w:r>
      <w:r w:rsidR="00E2299F" w:rsidRPr="00C9465D">
        <w:rPr>
          <w:i/>
          <w:sz w:val="16"/>
          <w:szCs w:val="16"/>
          <w:lang w:val="en-US"/>
        </w:rPr>
        <w:t>Cf.</w:t>
      </w:r>
      <w:r w:rsidRPr="00C9465D">
        <w:rPr>
          <w:i/>
          <w:sz w:val="16"/>
          <w:szCs w:val="16"/>
          <w:lang w:val="en-US"/>
        </w:rPr>
        <w:t xml:space="preserve"> </w:t>
      </w:r>
      <w:r w:rsidR="006A3DAB" w:rsidRPr="00C9465D">
        <w:rPr>
          <w:sz w:val="16"/>
          <w:szCs w:val="16"/>
          <w:lang w:val="en-US"/>
        </w:rPr>
        <w:t>Decision</w:t>
      </w:r>
      <w:r w:rsidRPr="00C9465D">
        <w:rPr>
          <w:sz w:val="16"/>
          <w:szCs w:val="16"/>
          <w:lang w:val="en-US"/>
        </w:rPr>
        <w:t xml:space="preserve"> </w:t>
      </w:r>
      <w:r w:rsidR="00194B20" w:rsidRPr="00C9465D">
        <w:rPr>
          <w:sz w:val="16"/>
          <w:szCs w:val="16"/>
          <w:lang w:val="en-US"/>
        </w:rPr>
        <w:t xml:space="preserve">of the Third Chamber of the </w:t>
      </w:r>
      <w:r w:rsidR="001A4FA7" w:rsidRPr="00C9465D">
        <w:rPr>
          <w:sz w:val="16"/>
          <w:szCs w:val="16"/>
          <w:lang w:val="en-US"/>
        </w:rPr>
        <w:t>Constitutional Court</w:t>
      </w:r>
      <w:r w:rsidRPr="00C9465D">
        <w:rPr>
          <w:sz w:val="16"/>
          <w:szCs w:val="16"/>
          <w:lang w:val="en-US"/>
        </w:rPr>
        <w:t xml:space="preserve"> </w:t>
      </w:r>
      <w:r w:rsidR="00194B20" w:rsidRPr="00C9465D">
        <w:rPr>
          <w:sz w:val="16"/>
          <w:szCs w:val="16"/>
          <w:lang w:val="en-US"/>
        </w:rPr>
        <w:t>of July 6,</w:t>
      </w:r>
      <w:r w:rsidRPr="00C9465D">
        <w:rPr>
          <w:sz w:val="16"/>
          <w:szCs w:val="16"/>
          <w:lang w:val="en-US"/>
        </w:rPr>
        <w:t xml:space="preserve"> 2006 (</w:t>
      </w:r>
      <w:r w:rsidR="00153C9F" w:rsidRPr="00C9465D">
        <w:rPr>
          <w:sz w:val="16"/>
          <w:szCs w:val="16"/>
          <w:lang w:val="en-US"/>
        </w:rPr>
        <w:t>evidence file</w:t>
      </w:r>
      <w:r w:rsidRPr="00C9465D">
        <w:rPr>
          <w:sz w:val="16"/>
          <w:szCs w:val="16"/>
          <w:lang w:val="en-US"/>
        </w:rPr>
        <w:t>, folio 51),</w:t>
      </w:r>
      <w:r w:rsidR="00193CBB" w:rsidRPr="00C9465D">
        <w:rPr>
          <w:sz w:val="16"/>
          <w:szCs w:val="16"/>
          <w:lang w:val="en-US"/>
        </w:rPr>
        <w:t xml:space="preserve"> and </w:t>
      </w:r>
      <w:r w:rsidRPr="00C9465D">
        <w:rPr>
          <w:sz w:val="16"/>
          <w:szCs w:val="16"/>
          <w:lang w:val="en-US"/>
        </w:rPr>
        <w:t xml:space="preserve">DINATED </w:t>
      </w:r>
      <w:r w:rsidR="00194B20" w:rsidRPr="00C9465D">
        <w:rPr>
          <w:sz w:val="16"/>
          <w:szCs w:val="16"/>
          <w:lang w:val="en-US"/>
        </w:rPr>
        <w:t>communication of</w:t>
      </w:r>
      <w:r w:rsidR="00766510" w:rsidRPr="00C9465D">
        <w:rPr>
          <w:sz w:val="16"/>
          <w:szCs w:val="16"/>
          <w:lang w:val="en-US"/>
        </w:rPr>
        <w:t xml:space="preserve"> February 17,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7216).</w:t>
      </w:r>
    </w:p>
  </w:footnote>
  <w:footnote w:id="107">
    <w:p w14:paraId="013AF88F" w14:textId="06C0D7C6"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1F65A3" w:rsidRPr="00C9465D">
        <w:rPr>
          <w:sz w:val="16"/>
          <w:szCs w:val="16"/>
          <w:lang w:val="en-US"/>
        </w:rPr>
        <w:t>Communication of</w:t>
      </w:r>
      <w:r w:rsidRPr="00C9465D">
        <w:rPr>
          <w:sz w:val="16"/>
          <w:szCs w:val="16"/>
          <w:lang w:val="en-US"/>
        </w:rPr>
        <w:t xml:space="preserve"> </w:t>
      </w:r>
      <w:r w:rsidR="003608E6" w:rsidRPr="00C9465D">
        <w:rPr>
          <w:sz w:val="16"/>
          <w:szCs w:val="16"/>
          <w:lang w:val="en-US"/>
        </w:rPr>
        <w:t>the social worker</w:t>
      </w:r>
      <w:r w:rsidRPr="00C9465D">
        <w:rPr>
          <w:sz w:val="16"/>
          <w:szCs w:val="16"/>
          <w:lang w:val="en-US"/>
        </w:rPr>
        <w:t xml:space="preserve"> </w:t>
      </w:r>
      <w:r w:rsidR="001F65A3" w:rsidRPr="00C9465D">
        <w:rPr>
          <w:sz w:val="16"/>
          <w:szCs w:val="16"/>
          <w:lang w:val="en-US"/>
        </w:rPr>
        <w:t>addressed to the</w:t>
      </w:r>
      <w:r w:rsidRPr="00C9465D">
        <w:rPr>
          <w:sz w:val="16"/>
          <w:szCs w:val="16"/>
          <w:lang w:val="en-US"/>
        </w:rPr>
        <w:t xml:space="preserve"> Director </w:t>
      </w:r>
      <w:r w:rsidR="001F65A3" w:rsidRPr="00C9465D">
        <w:rPr>
          <w:sz w:val="16"/>
          <w:szCs w:val="16"/>
          <w:lang w:val="en-US"/>
        </w:rPr>
        <w:t xml:space="preserve">of </w:t>
      </w:r>
      <w:r w:rsidRPr="00C9465D">
        <w:rPr>
          <w:sz w:val="16"/>
          <w:szCs w:val="16"/>
          <w:lang w:val="en-US"/>
        </w:rPr>
        <w:t xml:space="preserve">DINATED </w:t>
      </w:r>
      <w:r w:rsidR="001F65A3" w:rsidRPr="00C9465D">
        <w:rPr>
          <w:sz w:val="16"/>
          <w:szCs w:val="16"/>
          <w:lang w:val="en-US"/>
        </w:rPr>
        <w:t>o</w:t>
      </w:r>
      <w:r w:rsidR="004D5ADC" w:rsidRPr="00C9465D">
        <w:rPr>
          <w:sz w:val="16"/>
          <w:szCs w:val="16"/>
          <w:lang w:val="en-US"/>
        </w:rPr>
        <w:t>n</w:t>
      </w:r>
      <w:r w:rsidR="001F65A3" w:rsidRPr="00C9465D">
        <w:rPr>
          <w:sz w:val="16"/>
          <w:szCs w:val="16"/>
          <w:lang w:val="en-US"/>
        </w:rPr>
        <w:t xml:space="preserve"> June 30,</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xml:space="preserve">, folio 5). </w:t>
      </w:r>
    </w:p>
  </w:footnote>
  <w:footnote w:id="108">
    <w:p w14:paraId="6279474C" w14:textId="57D5E3ED" w:rsidR="00300482" w:rsidRPr="00C9465D" w:rsidRDefault="00300482" w:rsidP="00BD26CF">
      <w:pPr>
        <w:pStyle w:val="FootnoteText"/>
        <w:tabs>
          <w:tab w:val="left" w:pos="567"/>
        </w:tabs>
        <w:spacing w:after="120"/>
        <w:rPr>
          <w:rStyle w:val="FootnoteReference"/>
          <w:sz w:val="16"/>
          <w:szCs w:val="16"/>
          <w:vertAlign w:val="baseline"/>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1F65A3" w:rsidRPr="00C9465D">
        <w:rPr>
          <w:rStyle w:val="FootnoteReference"/>
          <w:sz w:val="16"/>
          <w:szCs w:val="16"/>
          <w:vertAlign w:val="baseline"/>
          <w:lang w:val="en-US"/>
        </w:rPr>
        <w:t>Order</w:t>
      </w:r>
      <w:r w:rsidRPr="00C9465D">
        <w:rPr>
          <w:rStyle w:val="FootnoteReference"/>
          <w:sz w:val="16"/>
          <w:szCs w:val="16"/>
          <w:vertAlign w:val="baseline"/>
          <w:lang w:val="en-US"/>
        </w:rPr>
        <w:t xml:space="preserve"> </w:t>
      </w:r>
      <w:r w:rsidR="00194B20" w:rsidRPr="00C9465D">
        <w:rPr>
          <w:rStyle w:val="FootnoteReference"/>
          <w:sz w:val="16"/>
          <w:szCs w:val="16"/>
          <w:vertAlign w:val="baseline"/>
          <w:lang w:val="en-US"/>
        </w:rPr>
        <w:t>of September 27,</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w:t>
      </w:r>
      <w:r w:rsidRPr="00C9465D">
        <w:rPr>
          <w:rStyle w:val="FootnoteReference"/>
          <w:sz w:val="16"/>
          <w:szCs w:val="16"/>
          <w:lang w:val="en-US"/>
        </w:rPr>
        <w:t xml:space="preserve"> </w:t>
      </w:r>
      <w:r w:rsidRPr="00C9465D">
        <w:rPr>
          <w:rStyle w:val="FootnoteReference"/>
          <w:sz w:val="16"/>
          <w:szCs w:val="16"/>
          <w:vertAlign w:val="baseline"/>
          <w:lang w:val="en-US"/>
        </w:rPr>
        <w:t>folio 2915</w:t>
      </w:r>
      <w:r w:rsidRPr="00C9465D">
        <w:rPr>
          <w:sz w:val="16"/>
          <w:szCs w:val="16"/>
          <w:lang w:val="en-US"/>
        </w:rPr>
        <w:t>)</w:t>
      </w:r>
      <w:r w:rsidR="00193CBB" w:rsidRPr="00C9465D">
        <w:rPr>
          <w:rStyle w:val="FootnoteReference"/>
          <w:sz w:val="16"/>
          <w:szCs w:val="16"/>
          <w:lang w:val="en-US"/>
        </w:rPr>
        <w:t xml:space="preserve">  </w:t>
      </w:r>
      <w:r w:rsidR="001F65A3" w:rsidRPr="00C9465D">
        <w:rPr>
          <w:sz w:val="16"/>
          <w:szCs w:val="16"/>
          <w:lang w:val="en-US"/>
        </w:rPr>
        <w:t xml:space="preserve">and </w:t>
      </w:r>
      <w:r w:rsidR="006A3DAB" w:rsidRPr="00C9465D">
        <w:rPr>
          <w:rStyle w:val="FootnoteReference"/>
          <w:sz w:val="16"/>
          <w:szCs w:val="16"/>
          <w:vertAlign w:val="baseline"/>
          <w:lang w:val="en-US"/>
        </w:rPr>
        <w:t>Brief filed by</w:t>
      </w:r>
      <w:r w:rsidRPr="00C9465D">
        <w:rPr>
          <w:rStyle w:val="FootnoteReference"/>
          <w:sz w:val="16"/>
          <w:szCs w:val="16"/>
          <w:vertAlign w:val="baseline"/>
          <w:lang w:val="en-US"/>
        </w:rPr>
        <w:t xml:space="preserve"> INREDH </w:t>
      </w:r>
      <w:r w:rsidR="001F65A3" w:rsidRPr="00C9465D">
        <w:rPr>
          <w:rStyle w:val="FootnoteReference"/>
          <w:sz w:val="16"/>
          <w:szCs w:val="16"/>
          <w:vertAlign w:val="baseline"/>
          <w:lang w:val="en-US"/>
        </w:rPr>
        <w:t>o</w:t>
      </w:r>
      <w:r w:rsidR="004D5ADC" w:rsidRPr="00C9465D">
        <w:rPr>
          <w:sz w:val="16"/>
          <w:szCs w:val="16"/>
          <w:lang w:val="en-US"/>
        </w:rPr>
        <w:t>n</w:t>
      </w:r>
      <w:r w:rsidR="001F65A3" w:rsidRPr="00C9465D">
        <w:rPr>
          <w:sz w:val="16"/>
          <w:szCs w:val="16"/>
          <w:lang w:val="en-US"/>
        </w:rPr>
        <w:t xml:space="preserve"> October 6,</w:t>
      </w:r>
      <w:r w:rsidRPr="00C9465D">
        <w:rPr>
          <w:rStyle w:val="FootnoteReference"/>
          <w:sz w:val="16"/>
          <w:szCs w:val="16"/>
          <w:vertAlign w:val="baseline"/>
          <w:lang w:val="en-US"/>
        </w:rPr>
        <w:t xml:space="preserve"> 2004 (</w:t>
      </w:r>
      <w:r w:rsidR="00153C9F" w:rsidRPr="00C9465D">
        <w:rPr>
          <w:sz w:val="16"/>
          <w:szCs w:val="16"/>
          <w:lang w:val="en-US"/>
        </w:rPr>
        <w:t>evidence file</w:t>
      </w:r>
      <w:r w:rsidRPr="00C9465D">
        <w:rPr>
          <w:sz w:val="16"/>
          <w:szCs w:val="16"/>
          <w:lang w:val="en-US"/>
        </w:rPr>
        <w:t xml:space="preserve">, folios </w:t>
      </w:r>
      <w:r w:rsidRPr="00C9465D">
        <w:rPr>
          <w:rStyle w:val="FootnoteReference"/>
          <w:sz w:val="16"/>
          <w:szCs w:val="16"/>
          <w:vertAlign w:val="baseline"/>
          <w:lang w:val="en-US"/>
        </w:rPr>
        <w:t xml:space="preserve">2918 </w:t>
      </w:r>
      <w:r w:rsidR="001F65A3" w:rsidRPr="00C9465D">
        <w:rPr>
          <w:rStyle w:val="FootnoteReference"/>
          <w:sz w:val="16"/>
          <w:szCs w:val="16"/>
          <w:vertAlign w:val="baseline"/>
          <w:lang w:val="en-US"/>
        </w:rPr>
        <w:t>to</w:t>
      </w:r>
      <w:r w:rsidRPr="00C9465D">
        <w:rPr>
          <w:rStyle w:val="FootnoteReference"/>
          <w:sz w:val="16"/>
          <w:szCs w:val="16"/>
          <w:vertAlign w:val="baseline"/>
          <w:lang w:val="en-US"/>
        </w:rPr>
        <w:t xml:space="preserve"> 2920).</w:t>
      </w:r>
    </w:p>
  </w:footnote>
  <w:footnote w:id="109">
    <w:p w14:paraId="61B123CC" w14:textId="7C99757A" w:rsidR="00300482" w:rsidRPr="00C9465D" w:rsidRDefault="00300482" w:rsidP="00BD26CF">
      <w:pPr>
        <w:pStyle w:val="FootnoteText"/>
        <w:tabs>
          <w:tab w:val="left" w:pos="567"/>
        </w:tabs>
        <w:spacing w:after="120"/>
        <w:rPr>
          <w:rStyle w:val="FootnoteReference"/>
          <w:sz w:val="16"/>
          <w:szCs w:val="16"/>
          <w:vertAlign w:val="baseline"/>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rStyle w:val="FootnoteReference"/>
          <w:sz w:val="16"/>
          <w:szCs w:val="16"/>
          <w:lang w:val="en-US"/>
        </w:rPr>
        <w:tab/>
      </w:r>
      <w:r w:rsidR="00E2299F" w:rsidRPr="00C9465D">
        <w:rPr>
          <w:i/>
          <w:sz w:val="16"/>
          <w:szCs w:val="16"/>
          <w:lang w:val="en-US"/>
        </w:rPr>
        <w:t>Cf.</w:t>
      </w:r>
      <w:r w:rsidRPr="00C9465D">
        <w:rPr>
          <w:i/>
          <w:sz w:val="16"/>
          <w:szCs w:val="16"/>
          <w:lang w:val="en-US"/>
        </w:rPr>
        <w:t xml:space="preserve"> </w:t>
      </w:r>
      <w:r w:rsidRPr="00C9465D">
        <w:rPr>
          <w:sz w:val="16"/>
          <w:szCs w:val="16"/>
          <w:lang w:val="en-US"/>
        </w:rPr>
        <w:t xml:space="preserve">DINATED, </w:t>
      </w:r>
      <w:r w:rsidR="004D5ADC" w:rsidRPr="00C9465D">
        <w:rPr>
          <w:rStyle w:val="FootnoteReference"/>
          <w:sz w:val="16"/>
          <w:szCs w:val="16"/>
          <w:vertAlign w:val="baseline"/>
          <w:lang w:val="en-US"/>
        </w:rPr>
        <w:t>d</w:t>
      </w:r>
      <w:r w:rsidR="004D5ADC" w:rsidRPr="00C9465D">
        <w:rPr>
          <w:sz w:val="16"/>
          <w:szCs w:val="16"/>
          <w:lang w:val="en-US"/>
        </w:rPr>
        <w:t>ecision</w:t>
      </w:r>
      <w:r w:rsidR="001F65A3" w:rsidRPr="00C9465D">
        <w:rPr>
          <w:sz w:val="16"/>
          <w:szCs w:val="16"/>
          <w:lang w:val="en-US"/>
        </w:rPr>
        <w:t xml:space="preserve"> of October</w:t>
      </w:r>
      <w:r w:rsidRPr="00C9465D">
        <w:rPr>
          <w:rStyle w:val="FootnoteReference"/>
          <w:sz w:val="16"/>
          <w:szCs w:val="16"/>
          <w:vertAlign w:val="baseline"/>
          <w:lang w:val="en-US"/>
        </w:rPr>
        <w:t xml:space="preserve"> 7</w:t>
      </w:r>
      <w:r w:rsidR="001F65A3" w:rsidRPr="00C9465D">
        <w:rPr>
          <w:sz w:val="16"/>
          <w:szCs w:val="16"/>
          <w:lang w:val="en-US"/>
        </w:rPr>
        <w:t xml:space="preserve">, </w:t>
      </w:r>
      <w:r w:rsidRPr="00C9465D">
        <w:rPr>
          <w:sz w:val="16"/>
          <w:szCs w:val="16"/>
          <w:lang w:val="en-US"/>
        </w:rPr>
        <w:t>2004 (</w:t>
      </w:r>
      <w:r w:rsidR="00153C9F" w:rsidRPr="00C9465D">
        <w:rPr>
          <w:sz w:val="16"/>
          <w:szCs w:val="16"/>
          <w:lang w:val="en-US"/>
        </w:rPr>
        <w:t>evidence file</w:t>
      </w:r>
      <w:r w:rsidRPr="00C9465D">
        <w:rPr>
          <w:sz w:val="16"/>
          <w:szCs w:val="16"/>
          <w:lang w:val="en-US"/>
        </w:rPr>
        <w:t>, folio</w:t>
      </w:r>
      <w:r w:rsidRPr="00C9465D">
        <w:rPr>
          <w:rStyle w:val="FootnoteReference"/>
          <w:sz w:val="16"/>
          <w:szCs w:val="16"/>
          <w:lang w:val="en-US"/>
        </w:rPr>
        <w:t xml:space="preserve"> </w:t>
      </w:r>
      <w:r w:rsidRPr="00C9465D">
        <w:rPr>
          <w:rStyle w:val="FootnoteReference"/>
          <w:sz w:val="16"/>
          <w:szCs w:val="16"/>
          <w:vertAlign w:val="baseline"/>
          <w:lang w:val="en-US"/>
        </w:rPr>
        <w:t>2917).</w:t>
      </w:r>
    </w:p>
  </w:footnote>
  <w:footnote w:id="110">
    <w:p w14:paraId="1A34A696" w14:textId="66C330DB" w:rsidR="00300482" w:rsidRPr="00C9465D" w:rsidRDefault="00300482" w:rsidP="00BD26CF">
      <w:pPr>
        <w:pStyle w:val="FootnoteText"/>
        <w:tabs>
          <w:tab w:val="left" w:pos="567"/>
        </w:tabs>
        <w:spacing w:after="120"/>
        <w:rPr>
          <w:rStyle w:val="FootnoteReference"/>
          <w:sz w:val="16"/>
          <w:szCs w:val="16"/>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1F65A3" w:rsidRPr="00C9465D">
        <w:rPr>
          <w:sz w:val="16"/>
          <w:szCs w:val="16"/>
          <w:lang w:val="en-US"/>
        </w:rPr>
        <w:t>Communication of the</w:t>
      </w:r>
      <w:r w:rsidRPr="00C9465D">
        <w:rPr>
          <w:sz w:val="16"/>
          <w:szCs w:val="16"/>
          <w:lang w:val="en-US"/>
        </w:rPr>
        <w:t xml:space="preserve"> </w:t>
      </w:r>
      <w:r w:rsidRPr="00C9465D">
        <w:rPr>
          <w:rFonts w:eastAsia="HiddenHorzOCR" w:cs="HiddenHorzOCR"/>
          <w:sz w:val="16"/>
          <w:szCs w:val="16"/>
          <w:lang w:val="en-US"/>
        </w:rPr>
        <w:t xml:space="preserve">Director </w:t>
      </w:r>
      <w:r w:rsidR="006758E3" w:rsidRPr="00C9465D">
        <w:rPr>
          <w:rFonts w:eastAsia="HiddenHorzOCR" w:cs="HiddenHorzOCR"/>
          <w:sz w:val="16"/>
          <w:szCs w:val="16"/>
          <w:lang w:val="en-US"/>
        </w:rPr>
        <w:t>of the Julio Endara</w:t>
      </w:r>
      <w:r w:rsidR="001F65A3" w:rsidRPr="00C9465D">
        <w:rPr>
          <w:rFonts w:eastAsia="HiddenHorzOCR" w:cs="HiddenHorzOCR"/>
          <w:sz w:val="16"/>
          <w:szCs w:val="16"/>
          <w:lang w:val="en-US"/>
        </w:rPr>
        <w:t xml:space="preserve"> Hospital</w:t>
      </w:r>
      <w:r w:rsidRPr="00C9465D">
        <w:rPr>
          <w:sz w:val="16"/>
          <w:szCs w:val="16"/>
          <w:lang w:val="en-US"/>
        </w:rPr>
        <w:t xml:space="preserve"> </w:t>
      </w:r>
      <w:r w:rsidR="001F65A3" w:rsidRPr="00C9465D">
        <w:rPr>
          <w:sz w:val="16"/>
          <w:szCs w:val="16"/>
          <w:lang w:val="en-US"/>
        </w:rPr>
        <w:t>of November 26,</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xml:space="preserve">, folios </w:t>
      </w:r>
      <w:r w:rsidRPr="00C9465D">
        <w:rPr>
          <w:rStyle w:val="FootnoteReference"/>
          <w:sz w:val="16"/>
          <w:szCs w:val="16"/>
          <w:vertAlign w:val="baseline"/>
          <w:lang w:val="en-US"/>
        </w:rPr>
        <w:t xml:space="preserve">2923 </w:t>
      </w:r>
      <w:r w:rsidR="001F65A3" w:rsidRPr="00C9465D">
        <w:rPr>
          <w:rStyle w:val="FootnoteReference"/>
          <w:sz w:val="16"/>
          <w:szCs w:val="16"/>
          <w:vertAlign w:val="baseline"/>
          <w:lang w:val="en-US"/>
        </w:rPr>
        <w:t>to</w:t>
      </w:r>
      <w:r w:rsidRPr="00C9465D">
        <w:rPr>
          <w:rStyle w:val="FootnoteReference"/>
          <w:sz w:val="16"/>
          <w:szCs w:val="16"/>
          <w:vertAlign w:val="baseline"/>
          <w:lang w:val="en-US"/>
        </w:rPr>
        <w:t xml:space="preserve"> 2927</w:t>
      </w:r>
      <w:r w:rsidRPr="00C9465D">
        <w:rPr>
          <w:sz w:val="16"/>
          <w:szCs w:val="16"/>
          <w:lang w:val="en-US"/>
        </w:rPr>
        <w:t>).</w:t>
      </w:r>
    </w:p>
  </w:footnote>
  <w:footnote w:id="111">
    <w:p w14:paraId="70E79272" w14:textId="741E4498" w:rsidR="00300482" w:rsidRPr="00C9465D" w:rsidRDefault="00300482" w:rsidP="00BD26CF">
      <w:pPr>
        <w:pStyle w:val="FootnoteText"/>
        <w:tabs>
          <w:tab w:val="left" w:pos="567"/>
        </w:tabs>
        <w:spacing w:after="120"/>
        <w:rPr>
          <w:rStyle w:val="FootnoteReference"/>
          <w:sz w:val="16"/>
          <w:szCs w:val="16"/>
          <w:vertAlign w:val="baseline"/>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rStyle w:val="FootnoteReference"/>
          <w:sz w:val="16"/>
          <w:szCs w:val="16"/>
          <w:lang w:val="en-US"/>
        </w:rPr>
        <w:tab/>
      </w:r>
      <w:r w:rsidR="00E2299F" w:rsidRPr="00C9465D">
        <w:rPr>
          <w:i/>
          <w:sz w:val="16"/>
          <w:szCs w:val="16"/>
          <w:lang w:val="en-US"/>
        </w:rPr>
        <w:t>Cf.</w:t>
      </w:r>
      <w:r w:rsidRPr="00C9465D">
        <w:rPr>
          <w:i/>
          <w:sz w:val="16"/>
          <w:szCs w:val="16"/>
          <w:lang w:val="en-US"/>
        </w:rPr>
        <w:t xml:space="preserve"> </w:t>
      </w:r>
      <w:r w:rsidRPr="00C9465D">
        <w:rPr>
          <w:rStyle w:val="FootnoteReference"/>
          <w:sz w:val="16"/>
          <w:szCs w:val="16"/>
          <w:vertAlign w:val="baseline"/>
          <w:lang w:val="en-US"/>
        </w:rPr>
        <w:t>DINATED</w:t>
      </w:r>
      <w:r w:rsidRPr="00C9465D">
        <w:rPr>
          <w:sz w:val="16"/>
          <w:szCs w:val="16"/>
          <w:lang w:val="en-US"/>
        </w:rPr>
        <w:t xml:space="preserve">, </w:t>
      </w:r>
      <w:r w:rsidR="001F65A3" w:rsidRPr="00C9465D">
        <w:rPr>
          <w:sz w:val="16"/>
          <w:szCs w:val="16"/>
          <w:lang w:val="en-US"/>
        </w:rPr>
        <w:t>Order of February 17,</w:t>
      </w:r>
      <w:r w:rsidRPr="00C9465D">
        <w:rPr>
          <w:sz w:val="16"/>
          <w:szCs w:val="16"/>
          <w:lang w:val="en-US"/>
        </w:rPr>
        <w:t xml:space="preserve"> </w:t>
      </w:r>
      <w:r w:rsidRPr="00C9465D">
        <w:rPr>
          <w:rStyle w:val="FootnoteReference"/>
          <w:sz w:val="16"/>
          <w:szCs w:val="16"/>
          <w:vertAlign w:val="baseline"/>
          <w:lang w:val="en-US"/>
        </w:rPr>
        <w:t>2005 (</w:t>
      </w:r>
      <w:r w:rsidR="00153C9F" w:rsidRPr="00C9465D">
        <w:rPr>
          <w:sz w:val="16"/>
          <w:szCs w:val="16"/>
          <w:lang w:val="en-US"/>
        </w:rPr>
        <w:t>evidence file</w:t>
      </w:r>
      <w:r w:rsidRPr="00C9465D">
        <w:rPr>
          <w:sz w:val="16"/>
          <w:szCs w:val="16"/>
          <w:lang w:val="en-US"/>
        </w:rPr>
        <w:t xml:space="preserve">, folios </w:t>
      </w:r>
      <w:r w:rsidRPr="00C9465D">
        <w:rPr>
          <w:rStyle w:val="FootnoteReference"/>
          <w:sz w:val="16"/>
          <w:szCs w:val="16"/>
          <w:vertAlign w:val="baseline"/>
          <w:lang w:val="en-US"/>
        </w:rPr>
        <w:t>2931 a</w:t>
      </w:r>
      <w:r w:rsidR="001F65A3" w:rsidRPr="00C9465D">
        <w:rPr>
          <w:sz w:val="16"/>
          <w:szCs w:val="16"/>
          <w:lang w:val="en-US"/>
        </w:rPr>
        <w:t>nd</w:t>
      </w:r>
      <w:r w:rsidRPr="00C9465D">
        <w:rPr>
          <w:rStyle w:val="FootnoteReference"/>
          <w:sz w:val="16"/>
          <w:szCs w:val="16"/>
          <w:vertAlign w:val="baseline"/>
          <w:lang w:val="en-US"/>
        </w:rPr>
        <w:t xml:space="preserve"> 2932)</w:t>
      </w:r>
      <w:r w:rsidRPr="00C9465D">
        <w:rPr>
          <w:sz w:val="16"/>
          <w:szCs w:val="16"/>
          <w:lang w:val="en-US"/>
        </w:rPr>
        <w:t>.</w:t>
      </w:r>
    </w:p>
  </w:footnote>
  <w:footnote w:id="112">
    <w:p w14:paraId="7EEA03F7" w14:textId="432EE77A" w:rsidR="00300482" w:rsidRPr="00C9465D" w:rsidRDefault="00300482" w:rsidP="00BD26CF">
      <w:pPr>
        <w:pStyle w:val="FootnoteText"/>
        <w:tabs>
          <w:tab w:val="left" w:pos="567"/>
        </w:tabs>
        <w:spacing w:after="120"/>
        <w:rPr>
          <w:rStyle w:val="FootnoteReference"/>
          <w:sz w:val="16"/>
          <w:szCs w:val="16"/>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rStyle w:val="FootnoteReference"/>
          <w:sz w:val="16"/>
          <w:szCs w:val="16"/>
          <w:lang w:val="en-US"/>
        </w:rPr>
        <w:tab/>
      </w:r>
      <w:r w:rsidR="00E2299F" w:rsidRPr="00C9465D">
        <w:rPr>
          <w:i/>
          <w:sz w:val="16"/>
          <w:szCs w:val="16"/>
          <w:lang w:val="en-US"/>
        </w:rPr>
        <w:t>Cf.</w:t>
      </w:r>
      <w:r w:rsidRPr="00C9465D">
        <w:rPr>
          <w:i/>
          <w:sz w:val="16"/>
          <w:szCs w:val="16"/>
          <w:lang w:val="en-US"/>
        </w:rPr>
        <w:t xml:space="preserve"> </w:t>
      </w:r>
      <w:r w:rsidR="001F65A3" w:rsidRPr="00C9465D">
        <w:rPr>
          <w:sz w:val="16"/>
          <w:szCs w:val="16"/>
          <w:lang w:val="en-US"/>
        </w:rPr>
        <w:t xml:space="preserve">Report of the Head of Stomatology, </w:t>
      </w:r>
      <w:r w:rsidRPr="00C9465D">
        <w:rPr>
          <w:rStyle w:val="FootnoteReference"/>
          <w:sz w:val="16"/>
          <w:szCs w:val="16"/>
          <w:vertAlign w:val="baseline"/>
          <w:lang w:val="en-US"/>
        </w:rPr>
        <w:t>"Julio Endara"</w:t>
      </w:r>
      <w:r w:rsidRPr="00C9465D">
        <w:rPr>
          <w:rStyle w:val="FootnoteReference"/>
          <w:sz w:val="16"/>
          <w:szCs w:val="16"/>
          <w:lang w:val="en-US"/>
        </w:rPr>
        <w:t xml:space="preserve"> </w:t>
      </w:r>
      <w:r w:rsidR="001F65A3" w:rsidRPr="00C9465D">
        <w:rPr>
          <w:sz w:val="16"/>
          <w:szCs w:val="16"/>
          <w:lang w:val="en-US"/>
        </w:rPr>
        <w:t>Psychiatric Hospital of April 7,</w:t>
      </w:r>
      <w:r w:rsidRPr="00C9465D">
        <w:rPr>
          <w:sz w:val="16"/>
          <w:szCs w:val="16"/>
          <w:lang w:val="en-US"/>
        </w:rPr>
        <w:t xml:space="preserve"> 2005 </w:t>
      </w:r>
      <w:r w:rsidRPr="00C9465D">
        <w:rPr>
          <w:rStyle w:val="FootnoteReference"/>
          <w:sz w:val="16"/>
          <w:szCs w:val="16"/>
          <w:vertAlign w:val="baseline"/>
          <w:lang w:val="en-US"/>
        </w:rPr>
        <w:t>(</w:t>
      </w:r>
      <w:r w:rsidR="00153C9F" w:rsidRPr="00C9465D">
        <w:rPr>
          <w:sz w:val="16"/>
          <w:szCs w:val="16"/>
          <w:lang w:val="en-US"/>
        </w:rPr>
        <w:t>evidence file</w:t>
      </w:r>
      <w:r w:rsidRPr="00C9465D">
        <w:rPr>
          <w:sz w:val="16"/>
          <w:szCs w:val="16"/>
          <w:lang w:val="en-US"/>
        </w:rPr>
        <w:t xml:space="preserve">, folio </w:t>
      </w:r>
      <w:r w:rsidRPr="00C9465D">
        <w:rPr>
          <w:rStyle w:val="FootnoteReference"/>
          <w:sz w:val="16"/>
          <w:szCs w:val="16"/>
          <w:vertAlign w:val="baseline"/>
          <w:lang w:val="en-US"/>
        </w:rPr>
        <w:t>2936).</w:t>
      </w:r>
    </w:p>
  </w:footnote>
  <w:footnote w:id="113">
    <w:p w14:paraId="3B11FAA9" w14:textId="4D6CB995"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1F65A3" w:rsidRPr="00C9465D">
        <w:rPr>
          <w:sz w:val="16"/>
          <w:szCs w:val="16"/>
          <w:lang w:val="en-US"/>
        </w:rPr>
        <w:t xml:space="preserve">Application for </w:t>
      </w:r>
      <w:r w:rsidR="00721A86" w:rsidRPr="00C9465D">
        <w:rPr>
          <w:i/>
          <w:sz w:val="16"/>
          <w:szCs w:val="16"/>
          <w:lang w:val="en-US"/>
        </w:rPr>
        <w:t>habeas corpus</w:t>
      </w:r>
      <w:r w:rsidRPr="00C9465D">
        <w:rPr>
          <w:sz w:val="16"/>
          <w:szCs w:val="16"/>
          <w:lang w:val="en-US"/>
        </w:rPr>
        <w:t xml:space="preserve"> </w:t>
      </w:r>
      <w:r w:rsidR="001F65A3" w:rsidRPr="00C9465D">
        <w:rPr>
          <w:sz w:val="16"/>
          <w:szCs w:val="16"/>
          <w:lang w:val="en-US"/>
        </w:rPr>
        <w:t>filed by</w:t>
      </w:r>
      <w:r w:rsidRPr="00C9465D">
        <w:rPr>
          <w:sz w:val="16"/>
          <w:szCs w:val="16"/>
          <w:lang w:val="en-US"/>
        </w:rPr>
        <w:t xml:space="preserve"> INREDH </w:t>
      </w:r>
      <w:r w:rsidR="001F65A3" w:rsidRPr="00C9465D">
        <w:rPr>
          <w:sz w:val="16"/>
          <w:szCs w:val="16"/>
          <w:lang w:val="en-US"/>
        </w:rPr>
        <w:t>before the Mayor of the Metropolitan District</w:t>
      </w:r>
      <w:r w:rsidRPr="00C9465D">
        <w:rPr>
          <w:sz w:val="16"/>
          <w:szCs w:val="16"/>
          <w:lang w:val="en-US"/>
        </w:rPr>
        <w:t xml:space="preserve"> </w:t>
      </w:r>
      <w:r w:rsidR="001F65A3" w:rsidRPr="00C9465D">
        <w:rPr>
          <w:sz w:val="16"/>
          <w:szCs w:val="16"/>
          <w:lang w:val="en-US"/>
        </w:rPr>
        <w:t>of</w:t>
      </w:r>
      <w:r w:rsidRPr="00C9465D">
        <w:rPr>
          <w:sz w:val="16"/>
          <w:szCs w:val="16"/>
          <w:lang w:val="en-US"/>
        </w:rPr>
        <w:t xml:space="preserve"> Quito (</w:t>
      </w:r>
      <w:r w:rsidR="00153C9F" w:rsidRPr="00C9465D">
        <w:rPr>
          <w:sz w:val="16"/>
          <w:szCs w:val="16"/>
          <w:lang w:val="en-US"/>
        </w:rPr>
        <w:t>evidence file</w:t>
      </w:r>
      <w:r w:rsidRPr="00C9465D">
        <w:rPr>
          <w:sz w:val="16"/>
          <w:szCs w:val="16"/>
          <w:lang w:val="en-US"/>
        </w:rPr>
        <w:t>, folios 3214).</w:t>
      </w:r>
    </w:p>
  </w:footnote>
  <w:footnote w:id="114">
    <w:p w14:paraId="3BC9FBB6" w14:textId="484A4B18"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6A3DAB" w:rsidRPr="00C9465D">
        <w:rPr>
          <w:sz w:val="16"/>
          <w:szCs w:val="16"/>
          <w:lang w:val="en-US"/>
        </w:rPr>
        <w:t>Decision</w:t>
      </w:r>
      <w:r w:rsidRPr="00C9465D">
        <w:rPr>
          <w:sz w:val="16"/>
          <w:szCs w:val="16"/>
          <w:lang w:val="en-US"/>
        </w:rPr>
        <w:t xml:space="preserve"> </w:t>
      </w:r>
      <w:r w:rsidR="001F65A3" w:rsidRPr="00C9465D">
        <w:rPr>
          <w:sz w:val="16"/>
          <w:szCs w:val="16"/>
          <w:lang w:val="en-US"/>
        </w:rPr>
        <w:t>of the Metropolitan Mayor of</w:t>
      </w:r>
      <w:r w:rsidRPr="00C9465D">
        <w:rPr>
          <w:sz w:val="16"/>
          <w:szCs w:val="16"/>
          <w:lang w:val="en-US"/>
        </w:rPr>
        <w:t xml:space="preserve"> Quito </w:t>
      </w:r>
      <w:r w:rsidR="001F65A3" w:rsidRPr="00C9465D">
        <w:rPr>
          <w:sz w:val="16"/>
          <w:szCs w:val="16"/>
          <w:lang w:val="en-US"/>
        </w:rPr>
        <w:t>of December 14,</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3217).</w:t>
      </w:r>
    </w:p>
  </w:footnote>
  <w:footnote w:id="115">
    <w:p w14:paraId="1F2CA185" w14:textId="2E66E26C"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6A3DAB" w:rsidRPr="00C9465D">
        <w:rPr>
          <w:sz w:val="16"/>
          <w:szCs w:val="16"/>
          <w:lang w:val="en-US"/>
        </w:rPr>
        <w:t>Decision</w:t>
      </w:r>
      <w:r w:rsidRPr="00C9465D">
        <w:rPr>
          <w:sz w:val="16"/>
          <w:szCs w:val="16"/>
          <w:lang w:val="en-US"/>
        </w:rPr>
        <w:t xml:space="preserve"> </w:t>
      </w:r>
      <w:r w:rsidR="00194B20" w:rsidRPr="00C9465D">
        <w:rPr>
          <w:sz w:val="16"/>
          <w:szCs w:val="16"/>
          <w:lang w:val="en-US"/>
        </w:rPr>
        <w:t xml:space="preserve">of the Third Chamber of the </w:t>
      </w:r>
      <w:r w:rsidR="001A4FA7" w:rsidRPr="00C9465D">
        <w:rPr>
          <w:sz w:val="16"/>
          <w:szCs w:val="16"/>
          <w:lang w:val="en-US"/>
        </w:rPr>
        <w:t>Constitutional Court</w:t>
      </w:r>
      <w:r w:rsidRPr="00C9465D">
        <w:rPr>
          <w:sz w:val="16"/>
          <w:szCs w:val="16"/>
          <w:lang w:val="en-US"/>
        </w:rPr>
        <w:t xml:space="preserve"> </w:t>
      </w:r>
      <w:r w:rsidR="001F65A3" w:rsidRPr="00C9465D">
        <w:rPr>
          <w:sz w:val="16"/>
          <w:szCs w:val="16"/>
          <w:lang w:val="en-US"/>
        </w:rPr>
        <w:t>of July 6,</w:t>
      </w:r>
      <w:r w:rsidRPr="00C9465D">
        <w:rPr>
          <w:sz w:val="16"/>
          <w:szCs w:val="16"/>
          <w:lang w:val="en-US"/>
        </w:rPr>
        <w:t xml:space="preserve"> 2006 (</w:t>
      </w:r>
      <w:r w:rsidR="00153C9F" w:rsidRPr="00C9465D">
        <w:rPr>
          <w:sz w:val="16"/>
          <w:szCs w:val="16"/>
          <w:lang w:val="en-US"/>
        </w:rPr>
        <w:t>evidence file</w:t>
      </w:r>
      <w:r w:rsidRPr="00C9465D">
        <w:rPr>
          <w:sz w:val="16"/>
          <w:szCs w:val="16"/>
          <w:lang w:val="en-US"/>
        </w:rPr>
        <w:t xml:space="preserve">, folio 1810). </w:t>
      </w:r>
    </w:p>
  </w:footnote>
  <w:footnote w:id="116">
    <w:p w14:paraId="4ECA588C" w14:textId="56814F06"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6A3DAB" w:rsidRPr="00C9465D">
        <w:rPr>
          <w:sz w:val="16"/>
          <w:szCs w:val="16"/>
          <w:lang w:val="en-US"/>
        </w:rPr>
        <w:t>Decision</w:t>
      </w:r>
      <w:r w:rsidRPr="00C9465D">
        <w:rPr>
          <w:sz w:val="16"/>
          <w:szCs w:val="16"/>
          <w:lang w:val="en-US"/>
        </w:rPr>
        <w:t xml:space="preserve"> </w:t>
      </w:r>
      <w:r w:rsidR="00194B20" w:rsidRPr="00C9465D">
        <w:rPr>
          <w:sz w:val="16"/>
          <w:szCs w:val="16"/>
          <w:lang w:val="en-US"/>
        </w:rPr>
        <w:t xml:space="preserve">of the Third Chamber of the </w:t>
      </w:r>
      <w:r w:rsidR="001A4FA7" w:rsidRPr="00C9465D">
        <w:rPr>
          <w:sz w:val="16"/>
          <w:szCs w:val="16"/>
          <w:lang w:val="en-US"/>
        </w:rPr>
        <w:t>Constitutional Court</w:t>
      </w:r>
      <w:r w:rsidRPr="00C9465D">
        <w:rPr>
          <w:sz w:val="16"/>
          <w:szCs w:val="16"/>
          <w:lang w:val="en-US"/>
        </w:rPr>
        <w:t xml:space="preserve"> </w:t>
      </w:r>
      <w:r w:rsidR="001F65A3" w:rsidRPr="00C9465D">
        <w:rPr>
          <w:sz w:val="16"/>
          <w:szCs w:val="16"/>
          <w:lang w:val="en-US"/>
        </w:rPr>
        <w:t>of July 6,</w:t>
      </w:r>
      <w:r w:rsidRPr="00C9465D">
        <w:rPr>
          <w:sz w:val="16"/>
          <w:szCs w:val="16"/>
          <w:lang w:val="en-US"/>
        </w:rPr>
        <w:t xml:space="preserve"> 2006 (</w:t>
      </w:r>
      <w:r w:rsidR="00153C9F" w:rsidRPr="00C9465D">
        <w:rPr>
          <w:sz w:val="16"/>
          <w:szCs w:val="16"/>
          <w:lang w:val="en-US"/>
        </w:rPr>
        <w:t>evidence file</w:t>
      </w:r>
      <w:r w:rsidRPr="00C9465D">
        <w:rPr>
          <w:sz w:val="16"/>
          <w:szCs w:val="16"/>
          <w:lang w:val="en-US"/>
        </w:rPr>
        <w:t>, folio 1810).</w:t>
      </w:r>
    </w:p>
  </w:footnote>
  <w:footnote w:id="117">
    <w:p w14:paraId="43B3CE1F" w14:textId="4EBF48F8"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6A3DAB" w:rsidRPr="00C9465D">
        <w:rPr>
          <w:sz w:val="16"/>
          <w:szCs w:val="16"/>
          <w:lang w:val="en-US"/>
        </w:rPr>
        <w:t>Decision</w:t>
      </w:r>
      <w:r w:rsidRPr="00C9465D">
        <w:rPr>
          <w:sz w:val="16"/>
          <w:szCs w:val="16"/>
          <w:lang w:val="en-US"/>
        </w:rPr>
        <w:t xml:space="preserve"> </w:t>
      </w:r>
      <w:r w:rsidR="00194B20" w:rsidRPr="00C9465D">
        <w:rPr>
          <w:sz w:val="16"/>
          <w:szCs w:val="16"/>
          <w:lang w:val="en-US"/>
        </w:rPr>
        <w:t xml:space="preserve">of the Third Chamber of the </w:t>
      </w:r>
      <w:r w:rsidR="001A4FA7" w:rsidRPr="00C9465D">
        <w:rPr>
          <w:sz w:val="16"/>
          <w:szCs w:val="16"/>
          <w:lang w:val="en-US"/>
        </w:rPr>
        <w:t>Constitutional Court</w:t>
      </w:r>
      <w:r w:rsidRPr="00C9465D">
        <w:rPr>
          <w:sz w:val="16"/>
          <w:szCs w:val="16"/>
          <w:lang w:val="en-US"/>
        </w:rPr>
        <w:t xml:space="preserve"> </w:t>
      </w:r>
      <w:r w:rsidR="001F65A3" w:rsidRPr="00C9465D">
        <w:rPr>
          <w:sz w:val="16"/>
          <w:szCs w:val="16"/>
          <w:lang w:val="en-US"/>
        </w:rPr>
        <w:t>of July 6,</w:t>
      </w:r>
      <w:r w:rsidRPr="00C9465D">
        <w:rPr>
          <w:sz w:val="16"/>
          <w:szCs w:val="16"/>
          <w:lang w:val="en-US"/>
        </w:rPr>
        <w:t xml:space="preserve"> 2006 (</w:t>
      </w:r>
      <w:r w:rsidR="00153C9F" w:rsidRPr="00C9465D">
        <w:rPr>
          <w:sz w:val="16"/>
          <w:szCs w:val="16"/>
          <w:lang w:val="en-US"/>
        </w:rPr>
        <w:t>evidence file</w:t>
      </w:r>
      <w:r w:rsidRPr="00C9465D">
        <w:rPr>
          <w:sz w:val="16"/>
          <w:szCs w:val="16"/>
          <w:lang w:val="en-US"/>
        </w:rPr>
        <w:t>, folio 1815).</w:t>
      </w:r>
    </w:p>
  </w:footnote>
  <w:footnote w:id="118">
    <w:p w14:paraId="63F75E3D" w14:textId="2DB4FB08"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6A3DAB" w:rsidRPr="00C9465D">
        <w:rPr>
          <w:sz w:val="16"/>
          <w:szCs w:val="16"/>
          <w:lang w:val="en-US"/>
        </w:rPr>
        <w:t>Decision</w:t>
      </w:r>
      <w:r w:rsidRPr="00C9465D">
        <w:rPr>
          <w:sz w:val="16"/>
          <w:szCs w:val="16"/>
          <w:lang w:val="en-US"/>
        </w:rPr>
        <w:t xml:space="preserve"> </w:t>
      </w:r>
      <w:r w:rsidR="00194B20" w:rsidRPr="00C9465D">
        <w:rPr>
          <w:sz w:val="16"/>
          <w:szCs w:val="16"/>
          <w:lang w:val="en-US"/>
        </w:rPr>
        <w:t xml:space="preserve">of the Third Chamber of the </w:t>
      </w:r>
      <w:r w:rsidR="001A4FA7" w:rsidRPr="00C9465D">
        <w:rPr>
          <w:sz w:val="16"/>
          <w:szCs w:val="16"/>
          <w:lang w:val="en-US"/>
        </w:rPr>
        <w:t>Constitutional Court</w:t>
      </w:r>
      <w:r w:rsidRPr="00C9465D">
        <w:rPr>
          <w:sz w:val="16"/>
          <w:szCs w:val="16"/>
          <w:lang w:val="en-US"/>
        </w:rPr>
        <w:t xml:space="preserve"> </w:t>
      </w:r>
      <w:r w:rsidR="001F65A3" w:rsidRPr="00C9465D">
        <w:rPr>
          <w:sz w:val="16"/>
          <w:szCs w:val="16"/>
          <w:lang w:val="en-US"/>
        </w:rPr>
        <w:t>of July 6,</w:t>
      </w:r>
      <w:r w:rsidRPr="00C9465D">
        <w:rPr>
          <w:sz w:val="16"/>
          <w:szCs w:val="16"/>
          <w:lang w:val="en-US"/>
        </w:rPr>
        <w:t xml:space="preserve"> 2006 (</w:t>
      </w:r>
      <w:r w:rsidR="00153C9F" w:rsidRPr="00C9465D">
        <w:rPr>
          <w:sz w:val="16"/>
          <w:szCs w:val="16"/>
          <w:lang w:val="en-US"/>
        </w:rPr>
        <w:t>evidence file</w:t>
      </w:r>
      <w:r w:rsidRPr="00C9465D">
        <w:rPr>
          <w:sz w:val="16"/>
          <w:szCs w:val="16"/>
          <w:lang w:val="en-US"/>
        </w:rPr>
        <w:t>, folio 1811).</w:t>
      </w:r>
    </w:p>
  </w:footnote>
  <w:footnote w:id="119">
    <w:p w14:paraId="712A5CB7" w14:textId="48407968"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6A3DAB" w:rsidRPr="00C9465D">
        <w:rPr>
          <w:sz w:val="16"/>
          <w:szCs w:val="16"/>
          <w:lang w:val="en-US"/>
        </w:rPr>
        <w:t>Decision</w:t>
      </w:r>
      <w:r w:rsidRPr="00C9465D">
        <w:rPr>
          <w:sz w:val="16"/>
          <w:szCs w:val="16"/>
          <w:lang w:val="en-US"/>
        </w:rPr>
        <w:t xml:space="preserve"> </w:t>
      </w:r>
      <w:r w:rsidR="00194B20" w:rsidRPr="00C9465D">
        <w:rPr>
          <w:sz w:val="16"/>
          <w:szCs w:val="16"/>
          <w:lang w:val="en-US"/>
        </w:rPr>
        <w:t xml:space="preserve">of the Third Chamber of the </w:t>
      </w:r>
      <w:r w:rsidR="001A4FA7" w:rsidRPr="00C9465D">
        <w:rPr>
          <w:sz w:val="16"/>
          <w:szCs w:val="16"/>
          <w:lang w:val="en-US"/>
        </w:rPr>
        <w:t>Constitutional Court</w:t>
      </w:r>
      <w:r w:rsidRPr="00C9465D">
        <w:rPr>
          <w:sz w:val="16"/>
          <w:szCs w:val="16"/>
          <w:lang w:val="en-US"/>
        </w:rPr>
        <w:t xml:space="preserve"> </w:t>
      </w:r>
      <w:r w:rsidR="001F65A3" w:rsidRPr="00C9465D">
        <w:rPr>
          <w:sz w:val="16"/>
          <w:szCs w:val="16"/>
          <w:lang w:val="en-US"/>
        </w:rPr>
        <w:t>of July 6,</w:t>
      </w:r>
      <w:r w:rsidRPr="00C9465D">
        <w:rPr>
          <w:sz w:val="16"/>
          <w:szCs w:val="16"/>
          <w:lang w:val="en-US"/>
        </w:rPr>
        <w:t xml:space="preserve"> 2006 (</w:t>
      </w:r>
      <w:r w:rsidR="00153C9F" w:rsidRPr="00C9465D">
        <w:rPr>
          <w:sz w:val="16"/>
          <w:szCs w:val="16"/>
          <w:lang w:val="en-US"/>
        </w:rPr>
        <w:t>evidence file</w:t>
      </w:r>
      <w:r w:rsidRPr="00C9465D">
        <w:rPr>
          <w:sz w:val="16"/>
          <w:szCs w:val="16"/>
          <w:lang w:val="en-US"/>
        </w:rPr>
        <w:t>, folio 1815).</w:t>
      </w:r>
    </w:p>
  </w:footnote>
  <w:footnote w:id="120">
    <w:p w14:paraId="592F571C" w14:textId="48263697"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6A3DAB" w:rsidRPr="00C9465D">
        <w:rPr>
          <w:sz w:val="16"/>
          <w:szCs w:val="16"/>
          <w:lang w:val="en-US"/>
        </w:rPr>
        <w:t>Decision</w:t>
      </w:r>
      <w:r w:rsidRPr="00C9465D">
        <w:rPr>
          <w:sz w:val="16"/>
          <w:szCs w:val="16"/>
          <w:lang w:val="en-US"/>
        </w:rPr>
        <w:t xml:space="preserve"> </w:t>
      </w:r>
      <w:r w:rsidR="00194B20" w:rsidRPr="00C9465D">
        <w:rPr>
          <w:sz w:val="16"/>
          <w:szCs w:val="16"/>
          <w:lang w:val="en-US"/>
        </w:rPr>
        <w:t xml:space="preserve">of the Third Chamber of the </w:t>
      </w:r>
      <w:r w:rsidR="001A4FA7" w:rsidRPr="00C9465D">
        <w:rPr>
          <w:sz w:val="16"/>
          <w:szCs w:val="16"/>
          <w:lang w:val="en-US"/>
        </w:rPr>
        <w:t>Constitutional Court</w:t>
      </w:r>
      <w:r w:rsidRPr="00C9465D">
        <w:rPr>
          <w:sz w:val="16"/>
          <w:szCs w:val="16"/>
          <w:lang w:val="en-US"/>
        </w:rPr>
        <w:t xml:space="preserve"> </w:t>
      </w:r>
      <w:r w:rsidR="001F65A3" w:rsidRPr="00C9465D">
        <w:rPr>
          <w:sz w:val="16"/>
          <w:szCs w:val="16"/>
          <w:lang w:val="en-US"/>
        </w:rPr>
        <w:t>of July 6,</w:t>
      </w:r>
      <w:r w:rsidRPr="00C9465D">
        <w:rPr>
          <w:sz w:val="16"/>
          <w:szCs w:val="16"/>
          <w:lang w:val="en-US"/>
        </w:rPr>
        <w:t xml:space="preserve"> 2006 (</w:t>
      </w:r>
      <w:r w:rsidR="00153C9F" w:rsidRPr="00C9465D">
        <w:rPr>
          <w:sz w:val="16"/>
          <w:szCs w:val="16"/>
          <w:lang w:val="en-US"/>
        </w:rPr>
        <w:t>evidence file</w:t>
      </w:r>
      <w:r w:rsidRPr="00C9465D">
        <w:rPr>
          <w:sz w:val="16"/>
          <w:szCs w:val="16"/>
          <w:lang w:val="en-US"/>
        </w:rPr>
        <w:t>, folio 1815).</w:t>
      </w:r>
    </w:p>
  </w:footnote>
  <w:footnote w:id="121">
    <w:p w14:paraId="23E74857" w14:textId="3A831C88"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6A3DAB" w:rsidRPr="00C9465D">
        <w:rPr>
          <w:sz w:val="16"/>
          <w:szCs w:val="16"/>
          <w:lang w:val="en-US"/>
        </w:rPr>
        <w:t>Decision</w:t>
      </w:r>
      <w:r w:rsidRPr="00C9465D">
        <w:rPr>
          <w:sz w:val="16"/>
          <w:szCs w:val="16"/>
          <w:lang w:val="en-US"/>
        </w:rPr>
        <w:t xml:space="preserve"> </w:t>
      </w:r>
      <w:r w:rsidR="001F65A3" w:rsidRPr="00C9465D">
        <w:rPr>
          <w:sz w:val="16"/>
          <w:szCs w:val="16"/>
          <w:lang w:val="en-US"/>
        </w:rPr>
        <w:t>of the Prosecutor General of November</w:t>
      </w:r>
      <w:r w:rsidRPr="00C9465D">
        <w:rPr>
          <w:sz w:val="16"/>
          <w:szCs w:val="16"/>
          <w:lang w:val="en-US"/>
        </w:rPr>
        <w:t xml:space="preserve"> </w:t>
      </w:r>
      <w:r w:rsidR="001F65A3" w:rsidRPr="00C9465D">
        <w:rPr>
          <w:sz w:val="16"/>
          <w:szCs w:val="16"/>
          <w:lang w:val="en-US"/>
        </w:rPr>
        <w:t>4,</w:t>
      </w:r>
      <w:r w:rsidRPr="00C9465D">
        <w:rPr>
          <w:sz w:val="16"/>
          <w:szCs w:val="16"/>
          <w:lang w:val="en-US"/>
        </w:rPr>
        <w:t xml:space="preserve"> 2009 (</w:t>
      </w:r>
      <w:r w:rsidR="00153C9F" w:rsidRPr="00C9465D">
        <w:rPr>
          <w:sz w:val="16"/>
          <w:szCs w:val="16"/>
          <w:lang w:val="en-US"/>
        </w:rPr>
        <w:t>evidence file</w:t>
      </w:r>
      <w:r w:rsidRPr="00C9465D">
        <w:rPr>
          <w:sz w:val="16"/>
          <w:szCs w:val="16"/>
          <w:lang w:val="en-US"/>
        </w:rPr>
        <w:t>, folio 1776).</w:t>
      </w:r>
    </w:p>
  </w:footnote>
  <w:footnote w:id="122">
    <w:p w14:paraId="7ACF06F2" w14:textId="59E5FB5E"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1F65A3" w:rsidRPr="00C9465D">
        <w:rPr>
          <w:sz w:val="16"/>
          <w:szCs w:val="16"/>
          <w:lang w:val="en-US"/>
        </w:rPr>
        <w:t>Communication of</w:t>
      </w:r>
      <w:r w:rsidRPr="00C9465D">
        <w:rPr>
          <w:sz w:val="16"/>
          <w:szCs w:val="16"/>
          <w:lang w:val="en-US"/>
        </w:rPr>
        <w:t xml:space="preserve"> </w:t>
      </w:r>
      <w:r w:rsidR="001F65A3" w:rsidRPr="00C9465D">
        <w:rPr>
          <w:sz w:val="16"/>
          <w:szCs w:val="16"/>
          <w:lang w:val="en-US"/>
        </w:rPr>
        <w:t>the Homicide Brigade</w:t>
      </w:r>
      <w:r w:rsidRPr="00C9465D">
        <w:rPr>
          <w:sz w:val="16"/>
          <w:szCs w:val="16"/>
          <w:lang w:val="en-US"/>
        </w:rPr>
        <w:t xml:space="preserve"> </w:t>
      </w:r>
      <w:r w:rsidR="001F65A3" w:rsidRPr="00C9465D">
        <w:rPr>
          <w:sz w:val="16"/>
          <w:szCs w:val="16"/>
          <w:lang w:val="en-US"/>
        </w:rPr>
        <w:t>of the Pichincha Judicial Police</w:t>
      </w:r>
      <w:r w:rsidRPr="00C9465D">
        <w:rPr>
          <w:sz w:val="16"/>
          <w:szCs w:val="16"/>
          <w:lang w:val="en-US"/>
        </w:rPr>
        <w:t xml:space="preserve"> </w:t>
      </w:r>
      <w:r w:rsidR="001F65A3" w:rsidRPr="00C9465D">
        <w:rPr>
          <w:sz w:val="16"/>
          <w:szCs w:val="16"/>
          <w:lang w:val="en-US"/>
        </w:rPr>
        <w:t xml:space="preserve">of November 27, </w:t>
      </w:r>
      <w:r w:rsidRPr="00C9465D">
        <w:rPr>
          <w:sz w:val="16"/>
          <w:szCs w:val="16"/>
          <w:lang w:val="en-US"/>
        </w:rPr>
        <w:t>2009 (</w:t>
      </w:r>
      <w:r w:rsidR="00153C9F" w:rsidRPr="00C9465D">
        <w:rPr>
          <w:sz w:val="16"/>
          <w:szCs w:val="16"/>
          <w:lang w:val="en-US"/>
        </w:rPr>
        <w:t>evidence file</w:t>
      </w:r>
      <w:r w:rsidRPr="00C9465D">
        <w:rPr>
          <w:sz w:val="16"/>
          <w:szCs w:val="16"/>
          <w:lang w:val="en-US"/>
        </w:rPr>
        <w:t>, folio 1778).</w:t>
      </w:r>
    </w:p>
  </w:footnote>
  <w:footnote w:id="123">
    <w:p w14:paraId="12E101BA" w14:textId="13D1E81C" w:rsidR="00300482" w:rsidRPr="00C9465D" w:rsidRDefault="00300482" w:rsidP="00BD26CF">
      <w:pPr>
        <w:pStyle w:val="FootnoteText"/>
        <w:tabs>
          <w:tab w:val="left" w:pos="567"/>
        </w:tabs>
        <w:spacing w:after="120"/>
        <w:rPr>
          <w:sz w:val="16"/>
          <w:szCs w:val="16"/>
          <w:vertAlign w:val="superscript"/>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1C7793" w:rsidRPr="00C9465D">
        <w:rPr>
          <w:sz w:val="16"/>
          <w:szCs w:val="16"/>
          <w:lang w:val="en-US"/>
        </w:rPr>
        <w:t xml:space="preserve">Report </w:t>
      </w:r>
      <w:r w:rsidR="001F65A3" w:rsidRPr="00C9465D">
        <w:rPr>
          <w:sz w:val="16"/>
          <w:szCs w:val="16"/>
          <w:lang w:val="en-US"/>
        </w:rPr>
        <w:t>forwarded to</w:t>
      </w:r>
      <w:r w:rsidRPr="00C9465D">
        <w:rPr>
          <w:rStyle w:val="FootnoteReference"/>
          <w:sz w:val="16"/>
          <w:szCs w:val="16"/>
          <w:vertAlign w:val="baseline"/>
          <w:lang w:val="en-US"/>
        </w:rPr>
        <w:t xml:space="preserve"> </w:t>
      </w:r>
      <w:r w:rsidR="001F65A3" w:rsidRPr="00C9465D">
        <w:rPr>
          <w:rStyle w:val="FootnoteReference"/>
          <w:sz w:val="16"/>
          <w:szCs w:val="16"/>
          <w:vertAlign w:val="baseline"/>
          <w:lang w:val="en-US"/>
        </w:rPr>
        <w:t>t</w:t>
      </w:r>
      <w:r w:rsidR="001F65A3" w:rsidRPr="00C9465D">
        <w:rPr>
          <w:sz w:val="16"/>
          <w:szCs w:val="16"/>
          <w:lang w:val="en-US"/>
        </w:rPr>
        <w:t>he Head of</w:t>
      </w:r>
      <w:r w:rsidRPr="00C9465D">
        <w:rPr>
          <w:rStyle w:val="FootnoteReference"/>
          <w:sz w:val="16"/>
          <w:szCs w:val="16"/>
          <w:vertAlign w:val="baseline"/>
          <w:lang w:val="en-US"/>
        </w:rPr>
        <w:t xml:space="preserve"> </w:t>
      </w:r>
      <w:r w:rsidR="001F65A3" w:rsidRPr="00C9465D">
        <w:rPr>
          <w:rStyle w:val="FootnoteReference"/>
          <w:sz w:val="16"/>
          <w:szCs w:val="16"/>
          <w:vertAlign w:val="baseline"/>
          <w:lang w:val="en-US"/>
        </w:rPr>
        <w:t>the Judicial Police</w:t>
      </w:r>
      <w:r w:rsidRPr="00C9465D">
        <w:rPr>
          <w:rStyle w:val="FootnoteReference"/>
          <w:sz w:val="16"/>
          <w:szCs w:val="16"/>
          <w:vertAlign w:val="baseline"/>
          <w:lang w:val="en-US"/>
        </w:rPr>
        <w:t xml:space="preserve"> </w:t>
      </w:r>
      <w:r w:rsidR="001F65A3" w:rsidRPr="00C9465D">
        <w:rPr>
          <w:rStyle w:val="FootnoteReference"/>
          <w:sz w:val="16"/>
          <w:szCs w:val="16"/>
          <w:vertAlign w:val="baseline"/>
          <w:lang w:val="en-US"/>
        </w:rPr>
        <w:t>of the</w:t>
      </w:r>
      <w:r w:rsidRPr="00C9465D">
        <w:rPr>
          <w:rStyle w:val="FootnoteReference"/>
          <w:sz w:val="16"/>
          <w:szCs w:val="16"/>
          <w:vertAlign w:val="baseline"/>
          <w:lang w:val="en-US"/>
        </w:rPr>
        <w:t xml:space="preserve"> </w:t>
      </w:r>
      <w:r w:rsidR="001F65A3" w:rsidRPr="00C9465D">
        <w:rPr>
          <w:rStyle w:val="FootnoteReference"/>
          <w:sz w:val="16"/>
          <w:szCs w:val="16"/>
          <w:vertAlign w:val="baseline"/>
          <w:lang w:val="en-US"/>
        </w:rPr>
        <w:t>Metropolitan District</w:t>
      </w:r>
      <w:r w:rsidRPr="00C9465D">
        <w:rPr>
          <w:rStyle w:val="FootnoteReference"/>
          <w:sz w:val="16"/>
          <w:szCs w:val="16"/>
          <w:vertAlign w:val="baseline"/>
          <w:lang w:val="en-US"/>
        </w:rPr>
        <w:t xml:space="preserve"> </w:t>
      </w:r>
      <w:r w:rsidR="001F65A3" w:rsidRPr="00C9465D">
        <w:rPr>
          <w:rStyle w:val="FootnoteReference"/>
          <w:sz w:val="16"/>
          <w:szCs w:val="16"/>
          <w:vertAlign w:val="baseline"/>
          <w:lang w:val="en-US"/>
        </w:rPr>
        <w:t>of Quito</w:t>
      </w:r>
      <w:r w:rsidRPr="00C9465D">
        <w:rPr>
          <w:rStyle w:val="FootnoteReference"/>
          <w:sz w:val="16"/>
          <w:szCs w:val="16"/>
          <w:vertAlign w:val="baseline"/>
          <w:lang w:val="en-US"/>
        </w:rPr>
        <w:t xml:space="preserve"> </w:t>
      </w:r>
      <w:r w:rsidR="001F65A3" w:rsidRPr="00C9465D">
        <w:rPr>
          <w:rStyle w:val="FootnoteReference"/>
          <w:sz w:val="16"/>
          <w:szCs w:val="16"/>
          <w:vertAlign w:val="baseline"/>
          <w:lang w:val="en-US"/>
        </w:rPr>
        <w:t>o</w:t>
      </w:r>
      <w:r w:rsidR="001F65A3" w:rsidRPr="00C9465D">
        <w:rPr>
          <w:sz w:val="16"/>
          <w:szCs w:val="16"/>
          <w:lang w:val="en-US"/>
        </w:rPr>
        <w:t>f May 16,</w:t>
      </w:r>
      <w:r w:rsidRPr="00C9465D">
        <w:rPr>
          <w:rStyle w:val="FootnoteReference"/>
          <w:sz w:val="16"/>
          <w:szCs w:val="16"/>
          <w:vertAlign w:val="baseline"/>
          <w:lang w:val="en-US"/>
        </w:rPr>
        <w:t xml:space="preserve"> 2013 (</w:t>
      </w:r>
      <w:r w:rsidR="00153C9F" w:rsidRPr="00C9465D">
        <w:rPr>
          <w:rStyle w:val="FootnoteReference"/>
          <w:sz w:val="16"/>
          <w:szCs w:val="16"/>
          <w:vertAlign w:val="baseline"/>
          <w:lang w:val="en-US"/>
        </w:rPr>
        <w:t>evidence file</w:t>
      </w:r>
      <w:r w:rsidRPr="00C9465D">
        <w:rPr>
          <w:rStyle w:val="FootnoteReference"/>
          <w:sz w:val="16"/>
          <w:szCs w:val="16"/>
          <w:vertAlign w:val="baseline"/>
          <w:lang w:val="en-US"/>
        </w:rPr>
        <w:t>, folio 1780 a</w:t>
      </w:r>
      <w:r w:rsidR="001C7793" w:rsidRPr="00C9465D">
        <w:rPr>
          <w:sz w:val="16"/>
          <w:szCs w:val="16"/>
          <w:lang w:val="en-US"/>
        </w:rPr>
        <w:t>nd</w:t>
      </w:r>
      <w:r w:rsidRPr="00C9465D">
        <w:rPr>
          <w:rStyle w:val="FootnoteReference"/>
          <w:sz w:val="16"/>
          <w:szCs w:val="16"/>
          <w:vertAlign w:val="baseline"/>
          <w:lang w:val="en-US"/>
        </w:rPr>
        <w:t xml:space="preserve"> 1781).</w:t>
      </w:r>
    </w:p>
  </w:footnote>
  <w:footnote w:id="124">
    <w:p w14:paraId="5D0BF9A3" w14:textId="34252AEB"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rStyle w:val="FootnoteReference"/>
          <w:sz w:val="16"/>
          <w:szCs w:val="16"/>
          <w:lang w:val="en-US"/>
        </w:rPr>
        <w:tab/>
      </w:r>
      <w:r w:rsidR="00E2299F" w:rsidRPr="00C9465D">
        <w:rPr>
          <w:i/>
          <w:sz w:val="16"/>
          <w:szCs w:val="16"/>
          <w:lang w:val="en-US"/>
        </w:rPr>
        <w:t>Cf.</w:t>
      </w:r>
      <w:r w:rsidRPr="00C9465D">
        <w:rPr>
          <w:i/>
          <w:sz w:val="16"/>
          <w:szCs w:val="16"/>
          <w:lang w:val="en-US"/>
        </w:rPr>
        <w:t xml:space="preserve"> </w:t>
      </w:r>
      <w:r w:rsidR="006A3DAB" w:rsidRPr="00C9465D">
        <w:rPr>
          <w:rStyle w:val="FootnoteReference"/>
          <w:sz w:val="16"/>
          <w:szCs w:val="16"/>
          <w:vertAlign w:val="baseline"/>
          <w:lang w:val="en-US"/>
        </w:rPr>
        <w:t>Decision</w:t>
      </w:r>
      <w:r w:rsidRPr="00C9465D">
        <w:rPr>
          <w:rStyle w:val="FootnoteReference"/>
          <w:sz w:val="16"/>
          <w:szCs w:val="16"/>
          <w:vertAlign w:val="baseline"/>
          <w:lang w:val="en-US"/>
        </w:rPr>
        <w:t xml:space="preserve"> </w:t>
      </w:r>
      <w:r w:rsidR="001F65A3" w:rsidRPr="00C9465D">
        <w:rPr>
          <w:sz w:val="16"/>
          <w:szCs w:val="16"/>
          <w:lang w:val="en-US"/>
        </w:rPr>
        <w:t xml:space="preserve">of the Pichincha Provincial Prosecutor of October 16, </w:t>
      </w:r>
      <w:r w:rsidRPr="00C9465D">
        <w:rPr>
          <w:rStyle w:val="FootnoteReference"/>
          <w:sz w:val="16"/>
          <w:szCs w:val="16"/>
          <w:vertAlign w:val="baseline"/>
          <w:lang w:val="en-US"/>
        </w:rPr>
        <w:t>2013 (</w:t>
      </w:r>
      <w:r w:rsidR="00153C9F" w:rsidRPr="00C9465D">
        <w:rPr>
          <w:rStyle w:val="FootnoteReference"/>
          <w:sz w:val="16"/>
          <w:szCs w:val="16"/>
          <w:vertAlign w:val="baseline"/>
          <w:lang w:val="en-US"/>
        </w:rPr>
        <w:t>evidence file</w:t>
      </w:r>
      <w:r w:rsidRPr="00C9465D">
        <w:rPr>
          <w:rStyle w:val="FootnoteReference"/>
          <w:sz w:val="16"/>
          <w:szCs w:val="16"/>
          <w:vertAlign w:val="baseline"/>
          <w:lang w:val="en-US"/>
        </w:rPr>
        <w:t>, folio 2437).</w:t>
      </w:r>
    </w:p>
  </w:footnote>
  <w:footnote w:id="125">
    <w:p w14:paraId="2F74BD7B" w14:textId="22A5018D"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12C0E" w:rsidRPr="00C9465D">
        <w:rPr>
          <w:sz w:val="16"/>
          <w:szCs w:val="16"/>
          <w:lang w:val="en-US"/>
        </w:rPr>
        <w:t>Forensic Anthropology Report No.</w:t>
      </w:r>
      <w:r w:rsidRPr="00C9465D">
        <w:rPr>
          <w:sz w:val="16"/>
          <w:szCs w:val="16"/>
          <w:lang w:val="en-US"/>
        </w:rPr>
        <w:t xml:space="preserve"> 005-SOAF-2014 </w:t>
      </w:r>
      <w:r w:rsidR="00D12C0E" w:rsidRPr="00C9465D">
        <w:rPr>
          <w:sz w:val="16"/>
          <w:szCs w:val="16"/>
          <w:lang w:val="en-US"/>
        </w:rPr>
        <w:t>of January 31,</w:t>
      </w:r>
      <w:r w:rsidRPr="00C9465D">
        <w:rPr>
          <w:sz w:val="16"/>
          <w:szCs w:val="16"/>
          <w:lang w:val="en-US"/>
        </w:rPr>
        <w:t xml:space="preserve"> 2014 (</w:t>
      </w:r>
      <w:r w:rsidR="00153C9F" w:rsidRPr="00C9465D">
        <w:rPr>
          <w:sz w:val="16"/>
          <w:szCs w:val="16"/>
          <w:lang w:val="en-US"/>
        </w:rPr>
        <w:t>evidence file</w:t>
      </w:r>
      <w:r w:rsidRPr="00C9465D">
        <w:rPr>
          <w:sz w:val="16"/>
          <w:szCs w:val="16"/>
          <w:lang w:val="en-US"/>
        </w:rPr>
        <w:t xml:space="preserve">, folios 2718 </w:t>
      </w:r>
      <w:r w:rsidR="00D12C0E" w:rsidRPr="00C9465D">
        <w:rPr>
          <w:sz w:val="16"/>
          <w:szCs w:val="16"/>
          <w:lang w:val="en-US"/>
        </w:rPr>
        <w:t>to</w:t>
      </w:r>
      <w:r w:rsidRPr="00C9465D">
        <w:rPr>
          <w:sz w:val="16"/>
          <w:szCs w:val="16"/>
          <w:lang w:val="en-US"/>
        </w:rPr>
        <w:t xml:space="preserve"> 2722), </w:t>
      </w:r>
      <w:r w:rsidR="00D12C0E" w:rsidRPr="00C9465D">
        <w:rPr>
          <w:sz w:val="16"/>
          <w:szCs w:val="16"/>
          <w:lang w:val="en-US"/>
        </w:rPr>
        <w:t xml:space="preserve">and DNA Report of the </w:t>
      </w:r>
      <w:r w:rsidR="00092D8C" w:rsidRPr="00C9465D">
        <w:rPr>
          <w:sz w:val="16"/>
          <w:szCs w:val="16"/>
          <w:lang w:val="en-US"/>
        </w:rPr>
        <w:t xml:space="preserve">Pichincha </w:t>
      </w:r>
      <w:r w:rsidR="00D12C0E" w:rsidRPr="00C9465D">
        <w:rPr>
          <w:sz w:val="16"/>
          <w:szCs w:val="16"/>
          <w:lang w:val="en-US"/>
        </w:rPr>
        <w:t xml:space="preserve">Department of Forensic Medicine </w:t>
      </w:r>
      <w:r w:rsidR="002C5740" w:rsidRPr="00C9465D">
        <w:rPr>
          <w:sz w:val="16"/>
          <w:szCs w:val="16"/>
          <w:lang w:val="en-US"/>
        </w:rPr>
        <w:t>of April 21,</w:t>
      </w:r>
      <w:r w:rsidRPr="00C9465D">
        <w:rPr>
          <w:sz w:val="16"/>
          <w:szCs w:val="16"/>
          <w:lang w:val="en-US"/>
        </w:rPr>
        <w:t xml:space="preserve"> 2014 (</w:t>
      </w:r>
      <w:r w:rsidR="00153C9F" w:rsidRPr="00C9465D">
        <w:rPr>
          <w:sz w:val="16"/>
          <w:szCs w:val="16"/>
          <w:lang w:val="en-US"/>
        </w:rPr>
        <w:t>evidence file</w:t>
      </w:r>
      <w:r w:rsidRPr="00C9465D">
        <w:rPr>
          <w:sz w:val="16"/>
          <w:szCs w:val="16"/>
          <w:lang w:val="en-US"/>
        </w:rPr>
        <w:t xml:space="preserve">, folios 3060 </w:t>
      </w:r>
      <w:r w:rsidR="00092D8C" w:rsidRPr="00C9465D">
        <w:rPr>
          <w:sz w:val="16"/>
          <w:szCs w:val="16"/>
          <w:lang w:val="en-US"/>
        </w:rPr>
        <w:t>to</w:t>
      </w:r>
      <w:r w:rsidRPr="00C9465D">
        <w:rPr>
          <w:sz w:val="16"/>
          <w:szCs w:val="16"/>
          <w:lang w:val="en-US"/>
        </w:rPr>
        <w:t xml:space="preserve"> 3064).</w:t>
      </w:r>
    </w:p>
  </w:footnote>
  <w:footnote w:id="126">
    <w:p w14:paraId="45A34D30" w14:textId="2B09A81B"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092D8C" w:rsidRPr="00C9465D">
        <w:rPr>
          <w:sz w:val="16"/>
          <w:szCs w:val="16"/>
          <w:lang w:val="en-US"/>
        </w:rPr>
        <w:t xml:space="preserve">Ruling of the judge of the Criminal Guarantees Judicial Unit with Competence for Flagrant Offenses of the </w:t>
      </w:r>
      <w:r w:rsidR="001F65A3" w:rsidRPr="00C9465D">
        <w:rPr>
          <w:sz w:val="16"/>
          <w:szCs w:val="16"/>
          <w:lang w:val="en-US"/>
        </w:rPr>
        <w:t>Metropolitan District</w:t>
      </w:r>
      <w:r w:rsidRPr="00C9465D">
        <w:rPr>
          <w:sz w:val="16"/>
          <w:szCs w:val="16"/>
          <w:lang w:val="en-US"/>
        </w:rPr>
        <w:t xml:space="preserve"> </w:t>
      </w:r>
      <w:r w:rsidR="001F65A3" w:rsidRPr="00C9465D">
        <w:rPr>
          <w:sz w:val="16"/>
          <w:szCs w:val="16"/>
          <w:lang w:val="en-US"/>
        </w:rPr>
        <w:t>of Quito</w:t>
      </w:r>
      <w:r w:rsidR="00092D8C" w:rsidRPr="00C9465D">
        <w:rPr>
          <w:sz w:val="16"/>
          <w:szCs w:val="16"/>
          <w:lang w:val="en-US"/>
        </w:rPr>
        <w:t>, province of</w:t>
      </w:r>
      <w:r w:rsidRPr="00C9465D">
        <w:rPr>
          <w:sz w:val="16"/>
          <w:szCs w:val="16"/>
          <w:lang w:val="en-US"/>
        </w:rPr>
        <w:t xml:space="preserve"> Pichincha</w:t>
      </w:r>
      <w:r w:rsidR="00092D8C" w:rsidRPr="00C9465D">
        <w:rPr>
          <w:sz w:val="16"/>
          <w:szCs w:val="16"/>
          <w:lang w:val="en-US"/>
        </w:rPr>
        <w:t xml:space="preserve">, of June 13, </w:t>
      </w:r>
      <w:r w:rsidRPr="00C9465D">
        <w:rPr>
          <w:sz w:val="16"/>
          <w:szCs w:val="16"/>
          <w:lang w:val="en-US"/>
        </w:rPr>
        <w:t>2014 (</w:t>
      </w:r>
      <w:r w:rsidR="00153C9F" w:rsidRPr="00C9465D">
        <w:rPr>
          <w:sz w:val="16"/>
          <w:szCs w:val="16"/>
          <w:lang w:val="en-US"/>
        </w:rPr>
        <w:t>evidence file</w:t>
      </w:r>
      <w:r w:rsidRPr="00C9465D">
        <w:rPr>
          <w:sz w:val="16"/>
          <w:szCs w:val="16"/>
          <w:lang w:val="en-US"/>
        </w:rPr>
        <w:t xml:space="preserve">, folio 3089); </w:t>
      </w:r>
      <w:r w:rsidR="00092D8C" w:rsidRPr="00C9465D">
        <w:rPr>
          <w:sz w:val="16"/>
          <w:szCs w:val="16"/>
          <w:lang w:val="en-US"/>
        </w:rPr>
        <w:t xml:space="preserve">Search record of June 18, </w:t>
      </w:r>
      <w:r w:rsidRPr="00C9465D">
        <w:rPr>
          <w:sz w:val="16"/>
          <w:szCs w:val="16"/>
          <w:lang w:val="en-US"/>
        </w:rPr>
        <w:t>2014 (</w:t>
      </w:r>
      <w:r w:rsidR="00153C9F" w:rsidRPr="00C9465D">
        <w:rPr>
          <w:sz w:val="16"/>
          <w:szCs w:val="16"/>
          <w:lang w:val="en-US"/>
        </w:rPr>
        <w:t>evidence file</w:t>
      </w:r>
      <w:r w:rsidRPr="00C9465D">
        <w:rPr>
          <w:sz w:val="16"/>
          <w:szCs w:val="16"/>
          <w:lang w:val="en-US"/>
        </w:rPr>
        <w:t>, folios 3205 a</w:t>
      </w:r>
      <w:r w:rsidR="00092D8C" w:rsidRPr="00C9465D">
        <w:rPr>
          <w:sz w:val="16"/>
          <w:szCs w:val="16"/>
          <w:lang w:val="en-US"/>
        </w:rPr>
        <w:t>nd</w:t>
      </w:r>
      <w:r w:rsidRPr="00C9465D">
        <w:rPr>
          <w:sz w:val="16"/>
          <w:szCs w:val="16"/>
          <w:lang w:val="en-US"/>
        </w:rPr>
        <w:t xml:space="preserve"> 3206),</w:t>
      </w:r>
      <w:r w:rsidR="00193CBB" w:rsidRPr="00C9465D">
        <w:rPr>
          <w:sz w:val="16"/>
          <w:szCs w:val="16"/>
          <w:lang w:val="en-US"/>
        </w:rPr>
        <w:t xml:space="preserve"> and </w:t>
      </w:r>
      <w:r w:rsidR="00092D8C" w:rsidRPr="00C9465D">
        <w:rPr>
          <w:sz w:val="16"/>
          <w:szCs w:val="16"/>
          <w:lang w:val="en-US"/>
        </w:rPr>
        <w:t>Report on Investigation</w:t>
      </w:r>
      <w:r w:rsidRPr="00C9465D">
        <w:rPr>
          <w:sz w:val="16"/>
          <w:szCs w:val="16"/>
          <w:lang w:val="en-US"/>
        </w:rPr>
        <w:t xml:space="preserve"> No. 945 </w:t>
      </w:r>
      <w:r w:rsidR="00092D8C" w:rsidRPr="00C9465D">
        <w:rPr>
          <w:sz w:val="16"/>
          <w:szCs w:val="16"/>
          <w:lang w:val="en-US"/>
        </w:rPr>
        <w:t xml:space="preserve">of the National Directorate for crimes against </w:t>
      </w:r>
      <w:r w:rsidR="00D12C0E" w:rsidRPr="00C9465D">
        <w:rPr>
          <w:sz w:val="16"/>
          <w:szCs w:val="16"/>
          <w:lang w:val="en-US"/>
        </w:rPr>
        <w:t>life</w:t>
      </w:r>
      <w:r w:rsidRPr="00C9465D">
        <w:rPr>
          <w:sz w:val="16"/>
          <w:szCs w:val="16"/>
          <w:lang w:val="en-US"/>
        </w:rPr>
        <w:t xml:space="preserve">, </w:t>
      </w:r>
      <w:r w:rsidR="00092D8C" w:rsidRPr="00C9465D">
        <w:rPr>
          <w:sz w:val="16"/>
          <w:szCs w:val="16"/>
          <w:lang w:val="en-US"/>
        </w:rPr>
        <w:t xml:space="preserve">violent deaths, disappearances, extorsion and kidnapping of </w:t>
      </w:r>
      <w:r w:rsidR="004F5593" w:rsidRPr="00C9465D">
        <w:rPr>
          <w:sz w:val="16"/>
          <w:szCs w:val="16"/>
          <w:lang w:val="en-US"/>
        </w:rPr>
        <w:t>the National Police</w:t>
      </w:r>
      <w:r w:rsidR="00092D8C" w:rsidRPr="00C9465D">
        <w:rPr>
          <w:sz w:val="16"/>
          <w:szCs w:val="16"/>
          <w:lang w:val="en-US"/>
        </w:rPr>
        <w:t xml:space="preserve"> of</w:t>
      </w:r>
      <w:r w:rsidRPr="00C9465D">
        <w:rPr>
          <w:sz w:val="16"/>
          <w:szCs w:val="16"/>
          <w:lang w:val="en-US"/>
        </w:rPr>
        <w:t xml:space="preserve"> Ecuador</w:t>
      </w:r>
      <w:r w:rsidR="00092D8C" w:rsidRPr="00C9465D">
        <w:rPr>
          <w:sz w:val="16"/>
          <w:szCs w:val="16"/>
          <w:lang w:val="en-US"/>
        </w:rPr>
        <w:t>, June 25,</w:t>
      </w:r>
      <w:r w:rsidRPr="00C9465D">
        <w:rPr>
          <w:sz w:val="16"/>
          <w:szCs w:val="16"/>
          <w:lang w:val="en-US"/>
        </w:rPr>
        <w:t xml:space="preserve"> 2014 (</w:t>
      </w:r>
      <w:r w:rsidR="00153C9F" w:rsidRPr="00C9465D">
        <w:rPr>
          <w:sz w:val="16"/>
          <w:szCs w:val="16"/>
          <w:lang w:val="en-US"/>
        </w:rPr>
        <w:t>evidence file</w:t>
      </w:r>
      <w:r w:rsidRPr="00C9465D">
        <w:rPr>
          <w:sz w:val="16"/>
          <w:szCs w:val="16"/>
          <w:lang w:val="en-US"/>
        </w:rPr>
        <w:t xml:space="preserve">, folios 3169 </w:t>
      </w:r>
      <w:r w:rsidR="00092D8C" w:rsidRPr="00C9465D">
        <w:rPr>
          <w:sz w:val="16"/>
          <w:szCs w:val="16"/>
          <w:lang w:val="en-US"/>
        </w:rPr>
        <w:t xml:space="preserve">to </w:t>
      </w:r>
      <w:r w:rsidRPr="00C9465D">
        <w:rPr>
          <w:sz w:val="16"/>
          <w:szCs w:val="16"/>
          <w:lang w:val="en-US"/>
        </w:rPr>
        <w:t>3179).</w:t>
      </w:r>
    </w:p>
  </w:footnote>
  <w:footnote w:id="127">
    <w:p w14:paraId="24D5088D" w14:textId="290AAC7B"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092D8C" w:rsidRPr="00C9465D">
        <w:rPr>
          <w:sz w:val="16"/>
          <w:szCs w:val="16"/>
          <w:lang w:val="en-US"/>
        </w:rPr>
        <w:t xml:space="preserve">Forensic Documentation Report </w:t>
      </w:r>
      <w:r w:rsidRPr="00C9465D">
        <w:rPr>
          <w:sz w:val="16"/>
          <w:szCs w:val="16"/>
          <w:lang w:val="en-US"/>
        </w:rPr>
        <w:t xml:space="preserve">No. 396 </w:t>
      </w:r>
      <w:r w:rsidR="00092D8C" w:rsidRPr="00C9465D">
        <w:rPr>
          <w:sz w:val="16"/>
          <w:szCs w:val="16"/>
          <w:lang w:val="en-US"/>
        </w:rPr>
        <w:t xml:space="preserve">of the Pichincha Criminalistics Department of July 17, </w:t>
      </w:r>
      <w:r w:rsidRPr="00C9465D">
        <w:rPr>
          <w:sz w:val="16"/>
          <w:szCs w:val="16"/>
          <w:lang w:val="en-US"/>
        </w:rPr>
        <w:t>2014 (</w:t>
      </w:r>
      <w:r w:rsidR="00153C9F" w:rsidRPr="00C9465D">
        <w:rPr>
          <w:sz w:val="16"/>
          <w:szCs w:val="16"/>
          <w:lang w:val="en-US"/>
        </w:rPr>
        <w:t>evidence file</w:t>
      </w:r>
      <w:r w:rsidRPr="00C9465D">
        <w:rPr>
          <w:sz w:val="16"/>
          <w:szCs w:val="16"/>
          <w:lang w:val="en-US"/>
        </w:rPr>
        <w:t xml:space="preserve">, folios 3283 </w:t>
      </w:r>
      <w:r w:rsidR="00092D8C" w:rsidRPr="00C9465D">
        <w:rPr>
          <w:sz w:val="16"/>
          <w:szCs w:val="16"/>
          <w:lang w:val="en-US"/>
        </w:rPr>
        <w:t>to</w:t>
      </w:r>
      <w:r w:rsidRPr="00C9465D">
        <w:rPr>
          <w:sz w:val="16"/>
          <w:szCs w:val="16"/>
          <w:lang w:val="en-US"/>
        </w:rPr>
        <w:t xml:space="preserve"> 3297), </w:t>
      </w:r>
      <w:r w:rsidR="00092D8C" w:rsidRPr="00C9465D">
        <w:rPr>
          <w:sz w:val="16"/>
          <w:szCs w:val="16"/>
          <w:lang w:val="en-US"/>
        </w:rPr>
        <w:t>and</w:t>
      </w:r>
      <w:r w:rsidRPr="00C9465D">
        <w:rPr>
          <w:sz w:val="16"/>
          <w:szCs w:val="16"/>
          <w:lang w:val="en-US"/>
        </w:rPr>
        <w:t xml:space="preserve"> </w:t>
      </w:r>
      <w:r w:rsidR="00092D8C" w:rsidRPr="00C9465D">
        <w:rPr>
          <w:sz w:val="16"/>
          <w:szCs w:val="16"/>
          <w:lang w:val="en-US"/>
        </w:rPr>
        <w:t xml:space="preserve">Forensic Documentation Report </w:t>
      </w:r>
      <w:r w:rsidRPr="00C9465D">
        <w:rPr>
          <w:sz w:val="16"/>
          <w:szCs w:val="16"/>
          <w:lang w:val="en-US"/>
        </w:rPr>
        <w:t xml:space="preserve">No. 840 </w:t>
      </w:r>
      <w:r w:rsidR="00092D8C" w:rsidRPr="00C9465D">
        <w:rPr>
          <w:sz w:val="16"/>
          <w:szCs w:val="16"/>
          <w:lang w:val="en-US"/>
        </w:rPr>
        <w:t>of the Pichincha Criminalistics Department of August 12,</w:t>
      </w:r>
      <w:r w:rsidRPr="00C9465D">
        <w:rPr>
          <w:sz w:val="16"/>
          <w:szCs w:val="16"/>
          <w:lang w:val="en-US"/>
        </w:rPr>
        <w:t xml:space="preserve"> 2015 (</w:t>
      </w:r>
      <w:r w:rsidR="00153C9F" w:rsidRPr="00C9465D">
        <w:rPr>
          <w:sz w:val="16"/>
          <w:szCs w:val="16"/>
          <w:lang w:val="en-US"/>
        </w:rPr>
        <w:t>evidence file</w:t>
      </w:r>
      <w:r w:rsidRPr="00C9465D">
        <w:rPr>
          <w:sz w:val="16"/>
          <w:szCs w:val="16"/>
          <w:lang w:val="en-US"/>
        </w:rPr>
        <w:t xml:space="preserve">, folios 6545 </w:t>
      </w:r>
      <w:r w:rsidR="00092D8C" w:rsidRPr="00C9465D">
        <w:rPr>
          <w:sz w:val="16"/>
          <w:szCs w:val="16"/>
          <w:lang w:val="en-US"/>
        </w:rPr>
        <w:t>to</w:t>
      </w:r>
      <w:r w:rsidRPr="00C9465D">
        <w:rPr>
          <w:sz w:val="16"/>
          <w:szCs w:val="16"/>
          <w:lang w:val="en-US"/>
        </w:rPr>
        <w:t xml:space="preserve"> 6569).</w:t>
      </w:r>
    </w:p>
  </w:footnote>
  <w:footnote w:id="128">
    <w:p w14:paraId="1BB5C219" w14:textId="7178A5AD"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092D8C" w:rsidRPr="00C9465D">
        <w:rPr>
          <w:sz w:val="16"/>
          <w:szCs w:val="16"/>
          <w:lang w:val="en-US"/>
        </w:rPr>
        <w:t>Human Identity Report</w:t>
      </w:r>
      <w:r w:rsidRPr="00C9465D">
        <w:rPr>
          <w:sz w:val="16"/>
          <w:szCs w:val="16"/>
          <w:lang w:val="en-US"/>
        </w:rPr>
        <w:t xml:space="preserve"> (</w:t>
      </w:r>
      <w:r w:rsidR="00092D8C" w:rsidRPr="00C9465D">
        <w:rPr>
          <w:sz w:val="16"/>
          <w:szCs w:val="16"/>
          <w:lang w:val="en-US"/>
        </w:rPr>
        <w:t>Fingerprints</w:t>
      </w:r>
      <w:r w:rsidRPr="00C9465D">
        <w:rPr>
          <w:sz w:val="16"/>
          <w:szCs w:val="16"/>
          <w:lang w:val="en-US"/>
        </w:rPr>
        <w:t xml:space="preserve">) </w:t>
      </w:r>
      <w:r w:rsidR="00D12C0E" w:rsidRPr="00C9465D">
        <w:rPr>
          <w:sz w:val="16"/>
          <w:szCs w:val="16"/>
          <w:lang w:val="en-US"/>
        </w:rPr>
        <w:t>No</w:t>
      </w:r>
      <w:r w:rsidRPr="00C9465D">
        <w:rPr>
          <w:sz w:val="16"/>
          <w:szCs w:val="16"/>
          <w:lang w:val="en-US"/>
        </w:rPr>
        <w:t xml:space="preserve">. 442-2014 </w:t>
      </w:r>
      <w:r w:rsidR="00092D8C" w:rsidRPr="00C9465D">
        <w:rPr>
          <w:sz w:val="16"/>
          <w:szCs w:val="16"/>
          <w:lang w:val="en-US"/>
        </w:rPr>
        <w:t xml:space="preserve">of the Technical and Scientific Subdirectorate of the </w:t>
      </w:r>
      <w:r w:rsidR="001F65A3" w:rsidRPr="00C9465D">
        <w:rPr>
          <w:sz w:val="16"/>
          <w:szCs w:val="16"/>
          <w:lang w:val="en-US"/>
        </w:rPr>
        <w:t>Judicial Police</w:t>
      </w:r>
      <w:r w:rsidRPr="00C9465D">
        <w:rPr>
          <w:sz w:val="16"/>
          <w:szCs w:val="16"/>
          <w:lang w:val="en-US"/>
        </w:rPr>
        <w:t xml:space="preserve"> </w:t>
      </w:r>
      <w:r w:rsidR="00092D8C" w:rsidRPr="00C9465D">
        <w:rPr>
          <w:sz w:val="16"/>
          <w:szCs w:val="16"/>
          <w:lang w:val="en-US"/>
        </w:rPr>
        <w:t>of July 22,</w:t>
      </w:r>
      <w:r w:rsidRPr="00C9465D">
        <w:rPr>
          <w:sz w:val="16"/>
          <w:szCs w:val="16"/>
          <w:lang w:val="en-US"/>
        </w:rPr>
        <w:t xml:space="preserve"> 2014 (</w:t>
      </w:r>
      <w:r w:rsidR="00153C9F" w:rsidRPr="00C9465D">
        <w:rPr>
          <w:sz w:val="16"/>
          <w:szCs w:val="16"/>
          <w:lang w:val="en-US"/>
        </w:rPr>
        <w:t>evidence file</w:t>
      </w:r>
      <w:r w:rsidRPr="00C9465D">
        <w:rPr>
          <w:sz w:val="16"/>
          <w:szCs w:val="16"/>
          <w:lang w:val="en-US"/>
        </w:rPr>
        <w:t xml:space="preserve">, folios 3301 </w:t>
      </w:r>
      <w:r w:rsidR="00092D8C" w:rsidRPr="00C9465D">
        <w:rPr>
          <w:sz w:val="16"/>
          <w:szCs w:val="16"/>
          <w:lang w:val="en-US"/>
        </w:rPr>
        <w:t>to</w:t>
      </w:r>
      <w:r w:rsidRPr="00C9465D">
        <w:rPr>
          <w:sz w:val="16"/>
          <w:szCs w:val="16"/>
          <w:lang w:val="en-US"/>
        </w:rPr>
        <w:t xml:space="preserve"> 3306).</w:t>
      </w:r>
    </w:p>
  </w:footnote>
  <w:footnote w:id="129">
    <w:p w14:paraId="0C9BEBFD" w14:textId="0010E35A"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092D8C" w:rsidRPr="00C9465D">
        <w:rPr>
          <w:sz w:val="16"/>
          <w:szCs w:val="16"/>
          <w:lang w:val="en-US"/>
        </w:rPr>
        <w:t xml:space="preserve">Investigation reports of the National Directorate for crimes against life, violent deaths, disappearances, extorsion and kidnapping of the National Police of </w:t>
      </w:r>
      <w:r w:rsidRPr="00C9465D">
        <w:rPr>
          <w:sz w:val="16"/>
          <w:szCs w:val="16"/>
          <w:lang w:val="en-US"/>
        </w:rPr>
        <w:t>Ecuador (</w:t>
      </w:r>
      <w:r w:rsidR="00153C9F" w:rsidRPr="00C9465D">
        <w:rPr>
          <w:sz w:val="16"/>
          <w:szCs w:val="16"/>
          <w:lang w:val="en-US"/>
        </w:rPr>
        <w:t>evidence file</w:t>
      </w:r>
      <w:r w:rsidRPr="00C9465D">
        <w:rPr>
          <w:sz w:val="16"/>
          <w:szCs w:val="16"/>
          <w:lang w:val="en-US"/>
        </w:rPr>
        <w:t xml:space="preserve">, folios 3053 </w:t>
      </w:r>
      <w:r w:rsidR="009E5D69" w:rsidRPr="00C9465D">
        <w:rPr>
          <w:sz w:val="16"/>
          <w:szCs w:val="16"/>
          <w:lang w:val="en-US"/>
        </w:rPr>
        <w:t>to</w:t>
      </w:r>
      <w:r w:rsidRPr="00C9465D">
        <w:rPr>
          <w:sz w:val="16"/>
          <w:szCs w:val="16"/>
          <w:lang w:val="en-US"/>
        </w:rPr>
        <w:t xml:space="preserve"> 8453). </w:t>
      </w:r>
    </w:p>
  </w:footnote>
  <w:footnote w:id="130">
    <w:p w14:paraId="54B8F0FF" w14:textId="003CE8A2"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9E5D69" w:rsidRPr="00C9465D">
        <w:rPr>
          <w:sz w:val="16"/>
          <w:szCs w:val="16"/>
          <w:lang w:val="en-US"/>
        </w:rPr>
        <w:t xml:space="preserve">Internal investigation file </w:t>
      </w:r>
      <w:r w:rsidRPr="00C9465D">
        <w:rPr>
          <w:sz w:val="16"/>
          <w:szCs w:val="16"/>
          <w:lang w:val="en-US"/>
        </w:rPr>
        <w:t>(</w:t>
      </w:r>
      <w:r w:rsidR="00153C9F" w:rsidRPr="00C9465D">
        <w:rPr>
          <w:sz w:val="16"/>
          <w:szCs w:val="16"/>
          <w:lang w:val="en-US"/>
        </w:rPr>
        <w:t>evidence file</w:t>
      </w:r>
      <w:r w:rsidRPr="00C9465D">
        <w:rPr>
          <w:sz w:val="16"/>
          <w:szCs w:val="16"/>
          <w:lang w:val="en-US"/>
        </w:rPr>
        <w:t xml:space="preserve">, folios 3188 </w:t>
      </w:r>
      <w:r w:rsidR="009E5D69" w:rsidRPr="00C9465D">
        <w:rPr>
          <w:sz w:val="16"/>
          <w:szCs w:val="16"/>
          <w:lang w:val="en-US"/>
        </w:rPr>
        <w:t>to</w:t>
      </w:r>
      <w:r w:rsidRPr="00C9465D">
        <w:rPr>
          <w:sz w:val="16"/>
          <w:szCs w:val="16"/>
          <w:lang w:val="en-US"/>
        </w:rPr>
        <w:t xml:space="preserve"> 7933).                                                                                                                                                                                                                                                                                                                     </w:t>
      </w:r>
      <w:r w:rsidRPr="00C9465D">
        <w:rPr>
          <w:b/>
          <w:sz w:val="16"/>
          <w:szCs w:val="16"/>
          <w:lang w:val="en-US"/>
        </w:rPr>
        <w:t xml:space="preserve">  </w:t>
      </w:r>
      <w:r w:rsidRPr="00C9465D">
        <w:rPr>
          <w:sz w:val="16"/>
          <w:szCs w:val="16"/>
          <w:lang w:val="en-US"/>
        </w:rPr>
        <w:t xml:space="preserve">                                                                                                                                                                                                                                                                                                                                  </w:t>
      </w:r>
    </w:p>
  </w:footnote>
  <w:footnote w:id="131">
    <w:p w14:paraId="5602474B" w14:textId="7017CCA5"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DINASED </w:t>
      </w:r>
      <w:r w:rsidR="009E5D69" w:rsidRPr="00C9465D">
        <w:rPr>
          <w:sz w:val="16"/>
          <w:szCs w:val="16"/>
          <w:lang w:val="en-US"/>
        </w:rPr>
        <w:t>Investigation Report of February 13,</w:t>
      </w:r>
      <w:r w:rsidRPr="00C9465D">
        <w:rPr>
          <w:sz w:val="16"/>
          <w:szCs w:val="16"/>
          <w:lang w:val="en-US"/>
        </w:rPr>
        <w:t xml:space="preserve"> 2019 (</w:t>
      </w:r>
      <w:r w:rsidR="00153C9F" w:rsidRPr="00C9465D">
        <w:rPr>
          <w:sz w:val="16"/>
          <w:szCs w:val="16"/>
          <w:lang w:val="en-US"/>
        </w:rPr>
        <w:t>evidence file</w:t>
      </w:r>
      <w:r w:rsidRPr="00C9465D">
        <w:rPr>
          <w:sz w:val="16"/>
          <w:szCs w:val="16"/>
          <w:lang w:val="en-US"/>
        </w:rPr>
        <w:t xml:space="preserve">, folios 8266 </w:t>
      </w:r>
      <w:r w:rsidR="009E5D69" w:rsidRPr="00C9465D">
        <w:rPr>
          <w:sz w:val="16"/>
          <w:szCs w:val="16"/>
          <w:lang w:val="en-US"/>
        </w:rPr>
        <w:t>to</w:t>
      </w:r>
      <w:r w:rsidRPr="00C9465D">
        <w:rPr>
          <w:sz w:val="16"/>
          <w:szCs w:val="16"/>
          <w:lang w:val="en-US"/>
        </w:rPr>
        <w:t xml:space="preserve"> 8272), </w:t>
      </w:r>
      <w:r w:rsidR="009E5D69" w:rsidRPr="00C9465D">
        <w:rPr>
          <w:sz w:val="16"/>
          <w:szCs w:val="16"/>
          <w:lang w:val="en-US"/>
        </w:rPr>
        <w:t xml:space="preserve">and Report of the Ecuadorian Space Institute of February 12, </w:t>
      </w:r>
      <w:r w:rsidRPr="00C9465D">
        <w:rPr>
          <w:sz w:val="16"/>
          <w:szCs w:val="16"/>
          <w:lang w:val="en-US"/>
        </w:rPr>
        <w:t>2019 (</w:t>
      </w:r>
      <w:r w:rsidR="00153C9F" w:rsidRPr="00C9465D">
        <w:rPr>
          <w:sz w:val="16"/>
          <w:szCs w:val="16"/>
          <w:lang w:val="en-US"/>
        </w:rPr>
        <w:t>evidence file</w:t>
      </w:r>
      <w:r w:rsidRPr="00C9465D">
        <w:rPr>
          <w:sz w:val="16"/>
          <w:szCs w:val="16"/>
          <w:lang w:val="en-US"/>
        </w:rPr>
        <w:t xml:space="preserve">, folios 8278 </w:t>
      </w:r>
      <w:r w:rsidR="009E5D69" w:rsidRPr="00C9465D">
        <w:rPr>
          <w:sz w:val="16"/>
          <w:szCs w:val="16"/>
          <w:lang w:val="en-US"/>
        </w:rPr>
        <w:t>to</w:t>
      </w:r>
      <w:r w:rsidRPr="00C9465D">
        <w:rPr>
          <w:sz w:val="16"/>
          <w:szCs w:val="16"/>
          <w:lang w:val="en-US"/>
        </w:rPr>
        <w:t xml:space="preserve"> 8286).</w:t>
      </w:r>
    </w:p>
  </w:footnote>
  <w:footnote w:id="132">
    <w:p w14:paraId="3C9A1532" w14:textId="1CC7E4FB"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193CBB" w:rsidRPr="00C9465D">
        <w:rPr>
          <w:sz w:val="16"/>
          <w:szCs w:val="16"/>
          <w:lang w:val="en-US"/>
        </w:rPr>
        <w:t>Article</w:t>
      </w:r>
      <w:r w:rsidRPr="00C9465D">
        <w:rPr>
          <w:sz w:val="16"/>
          <w:szCs w:val="16"/>
          <w:lang w:val="en-US"/>
        </w:rPr>
        <w:t xml:space="preserve"> 24</w:t>
      </w:r>
      <w:r w:rsidR="00193CBB" w:rsidRPr="00C9465D">
        <w:rPr>
          <w:sz w:val="16"/>
          <w:szCs w:val="16"/>
          <w:lang w:val="en-US"/>
        </w:rPr>
        <w:t xml:space="preserve"> of the Convention</w:t>
      </w:r>
      <w:r w:rsidRPr="00C9465D">
        <w:rPr>
          <w:sz w:val="16"/>
          <w:szCs w:val="16"/>
          <w:lang w:val="en-US"/>
        </w:rPr>
        <w:t>.</w:t>
      </w:r>
    </w:p>
  </w:footnote>
  <w:footnote w:id="133">
    <w:p w14:paraId="38B09B50" w14:textId="28114C74"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577DE0" w:rsidRPr="00C9465D">
        <w:rPr>
          <w:sz w:val="16"/>
          <w:szCs w:val="16"/>
          <w:lang w:val="en-US"/>
        </w:rPr>
        <w:t>Article 1(1)</w:t>
      </w:r>
      <w:r w:rsidR="00193CBB" w:rsidRPr="00C9465D">
        <w:rPr>
          <w:sz w:val="16"/>
          <w:szCs w:val="16"/>
          <w:lang w:val="en-US"/>
        </w:rPr>
        <w:t xml:space="preserve"> of the Convention</w:t>
      </w:r>
      <w:r w:rsidRPr="00C9465D">
        <w:rPr>
          <w:sz w:val="16"/>
          <w:szCs w:val="16"/>
          <w:lang w:val="en-US"/>
        </w:rPr>
        <w:t>.</w:t>
      </w:r>
    </w:p>
  </w:footnote>
  <w:footnote w:id="134">
    <w:p w14:paraId="0B44036B" w14:textId="2562BEDF"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2F3237" w:rsidRPr="00C9465D">
        <w:rPr>
          <w:sz w:val="16"/>
          <w:szCs w:val="16"/>
          <w:lang w:val="en-US"/>
        </w:rPr>
        <w:t>Mr. Guachalá</w:t>
      </w:r>
      <w:r w:rsidRPr="00C9465D">
        <w:rPr>
          <w:sz w:val="16"/>
          <w:szCs w:val="16"/>
          <w:lang w:val="en-US"/>
        </w:rPr>
        <w:t xml:space="preserve"> Chimbo </w:t>
      </w:r>
      <w:r w:rsidR="00C8741F" w:rsidRPr="00C9465D">
        <w:rPr>
          <w:sz w:val="16"/>
          <w:szCs w:val="16"/>
          <w:lang w:val="en-US"/>
        </w:rPr>
        <w:t xml:space="preserve">suffered from epilepsy. In 2004, he was diagnosed with “mental and behavioral disorder owing to brain dysfunction,” and he faced different barriers in his environment that prevented his full and effective participation in society. </w:t>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Medical record of</w:t>
      </w:r>
      <w:r w:rsidR="00C8741F" w:rsidRPr="00C9465D">
        <w:rPr>
          <w:sz w:val="16"/>
          <w:szCs w:val="16"/>
          <w:lang w:val="en-US"/>
        </w:rPr>
        <w:t xml:space="preserve"> the</w:t>
      </w:r>
      <w:r w:rsidRPr="00C9465D">
        <w:rPr>
          <w:sz w:val="16"/>
          <w:szCs w:val="16"/>
          <w:lang w:val="en-US"/>
        </w:rPr>
        <w:t xml:space="preserve"> </w:t>
      </w:r>
      <w:r w:rsidR="002C5740" w:rsidRPr="00C9465D">
        <w:rPr>
          <w:sz w:val="16"/>
          <w:szCs w:val="16"/>
          <w:lang w:val="en-US"/>
        </w:rPr>
        <w:t>Julio Endara Psychiatric Hospital</w:t>
      </w:r>
      <w:r w:rsidRPr="00C9465D">
        <w:rPr>
          <w:sz w:val="16"/>
          <w:szCs w:val="16"/>
          <w:lang w:val="en-US"/>
        </w:rPr>
        <w:t xml:space="preserve"> </w:t>
      </w:r>
      <w:r w:rsidR="002C5740" w:rsidRPr="00C9465D">
        <w:rPr>
          <w:sz w:val="16"/>
          <w:szCs w:val="16"/>
          <w:lang w:val="en-US"/>
        </w:rPr>
        <w:t>of April 21,</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3),</w:t>
      </w:r>
      <w:r w:rsidR="00193CBB" w:rsidRPr="00C9465D">
        <w:rPr>
          <w:sz w:val="16"/>
          <w:szCs w:val="16"/>
          <w:lang w:val="en-US"/>
        </w:rPr>
        <w:t xml:space="preserve"> and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20).</w:t>
      </w:r>
    </w:p>
  </w:footnote>
  <w:footnote w:id="135">
    <w:p w14:paraId="60C3FF1B" w14:textId="450D3A51" w:rsidR="00300482" w:rsidRPr="00C9465D" w:rsidRDefault="00300482" w:rsidP="00BD26CF">
      <w:pPr>
        <w:tabs>
          <w:tab w:val="left" w:pos="567"/>
        </w:tabs>
        <w:spacing w:after="120" w:line="240" w:lineRule="auto"/>
        <w:jc w:val="both"/>
        <w:rPr>
          <w:rFonts w:ascii="Verdana" w:eastAsia="Times New Roman" w:hAnsi="Verdana" w:cs="Times New Roman"/>
          <w:i/>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r>
      <w:r w:rsidR="00E2299F" w:rsidRPr="00C9465D">
        <w:rPr>
          <w:rFonts w:ascii="Verdana" w:hAnsi="Verdana"/>
          <w:i/>
          <w:sz w:val="16"/>
          <w:szCs w:val="16"/>
          <w:lang w:val="en-US"/>
        </w:rPr>
        <w:t>Cf.</w:t>
      </w:r>
      <w:r w:rsidRPr="00C9465D">
        <w:rPr>
          <w:rFonts w:ascii="Verdana" w:hAnsi="Verdana"/>
          <w:i/>
          <w:sz w:val="16"/>
          <w:szCs w:val="16"/>
          <w:lang w:val="en-US"/>
        </w:rPr>
        <w:t xml:space="preserve"> </w:t>
      </w:r>
      <w:hyperlink r:id="rId4" w:history="1">
        <w:r w:rsidR="00C8741F" w:rsidRPr="00C9465D">
          <w:rPr>
            <w:rFonts w:ascii="Verdana" w:eastAsia="Times New Roman" w:hAnsi="Verdana" w:cs="Times New Roman"/>
            <w:i/>
            <w:sz w:val="16"/>
            <w:szCs w:val="16"/>
            <w:lang w:val="en-US"/>
          </w:rPr>
          <w:t>Proposed Amendments to the Naturalization Provisions of the Constitution of Costa Rica</w:t>
        </w:r>
      </w:hyperlink>
      <w:r w:rsidR="00C8741F" w:rsidRPr="00C9465D">
        <w:rPr>
          <w:rFonts w:ascii="Verdana" w:eastAsia="Times New Roman" w:hAnsi="Verdana" w:cs="Times New Roman"/>
          <w:i/>
          <w:sz w:val="16"/>
          <w:szCs w:val="16"/>
          <w:lang w:val="en-US"/>
        </w:rPr>
        <w:t xml:space="preserve">, </w:t>
      </w:r>
      <w:r w:rsidR="00C8741F" w:rsidRPr="00C9465D">
        <w:rPr>
          <w:rFonts w:ascii="Verdana" w:eastAsia="Times New Roman" w:hAnsi="Verdana" w:cs="Times New Roman"/>
          <w:sz w:val="16"/>
          <w:szCs w:val="16"/>
          <w:lang w:val="en-US"/>
        </w:rPr>
        <w:t>Advisory Opinion OC-4/84, January 19, 1984. Series A No. 4</w:t>
      </w:r>
      <w:r w:rsidRPr="00C9465D">
        <w:rPr>
          <w:rFonts w:ascii="Verdana" w:hAnsi="Verdana"/>
          <w:sz w:val="16"/>
          <w:szCs w:val="16"/>
          <w:lang w:val="en-US"/>
        </w:rPr>
        <w:t xml:space="preserve">, </w:t>
      </w:r>
      <w:r w:rsidR="00D8466F" w:rsidRPr="00C9465D">
        <w:rPr>
          <w:rFonts w:ascii="Verdana" w:hAnsi="Verdana"/>
          <w:sz w:val="16"/>
          <w:szCs w:val="16"/>
          <w:lang w:val="en-US"/>
        </w:rPr>
        <w:t>para.</w:t>
      </w:r>
      <w:r w:rsidRPr="00C9465D">
        <w:rPr>
          <w:rFonts w:ascii="Verdana" w:hAnsi="Verdana"/>
          <w:sz w:val="16"/>
          <w:szCs w:val="16"/>
          <w:lang w:val="en-US"/>
        </w:rPr>
        <w:t xml:space="preserve"> 53</w:t>
      </w:r>
      <w:r w:rsidR="00C8741F" w:rsidRPr="00C9465D">
        <w:rPr>
          <w:rFonts w:ascii="Verdana" w:hAnsi="Verdana"/>
          <w:sz w:val="16"/>
          <w:szCs w:val="16"/>
          <w:lang w:val="en-US"/>
        </w:rPr>
        <w:t>,</w:t>
      </w:r>
      <w:r w:rsidR="00193CBB" w:rsidRPr="00C9465D">
        <w:rPr>
          <w:rFonts w:ascii="Verdana" w:hAnsi="Verdana"/>
          <w:sz w:val="16"/>
          <w:szCs w:val="16"/>
          <w:lang w:val="en-US"/>
        </w:rPr>
        <w:t xml:space="preserve"> and </w:t>
      </w:r>
      <w:r w:rsidR="00D8466F" w:rsidRPr="00C9465D">
        <w:rPr>
          <w:rFonts w:ascii="Verdana" w:hAnsi="Verdana"/>
          <w:i/>
          <w:sz w:val="16"/>
          <w:szCs w:val="16"/>
          <w:lang w:val="en-US"/>
        </w:rPr>
        <w:t>Case of</w:t>
      </w:r>
      <w:r w:rsidRPr="00C9465D">
        <w:rPr>
          <w:rFonts w:ascii="Verdana" w:hAnsi="Verdana"/>
          <w:i/>
          <w:sz w:val="16"/>
          <w:szCs w:val="16"/>
          <w:lang w:val="en-US"/>
        </w:rPr>
        <w:t xml:space="preserve"> Atala Riffo</w:t>
      </w:r>
      <w:r w:rsidR="00193CBB" w:rsidRPr="00C9465D">
        <w:rPr>
          <w:rFonts w:ascii="Verdana" w:hAnsi="Verdana"/>
          <w:i/>
          <w:sz w:val="16"/>
          <w:szCs w:val="16"/>
          <w:lang w:val="en-US"/>
        </w:rPr>
        <w:t xml:space="preserve"> and </w:t>
      </w:r>
      <w:r w:rsidR="00C8741F" w:rsidRPr="00C9465D">
        <w:rPr>
          <w:rFonts w:ascii="Verdana" w:hAnsi="Verdana"/>
          <w:i/>
          <w:sz w:val="16"/>
          <w:szCs w:val="16"/>
          <w:lang w:val="en-US"/>
        </w:rPr>
        <w:t>daughters</w:t>
      </w:r>
      <w:r w:rsidRPr="00C9465D">
        <w:rPr>
          <w:rFonts w:ascii="Verdana" w:hAnsi="Verdana"/>
          <w:i/>
          <w:sz w:val="16"/>
          <w:szCs w:val="16"/>
          <w:lang w:val="en-US"/>
        </w:rPr>
        <w:t xml:space="preserve"> </w:t>
      </w:r>
      <w:r w:rsidR="00193CBB" w:rsidRPr="00C9465D">
        <w:rPr>
          <w:rFonts w:ascii="Verdana" w:hAnsi="Verdana"/>
          <w:i/>
          <w:sz w:val="16"/>
          <w:szCs w:val="16"/>
          <w:lang w:val="en-US"/>
        </w:rPr>
        <w:t>v.</w:t>
      </w:r>
      <w:r w:rsidRPr="00C9465D">
        <w:rPr>
          <w:rFonts w:ascii="Verdana" w:hAnsi="Verdana"/>
          <w:i/>
          <w:sz w:val="16"/>
          <w:szCs w:val="16"/>
          <w:lang w:val="en-US"/>
        </w:rPr>
        <w:t xml:space="preserve"> Chile. </w:t>
      </w:r>
      <w:r w:rsidR="00193CBB" w:rsidRPr="00C9465D">
        <w:rPr>
          <w:rFonts w:ascii="Verdana" w:hAnsi="Verdana"/>
          <w:i/>
          <w:sz w:val="16"/>
          <w:szCs w:val="16"/>
          <w:lang w:val="en-US"/>
        </w:rPr>
        <w:t>Merits, reparations and costs</w:t>
      </w:r>
      <w:r w:rsidRPr="00C9465D">
        <w:rPr>
          <w:rFonts w:ascii="Verdana" w:hAnsi="Verdana"/>
          <w:sz w:val="16"/>
          <w:szCs w:val="16"/>
          <w:lang w:val="en-US"/>
        </w:rPr>
        <w:t xml:space="preserve">. </w:t>
      </w:r>
      <w:r w:rsidR="00D8466F" w:rsidRPr="00C9465D">
        <w:rPr>
          <w:rFonts w:ascii="Verdana" w:hAnsi="Verdana"/>
          <w:sz w:val="16"/>
          <w:szCs w:val="16"/>
          <w:lang w:val="en-US"/>
        </w:rPr>
        <w:t>Judgment of</w:t>
      </w:r>
      <w:r w:rsidRPr="00C9465D">
        <w:rPr>
          <w:rFonts w:ascii="Verdana" w:hAnsi="Verdana"/>
          <w:sz w:val="16"/>
          <w:szCs w:val="16"/>
          <w:lang w:val="en-US"/>
        </w:rPr>
        <w:t xml:space="preserve"> </w:t>
      </w:r>
      <w:r w:rsidR="00C8741F" w:rsidRPr="00C9465D">
        <w:rPr>
          <w:rFonts w:ascii="Verdana" w:hAnsi="Verdana"/>
          <w:sz w:val="16"/>
          <w:szCs w:val="16"/>
          <w:lang w:val="en-US"/>
        </w:rPr>
        <w:t>February 24,</w:t>
      </w:r>
      <w:r w:rsidRPr="00C9465D">
        <w:rPr>
          <w:rFonts w:ascii="Verdana" w:hAnsi="Verdana"/>
          <w:sz w:val="16"/>
          <w:szCs w:val="16"/>
          <w:lang w:val="en-US"/>
        </w:rPr>
        <w:t xml:space="preserve"> 2012. </w:t>
      </w:r>
      <w:r w:rsidR="00E2299F" w:rsidRPr="00C9465D">
        <w:rPr>
          <w:rFonts w:ascii="Verdana" w:hAnsi="Verdana"/>
          <w:sz w:val="16"/>
          <w:szCs w:val="16"/>
          <w:lang w:val="en-US"/>
        </w:rPr>
        <w:t xml:space="preserve">Series </w:t>
      </w:r>
      <w:r w:rsidRPr="00C9465D">
        <w:rPr>
          <w:rFonts w:ascii="Verdana" w:hAnsi="Verdana"/>
          <w:sz w:val="16"/>
          <w:szCs w:val="16"/>
          <w:lang w:val="en-US"/>
        </w:rPr>
        <w:t xml:space="preserve">C No. 239, </w:t>
      </w:r>
      <w:r w:rsidR="00D8466F" w:rsidRPr="00C9465D">
        <w:rPr>
          <w:rFonts w:ascii="Verdana" w:hAnsi="Verdana"/>
          <w:sz w:val="16"/>
          <w:szCs w:val="16"/>
          <w:lang w:val="en-US"/>
        </w:rPr>
        <w:t>para.</w:t>
      </w:r>
      <w:r w:rsidRPr="00C9465D">
        <w:rPr>
          <w:rFonts w:ascii="Verdana" w:hAnsi="Verdana"/>
          <w:sz w:val="16"/>
          <w:szCs w:val="16"/>
          <w:lang w:val="en-US"/>
        </w:rPr>
        <w:t xml:space="preserve"> 78.</w:t>
      </w:r>
    </w:p>
  </w:footnote>
  <w:footnote w:id="136">
    <w:p w14:paraId="02D95B38" w14:textId="2E918F28" w:rsidR="00300482" w:rsidRPr="00C9465D" w:rsidRDefault="00300482" w:rsidP="00BD26CF">
      <w:pPr>
        <w:pStyle w:val="FootnoteText"/>
        <w:tabs>
          <w:tab w:val="left" w:pos="567"/>
        </w:tabs>
        <w:spacing w:after="120"/>
        <w:rPr>
          <w:rFonts w:eastAsia="Calibri"/>
          <w:sz w:val="16"/>
          <w:szCs w:val="16"/>
          <w:lang w:val="en-US"/>
        </w:rPr>
      </w:pPr>
      <w:r w:rsidRPr="00C9465D">
        <w:rPr>
          <w:rStyle w:val="FootnoteReference"/>
          <w:rFonts w:eastAsia="Calibri"/>
          <w:sz w:val="16"/>
          <w:szCs w:val="16"/>
          <w:lang w:val="en-US"/>
        </w:rPr>
        <w:footnoteRef/>
      </w:r>
      <w:r w:rsidRPr="00C9465D">
        <w:rPr>
          <w:rFonts w:eastAsia="Calibri"/>
          <w:sz w:val="16"/>
          <w:szCs w:val="16"/>
          <w:lang w:val="en-US"/>
        </w:rPr>
        <w:t xml:space="preserve"> </w:t>
      </w:r>
      <w:r w:rsidRPr="00C9465D">
        <w:rPr>
          <w:rFonts w:eastAsia="Calibri"/>
          <w:sz w:val="16"/>
          <w:szCs w:val="16"/>
          <w:lang w:val="en-US"/>
        </w:rPr>
        <w:tab/>
      </w:r>
      <w:r w:rsidR="00E2299F" w:rsidRPr="00C9465D">
        <w:rPr>
          <w:rFonts w:eastAsia="Calibri"/>
          <w:i/>
          <w:sz w:val="16"/>
          <w:szCs w:val="16"/>
          <w:lang w:val="en-US"/>
        </w:rPr>
        <w:t>Cf.</w:t>
      </w:r>
      <w:r w:rsidRPr="00C9465D">
        <w:rPr>
          <w:rFonts w:eastAsia="Calibri"/>
          <w:i/>
          <w:sz w:val="16"/>
          <w:szCs w:val="16"/>
          <w:lang w:val="en-US"/>
        </w:rPr>
        <w:t xml:space="preserve"> </w:t>
      </w:r>
      <w:bookmarkStart w:id="34" w:name="_Hlk515969584"/>
      <w:bookmarkStart w:id="35" w:name="_Hlk38106265"/>
      <w:r w:rsidR="00C8741F" w:rsidRPr="00C9465D">
        <w:rPr>
          <w:rFonts w:eastAsia="Times New Roman" w:cs="Times New Roman"/>
          <w:i/>
          <w:sz w:val="16"/>
          <w:szCs w:val="16"/>
          <w:lang w:val="en-US"/>
        </w:rPr>
        <w:fldChar w:fldCharType="begin"/>
      </w:r>
      <w:r w:rsidR="00C8741F" w:rsidRPr="00C9465D">
        <w:rPr>
          <w:rFonts w:eastAsia="Times New Roman" w:cs="Times New Roman"/>
          <w:i/>
          <w:sz w:val="16"/>
          <w:szCs w:val="16"/>
          <w:lang w:val="en-US"/>
        </w:rPr>
        <w:instrText xml:space="preserve"> HYPERLINK "http://hrlibrary.umn.edu/iachr/A/OC-16ingles-sinfirmas.html" </w:instrText>
      </w:r>
      <w:r w:rsidR="00C8741F" w:rsidRPr="00C9465D">
        <w:rPr>
          <w:rFonts w:eastAsia="Times New Roman" w:cs="Times New Roman"/>
          <w:i/>
          <w:sz w:val="16"/>
          <w:szCs w:val="16"/>
          <w:lang w:val="en-US"/>
        </w:rPr>
        <w:fldChar w:fldCharType="separate"/>
      </w:r>
      <w:r w:rsidR="00C8741F" w:rsidRPr="00C9465D">
        <w:rPr>
          <w:rFonts w:eastAsia="Times New Roman" w:cs="Times New Roman"/>
          <w:i/>
          <w:sz w:val="16"/>
          <w:szCs w:val="16"/>
          <w:lang w:val="en-US"/>
        </w:rPr>
        <w:t>The Right to Information on Consular Assistance in the Framework of the Guarantees of the Due Process of Law</w:t>
      </w:r>
      <w:r w:rsidR="00C8741F" w:rsidRPr="00C9465D">
        <w:rPr>
          <w:rFonts w:eastAsia="Times New Roman" w:cs="Times New Roman"/>
          <w:i/>
          <w:sz w:val="16"/>
          <w:szCs w:val="16"/>
          <w:lang w:val="en-US"/>
        </w:rPr>
        <w:fldChar w:fldCharType="end"/>
      </w:r>
      <w:bookmarkEnd w:id="34"/>
      <w:r w:rsidR="00C8741F" w:rsidRPr="00C9465D">
        <w:rPr>
          <w:rFonts w:eastAsia="Times New Roman" w:cs="Times New Roman"/>
          <w:i/>
          <w:sz w:val="16"/>
          <w:szCs w:val="16"/>
          <w:lang w:val="en-US"/>
        </w:rPr>
        <w:t xml:space="preserve">, </w:t>
      </w:r>
      <w:r w:rsidR="00C8741F" w:rsidRPr="00C9465D">
        <w:rPr>
          <w:rFonts w:eastAsia="Times New Roman" w:cs="Times New Roman"/>
          <w:sz w:val="16"/>
          <w:szCs w:val="16"/>
          <w:lang w:val="en-US"/>
        </w:rPr>
        <w:t>Advisory Opinion OC-16/99, October 1, 1999. Series A No. 16</w:t>
      </w:r>
      <w:bookmarkEnd w:id="35"/>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114</w:t>
      </w:r>
      <w:r w:rsidR="00C8741F" w:rsidRPr="00C9465D">
        <w:rPr>
          <w:sz w:val="16"/>
          <w:szCs w:val="16"/>
          <w:lang w:val="en-US"/>
        </w:rPr>
        <w:t>,</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Atala Riffo</w:t>
      </w:r>
      <w:r w:rsidR="00193CBB" w:rsidRPr="00C9465D">
        <w:rPr>
          <w:i/>
          <w:sz w:val="16"/>
          <w:szCs w:val="16"/>
          <w:lang w:val="en-US"/>
        </w:rPr>
        <w:t xml:space="preserve"> and </w:t>
      </w:r>
      <w:r w:rsidR="00C8741F" w:rsidRPr="00C9465D">
        <w:rPr>
          <w:i/>
          <w:sz w:val="16"/>
          <w:szCs w:val="16"/>
          <w:lang w:val="en-US"/>
        </w:rPr>
        <w:t>daughters</w:t>
      </w:r>
      <w:r w:rsidRPr="00C9465D">
        <w:rPr>
          <w:i/>
          <w:sz w:val="16"/>
          <w:szCs w:val="16"/>
          <w:lang w:val="en-US"/>
        </w:rPr>
        <w:t xml:space="preserve"> </w:t>
      </w:r>
      <w:r w:rsidR="00193CBB" w:rsidRPr="00C9465D">
        <w:rPr>
          <w:i/>
          <w:sz w:val="16"/>
          <w:szCs w:val="16"/>
          <w:lang w:val="en-US"/>
        </w:rPr>
        <w:t>v.</w:t>
      </w:r>
      <w:r w:rsidRPr="00C9465D">
        <w:rPr>
          <w:i/>
          <w:sz w:val="16"/>
          <w:szCs w:val="16"/>
          <w:lang w:val="en-US"/>
        </w:rPr>
        <w:t xml:space="preserve"> Chile,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83.</w:t>
      </w:r>
    </w:p>
  </w:footnote>
  <w:footnote w:id="137">
    <w:p w14:paraId="678D2EC3" w14:textId="4094CF89" w:rsidR="00300482" w:rsidRPr="00C9465D" w:rsidRDefault="00300482" w:rsidP="00BD26CF">
      <w:pPr>
        <w:widowControl w:val="0"/>
        <w:tabs>
          <w:tab w:val="left" w:pos="567"/>
        </w:tabs>
        <w:autoSpaceDE w:val="0"/>
        <w:autoSpaceDN w:val="0"/>
        <w:adjustRightInd w:val="0"/>
        <w:spacing w:after="120" w:line="240" w:lineRule="auto"/>
        <w:jc w:val="both"/>
        <w:rPr>
          <w:rFonts w:ascii="Verdana" w:eastAsia="Calibri" w:hAnsi="Verdana"/>
          <w:sz w:val="16"/>
          <w:szCs w:val="16"/>
          <w:lang w:val="en-US"/>
        </w:rPr>
      </w:pPr>
      <w:r w:rsidRPr="00C9465D">
        <w:rPr>
          <w:rStyle w:val="FootnoteReference"/>
          <w:rFonts w:ascii="Verdana" w:eastAsia="Calibri" w:hAnsi="Verdana"/>
          <w:sz w:val="16"/>
          <w:szCs w:val="16"/>
          <w:lang w:val="en-US"/>
        </w:rPr>
        <w:footnoteRef/>
      </w:r>
      <w:r w:rsidRPr="00C9465D">
        <w:rPr>
          <w:rFonts w:ascii="Verdana" w:eastAsia="Calibri" w:hAnsi="Verdana"/>
          <w:sz w:val="16"/>
          <w:szCs w:val="16"/>
          <w:lang w:val="en-US"/>
        </w:rPr>
        <w:t xml:space="preserve"> </w:t>
      </w:r>
      <w:r w:rsidRPr="00C9465D">
        <w:rPr>
          <w:rFonts w:ascii="Verdana" w:eastAsia="Calibri" w:hAnsi="Verdana"/>
          <w:sz w:val="16"/>
          <w:szCs w:val="16"/>
          <w:lang w:val="en-US"/>
        </w:rPr>
        <w:tab/>
      </w:r>
      <w:r w:rsidR="00E2299F" w:rsidRPr="00C9465D">
        <w:rPr>
          <w:rFonts w:ascii="Verdana" w:eastAsia="Calibri" w:hAnsi="Verdana"/>
          <w:i/>
          <w:sz w:val="16"/>
          <w:szCs w:val="16"/>
          <w:lang w:val="en-US"/>
        </w:rPr>
        <w:t>Cf.</w:t>
      </w:r>
      <w:r w:rsidRPr="00C9465D">
        <w:rPr>
          <w:rFonts w:ascii="Verdana" w:eastAsia="Calibri" w:hAnsi="Verdana"/>
          <w:i/>
          <w:sz w:val="16"/>
          <w:szCs w:val="16"/>
          <w:lang w:val="en-US"/>
        </w:rPr>
        <w:t xml:space="preserve"> </w:t>
      </w:r>
      <w:r w:rsidR="00C8741F" w:rsidRPr="00C9465D">
        <w:rPr>
          <w:rFonts w:ascii="Verdana" w:eastAsia="Calibri" w:hAnsi="Verdana"/>
          <w:sz w:val="16"/>
          <w:szCs w:val="16"/>
          <w:lang w:val="en-US"/>
        </w:rPr>
        <w:t>Advisory Opinion</w:t>
      </w:r>
      <w:r w:rsidRPr="00C9465D">
        <w:rPr>
          <w:rFonts w:ascii="Verdana" w:eastAsia="Calibri" w:hAnsi="Verdana"/>
          <w:sz w:val="16"/>
          <w:szCs w:val="16"/>
          <w:lang w:val="en-US"/>
        </w:rPr>
        <w:t xml:space="preserve"> OC-16/99, </w:t>
      </w:r>
      <w:r w:rsidRPr="00C9465D">
        <w:rPr>
          <w:rFonts w:ascii="Verdana" w:eastAsia="Calibri" w:hAnsi="Verdana"/>
          <w:i/>
          <w:sz w:val="16"/>
          <w:szCs w:val="16"/>
          <w:lang w:val="en-US"/>
        </w:rPr>
        <w:t>supra</w:t>
      </w:r>
      <w:r w:rsidRPr="00C9465D">
        <w:rPr>
          <w:rFonts w:ascii="Verdana" w:eastAsia="Calibri" w:hAnsi="Verdana"/>
          <w:sz w:val="16"/>
          <w:szCs w:val="16"/>
          <w:lang w:val="en-US"/>
        </w:rPr>
        <w:t xml:space="preserve">, </w:t>
      </w:r>
      <w:r w:rsidR="00D8466F" w:rsidRPr="00C9465D">
        <w:rPr>
          <w:rFonts w:ascii="Verdana" w:eastAsia="Calibri" w:hAnsi="Verdana"/>
          <w:sz w:val="16"/>
          <w:szCs w:val="16"/>
          <w:lang w:val="en-US"/>
        </w:rPr>
        <w:t>para.</w:t>
      </w:r>
      <w:r w:rsidRPr="00C9465D">
        <w:rPr>
          <w:rFonts w:ascii="Verdana" w:eastAsia="Calibri" w:hAnsi="Verdana"/>
          <w:sz w:val="16"/>
          <w:szCs w:val="16"/>
          <w:lang w:val="en-US"/>
        </w:rPr>
        <w:t xml:space="preserve"> 114</w:t>
      </w:r>
      <w:r w:rsidR="00193CBB" w:rsidRPr="00C9465D">
        <w:rPr>
          <w:rFonts w:ascii="Verdana" w:eastAsia="Calibri" w:hAnsi="Verdana"/>
          <w:sz w:val="16"/>
          <w:szCs w:val="16"/>
          <w:lang w:val="en-US"/>
        </w:rPr>
        <w:t xml:space="preserve"> and </w:t>
      </w:r>
      <w:r w:rsidR="00D8466F" w:rsidRPr="00C9465D">
        <w:rPr>
          <w:rFonts w:ascii="Verdana" w:hAnsi="Verdana"/>
          <w:i/>
          <w:sz w:val="16"/>
          <w:szCs w:val="16"/>
          <w:lang w:val="en-US"/>
        </w:rPr>
        <w:t>Case of</w:t>
      </w:r>
      <w:r w:rsidRPr="00C9465D">
        <w:rPr>
          <w:rFonts w:ascii="Verdana" w:hAnsi="Verdana"/>
          <w:i/>
          <w:sz w:val="16"/>
          <w:szCs w:val="16"/>
          <w:lang w:val="en-US"/>
        </w:rPr>
        <w:t xml:space="preserve"> Atala </w:t>
      </w:r>
      <w:r w:rsidR="00C8741F" w:rsidRPr="00C9465D">
        <w:rPr>
          <w:rFonts w:ascii="Verdana" w:hAnsi="Verdana"/>
          <w:i/>
          <w:sz w:val="16"/>
          <w:szCs w:val="16"/>
          <w:lang w:val="en-US"/>
        </w:rPr>
        <w:t>Riffo and daughters</w:t>
      </w:r>
      <w:r w:rsidRPr="00C9465D">
        <w:rPr>
          <w:rFonts w:ascii="Verdana" w:hAnsi="Verdana"/>
          <w:i/>
          <w:sz w:val="16"/>
          <w:szCs w:val="16"/>
          <w:lang w:val="en-US"/>
        </w:rPr>
        <w:t xml:space="preserve"> </w:t>
      </w:r>
      <w:r w:rsidR="00193CBB" w:rsidRPr="00C9465D">
        <w:rPr>
          <w:rFonts w:ascii="Verdana" w:hAnsi="Verdana"/>
          <w:i/>
          <w:sz w:val="16"/>
          <w:szCs w:val="16"/>
          <w:lang w:val="en-US"/>
        </w:rPr>
        <w:t>v.</w:t>
      </w:r>
      <w:r w:rsidRPr="00C9465D">
        <w:rPr>
          <w:rFonts w:ascii="Verdana" w:hAnsi="Verdana"/>
          <w:i/>
          <w:sz w:val="16"/>
          <w:szCs w:val="16"/>
          <w:lang w:val="en-US"/>
        </w:rPr>
        <w:t xml:space="preserve"> Chile, supra</w:t>
      </w:r>
      <w:r w:rsidRPr="00C9465D">
        <w:rPr>
          <w:rFonts w:ascii="Verdana" w:hAnsi="Verdana"/>
          <w:sz w:val="16"/>
          <w:szCs w:val="16"/>
          <w:lang w:val="en-US"/>
        </w:rPr>
        <w:t xml:space="preserve">, </w:t>
      </w:r>
      <w:r w:rsidR="00D8466F" w:rsidRPr="00C9465D">
        <w:rPr>
          <w:rFonts w:ascii="Verdana" w:hAnsi="Verdana"/>
          <w:sz w:val="16"/>
          <w:szCs w:val="16"/>
          <w:lang w:val="en-US"/>
        </w:rPr>
        <w:t>para.</w:t>
      </w:r>
      <w:r w:rsidRPr="00C9465D">
        <w:rPr>
          <w:rFonts w:ascii="Verdana" w:hAnsi="Verdana"/>
          <w:sz w:val="16"/>
          <w:szCs w:val="16"/>
          <w:lang w:val="en-US"/>
        </w:rPr>
        <w:t xml:space="preserve"> 83.</w:t>
      </w:r>
    </w:p>
  </w:footnote>
  <w:footnote w:id="138">
    <w:p w14:paraId="73ACCCA3" w14:textId="6CC43CCF"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C8741F" w:rsidRPr="00C9465D">
        <w:rPr>
          <w:sz w:val="16"/>
          <w:szCs w:val="16"/>
          <w:lang w:val="en-US"/>
        </w:rPr>
        <w:t>Advisory Opinion</w:t>
      </w:r>
      <w:r w:rsidRPr="00C9465D">
        <w:rPr>
          <w:sz w:val="16"/>
          <w:szCs w:val="16"/>
          <w:lang w:val="en-US"/>
        </w:rPr>
        <w:t xml:space="preserve"> OC-16/99</w:t>
      </w:r>
      <w:r w:rsidRPr="00C9465D">
        <w:rPr>
          <w:rFonts w:eastAsia="Calibri"/>
          <w:sz w:val="16"/>
          <w:szCs w:val="16"/>
          <w:lang w:val="en-US"/>
        </w:rPr>
        <w:t xml:space="preserve">, </w:t>
      </w:r>
      <w:r w:rsidRPr="00C9465D">
        <w:rPr>
          <w:rFonts w:eastAsia="Calibri"/>
          <w:i/>
          <w:sz w:val="16"/>
          <w:szCs w:val="16"/>
          <w:lang w:val="en-US"/>
        </w:rPr>
        <w:t>supra</w:t>
      </w:r>
      <w:r w:rsidRPr="00C9465D">
        <w:rPr>
          <w:rFonts w:eastAsia="Calibri"/>
          <w:sz w:val="16"/>
          <w:szCs w:val="16"/>
          <w:lang w:val="en-US"/>
        </w:rPr>
        <w:t xml:space="preserve">, </w:t>
      </w:r>
      <w:r w:rsidR="00D8466F" w:rsidRPr="00C9465D">
        <w:rPr>
          <w:sz w:val="16"/>
          <w:szCs w:val="16"/>
          <w:lang w:val="en-US"/>
        </w:rPr>
        <w:t>para.</w:t>
      </w:r>
      <w:r w:rsidRPr="00C9465D">
        <w:rPr>
          <w:sz w:val="16"/>
          <w:szCs w:val="16"/>
          <w:lang w:val="en-US"/>
        </w:rPr>
        <w:t xml:space="preserve"> 115,</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Atala </w:t>
      </w:r>
      <w:r w:rsidR="00C8741F" w:rsidRPr="00C9465D">
        <w:rPr>
          <w:i/>
          <w:sz w:val="16"/>
          <w:szCs w:val="16"/>
          <w:lang w:val="en-US"/>
        </w:rPr>
        <w:t>Riffo and daughters</w:t>
      </w:r>
      <w:r w:rsidRPr="00C9465D">
        <w:rPr>
          <w:i/>
          <w:sz w:val="16"/>
          <w:szCs w:val="16"/>
          <w:lang w:val="en-US"/>
        </w:rPr>
        <w:t xml:space="preserve"> </w:t>
      </w:r>
      <w:r w:rsidR="00193CBB" w:rsidRPr="00C9465D">
        <w:rPr>
          <w:i/>
          <w:sz w:val="16"/>
          <w:szCs w:val="16"/>
          <w:lang w:val="en-US"/>
        </w:rPr>
        <w:t>v.</w:t>
      </w:r>
      <w:r w:rsidRPr="00C9465D">
        <w:rPr>
          <w:i/>
          <w:sz w:val="16"/>
          <w:szCs w:val="16"/>
          <w:lang w:val="en-US"/>
        </w:rPr>
        <w:t xml:space="preserve"> Chile,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85.</w:t>
      </w:r>
    </w:p>
  </w:footnote>
  <w:footnote w:id="139">
    <w:p w14:paraId="7868652D" w14:textId="40699708" w:rsidR="00300482" w:rsidRPr="00C9465D" w:rsidRDefault="00300482" w:rsidP="00BD26CF">
      <w:pPr>
        <w:pStyle w:val="FootnoteText"/>
        <w:tabs>
          <w:tab w:val="left" w:pos="567"/>
        </w:tabs>
        <w:spacing w:after="120"/>
        <w:rPr>
          <w:rFonts w:eastAsia="Calibri"/>
          <w:i/>
          <w:sz w:val="16"/>
          <w:szCs w:val="16"/>
          <w:lang w:val="en-US"/>
        </w:rPr>
      </w:pPr>
      <w:r w:rsidRPr="00C9465D">
        <w:rPr>
          <w:rStyle w:val="FootnoteReference"/>
          <w:rFonts w:eastAsia="Calibri"/>
          <w:sz w:val="16"/>
          <w:szCs w:val="16"/>
          <w:lang w:val="en-US"/>
        </w:rPr>
        <w:footnoteRef/>
      </w:r>
      <w:r w:rsidRPr="00C9465D">
        <w:rPr>
          <w:rFonts w:eastAsia="Calibri"/>
          <w:sz w:val="16"/>
          <w:szCs w:val="16"/>
          <w:lang w:val="en-US"/>
        </w:rPr>
        <w:t xml:space="preserve"> </w:t>
      </w:r>
      <w:r w:rsidRPr="00C9465D">
        <w:rPr>
          <w:rFonts w:eastAsia="Calibri"/>
          <w:sz w:val="16"/>
          <w:szCs w:val="16"/>
          <w:lang w:val="en-US"/>
        </w:rPr>
        <w:tab/>
      </w:r>
      <w:r w:rsidR="00E2299F" w:rsidRPr="00C9465D">
        <w:rPr>
          <w:i/>
          <w:sz w:val="16"/>
          <w:szCs w:val="16"/>
          <w:lang w:val="en-US"/>
        </w:rPr>
        <w:t>Cf.</w:t>
      </w:r>
      <w:r w:rsidRPr="00C9465D">
        <w:rPr>
          <w:sz w:val="16"/>
          <w:szCs w:val="16"/>
          <w:lang w:val="en-US"/>
        </w:rPr>
        <w:t xml:space="preserve"> </w:t>
      </w:r>
      <w:r w:rsidR="00C8741F" w:rsidRPr="00C9465D">
        <w:rPr>
          <w:sz w:val="16"/>
          <w:szCs w:val="16"/>
          <w:lang w:val="en-US"/>
        </w:rPr>
        <w:t>Advisory Opinion</w:t>
      </w:r>
      <w:r w:rsidRPr="00C9465D">
        <w:rPr>
          <w:sz w:val="16"/>
          <w:szCs w:val="16"/>
          <w:lang w:val="en-US"/>
        </w:rPr>
        <w:t xml:space="preserve"> OC-16/99, </w:t>
      </w:r>
      <w:r w:rsidRPr="00C9465D">
        <w:rPr>
          <w:i/>
          <w:sz w:val="16"/>
          <w:szCs w:val="16"/>
          <w:lang w:val="en-US"/>
        </w:rPr>
        <w:t>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115, </w:t>
      </w:r>
      <w:r w:rsidR="005A0B42" w:rsidRPr="00C9465D">
        <w:rPr>
          <w:sz w:val="16"/>
          <w:szCs w:val="16"/>
          <w:lang w:val="en-US"/>
        </w:rPr>
        <w:t>and</w:t>
      </w:r>
      <w:r w:rsidRPr="00C9465D">
        <w:rPr>
          <w:sz w:val="16"/>
          <w:szCs w:val="16"/>
          <w:lang w:val="en-US"/>
        </w:rPr>
        <w:t xml:space="preserve"> </w:t>
      </w:r>
      <w:r w:rsidR="005A0B42" w:rsidRPr="00C9465D">
        <w:rPr>
          <w:rFonts w:eastAsia="Times New Roman" w:cs="Times New Roman"/>
          <w:bCs/>
          <w:i/>
          <w:sz w:val="16"/>
          <w:szCs w:val="16"/>
          <w:lang w:val="en-US"/>
        </w:rPr>
        <w:t xml:space="preserve">Gender Identity, and Equality and Non-Discrimination with regard to Same-Sex Couples. State Obligations in relation to Change of Name, Gender Identity, and Rights deriving from a relationship between Same-Sex Couples (Interpretation and scope of Articles 1(1), 3, 7, 11(2), 13, 17, 18 and 24, in relation to Article 1, of the American Convention on Human Rights). </w:t>
      </w:r>
      <w:r w:rsidR="005A0B42" w:rsidRPr="00C9465D">
        <w:rPr>
          <w:rFonts w:eastAsia="Times New Roman" w:cs="Times New Roman"/>
          <w:bCs/>
          <w:sz w:val="16"/>
          <w:szCs w:val="16"/>
          <w:lang w:val="en-US"/>
        </w:rPr>
        <w:t>Advisory Opinion OC-24/17 of November 24, 2017. Series A No. 24</w:t>
      </w:r>
      <w:r w:rsidR="0016496B" w:rsidRPr="00C9465D">
        <w:rPr>
          <w:rFonts w:eastAsia="Times New Roman" w:cs="Times New Roman"/>
          <w:bCs/>
          <w:sz w:val="16"/>
          <w:szCs w:val="16"/>
          <w:lang w:val="en-US"/>
        </w:rPr>
        <w:t xml:space="preserve">, </w:t>
      </w:r>
      <w:r w:rsidR="00D8466F" w:rsidRPr="00C9465D">
        <w:rPr>
          <w:sz w:val="16"/>
          <w:szCs w:val="16"/>
          <w:lang w:val="en-US"/>
        </w:rPr>
        <w:t>para.</w:t>
      </w:r>
      <w:r w:rsidRPr="00C9465D">
        <w:rPr>
          <w:sz w:val="16"/>
          <w:szCs w:val="16"/>
          <w:lang w:val="en-US"/>
        </w:rPr>
        <w:t xml:space="preserve"> 67.</w:t>
      </w:r>
    </w:p>
  </w:footnote>
  <w:footnote w:id="140">
    <w:p w14:paraId="7F839719" w14:textId="310016E3" w:rsidR="00300482" w:rsidRPr="00C9465D" w:rsidRDefault="00300482" w:rsidP="00BD26CF">
      <w:pPr>
        <w:tabs>
          <w:tab w:val="left" w:pos="567"/>
        </w:tabs>
        <w:autoSpaceDE w:val="0"/>
        <w:autoSpaceDN w:val="0"/>
        <w:adjustRightInd w:val="0"/>
        <w:spacing w:after="120" w:line="240" w:lineRule="auto"/>
        <w:jc w:val="both"/>
        <w:rPr>
          <w:rFonts w:ascii="Verdana" w:hAnsi="Verdana" w:cs="Verdana"/>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r>
      <w:r w:rsidR="00193CBB" w:rsidRPr="00C9465D">
        <w:rPr>
          <w:rFonts w:ascii="Verdana" w:hAnsi="Verdana"/>
          <w:sz w:val="16"/>
          <w:szCs w:val="16"/>
          <w:lang w:val="en-US" w:eastAsia="x-none"/>
        </w:rPr>
        <w:t>Article</w:t>
      </w:r>
      <w:r w:rsidRPr="00C9465D">
        <w:rPr>
          <w:rFonts w:ascii="Verdana" w:hAnsi="Verdana"/>
          <w:sz w:val="16"/>
          <w:szCs w:val="16"/>
          <w:lang w:val="en-US" w:eastAsia="x-none"/>
        </w:rPr>
        <w:t xml:space="preserve"> XVI </w:t>
      </w:r>
      <w:r w:rsidR="0016496B" w:rsidRPr="00C9465D">
        <w:rPr>
          <w:rFonts w:ascii="Verdana" w:hAnsi="Verdana"/>
          <w:sz w:val="16"/>
          <w:szCs w:val="16"/>
          <w:lang w:val="en-US" w:eastAsia="x-none"/>
        </w:rPr>
        <w:t xml:space="preserve">of the </w:t>
      </w:r>
      <w:r w:rsidR="0016496B" w:rsidRPr="00C9465D">
        <w:rPr>
          <w:rFonts w:ascii="Verdana" w:hAnsi="Verdana"/>
          <w:sz w:val="16"/>
          <w:szCs w:val="16"/>
          <w:lang w:val="en-US" w:eastAsia="es-ES"/>
        </w:rPr>
        <w:t xml:space="preserve">American Declaration of the Rights and Duties of Man establishes: </w:t>
      </w:r>
      <w:r w:rsidR="0016496B" w:rsidRPr="00C9465D">
        <w:rPr>
          <w:rFonts w:ascii="Verdana" w:hAnsi="Verdana" w:cs="Verdana"/>
          <w:sz w:val="16"/>
          <w:szCs w:val="16"/>
          <w:lang w:val="en-US"/>
        </w:rPr>
        <w:t>Every person has the right social security which will protect him from the consequences of unemployment, old age, and any disabilities arising from causes beyond his control that make it physically or mentally impossible for him to earn a living</w:t>
      </w:r>
      <w:r w:rsidR="0016496B" w:rsidRPr="00C9465D">
        <w:rPr>
          <w:rFonts w:ascii="Verdana" w:hAnsi="Verdana"/>
          <w:sz w:val="16"/>
          <w:szCs w:val="16"/>
          <w:lang w:val="en-US" w:eastAsia="x-none"/>
        </w:rPr>
        <w:t>.</w:t>
      </w:r>
    </w:p>
  </w:footnote>
  <w:footnote w:id="141">
    <w:p w14:paraId="18D29ACE" w14:textId="2D7D3A66" w:rsidR="00300482" w:rsidRPr="00C9465D" w:rsidRDefault="00300482" w:rsidP="00BD26CF">
      <w:pPr>
        <w:spacing w:after="120" w:line="240" w:lineRule="auto"/>
        <w:jc w:val="both"/>
        <w:rPr>
          <w:rFonts w:ascii="Verdana" w:eastAsia="Times New Roman" w:hAnsi="Verdana" w:cs="Times New Roman"/>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r>
      <w:r w:rsidR="00193CBB" w:rsidRPr="00C9465D">
        <w:rPr>
          <w:rFonts w:ascii="Verdana" w:hAnsi="Verdana"/>
          <w:sz w:val="16"/>
          <w:szCs w:val="16"/>
          <w:lang w:val="en-US"/>
        </w:rPr>
        <w:t>Article</w:t>
      </w:r>
      <w:r w:rsidRPr="00C9465D">
        <w:rPr>
          <w:rFonts w:ascii="Verdana" w:hAnsi="Verdana"/>
          <w:sz w:val="16"/>
          <w:szCs w:val="16"/>
          <w:lang w:val="en-US"/>
        </w:rPr>
        <w:t xml:space="preserve"> 18 (</w:t>
      </w:r>
      <w:r w:rsidR="0016496B" w:rsidRPr="00C9465D">
        <w:rPr>
          <w:rFonts w:ascii="Verdana" w:hAnsi="Verdana"/>
          <w:bCs/>
          <w:sz w:val="16"/>
          <w:szCs w:val="16"/>
          <w:lang w:val="en-US"/>
        </w:rPr>
        <w:t>Protection of the Handicapped</w:t>
      </w:r>
      <w:r w:rsidRPr="00C9465D">
        <w:rPr>
          <w:rFonts w:ascii="Verdana" w:hAnsi="Verdana"/>
          <w:bCs/>
          <w:sz w:val="16"/>
          <w:szCs w:val="16"/>
          <w:lang w:val="en-US"/>
        </w:rPr>
        <w:t>)</w:t>
      </w:r>
      <w:r w:rsidRPr="00C9465D">
        <w:rPr>
          <w:rFonts w:ascii="Verdana" w:hAnsi="Verdana"/>
          <w:sz w:val="16"/>
          <w:szCs w:val="16"/>
          <w:lang w:val="en-US"/>
        </w:rPr>
        <w:t xml:space="preserve"> </w:t>
      </w:r>
      <w:r w:rsidR="0016496B" w:rsidRPr="00C9465D">
        <w:rPr>
          <w:rFonts w:ascii="Verdana" w:hAnsi="Verdana"/>
          <w:sz w:val="16"/>
          <w:szCs w:val="16"/>
          <w:lang w:val="en-US"/>
        </w:rPr>
        <w:t>of the Additional Protocol to the American Convention in the Area of Economic, Social and Cultural Rights, “Protocol of San Salvador,” establishes: “[e]</w:t>
      </w:r>
      <w:r w:rsidR="0016496B" w:rsidRPr="00C9465D">
        <w:rPr>
          <w:rFonts w:ascii="Verdana" w:eastAsia="Times New Roman" w:hAnsi="Verdana" w:cs="Tahoma"/>
          <w:sz w:val="16"/>
          <w:szCs w:val="16"/>
          <w:lang w:val="en-US"/>
        </w:rPr>
        <w:t>veryone affected by a diminution of his physical or mental capacities is entitled to receive special attention designed to help him achieve the greatest possible development of his personality. The States Parties agree to adopt such measures as may be necessary for this purpose and, especially, to:</w:t>
      </w:r>
      <w:r w:rsidR="0016496B" w:rsidRPr="00C9465D">
        <w:rPr>
          <w:rFonts w:ascii="Verdana" w:eastAsia="Times New Roman" w:hAnsi="Verdana" w:cs="Times New Roman"/>
          <w:sz w:val="16"/>
          <w:szCs w:val="16"/>
          <w:lang w:val="en-US"/>
        </w:rPr>
        <w:t xml:space="preserve"> (</w:t>
      </w:r>
      <w:r w:rsidR="0016496B" w:rsidRPr="00C9465D">
        <w:rPr>
          <w:rFonts w:ascii="Verdana" w:eastAsia="Times New Roman" w:hAnsi="Verdana" w:cs="Tahoma"/>
          <w:sz w:val="16"/>
          <w:szCs w:val="16"/>
          <w:lang w:val="en-US"/>
        </w:rPr>
        <w:t>a) Undertake programs specifically aimed at providing the handicapped with the resources and environment needed for attaining this goal, including work programs consistent with their possibilities and freely accepted by them or their legal representatives, as the case may be; (b)</w:t>
      </w:r>
      <w:r w:rsidR="00EA340A" w:rsidRPr="00C9465D">
        <w:rPr>
          <w:rFonts w:ascii="Verdana" w:eastAsia="Times New Roman" w:hAnsi="Verdana" w:cs="Tahoma"/>
          <w:sz w:val="16"/>
          <w:szCs w:val="16"/>
          <w:lang w:val="en-US"/>
        </w:rPr>
        <w:t xml:space="preserve"> </w:t>
      </w:r>
      <w:r w:rsidR="0016496B" w:rsidRPr="00C9465D">
        <w:rPr>
          <w:rFonts w:ascii="Verdana" w:eastAsia="Times New Roman" w:hAnsi="Verdana" w:cs="Tahoma"/>
          <w:sz w:val="16"/>
          <w:szCs w:val="16"/>
          <w:lang w:val="en-US"/>
        </w:rPr>
        <w:t>Provide special training to the families of the handicapped in order to help them solve the problems of coexistence and convert them into active agents in the physical, mental and emotional development of the latter; (c) Include the consideration of solutions to specific requirements arising from needs of this group as a priority component of their urban development plans; (d) Encourage the establishment of social groups in which the handicapped can be helped to enjoy a fuller life.</w:t>
      </w:r>
    </w:p>
  </w:footnote>
  <w:footnote w:id="142">
    <w:p w14:paraId="62898728" w14:textId="5C7B5E4E" w:rsidR="00300482" w:rsidRPr="00C9465D" w:rsidRDefault="00300482" w:rsidP="00BD26CF">
      <w:pPr>
        <w:tabs>
          <w:tab w:val="left" w:pos="567"/>
        </w:tabs>
        <w:spacing w:after="120" w:line="240" w:lineRule="auto"/>
        <w:jc w:val="both"/>
        <w:rPr>
          <w:rFonts w:ascii="Verdana" w:eastAsia="Calibri" w:hAnsi="Verdana"/>
          <w:sz w:val="16"/>
          <w:szCs w:val="16"/>
          <w:lang w:val="en-US" w:eastAsia="x-none"/>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r>
      <w:r w:rsidR="0016496B" w:rsidRPr="00C9465D">
        <w:rPr>
          <w:rFonts w:ascii="Verdana" w:hAnsi="Verdana" w:cs="Verdana"/>
          <w:sz w:val="16"/>
          <w:szCs w:val="16"/>
          <w:lang w:val="en-US"/>
        </w:rPr>
        <w:t>Inter-American Convention on the Elimination of All Forms of Discrimination against Persons with Disabilities</w:t>
      </w:r>
      <w:r w:rsidRPr="00C9465D">
        <w:rPr>
          <w:rFonts w:ascii="Verdana" w:eastAsia="Calibri" w:hAnsi="Verdana"/>
          <w:sz w:val="16"/>
          <w:szCs w:val="16"/>
          <w:lang w:val="en-US" w:eastAsia="x-none"/>
        </w:rPr>
        <w:t>, AG/RES. 1608 (XXIX-O/99).</w:t>
      </w:r>
    </w:p>
  </w:footnote>
  <w:footnote w:id="143">
    <w:p w14:paraId="654D2988" w14:textId="7C9BE4D4" w:rsidR="00300482" w:rsidRPr="00C9465D" w:rsidRDefault="00300482" w:rsidP="00BD26CF">
      <w:pPr>
        <w:pStyle w:val="FootnoteText"/>
        <w:tabs>
          <w:tab w:val="left" w:pos="567"/>
        </w:tabs>
        <w:spacing w:after="120"/>
        <w:rPr>
          <w:sz w:val="16"/>
          <w:szCs w:val="16"/>
          <w:lang w:val="en-US" w:eastAsia="es-E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16496B" w:rsidRPr="00C9465D">
        <w:rPr>
          <w:sz w:val="16"/>
          <w:szCs w:val="16"/>
          <w:lang w:val="en-US" w:eastAsia="es-ES"/>
        </w:rPr>
        <w:t>Standard Rules on the Equalization of Opportunities for Persons with Disabilities</w:t>
      </w:r>
      <w:r w:rsidRPr="00C9465D">
        <w:rPr>
          <w:sz w:val="16"/>
          <w:szCs w:val="16"/>
          <w:lang w:val="en-US" w:eastAsia="es-ES"/>
        </w:rPr>
        <w:t xml:space="preserve"> adopt</w:t>
      </w:r>
      <w:r w:rsidR="0016496B" w:rsidRPr="00C9465D">
        <w:rPr>
          <w:sz w:val="16"/>
          <w:szCs w:val="16"/>
          <w:lang w:val="en-US" w:eastAsia="es-ES"/>
        </w:rPr>
        <w:t>ed by the United Nations General Assembly, 48th session, annex to Resolution 48/96</w:t>
      </w:r>
      <w:r w:rsidR="00A80158" w:rsidRPr="00C9465D">
        <w:rPr>
          <w:sz w:val="16"/>
          <w:szCs w:val="16"/>
          <w:lang w:val="en-US" w:eastAsia="es-ES"/>
        </w:rPr>
        <w:t xml:space="preserve"> of December 17, 1991.</w:t>
      </w:r>
    </w:p>
  </w:footnote>
  <w:footnote w:id="144">
    <w:p w14:paraId="4808F928" w14:textId="40B76B79" w:rsidR="00300482" w:rsidRPr="00C9465D" w:rsidRDefault="00300482" w:rsidP="00BD26CF">
      <w:pPr>
        <w:pStyle w:val="NormalWeb"/>
        <w:tabs>
          <w:tab w:val="left" w:pos="567"/>
        </w:tabs>
        <w:spacing w:after="120" w:line="240" w:lineRule="auto"/>
        <w:jc w:val="both"/>
        <w:rPr>
          <w:rFonts w:ascii="Verdana" w:hAnsi="Verdana"/>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r>
      <w:r w:rsidR="00193CBB" w:rsidRPr="00C9465D">
        <w:rPr>
          <w:rFonts w:ascii="Verdana" w:hAnsi="Verdana"/>
          <w:sz w:val="16"/>
          <w:szCs w:val="16"/>
          <w:lang w:val="en-US"/>
        </w:rPr>
        <w:t>Article</w:t>
      </w:r>
      <w:r w:rsidRPr="00C9465D">
        <w:rPr>
          <w:rFonts w:ascii="Verdana" w:hAnsi="Verdana"/>
          <w:sz w:val="16"/>
          <w:szCs w:val="16"/>
          <w:lang w:val="en-US"/>
        </w:rPr>
        <w:t xml:space="preserve"> 2</w:t>
      </w:r>
      <w:r w:rsidR="00A80158" w:rsidRPr="00C9465D">
        <w:rPr>
          <w:rFonts w:ascii="Verdana" w:hAnsi="Verdana"/>
          <w:sz w:val="16"/>
          <w:szCs w:val="16"/>
          <w:lang w:val="en-US"/>
        </w:rPr>
        <w:t>(1) of the International Covenant on Economic, Social and Cultural Rights: 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w:t>
      </w:r>
    </w:p>
  </w:footnote>
  <w:footnote w:id="145">
    <w:p w14:paraId="38013D64" w14:textId="251829BC"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rFonts w:eastAsia="Calibri"/>
          <w:i/>
          <w:sz w:val="16"/>
          <w:szCs w:val="16"/>
          <w:lang w:val="en-US"/>
        </w:rPr>
        <w:t>Cf.</w:t>
      </w:r>
      <w:r w:rsidRPr="00C9465D">
        <w:rPr>
          <w:rFonts w:eastAsia="Calibri"/>
          <w:i/>
          <w:sz w:val="16"/>
          <w:szCs w:val="16"/>
          <w:lang w:val="en-US"/>
        </w:rPr>
        <w:t xml:space="preserve"> </w:t>
      </w:r>
      <w:r w:rsidR="00593C0F" w:rsidRPr="00C9465D">
        <w:rPr>
          <w:sz w:val="16"/>
          <w:szCs w:val="16"/>
          <w:lang w:val="en-US" w:eastAsia="es-ES"/>
        </w:rPr>
        <w:t>Committee on Economic, Social and Cultural Rights</w:t>
      </w:r>
      <w:r w:rsidRPr="00C9465D">
        <w:rPr>
          <w:sz w:val="16"/>
          <w:szCs w:val="16"/>
          <w:lang w:val="en-US"/>
        </w:rPr>
        <w:t xml:space="preserve">, </w:t>
      </w:r>
      <w:r w:rsidR="00593C0F" w:rsidRPr="00C9465D">
        <w:rPr>
          <w:sz w:val="16"/>
          <w:szCs w:val="16"/>
          <w:lang w:val="en-US"/>
        </w:rPr>
        <w:t>General Comment No. 5</w:t>
      </w:r>
      <w:r w:rsidRPr="00C9465D">
        <w:rPr>
          <w:sz w:val="16"/>
          <w:szCs w:val="16"/>
          <w:lang w:val="en-US"/>
        </w:rPr>
        <w:t xml:space="preserve">: </w:t>
      </w:r>
      <w:r w:rsidR="00593C0F" w:rsidRPr="00C9465D">
        <w:rPr>
          <w:sz w:val="16"/>
          <w:szCs w:val="16"/>
          <w:lang w:val="en-US"/>
        </w:rPr>
        <w:t>Persons with Disabilities</w:t>
      </w:r>
      <w:r w:rsidRPr="00C9465D">
        <w:rPr>
          <w:sz w:val="16"/>
          <w:szCs w:val="16"/>
          <w:lang w:val="en-US"/>
        </w:rPr>
        <w:t xml:space="preserve">, E/1995/22, </w:t>
      </w:r>
      <w:r w:rsidR="00593C0F" w:rsidRPr="00C9465D">
        <w:rPr>
          <w:sz w:val="16"/>
          <w:szCs w:val="16"/>
          <w:lang w:val="en-US"/>
        </w:rPr>
        <w:t>December 9,</w:t>
      </w:r>
      <w:r w:rsidRPr="00C9465D">
        <w:rPr>
          <w:sz w:val="16"/>
          <w:szCs w:val="16"/>
          <w:lang w:val="en-US"/>
        </w:rPr>
        <w:t xml:space="preserve"> 1994, </w:t>
      </w:r>
      <w:r w:rsidR="00D8466F" w:rsidRPr="00C9465D">
        <w:rPr>
          <w:sz w:val="16"/>
          <w:szCs w:val="16"/>
          <w:lang w:val="en-US"/>
        </w:rPr>
        <w:t>para.</w:t>
      </w:r>
      <w:r w:rsidRPr="00C9465D">
        <w:rPr>
          <w:sz w:val="16"/>
          <w:szCs w:val="16"/>
          <w:lang w:val="en-US"/>
        </w:rPr>
        <w:t xml:space="preserve"> 5, </w:t>
      </w:r>
      <w:r w:rsidR="00593C0F" w:rsidRPr="00C9465D">
        <w:rPr>
          <w:sz w:val="16"/>
          <w:szCs w:val="16"/>
          <w:lang w:val="en-US"/>
        </w:rPr>
        <w:t xml:space="preserve">and </w:t>
      </w:r>
      <w:r w:rsidR="00593C0F" w:rsidRPr="00C9465D">
        <w:rPr>
          <w:sz w:val="16"/>
          <w:szCs w:val="16"/>
          <w:lang w:val="en-US" w:eastAsia="es-ES"/>
        </w:rPr>
        <w:t>Committee on Economic, Social and Cultural Rights</w:t>
      </w:r>
      <w:r w:rsidR="00593C0F" w:rsidRPr="00C9465D">
        <w:rPr>
          <w:sz w:val="16"/>
          <w:szCs w:val="16"/>
          <w:lang w:val="en-US"/>
        </w:rPr>
        <w:t xml:space="preserve">, General Comment No. </w:t>
      </w:r>
      <w:r w:rsidRPr="00C9465D">
        <w:rPr>
          <w:sz w:val="16"/>
          <w:szCs w:val="16"/>
          <w:lang w:val="en-US"/>
        </w:rPr>
        <w:t xml:space="preserve">20: </w:t>
      </w:r>
      <w:r w:rsidR="00D12C0E" w:rsidRPr="00C9465D">
        <w:rPr>
          <w:sz w:val="16"/>
          <w:szCs w:val="16"/>
          <w:lang w:val="en-US"/>
        </w:rPr>
        <w:t>Non-discrimination</w:t>
      </w:r>
      <w:r w:rsidR="00193CBB" w:rsidRPr="00C9465D">
        <w:rPr>
          <w:sz w:val="16"/>
          <w:szCs w:val="16"/>
          <w:lang w:val="en-US"/>
        </w:rPr>
        <w:t xml:space="preserve"> </w:t>
      </w:r>
      <w:r w:rsidR="00593C0F" w:rsidRPr="00C9465D">
        <w:rPr>
          <w:sz w:val="16"/>
          <w:szCs w:val="16"/>
          <w:lang w:val="en-US"/>
        </w:rPr>
        <w:t>in economic, social and cultural rights</w:t>
      </w:r>
      <w:r w:rsidRPr="00C9465D">
        <w:rPr>
          <w:sz w:val="16"/>
          <w:szCs w:val="16"/>
          <w:lang w:val="en-US"/>
        </w:rPr>
        <w:t xml:space="preserve">, E/C.12/GC/20, </w:t>
      </w:r>
      <w:r w:rsidR="00593C0F" w:rsidRPr="00C9465D">
        <w:rPr>
          <w:sz w:val="16"/>
          <w:szCs w:val="16"/>
          <w:lang w:val="en-US"/>
        </w:rPr>
        <w:t>July 2,</w:t>
      </w:r>
      <w:r w:rsidRPr="00C9465D">
        <w:rPr>
          <w:sz w:val="16"/>
          <w:szCs w:val="16"/>
          <w:lang w:val="en-US"/>
        </w:rPr>
        <w:t xml:space="preserve"> 2009, </w:t>
      </w:r>
      <w:r w:rsidR="00D8466F" w:rsidRPr="00C9465D">
        <w:rPr>
          <w:sz w:val="16"/>
          <w:szCs w:val="16"/>
          <w:lang w:val="en-US"/>
        </w:rPr>
        <w:t>para.</w:t>
      </w:r>
      <w:r w:rsidRPr="00C9465D">
        <w:rPr>
          <w:sz w:val="16"/>
          <w:szCs w:val="16"/>
          <w:lang w:val="en-US"/>
        </w:rPr>
        <w:t xml:space="preserve"> 28.</w:t>
      </w:r>
    </w:p>
  </w:footnote>
  <w:footnote w:id="146">
    <w:p w14:paraId="26A65FFA" w14:textId="3F309424"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193CBB" w:rsidRPr="00C9465D">
        <w:rPr>
          <w:sz w:val="16"/>
          <w:szCs w:val="16"/>
          <w:lang w:val="en-US"/>
        </w:rPr>
        <w:t>Article</w:t>
      </w:r>
      <w:r w:rsidRPr="00C9465D">
        <w:rPr>
          <w:sz w:val="16"/>
          <w:szCs w:val="16"/>
          <w:lang w:val="en-US"/>
        </w:rPr>
        <w:t xml:space="preserve"> 2</w:t>
      </w:r>
      <w:r w:rsidR="00193CBB" w:rsidRPr="00C9465D">
        <w:rPr>
          <w:sz w:val="16"/>
          <w:szCs w:val="16"/>
          <w:lang w:val="en-US"/>
        </w:rPr>
        <w:t xml:space="preserve"> of the Convention</w:t>
      </w:r>
      <w:r w:rsidRPr="00C9465D">
        <w:rPr>
          <w:sz w:val="16"/>
          <w:szCs w:val="16"/>
          <w:lang w:val="en-US"/>
        </w:rPr>
        <w:t xml:space="preserve"> </w:t>
      </w:r>
      <w:r w:rsidR="00B1525D" w:rsidRPr="00C9465D">
        <w:rPr>
          <w:sz w:val="16"/>
          <w:szCs w:val="16"/>
          <w:lang w:val="en-US"/>
        </w:rPr>
        <w:t>on the Rights of the Child</w:t>
      </w:r>
      <w:r w:rsidRPr="00C9465D">
        <w:rPr>
          <w:sz w:val="16"/>
          <w:szCs w:val="16"/>
          <w:lang w:val="en-US"/>
        </w:rPr>
        <w:t>,</w:t>
      </w:r>
      <w:r w:rsidR="00193CBB" w:rsidRPr="00C9465D">
        <w:rPr>
          <w:sz w:val="16"/>
          <w:szCs w:val="16"/>
          <w:lang w:val="en-US"/>
        </w:rPr>
        <w:t xml:space="preserve"> and </w:t>
      </w:r>
      <w:r w:rsidR="00B1525D" w:rsidRPr="00C9465D">
        <w:rPr>
          <w:sz w:val="16"/>
          <w:szCs w:val="16"/>
          <w:lang w:val="en-US"/>
        </w:rPr>
        <w:t>Committee on the Rights of the Child, General Comment No.</w:t>
      </w:r>
      <w:r w:rsidRPr="00C9465D">
        <w:rPr>
          <w:sz w:val="16"/>
          <w:szCs w:val="16"/>
          <w:lang w:val="en-US"/>
        </w:rPr>
        <w:t xml:space="preserve"> 9:</w:t>
      </w:r>
      <w:r w:rsidR="00B1525D" w:rsidRPr="00C9465D">
        <w:rPr>
          <w:sz w:val="16"/>
          <w:szCs w:val="16"/>
          <w:lang w:val="en-US"/>
        </w:rPr>
        <w:t xml:space="preserve"> The rights of children with disabilities</w:t>
      </w:r>
      <w:r w:rsidRPr="00C9465D">
        <w:rPr>
          <w:sz w:val="16"/>
          <w:szCs w:val="16"/>
          <w:lang w:val="en-US"/>
        </w:rPr>
        <w:t xml:space="preserve">, CRC/C/GC/9, </w:t>
      </w:r>
      <w:r w:rsidR="00B1525D" w:rsidRPr="00C9465D">
        <w:rPr>
          <w:sz w:val="16"/>
          <w:szCs w:val="16"/>
          <w:lang w:val="en-US"/>
        </w:rPr>
        <w:t>February 27,</w:t>
      </w:r>
      <w:r w:rsidRPr="00C9465D">
        <w:rPr>
          <w:sz w:val="16"/>
          <w:szCs w:val="16"/>
          <w:lang w:val="en-US"/>
        </w:rPr>
        <w:t xml:space="preserve"> 2007, </w:t>
      </w:r>
      <w:r w:rsidR="00D8466F" w:rsidRPr="00C9465D">
        <w:rPr>
          <w:sz w:val="16"/>
          <w:szCs w:val="16"/>
          <w:lang w:val="en-US"/>
        </w:rPr>
        <w:t>para.</w:t>
      </w:r>
      <w:r w:rsidRPr="00C9465D">
        <w:rPr>
          <w:sz w:val="16"/>
          <w:szCs w:val="16"/>
          <w:lang w:val="en-US"/>
        </w:rPr>
        <w:t xml:space="preserve"> 2.</w:t>
      </w:r>
    </w:p>
  </w:footnote>
  <w:footnote w:id="147">
    <w:p w14:paraId="699F45B2" w14:textId="1102D92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593C0F" w:rsidRPr="00C9465D">
        <w:rPr>
          <w:bCs/>
          <w:sz w:val="16"/>
          <w:szCs w:val="16"/>
          <w:lang w:val="en-US"/>
        </w:rPr>
        <w:t>CRPD</w:t>
      </w:r>
      <w:r w:rsidRPr="00C9465D">
        <w:rPr>
          <w:bCs/>
          <w:sz w:val="16"/>
          <w:szCs w:val="16"/>
          <w:lang w:val="en-US"/>
        </w:rPr>
        <w:t xml:space="preserve">, </w:t>
      </w:r>
      <w:r w:rsidR="00193CBB" w:rsidRPr="00C9465D">
        <w:rPr>
          <w:bCs/>
          <w:sz w:val="16"/>
          <w:szCs w:val="16"/>
          <w:lang w:val="en-US"/>
        </w:rPr>
        <w:t>Article</w:t>
      </w:r>
      <w:r w:rsidRPr="00C9465D">
        <w:rPr>
          <w:bCs/>
          <w:sz w:val="16"/>
          <w:szCs w:val="16"/>
          <w:lang w:val="en-US"/>
        </w:rPr>
        <w:t>s 3</w:t>
      </w:r>
      <w:r w:rsidR="00193CBB" w:rsidRPr="00C9465D">
        <w:rPr>
          <w:bCs/>
          <w:sz w:val="16"/>
          <w:szCs w:val="16"/>
          <w:lang w:val="en-US"/>
        </w:rPr>
        <w:t xml:space="preserve"> and </w:t>
      </w:r>
      <w:r w:rsidRPr="00C9465D">
        <w:rPr>
          <w:bCs/>
          <w:sz w:val="16"/>
          <w:szCs w:val="16"/>
          <w:lang w:val="en-US"/>
        </w:rPr>
        <w:t>5.</w:t>
      </w:r>
    </w:p>
  </w:footnote>
  <w:footnote w:id="148">
    <w:p w14:paraId="010175CA" w14:textId="4ABA3C47" w:rsidR="00300482" w:rsidRPr="00C9465D" w:rsidRDefault="00300482" w:rsidP="00BD26CF">
      <w:pPr>
        <w:pStyle w:val="FootnoteText"/>
        <w:tabs>
          <w:tab w:val="left" w:pos="567"/>
        </w:tabs>
        <w:spacing w:after="120"/>
        <w:rPr>
          <w:b/>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561A0C" w:rsidRPr="00C9465D">
        <w:rPr>
          <w:sz w:val="16"/>
          <w:szCs w:val="16"/>
          <w:lang w:val="en-US"/>
        </w:rPr>
        <w:t>Constitution</w:t>
      </w:r>
      <w:r w:rsidR="00092D8C" w:rsidRPr="00C9465D">
        <w:rPr>
          <w:sz w:val="16"/>
          <w:szCs w:val="16"/>
          <w:lang w:val="en-US"/>
        </w:rPr>
        <w:t xml:space="preserve"> of the </w:t>
      </w:r>
      <w:r w:rsidR="00E2299F" w:rsidRPr="00C9465D">
        <w:rPr>
          <w:sz w:val="16"/>
          <w:szCs w:val="16"/>
          <w:lang w:val="en-US"/>
        </w:rPr>
        <w:t>Republic of</w:t>
      </w:r>
      <w:r w:rsidRPr="00C9465D">
        <w:rPr>
          <w:sz w:val="16"/>
          <w:szCs w:val="16"/>
          <w:lang w:val="en-US"/>
        </w:rPr>
        <w:t xml:space="preserve"> Ecuador, 1998, </w:t>
      </w:r>
      <w:r w:rsidR="00561A0C" w:rsidRPr="00C9465D">
        <w:rPr>
          <w:sz w:val="16"/>
          <w:szCs w:val="16"/>
          <w:lang w:val="en-US"/>
        </w:rPr>
        <w:t>a</w:t>
      </w:r>
      <w:r w:rsidR="00193CBB" w:rsidRPr="00C9465D">
        <w:rPr>
          <w:sz w:val="16"/>
          <w:szCs w:val="16"/>
          <w:lang w:val="en-US"/>
        </w:rPr>
        <w:t>rticle</w:t>
      </w:r>
      <w:r w:rsidRPr="00C9465D">
        <w:rPr>
          <w:sz w:val="16"/>
          <w:szCs w:val="16"/>
          <w:lang w:val="en-US"/>
        </w:rPr>
        <w:t xml:space="preserve"> 23.3 (</w:t>
      </w:r>
      <w:r w:rsidR="00153C9F" w:rsidRPr="00C9465D">
        <w:rPr>
          <w:sz w:val="16"/>
          <w:szCs w:val="16"/>
          <w:lang w:val="en-US"/>
        </w:rPr>
        <w:t>evidence file</w:t>
      </w:r>
      <w:r w:rsidRPr="00C9465D">
        <w:rPr>
          <w:sz w:val="16"/>
          <w:szCs w:val="16"/>
          <w:lang w:val="en-US"/>
        </w:rPr>
        <w:t>, folios 8793</w:t>
      </w:r>
      <w:r w:rsidR="00193CBB" w:rsidRPr="00C9465D">
        <w:rPr>
          <w:sz w:val="16"/>
          <w:szCs w:val="16"/>
          <w:lang w:val="en-US"/>
        </w:rPr>
        <w:t xml:space="preserve"> and </w:t>
      </w:r>
      <w:r w:rsidRPr="00C9465D">
        <w:rPr>
          <w:sz w:val="16"/>
          <w:szCs w:val="16"/>
          <w:lang w:val="en-US"/>
        </w:rPr>
        <w:t xml:space="preserve">8794). </w:t>
      </w:r>
      <w:r w:rsidR="00561A0C" w:rsidRPr="00C9465D">
        <w:rPr>
          <w:sz w:val="16"/>
          <w:szCs w:val="16"/>
          <w:lang w:val="en-US"/>
        </w:rPr>
        <w:t>Similarly, see Constitution</w:t>
      </w:r>
      <w:r w:rsidR="00092D8C" w:rsidRPr="00C9465D">
        <w:rPr>
          <w:sz w:val="16"/>
          <w:szCs w:val="16"/>
          <w:lang w:val="en-US"/>
        </w:rPr>
        <w:t xml:space="preserve"> of the </w:t>
      </w:r>
      <w:r w:rsidR="00E2299F" w:rsidRPr="00C9465D">
        <w:rPr>
          <w:sz w:val="16"/>
          <w:szCs w:val="16"/>
          <w:lang w:val="en-US"/>
        </w:rPr>
        <w:t>Republic of</w:t>
      </w:r>
      <w:r w:rsidRPr="00C9465D">
        <w:rPr>
          <w:sz w:val="16"/>
          <w:szCs w:val="16"/>
          <w:lang w:val="en-US"/>
        </w:rPr>
        <w:t xml:space="preserve"> Ecuador</w:t>
      </w:r>
      <w:r w:rsidR="00EA340A" w:rsidRPr="00C9465D">
        <w:rPr>
          <w:sz w:val="16"/>
          <w:szCs w:val="16"/>
          <w:lang w:val="en-US"/>
        </w:rPr>
        <w:t>,</w:t>
      </w:r>
      <w:r w:rsidRPr="00C9465D">
        <w:rPr>
          <w:sz w:val="16"/>
          <w:szCs w:val="16"/>
          <w:lang w:val="en-US"/>
        </w:rPr>
        <w:t xml:space="preserve"> 2008, </w:t>
      </w:r>
      <w:r w:rsidR="00561A0C" w:rsidRPr="00C9465D">
        <w:rPr>
          <w:sz w:val="16"/>
          <w:szCs w:val="16"/>
          <w:lang w:val="en-US"/>
        </w:rPr>
        <w:t>a</w:t>
      </w:r>
      <w:r w:rsidR="00193CBB" w:rsidRPr="00C9465D">
        <w:rPr>
          <w:sz w:val="16"/>
          <w:szCs w:val="16"/>
          <w:lang w:val="en-US"/>
        </w:rPr>
        <w:t>rticle</w:t>
      </w:r>
      <w:r w:rsidRPr="00C9465D">
        <w:rPr>
          <w:sz w:val="16"/>
          <w:szCs w:val="16"/>
          <w:lang w:val="en-US"/>
        </w:rPr>
        <w:t xml:space="preserve"> 11.2 (</w:t>
      </w:r>
      <w:r w:rsidR="00153C9F" w:rsidRPr="00C9465D">
        <w:rPr>
          <w:sz w:val="16"/>
          <w:szCs w:val="16"/>
          <w:lang w:val="en-US"/>
        </w:rPr>
        <w:t>evidence file</w:t>
      </w:r>
      <w:r w:rsidRPr="00C9465D">
        <w:rPr>
          <w:sz w:val="16"/>
          <w:szCs w:val="16"/>
          <w:lang w:val="en-US"/>
        </w:rPr>
        <w:t>, folio 8863).</w:t>
      </w:r>
      <w:r w:rsidR="00561A0C" w:rsidRPr="00C9465D">
        <w:rPr>
          <w:sz w:val="16"/>
          <w:szCs w:val="16"/>
          <w:lang w:val="en-US"/>
        </w:rPr>
        <w:t xml:space="preserve"> Also</w:t>
      </w:r>
      <w:r w:rsidRPr="00C9465D">
        <w:rPr>
          <w:sz w:val="16"/>
          <w:szCs w:val="16"/>
          <w:lang w:val="en-US"/>
        </w:rPr>
        <w:t>,</w:t>
      </w:r>
      <w:r w:rsidR="00561A0C" w:rsidRPr="00C9465D">
        <w:rPr>
          <w:sz w:val="16"/>
          <w:szCs w:val="16"/>
          <w:lang w:val="en-US"/>
        </w:rPr>
        <w:t xml:space="preserve"> Disabilities Act </w:t>
      </w:r>
      <w:r w:rsidRPr="00C9465D">
        <w:rPr>
          <w:sz w:val="16"/>
          <w:szCs w:val="16"/>
          <w:lang w:val="en-US"/>
        </w:rPr>
        <w:t xml:space="preserve">2001, </w:t>
      </w:r>
      <w:r w:rsidR="00561A0C" w:rsidRPr="00C9465D">
        <w:rPr>
          <w:sz w:val="16"/>
          <w:szCs w:val="16"/>
          <w:lang w:val="en-US"/>
        </w:rPr>
        <w:t>a</w:t>
      </w:r>
      <w:r w:rsidR="00193CBB" w:rsidRPr="00C9465D">
        <w:rPr>
          <w:sz w:val="16"/>
          <w:szCs w:val="16"/>
          <w:lang w:val="en-US"/>
        </w:rPr>
        <w:t>rticle</w:t>
      </w:r>
      <w:r w:rsidRPr="00C9465D">
        <w:rPr>
          <w:sz w:val="16"/>
          <w:szCs w:val="16"/>
          <w:lang w:val="en-US"/>
        </w:rPr>
        <w:t xml:space="preserve"> 3 (</w:t>
      </w:r>
      <w:r w:rsidR="00153C9F" w:rsidRPr="00C9465D">
        <w:rPr>
          <w:sz w:val="16"/>
          <w:szCs w:val="16"/>
          <w:lang w:val="en-US"/>
        </w:rPr>
        <w:t>evidence file</w:t>
      </w:r>
      <w:r w:rsidRPr="00C9465D">
        <w:rPr>
          <w:sz w:val="16"/>
          <w:szCs w:val="16"/>
          <w:lang w:val="en-US"/>
        </w:rPr>
        <w:t xml:space="preserve">, folio 9100).  </w:t>
      </w:r>
    </w:p>
  </w:footnote>
  <w:footnote w:id="149">
    <w:p w14:paraId="5B41CBFC" w14:textId="234AD578"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D8466F" w:rsidRPr="00C9465D">
        <w:rPr>
          <w:i/>
          <w:sz w:val="16"/>
          <w:szCs w:val="16"/>
          <w:lang w:val="en-US"/>
        </w:rPr>
        <w:t>Case of</w:t>
      </w:r>
      <w:r w:rsidRPr="00C9465D">
        <w:rPr>
          <w:i/>
          <w:sz w:val="16"/>
          <w:szCs w:val="16"/>
          <w:lang w:val="en-US"/>
        </w:rPr>
        <w:t xml:space="preserve"> </w:t>
      </w:r>
      <w:r w:rsidR="00FA5261" w:rsidRPr="00C9465D">
        <w:rPr>
          <w:i/>
          <w:sz w:val="16"/>
          <w:szCs w:val="16"/>
          <w:lang w:val="en-US"/>
        </w:rPr>
        <w:t>Azul Rojas Marín et al. v. Peru.</w:t>
      </w:r>
      <w:r w:rsidRPr="00C9465D">
        <w:rPr>
          <w:i/>
          <w:sz w:val="16"/>
          <w:szCs w:val="16"/>
          <w:lang w:val="en-US"/>
        </w:rPr>
        <w:t xml:space="preserve"> </w:t>
      </w:r>
      <w:r w:rsidR="00D8466F" w:rsidRPr="00C9465D">
        <w:rPr>
          <w:i/>
          <w:sz w:val="16"/>
          <w:szCs w:val="16"/>
          <w:lang w:val="en-US"/>
        </w:rPr>
        <w:t>Preliminary objections, merits</w:t>
      </w:r>
      <w:r w:rsidR="00193CBB" w:rsidRPr="00C9465D">
        <w:rPr>
          <w:i/>
          <w:sz w:val="16"/>
          <w:szCs w:val="16"/>
          <w:lang w:val="en-US"/>
        </w:rPr>
        <w:t>, reparations and costs</w:t>
      </w:r>
      <w:r w:rsidRPr="00C9465D">
        <w:rPr>
          <w:i/>
          <w:sz w:val="16"/>
          <w:szCs w:val="16"/>
          <w:lang w:val="en-US"/>
        </w:rPr>
        <w:t>.</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561A0C" w:rsidRPr="00C9465D">
        <w:rPr>
          <w:sz w:val="16"/>
          <w:szCs w:val="16"/>
          <w:lang w:val="en-US"/>
        </w:rPr>
        <w:t xml:space="preserve">March </w:t>
      </w:r>
      <w:r w:rsidRPr="00C9465D">
        <w:rPr>
          <w:sz w:val="16"/>
          <w:szCs w:val="16"/>
          <w:lang w:val="en-US"/>
        </w:rPr>
        <w:t>12</w:t>
      </w:r>
      <w:r w:rsidR="00561A0C" w:rsidRPr="00C9465D">
        <w:rPr>
          <w:sz w:val="16"/>
          <w:szCs w:val="16"/>
          <w:lang w:val="en-US"/>
        </w:rPr>
        <w:t xml:space="preserve">, </w:t>
      </w:r>
      <w:r w:rsidRPr="00C9465D">
        <w:rPr>
          <w:sz w:val="16"/>
          <w:szCs w:val="16"/>
          <w:lang w:val="en-US"/>
        </w:rPr>
        <w:t xml:space="preserve">2020. </w:t>
      </w:r>
      <w:r w:rsidR="00E2299F" w:rsidRPr="00C9465D">
        <w:rPr>
          <w:sz w:val="16"/>
          <w:szCs w:val="16"/>
          <w:lang w:val="en-US"/>
        </w:rPr>
        <w:t xml:space="preserve">Series </w:t>
      </w:r>
      <w:r w:rsidRPr="00C9465D">
        <w:rPr>
          <w:sz w:val="16"/>
          <w:szCs w:val="16"/>
          <w:lang w:val="en-US"/>
        </w:rPr>
        <w:t xml:space="preserve">C No. 402, </w:t>
      </w:r>
      <w:r w:rsidR="00D8466F" w:rsidRPr="00C9465D">
        <w:rPr>
          <w:sz w:val="16"/>
          <w:szCs w:val="16"/>
          <w:lang w:val="en-US"/>
        </w:rPr>
        <w:t>para.</w:t>
      </w:r>
      <w:r w:rsidRPr="00C9465D">
        <w:rPr>
          <w:sz w:val="16"/>
          <w:szCs w:val="16"/>
          <w:lang w:val="en-US"/>
        </w:rPr>
        <w:t xml:space="preserve"> 87.</w:t>
      </w:r>
    </w:p>
  </w:footnote>
  <w:footnote w:id="150">
    <w:p w14:paraId="284BA857" w14:textId="0DD3E50B" w:rsidR="00300482" w:rsidRPr="00C9465D" w:rsidRDefault="00300482" w:rsidP="00BD26CF">
      <w:pPr>
        <w:tabs>
          <w:tab w:val="left" w:pos="567"/>
        </w:tabs>
        <w:spacing w:after="120"/>
        <w:jc w:val="both"/>
        <w:rPr>
          <w:rFonts w:ascii="Verdana" w:eastAsia="Times New Roman" w:hAnsi="Verdana" w:cs="Times New Roman"/>
          <w:i/>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ab/>
      </w:r>
      <w:r w:rsidR="00E2299F" w:rsidRPr="00C9465D">
        <w:rPr>
          <w:rFonts w:ascii="Verdana" w:hAnsi="Verdana"/>
          <w:i/>
          <w:iCs/>
          <w:sz w:val="16"/>
          <w:szCs w:val="16"/>
          <w:lang w:val="en-US"/>
        </w:rPr>
        <w:t>Cf.</w:t>
      </w:r>
      <w:r w:rsidRPr="00C9465D">
        <w:rPr>
          <w:rFonts w:ascii="Verdana" w:hAnsi="Verdana"/>
          <w:i/>
          <w:iCs/>
          <w:sz w:val="16"/>
          <w:szCs w:val="16"/>
          <w:lang w:val="en-US"/>
        </w:rPr>
        <w:t xml:space="preserve"> </w:t>
      </w:r>
      <w:hyperlink r:id="rId5" w:history="1">
        <w:r w:rsidR="00FA5261" w:rsidRPr="00C9465D">
          <w:rPr>
            <w:rFonts w:ascii="Verdana" w:eastAsia="Times New Roman" w:hAnsi="Verdana" w:cs="Times New Roman"/>
            <w:i/>
            <w:sz w:val="16"/>
            <w:szCs w:val="16"/>
            <w:lang w:val="en-US"/>
          </w:rPr>
          <w:t>Juridical Condition and Rights of the Undocumented Migrants</w:t>
        </w:r>
      </w:hyperlink>
      <w:r w:rsidR="00FA5261" w:rsidRPr="00C9465D">
        <w:rPr>
          <w:rFonts w:ascii="Verdana" w:eastAsia="Times New Roman" w:hAnsi="Verdana" w:cs="Times New Roman"/>
          <w:i/>
          <w:sz w:val="16"/>
          <w:szCs w:val="16"/>
          <w:lang w:val="en-US"/>
        </w:rPr>
        <w:t xml:space="preserve">, </w:t>
      </w:r>
      <w:r w:rsidR="00FA5261" w:rsidRPr="00C9465D">
        <w:rPr>
          <w:rFonts w:ascii="Verdana" w:eastAsia="Times New Roman" w:hAnsi="Verdana" w:cs="Times New Roman"/>
          <w:sz w:val="16"/>
          <w:szCs w:val="16"/>
          <w:lang w:val="en-US"/>
        </w:rPr>
        <w:t xml:space="preserve">Advisory Opinion OC-18/03, September 17, 2003. Series A No. 18, </w:t>
      </w:r>
      <w:r w:rsidR="00D8466F" w:rsidRPr="00C9465D">
        <w:rPr>
          <w:rFonts w:ascii="Verdana" w:hAnsi="Verdana"/>
          <w:sz w:val="16"/>
          <w:szCs w:val="16"/>
          <w:lang w:val="en-US"/>
        </w:rPr>
        <w:t>para.</w:t>
      </w:r>
      <w:r w:rsidRPr="00C9465D">
        <w:rPr>
          <w:rFonts w:ascii="Verdana" w:hAnsi="Verdana"/>
          <w:sz w:val="16"/>
          <w:szCs w:val="16"/>
          <w:lang w:val="en-US"/>
        </w:rPr>
        <w:t xml:space="preserve"> 104,</w:t>
      </w:r>
      <w:r w:rsidR="00193CBB" w:rsidRPr="00C9465D">
        <w:rPr>
          <w:rFonts w:ascii="Verdana" w:hAnsi="Verdana"/>
          <w:sz w:val="16"/>
          <w:szCs w:val="16"/>
          <w:lang w:val="en-US"/>
        </w:rPr>
        <w:t xml:space="preserve"> and </w:t>
      </w:r>
      <w:r w:rsidR="00D8466F" w:rsidRPr="00C9465D">
        <w:rPr>
          <w:rFonts w:ascii="Verdana" w:hAnsi="Verdana"/>
          <w:i/>
          <w:sz w:val="16"/>
          <w:szCs w:val="16"/>
          <w:lang w:val="en-US"/>
        </w:rPr>
        <w:t xml:space="preserve">Case </w:t>
      </w:r>
      <w:r w:rsidR="00FA5261" w:rsidRPr="00C9465D">
        <w:rPr>
          <w:rFonts w:ascii="Verdana" w:hAnsi="Verdana"/>
          <w:i/>
          <w:sz w:val="16"/>
          <w:szCs w:val="16"/>
          <w:lang w:val="en-US"/>
        </w:rPr>
        <w:t>of the Workers of the Fireworks Factory of Santo</w:t>
      </w:r>
      <w:r w:rsidRPr="00C9465D">
        <w:rPr>
          <w:rFonts w:ascii="Verdana" w:hAnsi="Verdana"/>
          <w:i/>
          <w:sz w:val="16"/>
          <w:szCs w:val="16"/>
          <w:lang w:val="en-US"/>
        </w:rPr>
        <w:t xml:space="preserve"> Antônio de Jesus</w:t>
      </w:r>
      <w:r w:rsidR="00D750CC" w:rsidRPr="00C9465D">
        <w:rPr>
          <w:rFonts w:ascii="Verdana" w:hAnsi="Verdana"/>
          <w:i/>
          <w:sz w:val="16"/>
          <w:szCs w:val="16"/>
          <w:lang w:val="en-US"/>
        </w:rPr>
        <w:t xml:space="preserve"> and their families</w:t>
      </w:r>
      <w:r w:rsidRPr="00C9465D">
        <w:rPr>
          <w:rFonts w:ascii="Verdana" w:hAnsi="Verdana"/>
          <w:i/>
          <w:sz w:val="16"/>
          <w:szCs w:val="16"/>
          <w:lang w:val="en-US"/>
        </w:rPr>
        <w:t xml:space="preserve"> </w:t>
      </w:r>
      <w:r w:rsidR="00193CBB" w:rsidRPr="00C9465D">
        <w:rPr>
          <w:rFonts w:ascii="Verdana" w:hAnsi="Verdana"/>
          <w:i/>
          <w:sz w:val="16"/>
          <w:szCs w:val="16"/>
          <w:lang w:val="en-US"/>
        </w:rPr>
        <w:t>v.</w:t>
      </w:r>
      <w:r w:rsidRPr="00C9465D">
        <w:rPr>
          <w:rFonts w:ascii="Verdana" w:hAnsi="Verdana"/>
          <w:i/>
          <w:sz w:val="16"/>
          <w:szCs w:val="16"/>
          <w:lang w:val="en-US"/>
        </w:rPr>
        <w:t xml:space="preserve"> </w:t>
      </w:r>
      <w:r w:rsidR="00FA5261" w:rsidRPr="00C9465D">
        <w:rPr>
          <w:rFonts w:ascii="Verdana" w:hAnsi="Verdana"/>
          <w:i/>
          <w:sz w:val="16"/>
          <w:szCs w:val="16"/>
          <w:lang w:val="en-US"/>
        </w:rPr>
        <w:t>Brazil</w:t>
      </w:r>
      <w:r w:rsidRPr="00C9465D">
        <w:rPr>
          <w:rFonts w:ascii="Verdana" w:hAnsi="Verdana"/>
          <w:i/>
          <w:sz w:val="16"/>
          <w:szCs w:val="16"/>
          <w:lang w:val="en-US"/>
        </w:rPr>
        <w:t xml:space="preserve">. </w:t>
      </w:r>
      <w:r w:rsidR="00D8466F" w:rsidRPr="00C9465D">
        <w:rPr>
          <w:rFonts w:ascii="Verdana" w:hAnsi="Verdana"/>
          <w:i/>
          <w:sz w:val="16"/>
          <w:szCs w:val="16"/>
          <w:lang w:val="en-US"/>
        </w:rPr>
        <w:t>Preliminary objections, merits</w:t>
      </w:r>
      <w:r w:rsidR="00193CBB" w:rsidRPr="00C9465D">
        <w:rPr>
          <w:rFonts w:ascii="Verdana" w:hAnsi="Verdana"/>
          <w:i/>
          <w:sz w:val="16"/>
          <w:szCs w:val="16"/>
          <w:lang w:val="en-US"/>
        </w:rPr>
        <w:t>, reparations and costs</w:t>
      </w:r>
      <w:r w:rsidRPr="00C9465D">
        <w:rPr>
          <w:rFonts w:ascii="Verdana" w:hAnsi="Verdana"/>
          <w:i/>
          <w:sz w:val="16"/>
          <w:szCs w:val="16"/>
          <w:lang w:val="en-US"/>
        </w:rPr>
        <w:t>.</w:t>
      </w:r>
      <w:r w:rsidRPr="00C9465D">
        <w:rPr>
          <w:rFonts w:ascii="Verdana" w:hAnsi="Verdana"/>
          <w:sz w:val="16"/>
          <w:szCs w:val="16"/>
          <w:lang w:val="en-US"/>
        </w:rPr>
        <w:t xml:space="preserve"> </w:t>
      </w:r>
      <w:r w:rsidR="00D8466F" w:rsidRPr="00C9465D">
        <w:rPr>
          <w:rFonts w:ascii="Verdana" w:hAnsi="Verdana"/>
          <w:sz w:val="16"/>
          <w:szCs w:val="16"/>
          <w:lang w:val="en-US"/>
        </w:rPr>
        <w:t>Judgment of</w:t>
      </w:r>
      <w:r w:rsidRPr="00C9465D">
        <w:rPr>
          <w:rFonts w:ascii="Verdana" w:hAnsi="Verdana"/>
          <w:sz w:val="16"/>
          <w:szCs w:val="16"/>
          <w:lang w:val="en-US"/>
        </w:rPr>
        <w:t xml:space="preserve"> </w:t>
      </w:r>
      <w:r w:rsidR="00FA5261" w:rsidRPr="00C9465D">
        <w:rPr>
          <w:rFonts w:ascii="Verdana" w:hAnsi="Verdana"/>
          <w:sz w:val="16"/>
          <w:szCs w:val="16"/>
          <w:lang w:val="en-US"/>
        </w:rPr>
        <w:t>July 15,</w:t>
      </w:r>
      <w:r w:rsidRPr="00C9465D">
        <w:rPr>
          <w:rFonts w:ascii="Verdana" w:hAnsi="Verdana"/>
          <w:sz w:val="16"/>
          <w:szCs w:val="16"/>
          <w:lang w:val="en-US"/>
        </w:rPr>
        <w:t xml:space="preserve"> 2020. </w:t>
      </w:r>
      <w:r w:rsidR="00E2299F" w:rsidRPr="00C9465D">
        <w:rPr>
          <w:rFonts w:ascii="Verdana" w:hAnsi="Verdana"/>
          <w:sz w:val="16"/>
          <w:szCs w:val="16"/>
          <w:lang w:val="en-US"/>
        </w:rPr>
        <w:t xml:space="preserve">Series </w:t>
      </w:r>
      <w:r w:rsidRPr="00C9465D">
        <w:rPr>
          <w:rFonts w:ascii="Verdana" w:hAnsi="Verdana"/>
          <w:sz w:val="16"/>
          <w:szCs w:val="16"/>
          <w:lang w:val="en-US"/>
        </w:rPr>
        <w:t xml:space="preserve">C No. 407, </w:t>
      </w:r>
      <w:r w:rsidR="00D8466F" w:rsidRPr="00C9465D">
        <w:rPr>
          <w:rFonts w:ascii="Verdana" w:hAnsi="Verdana"/>
          <w:sz w:val="16"/>
          <w:szCs w:val="16"/>
          <w:lang w:val="en-US"/>
        </w:rPr>
        <w:t>para.</w:t>
      </w:r>
      <w:r w:rsidRPr="00C9465D">
        <w:rPr>
          <w:rFonts w:ascii="Verdana" w:hAnsi="Verdana"/>
          <w:sz w:val="16"/>
          <w:szCs w:val="16"/>
          <w:lang w:val="en-US"/>
        </w:rPr>
        <w:t xml:space="preserve"> 186. </w:t>
      </w:r>
    </w:p>
  </w:footnote>
  <w:footnote w:id="151">
    <w:p w14:paraId="2E02E959" w14:textId="55671648" w:rsidR="00300482" w:rsidRPr="00C9465D" w:rsidRDefault="00300482" w:rsidP="00BD26CF">
      <w:pPr>
        <w:tabs>
          <w:tab w:val="left" w:pos="567"/>
        </w:tabs>
        <w:spacing w:after="120" w:line="240" w:lineRule="auto"/>
        <w:jc w:val="both"/>
        <w:rPr>
          <w:rFonts w:ascii="Verdana" w:eastAsia="Calibri" w:hAnsi="Verdana"/>
          <w:sz w:val="16"/>
          <w:szCs w:val="16"/>
          <w:lang w:val="en-US" w:eastAsia="x-none"/>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r>
      <w:r w:rsidR="00193CBB" w:rsidRPr="00C9465D">
        <w:rPr>
          <w:rFonts w:ascii="Verdana" w:hAnsi="Verdana"/>
          <w:sz w:val="16"/>
          <w:szCs w:val="16"/>
          <w:lang w:val="en-US" w:eastAsia="x-none"/>
        </w:rPr>
        <w:t>Article</w:t>
      </w:r>
      <w:r w:rsidRPr="00C9465D">
        <w:rPr>
          <w:rFonts w:ascii="Verdana" w:hAnsi="Verdana"/>
          <w:sz w:val="16"/>
          <w:szCs w:val="16"/>
          <w:lang w:val="en-US" w:eastAsia="x-none"/>
        </w:rPr>
        <w:t xml:space="preserve"> II</w:t>
      </w:r>
      <w:r w:rsidR="00193CBB" w:rsidRPr="00C9465D">
        <w:rPr>
          <w:rFonts w:ascii="Verdana" w:hAnsi="Verdana"/>
          <w:sz w:val="16"/>
          <w:szCs w:val="16"/>
          <w:lang w:val="en-US" w:eastAsia="x-none"/>
        </w:rPr>
        <w:t xml:space="preserve"> of the </w:t>
      </w:r>
      <w:r w:rsidR="00D85850" w:rsidRPr="00C9465D">
        <w:rPr>
          <w:rFonts w:ascii="Verdana" w:hAnsi="Verdana"/>
          <w:sz w:val="16"/>
          <w:szCs w:val="16"/>
          <w:lang w:val="en-US" w:eastAsia="x-none"/>
        </w:rPr>
        <w:t>Inter-American Convention on the Elimination of All Forms of Discrimination against Persons with Disabilities</w:t>
      </w:r>
      <w:r w:rsidRPr="00C9465D">
        <w:rPr>
          <w:rFonts w:ascii="Verdana" w:hAnsi="Verdana"/>
          <w:sz w:val="16"/>
          <w:szCs w:val="16"/>
          <w:lang w:val="en-US" w:eastAsia="x-none"/>
        </w:rPr>
        <w:t>.</w:t>
      </w:r>
    </w:p>
  </w:footnote>
  <w:footnote w:id="152">
    <w:p w14:paraId="40BECB81" w14:textId="5FF14894" w:rsidR="00300482" w:rsidRPr="00C9465D" w:rsidRDefault="00300482" w:rsidP="00BD26CF">
      <w:pPr>
        <w:tabs>
          <w:tab w:val="left" w:pos="567"/>
        </w:tabs>
        <w:spacing w:after="120" w:line="240" w:lineRule="auto"/>
        <w:jc w:val="both"/>
        <w:rPr>
          <w:rFonts w:ascii="Verdana" w:hAnsi="Verdana"/>
          <w:sz w:val="16"/>
          <w:szCs w:val="16"/>
          <w:lang w:val="en-US" w:eastAsia="x-none"/>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t>Informa</w:t>
      </w:r>
      <w:r w:rsidR="00FA5261" w:rsidRPr="00C9465D">
        <w:rPr>
          <w:rFonts w:ascii="Verdana" w:hAnsi="Verdana"/>
          <w:sz w:val="16"/>
          <w:szCs w:val="16"/>
          <w:lang w:val="en-US"/>
        </w:rPr>
        <w:t>tio</w:t>
      </w:r>
      <w:r w:rsidRPr="00C9465D">
        <w:rPr>
          <w:rFonts w:ascii="Verdana" w:hAnsi="Verdana"/>
          <w:sz w:val="16"/>
          <w:szCs w:val="16"/>
          <w:lang w:val="en-US"/>
        </w:rPr>
        <w:t xml:space="preserve">n </w:t>
      </w:r>
      <w:r w:rsidR="00FA5261" w:rsidRPr="00C9465D">
        <w:rPr>
          <w:rFonts w:ascii="Verdana" w:hAnsi="Verdana"/>
          <w:sz w:val="16"/>
          <w:szCs w:val="16"/>
          <w:lang w:val="en-US"/>
        </w:rPr>
        <w:t>a</w:t>
      </w:r>
      <w:r w:rsidR="00316F29" w:rsidRPr="00C9465D">
        <w:rPr>
          <w:rFonts w:ascii="Verdana" w:hAnsi="Verdana"/>
          <w:sz w:val="16"/>
          <w:szCs w:val="16"/>
          <w:lang w:val="en-US"/>
        </w:rPr>
        <w:t>vailable</w:t>
      </w:r>
      <w:r w:rsidR="00FA5261" w:rsidRPr="00C9465D">
        <w:rPr>
          <w:rFonts w:ascii="Verdana" w:hAnsi="Verdana"/>
          <w:sz w:val="16"/>
          <w:szCs w:val="16"/>
          <w:lang w:val="en-US"/>
        </w:rPr>
        <w:t xml:space="preserve"> on the webpage of the Department of International Law of the Organization of American States at</w:t>
      </w:r>
      <w:r w:rsidRPr="00C9465D">
        <w:rPr>
          <w:rFonts w:ascii="Verdana" w:hAnsi="Verdana"/>
          <w:sz w:val="16"/>
          <w:szCs w:val="16"/>
          <w:lang w:val="en-US"/>
        </w:rPr>
        <w:t xml:space="preserve">: </w:t>
      </w:r>
      <w:hyperlink r:id="rId6" w:history="1">
        <w:r w:rsidR="00FA5261" w:rsidRPr="00C9465D">
          <w:rPr>
            <w:rStyle w:val="Hyperlink"/>
            <w:rFonts w:ascii="Verdana" w:hAnsi="Verdana"/>
            <w:sz w:val="16"/>
            <w:szCs w:val="16"/>
            <w:lang w:val="en-US" w:eastAsia="x-none"/>
          </w:rPr>
          <w:t>https://www.oas.org/juridico/spanish/firmas/a-65.html</w:t>
        </w:r>
      </w:hyperlink>
      <w:r w:rsidR="00FA5261" w:rsidRPr="00C9465D">
        <w:rPr>
          <w:rFonts w:ascii="Verdana" w:hAnsi="Verdana"/>
          <w:sz w:val="16"/>
          <w:szCs w:val="16"/>
          <w:lang w:val="en-US"/>
        </w:rPr>
        <w:t xml:space="preserve"> (last consulted on November 20, </w:t>
      </w:r>
      <w:r w:rsidRPr="00C9465D">
        <w:rPr>
          <w:rFonts w:ascii="Verdana" w:hAnsi="Verdana"/>
          <w:sz w:val="16"/>
          <w:szCs w:val="16"/>
          <w:lang w:val="en-US"/>
        </w:rPr>
        <w:t>2020</w:t>
      </w:r>
      <w:r w:rsidR="00FA5261" w:rsidRPr="00C9465D">
        <w:rPr>
          <w:rFonts w:ascii="Verdana" w:hAnsi="Verdana"/>
          <w:sz w:val="16"/>
          <w:szCs w:val="16"/>
          <w:lang w:val="en-US"/>
        </w:rPr>
        <w:t>)</w:t>
      </w:r>
      <w:r w:rsidRPr="00C9465D">
        <w:rPr>
          <w:rFonts w:ascii="Verdana" w:hAnsi="Verdana"/>
          <w:sz w:val="16"/>
          <w:szCs w:val="16"/>
          <w:lang w:val="en-US" w:eastAsia="x-none"/>
        </w:rPr>
        <w:t xml:space="preserve">. </w:t>
      </w:r>
    </w:p>
  </w:footnote>
  <w:footnote w:id="153">
    <w:p w14:paraId="6BB7EB44" w14:textId="0F87688E"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193CBB" w:rsidRPr="00C9465D">
        <w:rPr>
          <w:sz w:val="16"/>
          <w:szCs w:val="16"/>
          <w:lang w:val="en-US" w:eastAsia="x-none"/>
        </w:rPr>
        <w:t>Article</w:t>
      </w:r>
      <w:r w:rsidRPr="00C9465D">
        <w:rPr>
          <w:sz w:val="16"/>
          <w:szCs w:val="16"/>
          <w:lang w:val="en-US" w:eastAsia="x-none"/>
        </w:rPr>
        <w:t xml:space="preserve"> 3 </w:t>
      </w:r>
      <w:r w:rsidR="00FA5261" w:rsidRPr="00C9465D">
        <w:rPr>
          <w:sz w:val="16"/>
          <w:szCs w:val="16"/>
          <w:lang w:val="en-US" w:eastAsia="x-none"/>
        </w:rPr>
        <w:t>of the</w:t>
      </w:r>
      <w:r w:rsidRPr="00C9465D">
        <w:rPr>
          <w:sz w:val="16"/>
          <w:szCs w:val="16"/>
          <w:lang w:val="en-US" w:eastAsia="x-none"/>
        </w:rPr>
        <w:t xml:space="preserve"> </w:t>
      </w:r>
      <w:r w:rsidR="00593C0F" w:rsidRPr="00C9465D">
        <w:rPr>
          <w:sz w:val="16"/>
          <w:szCs w:val="16"/>
          <w:lang w:val="en-US" w:eastAsia="x-none"/>
        </w:rPr>
        <w:t>CRPD</w:t>
      </w:r>
      <w:r w:rsidRPr="00C9465D">
        <w:rPr>
          <w:sz w:val="16"/>
          <w:szCs w:val="16"/>
          <w:lang w:val="en-US" w:eastAsia="x-none"/>
        </w:rPr>
        <w:t>.</w:t>
      </w:r>
    </w:p>
  </w:footnote>
  <w:footnote w:id="154">
    <w:p w14:paraId="018CEAC5" w14:textId="312978D9" w:rsidR="00300482" w:rsidRPr="00C9465D" w:rsidRDefault="00300482" w:rsidP="00BD26CF">
      <w:pPr>
        <w:tabs>
          <w:tab w:val="left" w:pos="567"/>
        </w:tabs>
        <w:spacing w:after="120" w:line="240" w:lineRule="auto"/>
        <w:jc w:val="both"/>
        <w:rPr>
          <w:rFonts w:ascii="Verdana" w:hAnsi="Verdana"/>
          <w:sz w:val="16"/>
          <w:szCs w:val="16"/>
          <w:lang w:val="en-US" w:eastAsia="x-none"/>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r>
      <w:r w:rsidR="00FA5261" w:rsidRPr="00C9465D">
        <w:rPr>
          <w:rFonts w:ascii="Verdana" w:hAnsi="Verdana"/>
          <w:sz w:val="16"/>
          <w:szCs w:val="16"/>
          <w:lang w:val="en-US"/>
        </w:rPr>
        <w:t>Information available on the United Nations webpage at</w:t>
      </w:r>
      <w:r w:rsidR="00EA340A" w:rsidRPr="00C9465D">
        <w:rPr>
          <w:rFonts w:ascii="Verdana" w:hAnsi="Verdana"/>
          <w:sz w:val="16"/>
          <w:szCs w:val="16"/>
          <w:lang w:val="en-US"/>
        </w:rPr>
        <w:t>:</w:t>
      </w:r>
      <w:r w:rsidRPr="00C9465D">
        <w:rPr>
          <w:rFonts w:ascii="Verdana" w:hAnsi="Verdana"/>
          <w:sz w:val="16"/>
          <w:szCs w:val="16"/>
          <w:lang w:val="en-US"/>
        </w:rPr>
        <w:t xml:space="preserve"> </w:t>
      </w:r>
      <w:hyperlink r:id="rId7" w:history="1">
        <w:r w:rsidR="00EA340A" w:rsidRPr="00C9465D">
          <w:rPr>
            <w:rStyle w:val="Hyperlink"/>
            <w:rFonts w:ascii="Verdana" w:hAnsi="Verdana"/>
            <w:sz w:val="16"/>
            <w:szCs w:val="16"/>
            <w:lang w:val="en-US" w:eastAsia="x-none"/>
          </w:rPr>
          <w:t xml:space="preserve">https://treaties.un.org/Pages/ </w:t>
        </w:r>
        <w:proofErr w:type="spellStart"/>
        <w:r w:rsidR="00EA340A" w:rsidRPr="00C9465D">
          <w:rPr>
            <w:rStyle w:val="Hyperlink"/>
            <w:rFonts w:ascii="Verdana" w:hAnsi="Verdana"/>
            <w:sz w:val="16"/>
            <w:szCs w:val="16"/>
            <w:lang w:val="en-US" w:eastAsia="x-none"/>
          </w:rPr>
          <w:t>ViewDetails.aspx?src</w:t>
        </w:r>
        <w:proofErr w:type="spellEnd"/>
        <w:r w:rsidR="00EA340A" w:rsidRPr="00C9465D">
          <w:rPr>
            <w:rStyle w:val="Hyperlink"/>
            <w:rFonts w:ascii="Verdana" w:hAnsi="Verdana"/>
            <w:sz w:val="16"/>
            <w:szCs w:val="16"/>
            <w:lang w:val="en-US" w:eastAsia="x-none"/>
          </w:rPr>
          <w:t>=</w:t>
        </w:r>
        <w:proofErr w:type="spellStart"/>
        <w:r w:rsidR="00EA340A" w:rsidRPr="00C9465D">
          <w:rPr>
            <w:rStyle w:val="Hyperlink"/>
            <w:rFonts w:ascii="Verdana" w:hAnsi="Verdana"/>
            <w:sz w:val="16"/>
            <w:szCs w:val="16"/>
            <w:lang w:val="en-US" w:eastAsia="x-none"/>
          </w:rPr>
          <w:t>TREATY&amp;mtdsg_no</w:t>
        </w:r>
        <w:proofErr w:type="spellEnd"/>
        <w:r w:rsidR="00EA340A" w:rsidRPr="00C9465D">
          <w:rPr>
            <w:rStyle w:val="Hyperlink"/>
            <w:rFonts w:ascii="Verdana" w:hAnsi="Verdana"/>
            <w:sz w:val="16"/>
            <w:szCs w:val="16"/>
            <w:lang w:val="en-US" w:eastAsia="x-none"/>
          </w:rPr>
          <w:t>=IV-15&amp;chapter=4&amp;clang=_</w:t>
        </w:r>
        <w:proofErr w:type="spellStart"/>
        <w:r w:rsidR="00EA340A" w:rsidRPr="00C9465D">
          <w:rPr>
            <w:rStyle w:val="Hyperlink"/>
            <w:rFonts w:ascii="Verdana" w:hAnsi="Verdana"/>
            <w:sz w:val="16"/>
            <w:szCs w:val="16"/>
            <w:lang w:val="en-US" w:eastAsia="x-none"/>
          </w:rPr>
          <w:t>en</w:t>
        </w:r>
        <w:proofErr w:type="spellEnd"/>
      </w:hyperlink>
      <w:r w:rsidR="00EA340A" w:rsidRPr="00C9465D">
        <w:rPr>
          <w:rFonts w:ascii="Verdana" w:hAnsi="Verdana"/>
          <w:sz w:val="16"/>
          <w:szCs w:val="16"/>
          <w:lang w:val="en-US" w:eastAsia="x-none"/>
        </w:rPr>
        <w:t>,</w:t>
      </w:r>
      <w:r w:rsidRPr="00C9465D">
        <w:rPr>
          <w:rFonts w:ascii="Verdana" w:hAnsi="Verdana"/>
          <w:sz w:val="16"/>
          <w:szCs w:val="16"/>
          <w:lang w:val="en-US" w:eastAsia="x-none"/>
        </w:rPr>
        <w:t xml:space="preserve"> </w:t>
      </w:r>
      <w:r w:rsidR="00FA5261" w:rsidRPr="00C9465D">
        <w:rPr>
          <w:rFonts w:ascii="Verdana" w:hAnsi="Verdana"/>
          <w:sz w:val="16"/>
          <w:szCs w:val="16"/>
          <w:lang w:val="en-US"/>
        </w:rPr>
        <w:t>(last consulted on November 20, 2020)</w:t>
      </w:r>
      <w:r w:rsidR="00FA5261" w:rsidRPr="00C9465D">
        <w:rPr>
          <w:rFonts w:ascii="Verdana" w:hAnsi="Verdana"/>
          <w:sz w:val="16"/>
          <w:szCs w:val="16"/>
          <w:lang w:val="en-US" w:eastAsia="x-none"/>
        </w:rPr>
        <w:t xml:space="preserve">. </w:t>
      </w:r>
    </w:p>
  </w:footnote>
  <w:footnote w:id="155">
    <w:p w14:paraId="16173846" w14:textId="0D57EB57" w:rsidR="00300482" w:rsidRPr="00C9465D" w:rsidRDefault="00300482" w:rsidP="00BD26CF">
      <w:pPr>
        <w:tabs>
          <w:tab w:val="left" w:pos="567"/>
        </w:tabs>
        <w:spacing w:after="120" w:line="240" w:lineRule="auto"/>
        <w:jc w:val="both"/>
        <w:rPr>
          <w:rFonts w:ascii="Verdana" w:hAnsi="Verdana"/>
          <w:sz w:val="16"/>
          <w:szCs w:val="16"/>
          <w:lang w:val="en-US" w:eastAsia="x-none"/>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r>
      <w:r w:rsidR="00193CBB" w:rsidRPr="00C9465D">
        <w:rPr>
          <w:rFonts w:ascii="Verdana" w:hAnsi="Verdana"/>
          <w:sz w:val="16"/>
          <w:szCs w:val="16"/>
          <w:lang w:val="en-US" w:eastAsia="x-none"/>
        </w:rPr>
        <w:t>Article</w:t>
      </w:r>
      <w:r w:rsidRPr="00C9465D">
        <w:rPr>
          <w:rFonts w:ascii="Verdana" w:hAnsi="Verdana"/>
          <w:sz w:val="16"/>
          <w:szCs w:val="16"/>
          <w:lang w:val="en-US" w:eastAsia="x-none"/>
        </w:rPr>
        <w:t xml:space="preserve"> I </w:t>
      </w:r>
      <w:r w:rsidR="00FA5261" w:rsidRPr="00C9465D">
        <w:rPr>
          <w:rFonts w:ascii="Verdana" w:hAnsi="Verdana"/>
          <w:sz w:val="16"/>
          <w:szCs w:val="16"/>
          <w:lang w:val="en-US" w:eastAsia="x-none"/>
        </w:rPr>
        <w:t>of the</w:t>
      </w:r>
      <w:r w:rsidRPr="00C9465D">
        <w:rPr>
          <w:rFonts w:ascii="Verdana" w:hAnsi="Verdana"/>
          <w:sz w:val="16"/>
          <w:szCs w:val="16"/>
          <w:lang w:val="en-US" w:eastAsia="x-none"/>
        </w:rPr>
        <w:t xml:space="preserve"> </w:t>
      </w:r>
      <w:r w:rsidR="00EA340A" w:rsidRPr="00C9465D">
        <w:rPr>
          <w:rFonts w:ascii="Verdana" w:hAnsi="Verdana"/>
          <w:sz w:val="16"/>
          <w:szCs w:val="16"/>
          <w:lang w:val="en-US" w:eastAsia="x-none"/>
        </w:rPr>
        <w:t>IACDIS</w:t>
      </w:r>
      <w:r w:rsidRPr="00C9465D">
        <w:rPr>
          <w:rFonts w:ascii="Verdana" w:hAnsi="Verdana"/>
          <w:sz w:val="16"/>
          <w:szCs w:val="16"/>
          <w:lang w:val="en-US" w:eastAsia="x-none"/>
        </w:rPr>
        <w:t>.</w:t>
      </w:r>
    </w:p>
  </w:footnote>
  <w:footnote w:id="156">
    <w:p w14:paraId="13D68B75" w14:textId="3EFF1F65" w:rsidR="00300482" w:rsidRPr="00C9465D" w:rsidRDefault="00300482" w:rsidP="00BD26CF">
      <w:pPr>
        <w:tabs>
          <w:tab w:val="left" w:pos="567"/>
        </w:tabs>
        <w:spacing w:after="120" w:line="240" w:lineRule="auto"/>
        <w:jc w:val="both"/>
        <w:rPr>
          <w:rFonts w:ascii="Verdana" w:hAnsi="Verdana"/>
          <w:sz w:val="16"/>
          <w:szCs w:val="16"/>
          <w:lang w:val="en-US" w:eastAsia="x-none"/>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r>
      <w:r w:rsidR="00193CBB" w:rsidRPr="00C9465D">
        <w:rPr>
          <w:rFonts w:ascii="Verdana" w:hAnsi="Verdana"/>
          <w:sz w:val="16"/>
          <w:szCs w:val="16"/>
          <w:lang w:val="en-US" w:eastAsia="x-none"/>
        </w:rPr>
        <w:t>Article</w:t>
      </w:r>
      <w:r w:rsidRPr="00C9465D">
        <w:rPr>
          <w:rFonts w:ascii="Verdana" w:hAnsi="Verdana"/>
          <w:sz w:val="16"/>
          <w:szCs w:val="16"/>
          <w:lang w:val="en-US" w:eastAsia="x-none"/>
        </w:rPr>
        <w:t xml:space="preserve"> 1 </w:t>
      </w:r>
      <w:r w:rsidR="00FA5261" w:rsidRPr="00C9465D">
        <w:rPr>
          <w:rFonts w:ascii="Verdana" w:hAnsi="Verdana"/>
          <w:sz w:val="16"/>
          <w:szCs w:val="16"/>
          <w:lang w:val="en-US" w:eastAsia="x-none"/>
        </w:rPr>
        <w:t>of the</w:t>
      </w:r>
      <w:r w:rsidRPr="00C9465D">
        <w:rPr>
          <w:rFonts w:ascii="Verdana" w:hAnsi="Verdana"/>
          <w:sz w:val="16"/>
          <w:szCs w:val="16"/>
          <w:lang w:val="en-US" w:eastAsia="x-none"/>
        </w:rPr>
        <w:t xml:space="preserve"> </w:t>
      </w:r>
      <w:r w:rsidR="00593C0F" w:rsidRPr="00C9465D">
        <w:rPr>
          <w:rFonts w:ascii="Verdana" w:hAnsi="Verdana"/>
          <w:sz w:val="16"/>
          <w:szCs w:val="16"/>
          <w:lang w:val="en-US" w:eastAsia="x-none"/>
        </w:rPr>
        <w:t>CRPD</w:t>
      </w:r>
      <w:r w:rsidRPr="00C9465D">
        <w:rPr>
          <w:rFonts w:ascii="Verdana" w:hAnsi="Verdana"/>
          <w:sz w:val="16"/>
          <w:szCs w:val="16"/>
          <w:lang w:val="en-US" w:eastAsia="x-none"/>
        </w:rPr>
        <w:t>.</w:t>
      </w:r>
    </w:p>
  </w:footnote>
  <w:footnote w:id="157">
    <w:p w14:paraId="28B0C50F" w14:textId="48EE618A" w:rsidR="00300482" w:rsidRPr="00C9465D" w:rsidRDefault="00300482" w:rsidP="00BD26CF">
      <w:pPr>
        <w:pStyle w:val="FootnoteText"/>
        <w:tabs>
          <w:tab w:val="left" w:pos="567"/>
        </w:tabs>
        <w:spacing w:after="120"/>
        <w:rPr>
          <w:sz w:val="16"/>
          <w:szCs w:val="16"/>
          <w:vertAlign w:val="superscript"/>
          <w:lang w:val="en-US"/>
        </w:rPr>
      </w:pPr>
      <w:r w:rsidRPr="00C9465D">
        <w:rPr>
          <w:rStyle w:val="FootnoteReference"/>
          <w:sz w:val="16"/>
          <w:szCs w:val="16"/>
          <w:lang w:val="en-US"/>
        </w:rPr>
        <w:footnoteRef/>
      </w:r>
      <w:r w:rsidRPr="00C9465D">
        <w:rPr>
          <w:sz w:val="16"/>
          <w:szCs w:val="16"/>
          <w:vertAlign w:val="superscript"/>
          <w:lang w:val="en-US"/>
        </w:rPr>
        <w:t xml:space="preserve"> </w:t>
      </w:r>
      <w:r w:rsidRPr="00C9465D">
        <w:rPr>
          <w:sz w:val="16"/>
          <w:szCs w:val="16"/>
          <w:vertAlign w:val="superscript"/>
          <w:lang w:val="en-US"/>
        </w:rPr>
        <w:tab/>
      </w:r>
      <w:r w:rsidR="00D8466F" w:rsidRPr="00C9465D">
        <w:rPr>
          <w:i/>
          <w:sz w:val="16"/>
          <w:szCs w:val="16"/>
          <w:lang w:val="en-US"/>
        </w:rPr>
        <w:t>Case of</w:t>
      </w:r>
      <w:r w:rsidRPr="00C9465D">
        <w:rPr>
          <w:i/>
          <w:sz w:val="16"/>
          <w:szCs w:val="16"/>
          <w:lang w:val="en-US"/>
        </w:rPr>
        <w:t xml:space="preserve"> Furlán</w:t>
      </w:r>
      <w:r w:rsidR="00193CBB" w:rsidRPr="00C9465D">
        <w:rPr>
          <w:i/>
          <w:sz w:val="16"/>
          <w:szCs w:val="16"/>
          <w:lang w:val="en-US"/>
        </w:rPr>
        <w:t xml:space="preserve"> and </w:t>
      </w:r>
      <w:r w:rsidRPr="00C9465D">
        <w:rPr>
          <w:i/>
          <w:sz w:val="16"/>
          <w:szCs w:val="16"/>
          <w:lang w:val="en-US"/>
        </w:rPr>
        <w:t>famil</w:t>
      </w:r>
      <w:r w:rsidR="00FA5261" w:rsidRPr="00C9465D">
        <w:rPr>
          <w:i/>
          <w:sz w:val="16"/>
          <w:szCs w:val="16"/>
          <w:lang w:val="en-US"/>
        </w:rPr>
        <w:t>y</w:t>
      </w:r>
      <w:r w:rsidRPr="00C9465D">
        <w:rPr>
          <w:i/>
          <w:sz w:val="16"/>
          <w:szCs w:val="16"/>
          <w:lang w:val="en-US"/>
        </w:rPr>
        <w:t xml:space="preserve"> </w:t>
      </w:r>
      <w:r w:rsidR="00193CBB" w:rsidRPr="00C9465D">
        <w:rPr>
          <w:i/>
          <w:sz w:val="16"/>
          <w:szCs w:val="16"/>
          <w:lang w:val="en-US"/>
        </w:rPr>
        <w:t>v.</w:t>
      </w:r>
      <w:r w:rsidRPr="00C9465D">
        <w:rPr>
          <w:i/>
          <w:sz w:val="16"/>
          <w:szCs w:val="16"/>
          <w:lang w:val="en-US"/>
        </w:rPr>
        <w:t xml:space="preserve"> Argentina. </w:t>
      </w:r>
      <w:r w:rsidR="00D8466F" w:rsidRPr="00C9465D">
        <w:rPr>
          <w:i/>
          <w:sz w:val="16"/>
          <w:szCs w:val="16"/>
          <w:lang w:val="en-US"/>
        </w:rPr>
        <w:t>Preliminary objections, merits</w:t>
      </w:r>
      <w:r w:rsidR="00193CBB" w:rsidRPr="00C9465D">
        <w:rPr>
          <w:i/>
          <w:sz w:val="16"/>
          <w:szCs w:val="16"/>
          <w:lang w:val="en-US"/>
        </w:rPr>
        <w:t>, reparations and costs</w:t>
      </w:r>
      <w:r w:rsidRPr="00C9465D">
        <w:rPr>
          <w:sz w:val="16"/>
          <w:szCs w:val="16"/>
          <w:lang w:val="en-US"/>
        </w:rPr>
        <w:t xml:space="preserve">. </w:t>
      </w:r>
      <w:r w:rsidR="00D8466F" w:rsidRPr="00C9465D">
        <w:rPr>
          <w:sz w:val="16"/>
          <w:szCs w:val="16"/>
          <w:lang w:val="en-US"/>
        </w:rPr>
        <w:t>Judgment of</w:t>
      </w:r>
      <w:r w:rsidR="00FA5261" w:rsidRPr="00C9465D">
        <w:rPr>
          <w:sz w:val="16"/>
          <w:szCs w:val="16"/>
          <w:lang w:val="en-US"/>
        </w:rPr>
        <w:t xml:space="preserve"> August </w:t>
      </w:r>
      <w:r w:rsidRPr="00C9465D">
        <w:rPr>
          <w:sz w:val="16"/>
          <w:szCs w:val="16"/>
          <w:lang w:val="en-US"/>
        </w:rPr>
        <w:t xml:space="preserve"> 31</w:t>
      </w:r>
      <w:r w:rsidR="00513943" w:rsidRPr="00C9465D">
        <w:rPr>
          <w:sz w:val="16"/>
          <w:szCs w:val="16"/>
          <w:lang w:val="en-US"/>
        </w:rPr>
        <w:t xml:space="preserve">, </w:t>
      </w:r>
      <w:r w:rsidRPr="00C9465D">
        <w:rPr>
          <w:sz w:val="16"/>
          <w:szCs w:val="16"/>
          <w:lang w:val="en-US"/>
        </w:rPr>
        <w:t xml:space="preserve">2012. </w:t>
      </w:r>
      <w:r w:rsidR="00E2299F" w:rsidRPr="00C9465D">
        <w:rPr>
          <w:sz w:val="16"/>
          <w:szCs w:val="16"/>
          <w:lang w:val="en-US"/>
        </w:rPr>
        <w:t xml:space="preserve">Series </w:t>
      </w:r>
      <w:r w:rsidRPr="00C9465D">
        <w:rPr>
          <w:sz w:val="16"/>
          <w:szCs w:val="16"/>
          <w:lang w:val="en-US"/>
        </w:rPr>
        <w:t xml:space="preserve">C No. 246, </w:t>
      </w:r>
      <w:r w:rsidR="00D8466F" w:rsidRPr="00C9465D">
        <w:rPr>
          <w:sz w:val="16"/>
          <w:szCs w:val="16"/>
          <w:lang w:val="en-US"/>
        </w:rPr>
        <w:t>para.</w:t>
      </w:r>
      <w:r w:rsidRPr="00C9465D">
        <w:rPr>
          <w:sz w:val="16"/>
          <w:szCs w:val="16"/>
          <w:lang w:val="en-US"/>
        </w:rPr>
        <w:t xml:space="preserve"> 133,</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Chinchilla Sandoval</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Guatemala. </w:t>
      </w:r>
      <w:r w:rsidR="00D8466F" w:rsidRPr="00C9465D">
        <w:rPr>
          <w:i/>
          <w:sz w:val="16"/>
          <w:szCs w:val="16"/>
          <w:lang w:val="en-US"/>
        </w:rPr>
        <w:t>Preliminary objection, merits</w:t>
      </w:r>
      <w:r w:rsidR="00193CBB" w:rsidRPr="00C9465D">
        <w:rPr>
          <w:i/>
          <w:sz w:val="16"/>
          <w:szCs w:val="16"/>
          <w:lang w:val="en-US"/>
        </w:rPr>
        <w:t>, reparations and costs</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513943" w:rsidRPr="00C9465D">
        <w:rPr>
          <w:sz w:val="16"/>
          <w:szCs w:val="16"/>
          <w:lang w:val="en-US"/>
        </w:rPr>
        <w:t>February 29,</w:t>
      </w:r>
      <w:r w:rsidRPr="00C9465D">
        <w:rPr>
          <w:sz w:val="16"/>
          <w:szCs w:val="16"/>
          <w:lang w:val="en-US"/>
        </w:rPr>
        <w:t xml:space="preserve"> 2016. </w:t>
      </w:r>
      <w:r w:rsidR="00E2299F" w:rsidRPr="00C9465D">
        <w:rPr>
          <w:sz w:val="16"/>
          <w:szCs w:val="16"/>
          <w:lang w:val="en-US"/>
        </w:rPr>
        <w:t xml:space="preserve">Series </w:t>
      </w:r>
      <w:r w:rsidRPr="00C9465D">
        <w:rPr>
          <w:sz w:val="16"/>
          <w:szCs w:val="16"/>
          <w:lang w:val="en-US"/>
        </w:rPr>
        <w:t xml:space="preserve">C No. 312, </w:t>
      </w:r>
      <w:r w:rsidR="00D8466F" w:rsidRPr="00C9465D">
        <w:rPr>
          <w:sz w:val="16"/>
          <w:szCs w:val="16"/>
          <w:lang w:val="en-US"/>
        </w:rPr>
        <w:t>para.</w:t>
      </w:r>
      <w:r w:rsidRPr="00C9465D">
        <w:rPr>
          <w:sz w:val="16"/>
          <w:szCs w:val="16"/>
          <w:lang w:val="en-US"/>
        </w:rPr>
        <w:t xml:space="preserve"> 207.</w:t>
      </w:r>
    </w:p>
  </w:footnote>
  <w:footnote w:id="158">
    <w:p w14:paraId="2D9D8A4B" w14:textId="4121EE93"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D8466F" w:rsidRPr="00C9465D">
        <w:rPr>
          <w:i/>
          <w:sz w:val="16"/>
          <w:szCs w:val="16"/>
          <w:lang w:val="en-US"/>
        </w:rPr>
        <w:t>Case of</w:t>
      </w:r>
      <w:r w:rsidRPr="00C9465D">
        <w:rPr>
          <w:i/>
          <w:sz w:val="16"/>
          <w:szCs w:val="16"/>
          <w:lang w:val="en-US"/>
        </w:rPr>
        <w:t xml:space="preserve"> Furlán</w:t>
      </w:r>
      <w:r w:rsidR="00193CBB" w:rsidRPr="00C9465D">
        <w:rPr>
          <w:i/>
          <w:sz w:val="16"/>
          <w:szCs w:val="16"/>
          <w:lang w:val="en-US"/>
        </w:rPr>
        <w:t xml:space="preserve"> and </w:t>
      </w:r>
      <w:r w:rsidRPr="00C9465D">
        <w:rPr>
          <w:i/>
          <w:sz w:val="16"/>
          <w:szCs w:val="16"/>
          <w:lang w:val="en-US"/>
        </w:rPr>
        <w:t>famil</w:t>
      </w:r>
      <w:r w:rsidR="00513943" w:rsidRPr="00C9465D">
        <w:rPr>
          <w:i/>
          <w:sz w:val="16"/>
          <w:szCs w:val="16"/>
          <w:lang w:val="en-US"/>
        </w:rPr>
        <w:t>y</w:t>
      </w:r>
      <w:r w:rsidRPr="00C9465D">
        <w:rPr>
          <w:i/>
          <w:sz w:val="16"/>
          <w:szCs w:val="16"/>
          <w:lang w:val="en-US"/>
        </w:rPr>
        <w:t xml:space="preserve"> </w:t>
      </w:r>
      <w:r w:rsidR="00193CBB" w:rsidRPr="00C9465D">
        <w:rPr>
          <w:i/>
          <w:sz w:val="16"/>
          <w:szCs w:val="16"/>
          <w:lang w:val="en-US"/>
        </w:rPr>
        <w:t>v.</w:t>
      </w:r>
      <w:r w:rsidRPr="00C9465D">
        <w:rPr>
          <w:i/>
          <w:sz w:val="16"/>
          <w:szCs w:val="16"/>
          <w:lang w:val="en-US"/>
        </w:rPr>
        <w:t xml:space="preserve"> Argentina,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133,</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Chinchilla Sandoval</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Guatemala</w:t>
      </w:r>
      <w:r w:rsidRPr="00C9465D">
        <w:rPr>
          <w:sz w:val="16"/>
          <w:szCs w:val="16"/>
          <w:lang w:val="en-US"/>
        </w:rPr>
        <w:t xml:space="preserve">, </w:t>
      </w:r>
      <w:r w:rsidRPr="00C9465D">
        <w:rPr>
          <w:i/>
          <w:sz w:val="16"/>
          <w:szCs w:val="16"/>
          <w:lang w:val="en-US"/>
        </w:rPr>
        <w:t>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207.</w:t>
      </w:r>
    </w:p>
  </w:footnote>
  <w:footnote w:id="159">
    <w:p w14:paraId="0FCF2F93" w14:textId="5FCBEA58" w:rsidR="00300482" w:rsidRPr="00C9465D" w:rsidRDefault="00300482" w:rsidP="00BD26CF">
      <w:pPr>
        <w:tabs>
          <w:tab w:val="left" w:pos="567"/>
        </w:tabs>
        <w:spacing w:after="120" w:line="240" w:lineRule="auto"/>
        <w:jc w:val="both"/>
        <w:rPr>
          <w:rFonts w:ascii="Verdana" w:hAnsi="Verdana"/>
          <w:sz w:val="16"/>
          <w:szCs w:val="16"/>
          <w:lang w:val="en-US"/>
        </w:rPr>
      </w:pPr>
      <w:r w:rsidRPr="00C9465D">
        <w:rPr>
          <w:rStyle w:val="FootnoteReference"/>
          <w:rFonts w:ascii="Verdana" w:eastAsia="Times" w:hAnsi="Verdana"/>
          <w:sz w:val="16"/>
          <w:szCs w:val="16"/>
          <w:lang w:val="en-US"/>
        </w:rPr>
        <w:footnoteRef/>
      </w:r>
      <w:r w:rsidRPr="00C9465D">
        <w:rPr>
          <w:rFonts w:ascii="Verdana" w:hAnsi="Verdana"/>
          <w:i/>
          <w:sz w:val="16"/>
          <w:szCs w:val="16"/>
          <w:lang w:val="en-US" w:eastAsia="x-none"/>
        </w:rPr>
        <w:tab/>
      </w:r>
      <w:r w:rsidR="00E2299F" w:rsidRPr="00C9465D">
        <w:rPr>
          <w:rFonts w:ascii="Verdana" w:hAnsi="Verdana"/>
          <w:i/>
          <w:sz w:val="16"/>
          <w:szCs w:val="16"/>
          <w:lang w:val="en-US" w:eastAsia="x-none"/>
        </w:rPr>
        <w:t>Cf.</w:t>
      </w:r>
      <w:r w:rsidRPr="00C9465D">
        <w:rPr>
          <w:rFonts w:ascii="Verdana" w:hAnsi="Verdana"/>
          <w:i/>
          <w:sz w:val="16"/>
          <w:szCs w:val="16"/>
          <w:lang w:val="en-US" w:eastAsia="x-none"/>
        </w:rPr>
        <w:t xml:space="preserve"> </w:t>
      </w:r>
      <w:r w:rsidR="00D8466F" w:rsidRPr="00C9465D">
        <w:rPr>
          <w:rFonts w:ascii="Verdana" w:hAnsi="Verdana"/>
          <w:i/>
          <w:sz w:val="16"/>
          <w:szCs w:val="16"/>
          <w:lang w:val="en-US"/>
        </w:rPr>
        <w:t>Case of</w:t>
      </w:r>
      <w:r w:rsidRPr="00C9465D">
        <w:rPr>
          <w:rFonts w:ascii="Verdana" w:hAnsi="Verdana"/>
          <w:i/>
          <w:sz w:val="16"/>
          <w:szCs w:val="16"/>
          <w:lang w:val="en-US"/>
        </w:rPr>
        <w:t xml:space="preserve"> Ximenes Lopes </w:t>
      </w:r>
      <w:r w:rsidR="00193CBB" w:rsidRPr="00C9465D">
        <w:rPr>
          <w:rFonts w:ascii="Verdana" w:hAnsi="Verdana"/>
          <w:i/>
          <w:sz w:val="16"/>
          <w:szCs w:val="16"/>
          <w:lang w:val="en-US"/>
        </w:rPr>
        <w:t>v.</w:t>
      </w:r>
      <w:r w:rsidRPr="00C9465D">
        <w:rPr>
          <w:rFonts w:ascii="Verdana" w:hAnsi="Verdana"/>
          <w:i/>
          <w:sz w:val="16"/>
          <w:szCs w:val="16"/>
          <w:lang w:val="en-US"/>
        </w:rPr>
        <w:t xml:space="preserve"> </w:t>
      </w:r>
      <w:r w:rsidR="00FA5261" w:rsidRPr="00C9465D">
        <w:rPr>
          <w:rFonts w:ascii="Verdana" w:hAnsi="Verdana"/>
          <w:i/>
          <w:sz w:val="16"/>
          <w:szCs w:val="16"/>
          <w:lang w:val="en-US"/>
        </w:rPr>
        <w:t>Brazil</w:t>
      </w:r>
      <w:r w:rsidRPr="00C9465D">
        <w:rPr>
          <w:rFonts w:ascii="Verdana" w:hAnsi="Verdana"/>
          <w:i/>
          <w:sz w:val="16"/>
          <w:szCs w:val="16"/>
          <w:lang w:val="en-US"/>
        </w:rPr>
        <w:t>.</w:t>
      </w:r>
      <w:r w:rsidRPr="00C9465D">
        <w:rPr>
          <w:rFonts w:ascii="Verdana" w:hAnsi="Verdana"/>
          <w:sz w:val="16"/>
          <w:szCs w:val="16"/>
          <w:lang w:val="en-US"/>
        </w:rPr>
        <w:t xml:space="preserve"> </w:t>
      </w:r>
      <w:r w:rsidR="00D8466F" w:rsidRPr="00C9465D">
        <w:rPr>
          <w:rFonts w:ascii="Verdana" w:hAnsi="Verdana"/>
          <w:sz w:val="16"/>
          <w:szCs w:val="16"/>
          <w:lang w:val="en-US"/>
        </w:rPr>
        <w:t>Judgment of</w:t>
      </w:r>
      <w:r w:rsidRPr="00C9465D">
        <w:rPr>
          <w:rFonts w:ascii="Verdana" w:hAnsi="Verdana"/>
          <w:sz w:val="16"/>
          <w:szCs w:val="16"/>
          <w:lang w:val="en-US"/>
        </w:rPr>
        <w:t xml:space="preserve"> </w:t>
      </w:r>
      <w:r w:rsidR="001B007D" w:rsidRPr="00C9465D">
        <w:rPr>
          <w:rFonts w:ascii="Verdana" w:hAnsi="Verdana"/>
          <w:sz w:val="16"/>
          <w:szCs w:val="16"/>
          <w:lang w:val="en-US"/>
        </w:rPr>
        <w:t xml:space="preserve">July 4, </w:t>
      </w:r>
      <w:r w:rsidRPr="00C9465D">
        <w:rPr>
          <w:rFonts w:ascii="Verdana" w:hAnsi="Verdana"/>
          <w:sz w:val="16"/>
          <w:szCs w:val="16"/>
          <w:lang w:val="en-US"/>
        </w:rPr>
        <w:t xml:space="preserve">2006. </w:t>
      </w:r>
      <w:r w:rsidR="00E2299F" w:rsidRPr="00C9465D">
        <w:rPr>
          <w:rFonts w:ascii="Verdana" w:hAnsi="Verdana"/>
          <w:sz w:val="16"/>
          <w:szCs w:val="16"/>
          <w:lang w:val="en-US"/>
        </w:rPr>
        <w:t xml:space="preserve">Series </w:t>
      </w:r>
      <w:r w:rsidRPr="00C9465D">
        <w:rPr>
          <w:rFonts w:ascii="Verdana" w:hAnsi="Verdana"/>
          <w:sz w:val="16"/>
          <w:szCs w:val="16"/>
          <w:lang w:val="en-US"/>
        </w:rPr>
        <w:t xml:space="preserve">C No. 149, </w:t>
      </w:r>
      <w:r w:rsidR="00D8466F" w:rsidRPr="00C9465D">
        <w:rPr>
          <w:rFonts w:ascii="Verdana" w:hAnsi="Verdana"/>
          <w:sz w:val="16"/>
          <w:szCs w:val="16"/>
          <w:lang w:val="en-US" w:eastAsia="x-none"/>
        </w:rPr>
        <w:t>para.</w:t>
      </w:r>
      <w:r w:rsidRPr="00C9465D">
        <w:rPr>
          <w:rFonts w:ascii="Verdana" w:hAnsi="Verdana"/>
          <w:sz w:val="16"/>
          <w:szCs w:val="16"/>
          <w:lang w:val="en-US" w:eastAsia="x-none"/>
        </w:rPr>
        <w:t xml:space="preserve"> 103,</w:t>
      </w:r>
      <w:r w:rsidR="00193CBB" w:rsidRPr="00C9465D">
        <w:rPr>
          <w:rFonts w:ascii="Verdana" w:hAnsi="Verdana"/>
          <w:sz w:val="16"/>
          <w:szCs w:val="16"/>
          <w:lang w:val="en-US" w:eastAsia="x-none"/>
        </w:rPr>
        <w:t xml:space="preserve"> and </w:t>
      </w:r>
      <w:r w:rsidR="00D8466F" w:rsidRPr="00C9465D">
        <w:rPr>
          <w:rFonts w:ascii="Verdana" w:hAnsi="Verdana"/>
          <w:i/>
          <w:sz w:val="16"/>
          <w:szCs w:val="16"/>
          <w:lang w:val="en-US"/>
        </w:rPr>
        <w:t>Case of</w:t>
      </w:r>
      <w:r w:rsidRPr="00C9465D">
        <w:rPr>
          <w:rFonts w:ascii="Verdana" w:hAnsi="Verdana"/>
          <w:i/>
          <w:sz w:val="16"/>
          <w:szCs w:val="16"/>
          <w:lang w:val="en-US"/>
        </w:rPr>
        <w:t xml:space="preserve"> Chinchilla Sandoval</w:t>
      </w:r>
      <w:r w:rsidR="00193CBB" w:rsidRPr="00C9465D">
        <w:rPr>
          <w:rFonts w:ascii="Verdana" w:hAnsi="Verdana"/>
          <w:i/>
          <w:sz w:val="16"/>
          <w:szCs w:val="16"/>
          <w:lang w:val="en-US"/>
        </w:rPr>
        <w:t xml:space="preserve"> </w:t>
      </w:r>
      <w:r w:rsidR="00D8466F" w:rsidRPr="00C9465D">
        <w:rPr>
          <w:rFonts w:ascii="Verdana" w:hAnsi="Verdana"/>
          <w:i/>
          <w:sz w:val="16"/>
          <w:szCs w:val="16"/>
          <w:lang w:val="en-US"/>
        </w:rPr>
        <w:t>et al. v.</w:t>
      </w:r>
      <w:r w:rsidRPr="00C9465D">
        <w:rPr>
          <w:rFonts w:ascii="Verdana" w:hAnsi="Verdana"/>
          <w:i/>
          <w:sz w:val="16"/>
          <w:szCs w:val="16"/>
          <w:lang w:val="en-US"/>
        </w:rPr>
        <w:t xml:space="preserve"> Guatemala</w:t>
      </w:r>
      <w:r w:rsidRPr="00C9465D">
        <w:rPr>
          <w:rFonts w:ascii="Verdana" w:hAnsi="Verdana"/>
          <w:sz w:val="16"/>
          <w:szCs w:val="16"/>
          <w:lang w:val="en-US"/>
        </w:rPr>
        <w:t xml:space="preserve">, </w:t>
      </w:r>
      <w:r w:rsidRPr="00C9465D">
        <w:rPr>
          <w:rFonts w:ascii="Verdana" w:hAnsi="Verdana"/>
          <w:i/>
          <w:sz w:val="16"/>
          <w:szCs w:val="16"/>
          <w:lang w:val="en-US"/>
        </w:rPr>
        <w:t>supra</w:t>
      </w:r>
      <w:r w:rsidRPr="00C9465D">
        <w:rPr>
          <w:rFonts w:ascii="Verdana" w:hAnsi="Verdana"/>
          <w:sz w:val="16"/>
          <w:szCs w:val="16"/>
          <w:lang w:val="en-US"/>
        </w:rPr>
        <w:t xml:space="preserve">, </w:t>
      </w:r>
      <w:r w:rsidR="00D8466F" w:rsidRPr="00C9465D">
        <w:rPr>
          <w:rFonts w:ascii="Verdana" w:hAnsi="Verdana"/>
          <w:sz w:val="16"/>
          <w:szCs w:val="16"/>
          <w:lang w:val="en-US"/>
        </w:rPr>
        <w:t>para.</w:t>
      </w:r>
      <w:r w:rsidRPr="00C9465D">
        <w:rPr>
          <w:rFonts w:ascii="Verdana" w:hAnsi="Verdana"/>
          <w:sz w:val="16"/>
          <w:szCs w:val="16"/>
          <w:lang w:val="en-US"/>
        </w:rPr>
        <w:t xml:space="preserve"> 208.</w:t>
      </w:r>
    </w:p>
  </w:footnote>
  <w:footnote w:id="160">
    <w:p w14:paraId="1A60C317" w14:textId="21622AE9" w:rsidR="00300482" w:rsidRPr="00C9465D" w:rsidRDefault="00300482" w:rsidP="00BD26CF">
      <w:pPr>
        <w:tabs>
          <w:tab w:val="left" w:pos="0"/>
          <w:tab w:val="left" w:pos="567"/>
          <w:tab w:val="left" w:pos="720"/>
          <w:tab w:val="left" w:pos="1440"/>
          <w:tab w:val="left" w:pos="2160"/>
          <w:tab w:val="left" w:pos="9360"/>
        </w:tabs>
        <w:suppressAutoHyphens/>
        <w:spacing w:after="120" w:line="240" w:lineRule="auto"/>
        <w:jc w:val="both"/>
        <w:rPr>
          <w:rFonts w:ascii="Verdana" w:hAnsi="Verdana"/>
          <w:sz w:val="16"/>
          <w:szCs w:val="16"/>
          <w:lang w:val="en-US"/>
        </w:rPr>
      </w:pPr>
      <w:r w:rsidRPr="00C9465D">
        <w:rPr>
          <w:rStyle w:val="FootnoteReference"/>
          <w:rFonts w:ascii="Verdana" w:eastAsia="Times" w:hAnsi="Verdana"/>
          <w:sz w:val="16"/>
          <w:szCs w:val="16"/>
          <w:lang w:val="en-US"/>
        </w:rPr>
        <w:footnoteRef/>
      </w:r>
      <w:r w:rsidRPr="00C9465D">
        <w:rPr>
          <w:rFonts w:ascii="Verdana" w:hAnsi="Verdana"/>
          <w:i/>
          <w:sz w:val="16"/>
          <w:szCs w:val="16"/>
          <w:lang w:val="en-US"/>
        </w:rPr>
        <w:tab/>
      </w:r>
      <w:r w:rsidR="00E2299F" w:rsidRPr="00C9465D">
        <w:rPr>
          <w:rFonts w:ascii="Verdana" w:hAnsi="Verdana"/>
          <w:i/>
          <w:sz w:val="16"/>
          <w:szCs w:val="16"/>
          <w:lang w:val="en-US"/>
        </w:rPr>
        <w:t>Cf.</w:t>
      </w:r>
      <w:r w:rsidRPr="00C9465D">
        <w:rPr>
          <w:rFonts w:ascii="Verdana" w:hAnsi="Verdana"/>
          <w:sz w:val="16"/>
          <w:szCs w:val="16"/>
          <w:lang w:val="en-US"/>
        </w:rPr>
        <w:t xml:space="preserve"> </w:t>
      </w:r>
      <w:r w:rsidR="00D8466F" w:rsidRPr="00C9465D">
        <w:rPr>
          <w:rFonts w:ascii="Verdana" w:hAnsi="Verdana"/>
          <w:i/>
          <w:sz w:val="16"/>
          <w:szCs w:val="16"/>
          <w:lang w:val="en-US"/>
        </w:rPr>
        <w:t>Case of</w:t>
      </w:r>
      <w:r w:rsidRPr="00C9465D">
        <w:rPr>
          <w:rFonts w:ascii="Verdana" w:hAnsi="Verdana"/>
          <w:i/>
          <w:sz w:val="16"/>
          <w:szCs w:val="16"/>
          <w:lang w:val="en-US"/>
        </w:rPr>
        <w:t xml:space="preserve"> </w:t>
      </w:r>
      <w:r w:rsidR="00B07FDE" w:rsidRPr="00C9465D">
        <w:rPr>
          <w:rFonts w:ascii="Verdana" w:hAnsi="Verdana"/>
          <w:i/>
          <w:sz w:val="16"/>
          <w:szCs w:val="16"/>
          <w:lang w:val="en-US"/>
        </w:rPr>
        <w:t>Furlán and family</w:t>
      </w:r>
      <w:r w:rsidRPr="00C9465D">
        <w:rPr>
          <w:rFonts w:ascii="Verdana" w:hAnsi="Verdana"/>
          <w:i/>
          <w:sz w:val="16"/>
          <w:szCs w:val="16"/>
          <w:lang w:val="en-US"/>
        </w:rPr>
        <w:t xml:space="preserve"> </w:t>
      </w:r>
      <w:r w:rsidR="00193CBB" w:rsidRPr="00C9465D">
        <w:rPr>
          <w:rFonts w:ascii="Verdana" w:hAnsi="Verdana"/>
          <w:i/>
          <w:sz w:val="16"/>
          <w:szCs w:val="16"/>
          <w:lang w:val="en-US"/>
        </w:rPr>
        <w:t>v.</w:t>
      </w:r>
      <w:r w:rsidRPr="00C9465D">
        <w:rPr>
          <w:rFonts w:ascii="Verdana" w:hAnsi="Verdana"/>
          <w:i/>
          <w:sz w:val="16"/>
          <w:szCs w:val="16"/>
          <w:lang w:val="en-US"/>
        </w:rPr>
        <w:t xml:space="preserve"> Argentina</w:t>
      </w:r>
      <w:r w:rsidRPr="00C9465D">
        <w:rPr>
          <w:rFonts w:ascii="Verdana" w:hAnsi="Verdana"/>
          <w:sz w:val="16"/>
          <w:szCs w:val="16"/>
          <w:lang w:val="en-US"/>
        </w:rPr>
        <w:t xml:space="preserve">, </w:t>
      </w:r>
      <w:r w:rsidRPr="00C9465D">
        <w:rPr>
          <w:rFonts w:ascii="Verdana" w:hAnsi="Verdana"/>
          <w:i/>
          <w:sz w:val="16"/>
          <w:szCs w:val="16"/>
          <w:lang w:val="en-US"/>
        </w:rPr>
        <w:t>supra</w:t>
      </w:r>
      <w:r w:rsidRPr="00C9465D">
        <w:rPr>
          <w:rFonts w:ascii="Verdana" w:hAnsi="Verdana"/>
          <w:sz w:val="16"/>
          <w:szCs w:val="16"/>
          <w:lang w:val="en-US"/>
        </w:rPr>
        <w:t xml:space="preserve">, </w:t>
      </w:r>
      <w:r w:rsidR="00D8466F" w:rsidRPr="00C9465D">
        <w:rPr>
          <w:rFonts w:ascii="Verdana" w:hAnsi="Verdana"/>
          <w:sz w:val="16"/>
          <w:szCs w:val="16"/>
          <w:lang w:val="en-US"/>
        </w:rPr>
        <w:t>para.</w:t>
      </w:r>
      <w:r w:rsidRPr="00C9465D">
        <w:rPr>
          <w:rFonts w:ascii="Verdana" w:hAnsi="Verdana"/>
          <w:sz w:val="16"/>
          <w:szCs w:val="16"/>
          <w:lang w:val="en-US"/>
        </w:rPr>
        <w:t xml:space="preserve"> 134,</w:t>
      </w:r>
      <w:r w:rsidR="00193CBB" w:rsidRPr="00C9465D">
        <w:rPr>
          <w:rFonts w:ascii="Verdana" w:hAnsi="Verdana"/>
          <w:sz w:val="16"/>
          <w:szCs w:val="16"/>
          <w:lang w:val="en-US"/>
        </w:rPr>
        <w:t xml:space="preserve"> and </w:t>
      </w:r>
      <w:r w:rsidR="00D8466F" w:rsidRPr="00C9465D">
        <w:rPr>
          <w:rFonts w:ascii="Verdana" w:hAnsi="Verdana"/>
          <w:i/>
          <w:sz w:val="16"/>
          <w:szCs w:val="16"/>
          <w:lang w:val="en-US"/>
        </w:rPr>
        <w:t>Case of</w:t>
      </w:r>
      <w:r w:rsidRPr="00C9465D">
        <w:rPr>
          <w:rFonts w:ascii="Verdana" w:hAnsi="Verdana"/>
          <w:i/>
          <w:sz w:val="16"/>
          <w:szCs w:val="16"/>
          <w:lang w:val="en-US"/>
        </w:rPr>
        <w:t xml:space="preserve"> Chinchilla Sandoval</w:t>
      </w:r>
      <w:r w:rsidR="00193CBB" w:rsidRPr="00C9465D">
        <w:rPr>
          <w:rFonts w:ascii="Verdana" w:hAnsi="Verdana"/>
          <w:i/>
          <w:sz w:val="16"/>
          <w:szCs w:val="16"/>
          <w:lang w:val="en-US"/>
        </w:rPr>
        <w:t xml:space="preserve"> </w:t>
      </w:r>
      <w:r w:rsidR="00D8466F" w:rsidRPr="00C9465D">
        <w:rPr>
          <w:rFonts w:ascii="Verdana" w:hAnsi="Verdana"/>
          <w:i/>
          <w:sz w:val="16"/>
          <w:szCs w:val="16"/>
          <w:lang w:val="en-US"/>
        </w:rPr>
        <w:t>et al. v.</w:t>
      </w:r>
      <w:r w:rsidRPr="00C9465D">
        <w:rPr>
          <w:rFonts w:ascii="Verdana" w:hAnsi="Verdana"/>
          <w:i/>
          <w:sz w:val="16"/>
          <w:szCs w:val="16"/>
          <w:lang w:val="en-US"/>
        </w:rPr>
        <w:t xml:space="preserve"> Guatemala</w:t>
      </w:r>
      <w:r w:rsidRPr="00C9465D">
        <w:rPr>
          <w:rFonts w:ascii="Verdana" w:hAnsi="Verdana"/>
          <w:sz w:val="16"/>
          <w:szCs w:val="16"/>
          <w:lang w:val="en-US"/>
        </w:rPr>
        <w:t xml:space="preserve">, </w:t>
      </w:r>
      <w:r w:rsidRPr="00C9465D">
        <w:rPr>
          <w:rFonts w:ascii="Verdana" w:hAnsi="Verdana"/>
          <w:i/>
          <w:sz w:val="16"/>
          <w:szCs w:val="16"/>
          <w:lang w:val="en-US"/>
        </w:rPr>
        <w:t>supra</w:t>
      </w:r>
      <w:r w:rsidRPr="00C9465D">
        <w:rPr>
          <w:rFonts w:ascii="Verdana" w:hAnsi="Verdana"/>
          <w:sz w:val="16"/>
          <w:szCs w:val="16"/>
          <w:lang w:val="en-US"/>
        </w:rPr>
        <w:t xml:space="preserve">, </w:t>
      </w:r>
      <w:r w:rsidR="00D8466F" w:rsidRPr="00C9465D">
        <w:rPr>
          <w:rFonts w:ascii="Verdana" w:hAnsi="Verdana"/>
          <w:sz w:val="16"/>
          <w:szCs w:val="16"/>
          <w:lang w:val="en-US"/>
        </w:rPr>
        <w:t>para.</w:t>
      </w:r>
      <w:r w:rsidRPr="00C9465D">
        <w:rPr>
          <w:rFonts w:ascii="Verdana" w:hAnsi="Verdana"/>
          <w:sz w:val="16"/>
          <w:szCs w:val="16"/>
          <w:lang w:val="en-US"/>
        </w:rPr>
        <w:t xml:space="preserve"> 208. </w:t>
      </w:r>
      <w:r w:rsidR="00B07FDE" w:rsidRPr="00C9465D">
        <w:rPr>
          <w:rFonts w:ascii="Verdana" w:hAnsi="Verdana"/>
          <w:iCs/>
          <w:sz w:val="16"/>
          <w:szCs w:val="16"/>
          <w:lang w:val="en-US" w:eastAsia="x-none"/>
        </w:rPr>
        <w:t>See also</w:t>
      </w:r>
      <w:r w:rsidRPr="00C9465D">
        <w:rPr>
          <w:rFonts w:ascii="Verdana" w:hAnsi="Verdana"/>
          <w:iCs/>
          <w:sz w:val="16"/>
          <w:szCs w:val="16"/>
          <w:lang w:val="en-US" w:eastAsia="x-none"/>
        </w:rPr>
        <w:t>,</w:t>
      </w:r>
      <w:r w:rsidRPr="00C9465D">
        <w:rPr>
          <w:rFonts w:ascii="Verdana" w:hAnsi="Verdana"/>
          <w:i/>
          <w:sz w:val="16"/>
          <w:szCs w:val="16"/>
          <w:lang w:val="en-US" w:eastAsia="x-none"/>
        </w:rPr>
        <w:t xml:space="preserve"> </w:t>
      </w:r>
      <w:r w:rsidR="00193CBB" w:rsidRPr="00C9465D">
        <w:rPr>
          <w:rFonts w:ascii="Verdana" w:hAnsi="Verdana"/>
          <w:sz w:val="16"/>
          <w:szCs w:val="16"/>
          <w:lang w:val="en-US"/>
        </w:rPr>
        <w:t>Article</w:t>
      </w:r>
      <w:r w:rsidRPr="00C9465D">
        <w:rPr>
          <w:rFonts w:ascii="Verdana" w:hAnsi="Verdana"/>
          <w:sz w:val="16"/>
          <w:szCs w:val="16"/>
          <w:lang w:val="en-US"/>
        </w:rPr>
        <w:t xml:space="preserve"> 5 </w:t>
      </w:r>
      <w:r w:rsidR="00B07FDE" w:rsidRPr="00C9465D">
        <w:rPr>
          <w:rFonts w:ascii="Verdana" w:hAnsi="Verdana"/>
          <w:sz w:val="16"/>
          <w:szCs w:val="16"/>
          <w:lang w:val="en-US"/>
        </w:rPr>
        <w:t>of the</w:t>
      </w:r>
      <w:r w:rsidRPr="00C9465D">
        <w:rPr>
          <w:rFonts w:ascii="Verdana" w:hAnsi="Verdana"/>
          <w:sz w:val="16"/>
          <w:szCs w:val="16"/>
          <w:lang w:val="en-US"/>
        </w:rPr>
        <w:t xml:space="preserve"> </w:t>
      </w:r>
      <w:r w:rsidR="00B07FDE" w:rsidRPr="00C9465D">
        <w:rPr>
          <w:rFonts w:ascii="Verdana" w:hAnsi="Verdana"/>
          <w:sz w:val="16"/>
          <w:szCs w:val="16"/>
          <w:lang w:val="en-US"/>
        </w:rPr>
        <w:t>Standard Rules on the Equalization of Opportunities for Persons with Disabilities</w:t>
      </w:r>
      <w:r w:rsidRPr="00C9465D">
        <w:rPr>
          <w:rFonts w:ascii="Verdana" w:hAnsi="Verdana"/>
          <w:sz w:val="16"/>
          <w:szCs w:val="16"/>
          <w:lang w:val="en-US"/>
        </w:rPr>
        <w:t>.</w:t>
      </w:r>
    </w:p>
  </w:footnote>
  <w:footnote w:id="161">
    <w:p w14:paraId="0D291509" w14:textId="261B774F" w:rsidR="00300482" w:rsidRPr="00C9465D" w:rsidRDefault="00300482" w:rsidP="00BD26CF">
      <w:pPr>
        <w:tabs>
          <w:tab w:val="left" w:pos="567"/>
        </w:tabs>
        <w:spacing w:after="120" w:line="240" w:lineRule="auto"/>
        <w:jc w:val="both"/>
        <w:rPr>
          <w:rFonts w:ascii="Verdana" w:hAnsi="Verdana"/>
          <w:sz w:val="16"/>
          <w:szCs w:val="16"/>
          <w:lang w:val="en-US"/>
        </w:rPr>
      </w:pPr>
      <w:r w:rsidRPr="00C9465D">
        <w:rPr>
          <w:rStyle w:val="FootnoteReference"/>
          <w:rFonts w:ascii="Verdana" w:eastAsia="Times" w:hAnsi="Verdana"/>
          <w:sz w:val="16"/>
          <w:szCs w:val="16"/>
          <w:lang w:val="en-US"/>
        </w:rPr>
        <w:footnoteRef/>
      </w:r>
      <w:r w:rsidRPr="00C9465D">
        <w:rPr>
          <w:rFonts w:ascii="Verdana" w:hAnsi="Verdana"/>
          <w:i/>
          <w:sz w:val="16"/>
          <w:szCs w:val="16"/>
          <w:lang w:val="en-US" w:eastAsia="x-none"/>
        </w:rPr>
        <w:tab/>
      </w:r>
      <w:r w:rsidR="00E2299F" w:rsidRPr="00C9465D">
        <w:rPr>
          <w:rFonts w:ascii="Verdana" w:hAnsi="Verdana"/>
          <w:i/>
          <w:sz w:val="16"/>
          <w:szCs w:val="16"/>
          <w:lang w:val="en-US" w:eastAsia="x-none"/>
        </w:rPr>
        <w:t>Cf.</w:t>
      </w:r>
      <w:r w:rsidRPr="00C9465D">
        <w:rPr>
          <w:rFonts w:ascii="Verdana" w:hAnsi="Verdana"/>
          <w:i/>
          <w:sz w:val="16"/>
          <w:szCs w:val="16"/>
          <w:lang w:val="en-US" w:eastAsia="x-none"/>
        </w:rPr>
        <w:t xml:space="preserve"> </w:t>
      </w:r>
      <w:r w:rsidR="00D8466F" w:rsidRPr="00C9465D">
        <w:rPr>
          <w:rFonts w:ascii="Verdana" w:hAnsi="Verdana"/>
          <w:i/>
          <w:sz w:val="16"/>
          <w:szCs w:val="16"/>
          <w:lang w:val="en-US" w:eastAsia="x-none"/>
        </w:rPr>
        <w:t>Case of</w:t>
      </w:r>
      <w:r w:rsidRPr="00C9465D">
        <w:rPr>
          <w:rFonts w:ascii="Verdana" w:hAnsi="Verdana"/>
          <w:i/>
          <w:sz w:val="16"/>
          <w:szCs w:val="16"/>
          <w:lang w:val="en-US" w:eastAsia="x-none"/>
        </w:rPr>
        <w:t xml:space="preserve"> </w:t>
      </w:r>
      <w:r w:rsidR="00B07FDE" w:rsidRPr="00C9465D">
        <w:rPr>
          <w:rFonts w:ascii="Verdana" w:hAnsi="Verdana"/>
          <w:i/>
          <w:sz w:val="16"/>
          <w:szCs w:val="16"/>
          <w:lang w:val="en-US" w:eastAsia="x-none"/>
        </w:rPr>
        <w:t>Furlán and family</w:t>
      </w:r>
      <w:r w:rsidRPr="00C9465D">
        <w:rPr>
          <w:rFonts w:ascii="Verdana" w:hAnsi="Verdana"/>
          <w:i/>
          <w:sz w:val="16"/>
          <w:szCs w:val="16"/>
          <w:lang w:val="en-US" w:eastAsia="x-none"/>
        </w:rPr>
        <w:t xml:space="preserve"> </w:t>
      </w:r>
      <w:r w:rsidR="00193CBB" w:rsidRPr="00C9465D">
        <w:rPr>
          <w:rFonts w:ascii="Verdana" w:hAnsi="Verdana"/>
          <w:i/>
          <w:sz w:val="16"/>
          <w:szCs w:val="16"/>
          <w:lang w:val="en-US" w:eastAsia="x-none"/>
        </w:rPr>
        <w:t>v.</w:t>
      </w:r>
      <w:r w:rsidRPr="00C9465D">
        <w:rPr>
          <w:rFonts w:ascii="Verdana" w:hAnsi="Verdana"/>
          <w:i/>
          <w:sz w:val="16"/>
          <w:szCs w:val="16"/>
          <w:lang w:val="en-US" w:eastAsia="x-none"/>
        </w:rPr>
        <w:t xml:space="preserve"> Argentina, supra, </w:t>
      </w:r>
      <w:r w:rsidR="00D8466F" w:rsidRPr="00C9465D">
        <w:rPr>
          <w:rFonts w:ascii="Verdana" w:hAnsi="Verdana"/>
          <w:sz w:val="16"/>
          <w:szCs w:val="16"/>
          <w:lang w:val="en-US" w:eastAsia="x-none"/>
        </w:rPr>
        <w:t>para.</w:t>
      </w:r>
      <w:r w:rsidRPr="00C9465D">
        <w:rPr>
          <w:rFonts w:ascii="Verdana" w:hAnsi="Verdana"/>
          <w:sz w:val="16"/>
          <w:szCs w:val="16"/>
          <w:lang w:val="en-US" w:eastAsia="x-none"/>
        </w:rPr>
        <w:t xml:space="preserve"> 134,</w:t>
      </w:r>
      <w:r w:rsidR="00193CBB" w:rsidRPr="00C9465D">
        <w:rPr>
          <w:rFonts w:ascii="Verdana" w:hAnsi="Verdana"/>
          <w:sz w:val="16"/>
          <w:szCs w:val="16"/>
          <w:lang w:val="en-US" w:eastAsia="x-none"/>
        </w:rPr>
        <w:t xml:space="preserve"> and </w:t>
      </w:r>
      <w:r w:rsidR="00D8466F" w:rsidRPr="00C9465D">
        <w:rPr>
          <w:rFonts w:ascii="Verdana" w:hAnsi="Verdana"/>
          <w:i/>
          <w:sz w:val="16"/>
          <w:szCs w:val="16"/>
          <w:lang w:val="en-US"/>
        </w:rPr>
        <w:t>Case of</w:t>
      </w:r>
      <w:r w:rsidRPr="00C9465D">
        <w:rPr>
          <w:rFonts w:ascii="Verdana" w:hAnsi="Verdana"/>
          <w:i/>
          <w:sz w:val="16"/>
          <w:szCs w:val="16"/>
          <w:lang w:val="en-US"/>
        </w:rPr>
        <w:t xml:space="preserve"> Chinchilla Sandoval</w:t>
      </w:r>
      <w:r w:rsidR="00193CBB" w:rsidRPr="00C9465D">
        <w:rPr>
          <w:rFonts w:ascii="Verdana" w:hAnsi="Verdana"/>
          <w:i/>
          <w:sz w:val="16"/>
          <w:szCs w:val="16"/>
          <w:lang w:val="en-US"/>
        </w:rPr>
        <w:t xml:space="preserve"> </w:t>
      </w:r>
      <w:r w:rsidR="00D8466F" w:rsidRPr="00C9465D">
        <w:rPr>
          <w:rFonts w:ascii="Verdana" w:hAnsi="Verdana"/>
          <w:i/>
          <w:sz w:val="16"/>
          <w:szCs w:val="16"/>
          <w:lang w:val="en-US"/>
        </w:rPr>
        <w:t>et al. v.</w:t>
      </w:r>
      <w:r w:rsidRPr="00C9465D">
        <w:rPr>
          <w:rFonts w:ascii="Verdana" w:hAnsi="Verdana"/>
          <w:i/>
          <w:sz w:val="16"/>
          <w:szCs w:val="16"/>
          <w:lang w:val="en-US"/>
        </w:rPr>
        <w:t xml:space="preserve"> Guatemala</w:t>
      </w:r>
      <w:r w:rsidRPr="00C9465D">
        <w:rPr>
          <w:rFonts w:ascii="Verdana" w:hAnsi="Verdana"/>
          <w:sz w:val="16"/>
          <w:szCs w:val="16"/>
          <w:lang w:val="en-US"/>
        </w:rPr>
        <w:t xml:space="preserve">, </w:t>
      </w:r>
      <w:r w:rsidRPr="00C9465D">
        <w:rPr>
          <w:rFonts w:ascii="Verdana" w:hAnsi="Verdana"/>
          <w:i/>
          <w:sz w:val="16"/>
          <w:szCs w:val="16"/>
          <w:lang w:val="en-US"/>
        </w:rPr>
        <w:t>supra</w:t>
      </w:r>
      <w:r w:rsidRPr="00C9465D">
        <w:rPr>
          <w:rFonts w:ascii="Verdana" w:hAnsi="Verdana"/>
          <w:sz w:val="16"/>
          <w:szCs w:val="16"/>
          <w:lang w:val="en-US"/>
        </w:rPr>
        <w:t xml:space="preserve">, </w:t>
      </w:r>
      <w:r w:rsidR="00D8466F" w:rsidRPr="00C9465D">
        <w:rPr>
          <w:rFonts w:ascii="Verdana" w:hAnsi="Verdana"/>
          <w:sz w:val="16"/>
          <w:szCs w:val="16"/>
          <w:lang w:val="en-US"/>
        </w:rPr>
        <w:t>para.</w:t>
      </w:r>
      <w:r w:rsidRPr="00C9465D">
        <w:rPr>
          <w:rFonts w:ascii="Verdana" w:hAnsi="Verdana"/>
          <w:sz w:val="16"/>
          <w:szCs w:val="16"/>
          <w:lang w:val="en-US"/>
        </w:rPr>
        <w:t xml:space="preserve"> 208</w:t>
      </w:r>
      <w:r w:rsidRPr="00C9465D">
        <w:rPr>
          <w:rFonts w:ascii="Verdana" w:hAnsi="Verdana"/>
          <w:i/>
          <w:sz w:val="16"/>
          <w:szCs w:val="16"/>
          <w:lang w:val="en-US" w:eastAsia="x-none"/>
        </w:rPr>
        <w:t xml:space="preserve">. </w:t>
      </w:r>
      <w:r w:rsidR="00532DEC" w:rsidRPr="00C9465D">
        <w:rPr>
          <w:rFonts w:ascii="Verdana" w:hAnsi="Verdana"/>
          <w:i/>
          <w:sz w:val="16"/>
          <w:szCs w:val="16"/>
          <w:lang w:val="en-US" w:eastAsia="x-none"/>
        </w:rPr>
        <w:t>See also</w:t>
      </w:r>
      <w:r w:rsidRPr="00C9465D">
        <w:rPr>
          <w:rFonts w:ascii="Verdana" w:hAnsi="Verdana"/>
          <w:i/>
          <w:sz w:val="16"/>
          <w:szCs w:val="16"/>
          <w:lang w:val="en-US" w:eastAsia="x-none"/>
        </w:rPr>
        <w:t xml:space="preserve">, </w:t>
      </w:r>
      <w:r w:rsidR="00B07FDE" w:rsidRPr="00C9465D">
        <w:rPr>
          <w:rFonts w:ascii="Verdana" w:hAnsi="Verdana"/>
          <w:sz w:val="16"/>
          <w:szCs w:val="16"/>
          <w:lang w:val="en-US"/>
        </w:rPr>
        <w:t>Committee on Economic, Social and Cultural Rights</w:t>
      </w:r>
      <w:r w:rsidRPr="00C9465D">
        <w:rPr>
          <w:rFonts w:ascii="Verdana" w:hAnsi="Verdana"/>
          <w:sz w:val="16"/>
          <w:szCs w:val="16"/>
          <w:lang w:val="en-US"/>
        </w:rPr>
        <w:t xml:space="preserve">, </w:t>
      </w:r>
      <w:r w:rsidR="00B07FDE" w:rsidRPr="00C9465D">
        <w:rPr>
          <w:rFonts w:ascii="Verdana" w:hAnsi="Verdana"/>
          <w:sz w:val="16"/>
          <w:szCs w:val="16"/>
          <w:lang w:val="en-US"/>
        </w:rPr>
        <w:t>General Comment</w:t>
      </w:r>
      <w:r w:rsidRPr="00C9465D">
        <w:rPr>
          <w:rFonts w:ascii="Verdana" w:hAnsi="Verdana"/>
          <w:sz w:val="16"/>
          <w:szCs w:val="16"/>
          <w:lang w:val="en-US"/>
        </w:rPr>
        <w:t xml:space="preserve"> </w:t>
      </w:r>
      <w:r w:rsidR="00B1525D" w:rsidRPr="00C9465D">
        <w:rPr>
          <w:rFonts w:ascii="Verdana" w:hAnsi="Verdana"/>
          <w:sz w:val="16"/>
          <w:szCs w:val="16"/>
          <w:lang w:val="en-US"/>
        </w:rPr>
        <w:t>No.</w:t>
      </w:r>
      <w:r w:rsidRPr="00C9465D">
        <w:rPr>
          <w:rFonts w:ascii="Verdana" w:hAnsi="Verdana"/>
          <w:sz w:val="16"/>
          <w:szCs w:val="16"/>
          <w:lang w:val="en-US"/>
        </w:rPr>
        <w:t xml:space="preserve"> 5: </w:t>
      </w:r>
      <w:r w:rsidR="00D85850" w:rsidRPr="00C9465D">
        <w:rPr>
          <w:rFonts w:ascii="Verdana" w:hAnsi="Verdana"/>
          <w:sz w:val="16"/>
          <w:szCs w:val="16"/>
          <w:lang w:val="en-US"/>
        </w:rPr>
        <w:t>Persons with disabilities</w:t>
      </w:r>
      <w:r w:rsidRPr="00C9465D">
        <w:rPr>
          <w:rFonts w:ascii="Verdana" w:hAnsi="Verdana"/>
          <w:sz w:val="16"/>
          <w:szCs w:val="16"/>
          <w:lang w:val="en-US"/>
        </w:rPr>
        <w:t xml:space="preserve">, E/1995/22, </w:t>
      </w:r>
      <w:r w:rsidR="00B07FDE" w:rsidRPr="00C9465D">
        <w:rPr>
          <w:rFonts w:ascii="Verdana" w:hAnsi="Verdana"/>
          <w:sz w:val="16"/>
          <w:szCs w:val="16"/>
          <w:lang w:val="en-US"/>
        </w:rPr>
        <w:t>December 9,</w:t>
      </w:r>
      <w:r w:rsidRPr="00C9465D">
        <w:rPr>
          <w:rFonts w:ascii="Verdana" w:hAnsi="Verdana"/>
          <w:sz w:val="16"/>
          <w:szCs w:val="16"/>
          <w:lang w:val="en-US"/>
        </w:rPr>
        <w:t xml:space="preserve"> 1994, </w:t>
      </w:r>
      <w:r w:rsidR="00D8466F" w:rsidRPr="00C9465D">
        <w:rPr>
          <w:rFonts w:ascii="Verdana" w:hAnsi="Verdana"/>
          <w:sz w:val="16"/>
          <w:szCs w:val="16"/>
          <w:lang w:val="en-US"/>
        </w:rPr>
        <w:t>para.</w:t>
      </w:r>
      <w:r w:rsidRPr="00C9465D">
        <w:rPr>
          <w:rFonts w:ascii="Verdana" w:hAnsi="Verdana"/>
          <w:sz w:val="16"/>
          <w:szCs w:val="16"/>
          <w:lang w:val="en-US"/>
        </w:rPr>
        <w:t xml:space="preserve"> 13.</w:t>
      </w:r>
    </w:p>
  </w:footnote>
  <w:footnote w:id="162">
    <w:p w14:paraId="369427C7" w14:textId="6CB39066" w:rsidR="00300482" w:rsidRPr="00C9465D" w:rsidRDefault="00300482" w:rsidP="00BD26CF">
      <w:pPr>
        <w:tabs>
          <w:tab w:val="left" w:pos="567"/>
        </w:tabs>
        <w:spacing w:after="120" w:line="240" w:lineRule="auto"/>
        <w:jc w:val="both"/>
        <w:rPr>
          <w:rFonts w:ascii="Verdana" w:hAnsi="Verdana"/>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ab/>
      </w:r>
      <w:r w:rsidR="00E2299F" w:rsidRPr="00C9465D">
        <w:rPr>
          <w:rFonts w:ascii="Verdana" w:hAnsi="Verdana"/>
          <w:i/>
          <w:sz w:val="16"/>
          <w:szCs w:val="16"/>
          <w:lang w:val="en-US"/>
        </w:rPr>
        <w:t>Cf.</w:t>
      </w:r>
      <w:r w:rsidRPr="00C9465D">
        <w:rPr>
          <w:rFonts w:ascii="Verdana" w:hAnsi="Verdana"/>
          <w:i/>
          <w:sz w:val="16"/>
          <w:szCs w:val="16"/>
          <w:lang w:val="en-US"/>
        </w:rPr>
        <w:t xml:space="preserve"> </w:t>
      </w:r>
      <w:r w:rsidR="00D8466F" w:rsidRPr="00C9465D">
        <w:rPr>
          <w:rFonts w:ascii="Verdana" w:hAnsi="Verdana"/>
          <w:i/>
          <w:sz w:val="16"/>
          <w:szCs w:val="16"/>
          <w:lang w:val="en-US"/>
        </w:rPr>
        <w:t>Case of</w:t>
      </w:r>
      <w:r w:rsidRPr="00C9465D">
        <w:rPr>
          <w:rFonts w:ascii="Verdana" w:hAnsi="Verdana"/>
          <w:i/>
          <w:sz w:val="16"/>
          <w:szCs w:val="16"/>
          <w:lang w:val="en-US"/>
        </w:rPr>
        <w:t xml:space="preserve"> Ximenes Lopes </w:t>
      </w:r>
      <w:r w:rsidR="00193CBB" w:rsidRPr="00C9465D">
        <w:rPr>
          <w:rFonts w:ascii="Verdana" w:hAnsi="Verdana"/>
          <w:i/>
          <w:sz w:val="16"/>
          <w:szCs w:val="16"/>
          <w:lang w:val="en-US"/>
        </w:rPr>
        <w:t>v.</w:t>
      </w:r>
      <w:r w:rsidRPr="00C9465D">
        <w:rPr>
          <w:rFonts w:ascii="Verdana" w:hAnsi="Verdana"/>
          <w:i/>
          <w:sz w:val="16"/>
          <w:szCs w:val="16"/>
          <w:lang w:val="en-US"/>
        </w:rPr>
        <w:t xml:space="preserve"> </w:t>
      </w:r>
      <w:r w:rsidR="00FA5261" w:rsidRPr="00C9465D">
        <w:rPr>
          <w:rFonts w:ascii="Verdana" w:hAnsi="Verdana"/>
          <w:i/>
          <w:sz w:val="16"/>
          <w:szCs w:val="16"/>
          <w:lang w:val="en-US"/>
        </w:rPr>
        <w:t>Brazil</w:t>
      </w:r>
      <w:r w:rsidRPr="00C9465D">
        <w:rPr>
          <w:rFonts w:ascii="Verdana" w:hAnsi="Verdana"/>
          <w:i/>
          <w:sz w:val="16"/>
          <w:szCs w:val="16"/>
          <w:lang w:val="en-US"/>
        </w:rPr>
        <w:t>, supra,</w:t>
      </w:r>
      <w:r w:rsidRPr="00C9465D">
        <w:rPr>
          <w:rFonts w:ascii="Verdana" w:hAnsi="Verdana"/>
          <w:sz w:val="16"/>
          <w:szCs w:val="16"/>
          <w:lang w:val="en-US"/>
        </w:rPr>
        <w:t xml:space="preserve"> </w:t>
      </w:r>
      <w:r w:rsidR="00D8466F" w:rsidRPr="00C9465D">
        <w:rPr>
          <w:rFonts w:ascii="Verdana" w:hAnsi="Verdana"/>
          <w:sz w:val="16"/>
          <w:szCs w:val="16"/>
          <w:lang w:val="en-US"/>
        </w:rPr>
        <w:t>para.</w:t>
      </w:r>
      <w:r w:rsidRPr="00C9465D">
        <w:rPr>
          <w:rFonts w:ascii="Verdana" w:hAnsi="Verdana"/>
          <w:sz w:val="16"/>
          <w:szCs w:val="16"/>
          <w:lang w:val="en-US"/>
        </w:rPr>
        <w:t xml:space="preserve"> 105,</w:t>
      </w:r>
      <w:r w:rsidR="00193CBB" w:rsidRPr="00C9465D">
        <w:rPr>
          <w:rFonts w:ascii="Verdana" w:hAnsi="Verdana"/>
          <w:sz w:val="16"/>
          <w:szCs w:val="16"/>
          <w:lang w:val="en-US"/>
        </w:rPr>
        <w:t xml:space="preserve"> and </w:t>
      </w:r>
      <w:r w:rsidR="00D8466F" w:rsidRPr="00C9465D">
        <w:rPr>
          <w:rFonts w:ascii="Verdana" w:hAnsi="Verdana"/>
          <w:i/>
          <w:sz w:val="16"/>
          <w:szCs w:val="16"/>
          <w:lang w:val="en-US"/>
        </w:rPr>
        <w:t>Case of</w:t>
      </w:r>
      <w:r w:rsidRPr="00C9465D">
        <w:rPr>
          <w:rFonts w:ascii="Verdana" w:hAnsi="Verdana"/>
          <w:i/>
          <w:sz w:val="16"/>
          <w:szCs w:val="16"/>
          <w:lang w:val="en-US"/>
        </w:rPr>
        <w:t xml:space="preserve"> Chinchilla Sandoval</w:t>
      </w:r>
      <w:r w:rsidR="00193CBB" w:rsidRPr="00C9465D">
        <w:rPr>
          <w:rFonts w:ascii="Verdana" w:hAnsi="Verdana"/>
          <w:i/>
          <w:sz w:val="16"/>
          <w:szCs w:val="16"/>
          <w:lang w:val="en-US"/>
        </w:rPr>
        <w:t xml:space="preserve"> </w:t>
      </w:r>
      <w:r w:rsidR="00D8466F" w:rsidRPr="00C9465D">
        <w:rPr>
          <w:rFonts w:ascii="Verdana" w:hAnsi="Verdana"/>
          <w:i/>
          <w:sz w:val="16"/>
          <w:szCs w:val="16"/>
          <w:lang w:val="en-US"/>
        </w:rPr>
        <w:t>et al. v.</w:t>
      </w:r>
      <w:r w:rsidRPr="00C9465D">
        <w:rPr>
          <w:rFonts w:ascii="Verdana" w:hAnsi="Verdana"/>
          <w:i/>
          <w:sz w:val="16"/>
          <w:szCs w:val="16"/>
          <w:lang w:val="en-US"/>
        </w:rPr>
        <w:t xml:space="preserve"> Guatemala</w:t>
      </w:r>
      <w:r w:rsidRPr="00C9465D">
        <w:rPr>
          <w:rFonts w:ascii="Verdana" w:hAnsi="Verdana"/>
          <w:sz w:val="16"/>
          <w:szCs w:val="16"/>
          <w:lang w:val="en-US"/>
        </w:rPr>
        <w:t xml:space="preserve">, </w:t>
      </w:r>
      <w:r w:rsidRPr="00C9465D">
        <w:rPr>
          <w:rFonts w:ascii="Verdana" w:hAnsi="Verdana"/>
          <w:i/>
          <w:sz w:val="16"/>
          <w:szCs w:val="16"/>
          <w:lang w:val="en-US"/>
        </w:rPr>
        <w:t>supra</w:t>
      </w:r>
      <w:r w:rsidRPr="00C9465D">
        <w:rPr>
          <w:rFonts w:ascii="Verdana" w:hAnsi="Verdana"/>
          <w:sz w:val="16"/>
          <w:szCs w:val="16"/>
          <w:lang w:val="en-US"/>
        </w:rPr>
        <w:t xml:space="preserve">, </w:t>
      </w:r>
      <w:r w:rsidR="00D8466F" w:rsidRPr="00C9465D">
        <w:rPr>
          <w:rFonts w:ascii="Verdana" w:hAnsi="Verdana"/>
          <w:sz w:val="16"/>
          <w:szCs w:val="16"/>
          <w:lang w:val="en-US"/>
        </w:rPr>
        <w:t>para.</w:t>
      </w:r>
      <w:r w:rsidRPr="00C9465D">
        <w:rPr>
          <w:rFonts w:ascii="Verdana" w:hAnsi="Verdana"/>
          <w:sz w:val="16"/>
          <w:szCs w:val="16"/>
          <w:lang w:val="en-US"/>
        </w:rPr>
        <w:t xml:space="preserve"> 44.</w:t>
      </w:r>
    </w:p>
  </w:footnote>
  <w:footnote w:id="163">
    <w:p w14:paraId="063BB0B5" w14:textId="44AD54DA"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B07FDE" w:rsidRPr="00C9465D">
        <w:rPr>
          <w:sz w:val="16"/>
          <w:szCs w:val="16"/>
          <w:lang w:val="en-US"/>
        </w:rPr>
        <w:t>Committee on Economic, Social and Cultural Rights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w:t>
      </w:r>
      <w:r w:rsidR="00B1525D" w:rsidRPr="00C9465D">
        <w:rPr>
          <w:sz w:val="16"/>
          <w:szCs w:val="16"/>
          <w:lang w:val="en-US"/>
        </w:rPr>
        <w:t>No.</w:t>
      </w:r>
      <w:r w:rsidRPr="00C9465D">
        <w:rPr>
          <w:sz w:val="16"/>
          <w:szCs w:val="16"/>
          <w:lang w:val="en-US"/>
        </w:rPr>
        <w:t xml:space="preserve"> 5: </w:t>
      </w:r>
      <w:r w:rsidR="00D85850" w:rsidRPr="00C9465D">
        <w:rPr>
          <w:sz w:val="16"/>
          <w:szCs w:val="16"/>
          <w:lang w:val="en-US"/>
        </w:rPr>
        <w:t>Persons with disabilities</w:t>
      </w:r>
      <w:r w:rsidRPr="00C9465D">
        <w:rPr>
          <w:sz w:val="16"/>
          <w:szCs w:val="16"/>
          <w:lang w:val="en-US"/>
        </w:rPr>
        <w:t xml:space="preserve">, E/1995/22, </w:t>
      </w:r>
      <w:r w:rsidR="00B07FDE" w:rsidRPr="00C9465D">
        <w:rPr>
          <w:sz w:val="16"/>
          <w:szCs w:val="16"/>
          <w:lang w:val="en-US"/>
        </w:rPr>
        <w:t>December 9,</w:t>
      </w:r>
      <w:r w:rsidRPr="00C9465D">
        <w:rPr>
          <w:sz w:val="16"/>
          <w:szCs w:val="16"/>
          <w:lang w:val="en-US"/>
        </w:rPr>
        <w:t xml:space="preserve"> 1994, </w:t>
      </w:r>
      <w:r w:rsidR="00D8466F" w:rsidRPr="00C9465D">
        <w:rPr>
          <w:sz w:val="16"/>
          <w:szCs w:val="16"/>
          <w:lang w:val="en-US"/>
        </w:rPr>
        <w:t>para.</w:t>
      </w:r>
      <w:r w:rsidRPr="00C9465D">
        <w:rPr>
          <w:sz w:val="16"/>
          <w:szCs w:val="16"/>
          <w:lang w:val="en-US"/>
        </w:rPr>
        <w:t xml:space="preserve"> 5.</w:t>
      </w:r>
    </w:p>
  </w:footnote>
  <w:footnote w:id="164">
    <w:p w14:paraId="2D732013" w14:textId="5685ECE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193CBB" w:rsidRPr="00C9465D">
        <w:rPr>
          <w:sz w:val="16"/>
          <w:szCs w:val="16"/>
          <w:lang w:val="en-US" w:eastAsia="x-none"/>
        </w:rPr>
        <w:t>Article</w:t>
      </w:r>
      <w:r w:rsidRPr="00C9465D">
        <w:rPr>
          <w:sz w:val="16"/>
          <w:szCs w:val="16"/>
          <w:lang w:val="en-US" w:eastAsia="x-none"/>
        </w:rPr>
        <w:t xml:space="preserve"> 2 </w:t>
      </w:r>
      <w:r w:rsidR="00B07FDE" w:rsidRPr="00C9465D">
        <w:rPr>
          <w:sz w:val="16"/>
          <w:szCs w:val="16"/>
          <w:lang w:val="en-US" w:eastAsia="x-none"/>
        </w:rPr>
        <w:t>of the CRPD</w:t>
      </w:r>
      <w:r w:rsidRPr="00C9465D">
        <w:rPr>
          <w:sz w:val="16"/>
          <w:szCs w:val="16"/>
          <w:lang w:val="en-US" w:eastAsia="x-none"/>
        </w:rPr>
        <w:t>.</w:t>
      </w:r>
    </w:p>
  </w:footnote>
  <w:footnote w:id="165">
    <w:p w14:paraId="7CB55730" w14:textId="292B8544" w:rsidR="00300482" w:rsidRPr="00C9465D" w:rsidRDefault="00300482" w:rsidP="00BD26CF">
      <w:pPr>
        <w:pStyle w:val="FootnoteText"/>
        <w:tabs>
          <w:tab w:val="left" w:pos="567"/>
        </w:tabs>
        <w:spacing w:after="120"/>
        <w:rPr>
          <w:b/>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561A0C" w:rsidRPr="00C9465D">
        <w:rPr>
          <w:sz w:val="16"/>
          <w:szCs w:val="16"/>
          <w:lang w:val="en-US"/>
        </w:rPr>
        <w:t>Constitution</w:t>
      </w:r>
      <w:r w:rsidR="00092D8C" w:rsidRPr="00C9465D">
        <w:rPr>
          <w:sz w:val="16"/>
          <w:szCs w:val="16"/>
          <w:lang w:val="en-US"/>
        </w:rPr>
        <w:t xml:space="preserve"> of the </w:t>
      </w:r>
      <w:r w:rsidR="00E2299F" w:rsidRPr="00C9465D">
        <w:rPr>
          <w:sz w:val="16"/>
          <w:szCs w:val="16"/>
          <w:lang w:val="en-US"/>
        </w:rPr>
        <w:t>Republic of</w:t>
      </w:r>
      <w:r w:rsidRPr="00C9465D">
        <w:rPr>
          <w:sz w:val="16"/>
          <w:szCs w:val="16"/>
          <w:lang w:val="en-US"/>
        </w:rPr>
        <w:t xml:space="preserve"> Ecuador, 1998, </w:t>
      </w:r>
      <w:r w:rsidR="00960FB5" w:rsidRPr="00C9465D">
        <w:rPr>
          <w:sz w:val="16"/>
          <w:szCs w:val="16"/>
          <w:lang w:val="en-US"/>
        </w:rPr>
        <w:t>a</w:t>
      </w:r>
      <w:r w:rsidR="00193CBB" w:rsidRPr="00C9465D">
        <w:rPr>
          <w:sz w:val="16"/>
          <w:szCs w:val="16"/>
          <w:lang w:val="en-US"/>
        </w:rPr>
        <w:t>rticle</w:t>
      </w:r>
      <w:r w:rsidRPr="00C9465D">
        <w:rPr>
          <w:sz w:val="16"/>
          <w:szCs w:val="16"/>
          <w:lang w:val="en-US"/>
        </w:rPr>
        <w:t xml:space="preserve"> 47 (</w:t>
      </w:r>
      <w:r w:rsidR="00153C9F" w:rsidRPr="00C9465D">
        <w:rPr>
          <w:sz w:val="16"/>
          <w:szCs w:val="16"/>
          <w:lang w:val="en-US"/>
        </w:rPr>
        <w:t>evidence file</w:t>
      </w:r>
      <w:r w:rsidRPr="00C9465D">
        <w:rPr>
          <w:sz w:val="16"/>
          <w:szCs w:val="16"/>
          <w:lang w:val="en-US"/>
        </w:rPr>
        <w:t>, folio 8800).</w:t>
      </w:r>
    </w:p>
  </w:footnote>
  <w:footnote w:id="166">
    <w:p w14:paraId="53DEBAF5" w14:textId="45302D60"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561A0C" w:rsidRPr="00C9465D">
        <w:rPr>
          <w:sz w:val="16"/>
          <w:szCs w:val="16"/>
          <w:lang w:val="en-US"/>
        </w:rPr>
        <w:t>Constitution</w:t>
      </w:r>
      <w:r w:rsidR="00092D8C" w:rsidRPr="00C9465D">
        <w:rPr>
          <w:sz w:val="16"/>
          <w:szCs w:val="16"/>
          <w:lang w:val="en-US"/>
        </w:rPr>
        <w:t xml:space="preserve"> of the </w:t>
      </w:r>
      <w:r w:rsidR="00E2299F" w:rsidRPr="00C9465D">
        <w:rPr>
          <w:sz w:val="16"/>
          <w:szCs w:val="16"/>
          <w:lang w:val="en-US"/>
        </w:rPr>
        <w:t>Republic of</w:t>
      </w:r>
      <w:r w:rsidRPr="00C9465D">
        <w:rPr>
          <w:sz w:val="16"/>
          <w:szCs w:val="16"/>
          <w:lang w:val="en-US"/>
        </w:rPr>
        <w:t xml:space="preserve"> Ecuador, 1998, </w:t>
      </w:r>
      <w:r w:rsidR="00DD2D29" w:rsidRPr="00C9465D">
        <w:rPr>
          <w:sz w:val="16"/>
          <w:szCs w:val="16"/>
          <w:lang w:val="en-US"/>
        </w:rPr>
        <w:t>a</w:t>
      </w:r>
      <w:r w:rsidR="00193CBB" w:rsidRPr="00C9465D">
        <w:rPr>
          <w:sz w:val="16"/>
          <w:szCs w:val="16"/>
          <w:lang w:val="en-US"/>
        </w:rPr>
        <w:t>rticle</w:t>
      </w:r>
      <w:r w:rsidRPr="00C9465D">
        <w:rPr>
          <w:sz w:val="16"/>
          <w:szCs w:val="16"/>
          <w:lang w:val="en-US"/>
        </w:rPr>
        <w:t xml:space="preserve"> 53 (</w:t>
      </w:r>
      <w:r w:rsidR="00153C9F" w:rsidRPr="00C9465D">
        <w:rPr>
          <w:sz w:val="16"/>
          <w:szCs w:val="16"/>
          <w:lang w:val="en-US"/>
        </w:rPr>
        <w:t>evidence file</w:t>
      </w:r>
      <w:r w:rsidRPr="00C9465D">
        <w:rPr>
          <w:sz w:val="16"/>
          <w:szCs w:val="16"/>
          <w:lang w:val="en-US"/>
        </w:rPr>
        <w:t>, folio 8801),</w:t>
      </w:r>
      <w:r w:rsidR="00193CBB" w:rsidRPr="00C9465D">
        <w:rPr>
          <w:sz w:val="16"/>
          <w:szCs w:val="16"/>
          <w:lang w:val="en-US"/>
        </w:rPr>
        <w:t xml:space="preserve"> and </w:t>
      </w:r>
      <w:r w:rsidR="00561A0C" w:rsidRPr="00C9465D">
        <w:rPr>
          <w:sz w:val="16"/>
          <w:szCs w:val="16"/>
          <w:lang w:val="en-US"/>
        </w:rPr>
        <w:t>Constitution</w:t>
      </w:r>
      <w:r w:rsidR="00092D8C" w:rsidRPr="00C9465D">
        <w:rPr>
          <w:sz w:val="16"/>
          <w:szCs w:val="16"/>
          <w:lang w:val="en-US"/>
        </w:rPr>
        <w:t xml:space="preserve"> of the </w:t>
      </w:r>
      <w:r w:rsidR="00E2299F" w:rsidRPr="00C9465D">
        <w:rPr>
          <w:sz w:val="16"/>
          <w:szCs w:val="16"/>
          <w:lang w:val="en-US"/>
        </w:rPr>
        <w:t>Republic of</w:t>
      </w:r>
      <w:r w:rsidRPr="00C9465D">
        <w:rPr>
          <w:sz w:val="16"/>
          <w:szCs w:val="16"/>
          <w:lang w:val="en-US"/>
        </w:rPr>
        <w:t xml:space="preserve"> Ecuador, 2008, </w:t>
      </w:r>
      <w:r w:rsidR="00DD2D29" w:rsidRPr="00C9465D">
        <w:rPr>
          <w:sz w:val="16"/>
          <w:szCs w:val="16"/>
          <w:lang w:val="en-US"/>
        </w:rPr>
        <w:t>a</w:t>
      </w:r>
      <w:r w:rsidR="00193CBB" w:rsidRPr="00C9465D">
        <w:rPr>
          <w:sz w:val="16"/>
          <w:szCs w:val="16"/>
          <w:lang w:val="en-US"/>
        </w:rPr>
        <w:t>rticle</w:t>
      </w:r>
      <w:r w:rsidRPr="00C9465D">
        <w:rPr>
          <w:sz w:val="16"/>
          <w:szCs w:val="16"/>
          <w:lang w:val="en-US"/>
        </w:rPr>
        <w:t xml:space="preserve"> 47 (</w:t>
      </w:r>
      <w:r w:rsidR="00153C9F" w:rsidRPr="00C9465D">
        <w:rPr>
          <w:sz w:val="16"/>
          <w:szCs w:val="16"/>
          <w:lang w:val="en-US"/>
        </w:rPr>
        <w:t>evidence file</w:t>
      </w:r>
      <w:r w:rsidRPr="00C9465D">
        <w:rPr>
          <w:sz w:val="16"/>
          <w:szCs w:val="16"/>
          <w:lang w:val="en-US"/>
        </w:rPr>
        <w:t>, folio 8876).</w:t>
      </w:r>
    </w:p>
  </w:footnote>
  <w:footnote w:id="167">
    <w:p w14:paraId="70DCF1B3" w14:textId="7E5D4EBA"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Ximenes Lopes </w:t>
      </w:r>
      <w:r w:rsidR="00193CBB" w:rsidRPr="00C9465D">
        <w:rPr>
          <w:i/>
          <w:sz w:val="16"/>
          <w:szCs w:val="16"/>
          <w:lang w:val="en-US"/>
        </w:rPr>
        <w:t>v.</w:t>
      </w:r>
      <w:r w:rsidRPr="00C9465D">
        <w:rPr>
          <w:i/>
          <w:sz w:val="16"/>
          <w:szCs w:val="16"/>
          <w:lang w:val="en-US"/>
        </w:rPr>
        <w:t xml:space="preserve"> </w:t>
      </w:r>
      <w:r w:rsidR="00FA5261" w:rsidRPr="00C9465D">
        <w:rPr>
          <w:i/>
          <w:sz w:val="16"/>
          <w:szCs w:val="16"/>
          <w:lang w:val="en-US"/>
        </w:rPr>
        <w:t>Brazil</w:t>
      </w:r>
      <w:r w:rsidRPr="00C9465D">
        <w:rPr>
          <w:i/>
          <w:sz w:val="16"/>
          <w:szCs w:val="16"/>
          <w:lang w:val="en-US"/>
        </w:rPr>
        <w:t>,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107.</w:t>
      </w:r>
    </w:p>
  </w:footnote>
  <w:footnote w:id="168">
    <w:p w14:paraId="7BFFE80A" w14:textId="55B96177"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Ximenes Lopes </w:t>
      </w:r>
      <w:r w:rsidR="00193CBB" w:rsidRPr="00C9465D">
        <w:rPr>
          <w:i/>
          <w:sz w:val="16"/>
          <w:szCs w:val="16"/>
          <w:lang w:val="en-US"/>
        </w:rPr>
        <w:t>v.</w:t>
      </w:r>
      <w:r w:rsidRPr="00C9465D">
        <w:rPr>
          <w:i/>
          <w:sz w:val="16"/>
          <w:szCs w:val="16"/>
          <w:lang w:val="en-US"/>
        </w:rPr>
        <w:t xml:space="preserve"> </w:t>
      </w:r>
      <w:r w:rsidR="00FA5261" w:rsidRPr="00C9465D">
        <w:rPr>
          <w:i/>
          <w:sz w:val="16"/>
          <w:szCs w:val="16"/>
          <w:lang w:val="en-US"/>
        </w:rPr>
        <w:t>Brazil</w:t>
      </w:r>
      <w:r w:rsidRPr="00C9465D">
        <w:rPr>
          <w:i/>
          <w:sz w:val="16"/>
          <w:szCs w:val="16"/>
          <w:lang w:val="en-US"/>
        </w:rPr>
        <w:t>,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108.</w:t>
      </w:r>
    </w:p>
  </w:footnote>
  <w:footnote w:id="169">
    <w:p w14:paraId="54175123" w14:textId="3FA0648B"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rStyle w:val="FootnoteReference"/>
          <w:sz w:val="16"/>
          <w:szCs w:val="16"/>
          <w:lang w:val="en-US"/>
        </w:rPr>
        <w:tab/>
      </w:r>
      <w:r w:rsidR="00E2299F" w:rsidRPr="00C9465D">
        <w:rPr>
          <w:rStyle w:val="FootnoteReference"/>
          <w:i/>
          <w:sz w:val="16"/>
          <w:szCs w:val="16"/>
          <w:vertAlign w:val="baseline"/>
          <w:lang w:val="en-US"/>
        </w:rPr>
        <w:t>Cf.</w:t>
      </w:r>
      <w:r w:rsidRPr="00C9465D">
        <w:rPr>
          <w:rStyle w:val="FootnoteReference"/>
          <w:sz w:val="16"/>
          <w:szCs w:val="16"/>
          <w:vertAlign w:val="baseline"/>
          <w:lang w:val="en-US"/>
        </w:rPr>
        <w:t xml:space="preserve"> </w:t>
      </w:r>
      <w:r w:rsidR="00D8209E" w:rsidRPr="00C9465D">
        <w:rPr>
          <w:sz w:val="16"/>
          <w:szCs w:val="16"/>
          <w:lang w:val="en-US"/>
        </w:rPr>
        <w:t xml:space="preserve">Social Environmental Assessment of November 10, </w:t>
      </w:r>
      <w:r w:rsidRPr="00C9465D">
        <w:rPr>
          <w:rStyle w:val="FootnoteReference"/>
          <w:sz w:val="16"/>
          <w:szCs w:val="16"/>
          <w:vertAlign w:val="baseline"/>
          <w:lang w:val="en-US"/>
        </w:rPr>
        <w:t>2014 (</w:t>
      </w:r>
      <w:r w:rsidR="00153C9F" w:rsidRPr="00C9465D">
        <w:rPr>
          <w:rStyle w:val="FootnoteReference"/>
          <w:sz w:val="16"/>
          <w:szCs w:val="16"/>
          <w:vertAlign w:val="baseline"/>
          <w:lang w:val="en-US"/>
        </w:rPr>
        <w:t>evidence file</w:t>
      </w:r>
      <w:r w:rsidRPr="00C9465D">
        <w:rPr>
          <w:rStyle w:val="FootnoteReference"/>
          <w:sz w:val="16"/>
          <w:szCs w:val="16"/>
          <w:vertAlign w:val="baseline"/>
          <w:lang w:val="en-US"/>
        </w:rPr>
        <w:t xml:space="preserve">, folio </w:t>
      </w:r>
      <w:r w:rsidRPr="00C9465D">
        <w:rPr>
          <w:sz w:val="16"/>
          <w:szCs w:val="16"/>
          <w:lang w:val="en-US"/>
        </w:rPr>
        <w:t>4333</w:t>
      </w:r>
      <w:r w:rsidRPr="00C9465D">
        <w:rPr>
          <w:rStyle w:val="FootnoteReference"/>
          <w:sz w:val="16"/>
          <w:szCs w:val="16"/>
          <w:vertAlign w:val="baseline"/>
          <w:lang w:val="en-US"/>
        </w:rPr>
        <w:t>).</w:t>
      </w:r>
    </w:p>
  </w:footnote>
  <w:footnote w:id="170">
    <w:p w14:paraId="4041B24E" w14:textId="10D737FE"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eastAsia="x-none"/>
        </w:rPr>
        <w:t>Cf.</w:t>
      </w:r>
      <w:r w:rsidRPr="00C9465D">
        <w:rPr>
          <w:i/>
          <w:sz w:val="16"/>
          <w:szCs w:val="16"/>
          <w:lang w:val="en-US" w:eastAsia="x-none"/>
        </w:rPr>
        <w:t xml:space="preserve"> </w:t>
      </w:r>
      <w:r w:rsidR="00D8466F" w:rsidRPr="00C9465D">
        <w:rPr>
          <w:i/>
          <w:sz w:val="16"/>
          <w:szCs w:val="16"/>
          <w:lang w:val="en-US"/>
        </w:rPr>
        <w:t>Case of</w:t>
      </w:r>
      <w:r w:rsidRPr="00C9465D">
        <w:rPr>
          <w:i/>
          <w:sz w:val="16"/>
          <w:szCs w:val="16"/>
          <w:lang w:val="en-US"/>
        </w:rPr>
        <w:t xml:space="preserve"> Ximenes Lopes </w:t>
      </w:r>
      <w:r w:rsidR="00193CBB" w:rsidRPr="00C9465D">
        <w:rPr>
          <w:i/>
          <w:sz w:val="16"/>
          <w:szCs w:val="16"/>
          <w:lang w:val="en-US"/>
        </w:rPr>
        <w:t>v.</w:t>
      </w:r>
      <w:r w:rsidRPr="00C9465D">
        <w:rPr>
          <w:i/>
          <w:sz w:val="16"/>
          <w:szCs w:val="16"/>
          <w:lang w:val="en-US"/>
        </w:rPr>
        <w:t xml:space="preserve"> </w:t>
      </w:r>
      <w:r w:rsidR="00FA5261" w:rsidRPr="00C9465D">
        <w:rPr>
          <w:i/>
          <w:sz w:val="16"/>
          <w:szCs w:val="16"/>
          <w:lang w:val="en-US"/>
        </w:rPr>
        <w:t>Brazil</w:t>
      </w:r>
      <w:r w:rsidRPr="00C9465D">
        <w:rPr>
          <w:i/>
          <w:sz w:val="16"/>
          <w:szCs w:val="16"/>
          <w:lang w:val="en-US"/>
        </w:rPr>
        <w:t>, supra,</w:t>
      </w:r>
      <w:r w:rsidRPr="00C9465D">
        <w:rPr>
          <w:sz w:val="16"/>
          <w:szCs w:val="16"/>
          <w:lang w:val="en-US"/>
        </w:rPr>
        <w:t xml:space="preserve"> </w:t>
      </w:r>
      <w:r w:rsidR="00D8466F" w:rsidRPr="00C9465D">
        <w:rPr>
          <w:sz w:val="16"/>
          <w:szCs w:val="16"/>
          <w:lang w:val="en-US"/>
        </w:rPr>
        <w:t>para.</w:t>
      </w:r>
      <w:r w:rsidRPr="00C9465D">
        <w:rPr>
          <w:sz w:val="16"/>
          <w:szCs w:val="16"/>
          <w:lang w:val="en-US" w:eastAsia="x-none"/>
        </w:rPr>
        <w:t xml:space="preserve"> 104.</w:t>
      </w:r>
    </w:p>
  </w:footnote>
  <w:footnote w:id="171">
    <w:p w14:paraId="42C459F7" w14:textId="33BD1632"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193CBB" w:rsidRPr="00C9465D">
        <w:rPr>
          <w:sz w:val="16"/>
          <w:szCs w:val="16"/>
          <w:lang w:val="en-US"/>
        </w:rPr>
        <w:t>Article</w:t>
      </w:r>
      <w:r w:rsidRPr="00C9465D">
        <w:rPr>
          <w:sz w:val="16"/>
          <w:szCs w:val="16"/>
          <w:lang w:val="en-US"/>
        </w:rPr>
        <w:t xml:space="preserve"> 3</w:t>
      </w:r>
      <w:r w:rsidR="00193CBB" w:rsidRPr="00C9465D">
        <w:rPr>
          <w:sz w:val="16"/>
          <w:szCs w:val="16"/>
          <w:lang w:val="en-US"/>
        </w:rPr>
        <w:t xml:space="preserve"> of the Convention</w:t>
      </w:r>
      <w:r w:rsidRPr="00C9465D">
        <w:rPr>
          <w:sz w:val="16"/>
          <w:szCs w:val="16"/>
          <w:lang w:val="en-US"/>
        </w:rPr>
        <w:t>.</w:t>
      </w:r>
    </w:p>
  </w:footnote>
  <w:footnote w:id="172">
    <w:p w14:paraId="1A4FD135" w14:textId="19187755"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193CBB" w:rsidRPr="00C9465D">
        <w:rPr>
          <w:sz w:val="16"/>
          <w:szCs w:val="16"/>
          <w:lang w:val="en-US"/>
        </w:rPr>
        <w:t>Article</w:t>
      </w:r>
      <w:r w:rsidRPr="00C9465D">
        <w:rPr>
          <w:sz w:val="16"/>
          <w:szCs w:val="16"/>
          <w:lang w:val="en-US"/>
        </w:rPr>
        <w:t xml:space="preserve"> 4</w:t>
      </w:r>
      <w:r w:rsidR="00193CBB" w:rsidRPr="00C9465D">
        <w:rPr>
          <w:sz w:val="16"/>
          <w:szCs w:val="16"/>
          <w:lang w:val="en-US"/>
        </w:rPr>
        <w:t xml:space="preserve"> of the Convention</w:t>
      </w:r>
      <w:r w:rsidRPr="00C9465D">
        <w:rPr>
          <w:sz w:val="16"/>
          <w:szCs w:val="16"/>
          <w:lang w:val="en-US"/>
        </w:rPr>
        <w:t>.</w:t>
      </w:r>
    </w:p>
  </w:footnote>
  <w:footnote w:id="173">
    <w:p w14:paraId="66ED2105" w14:textId="47648F98"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193CBB" w:rsidRPr="00C9465D">
        <w:rPr>
          <w:sz w:val="16"/>
          <w:szCs w:val="16"/>
          <w:lang w:val="en-US"/>
        </w:rPr>
        <w:t>Article</w:t>
      </w:r>
      <w:r w:rsidRPr="00C9465D">
        <w:rPr>
          <w:sz w:val="16"/>
          <w:szCs w:val="16"/>
          <w:lang w:val="en-US"/>
        </w:rPr>
        <w:t xml:space="preserve"> 5</w:t>
      </w:r>
      <w:r w:rsidR="00193CBB" w:rsidRPr="00C9465D">
        <w:rPr>
          <w:sz w:val="16"/>
          <w:szCs w:val="16"/>
          <w:lang w:val="en-US"/>
        </w:rPr>
        <w:t xml:space="preserve"> of the Convention</w:t>
      </w:r>
      <w:r w:rsidRPr="00C9465D">
        <w:rPr>
          <w:sz w:val="16"/>
          <w:szCs w:val="16"/>
          <w:lang w:val="en-US"/>
        </w:rPr>
        <w:t>.</w:t>
      </w:r>
    </w:p>
  </w:footnote>
  <w:footnote w:id="174">
    <w:p w14:paraId="0FFE7E0E" w14:textId="3AD8B2DE"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193CBB" w:rsidRPr="00C9465D">
        <w:rPr>
          <w:sz w:val="16"/>
          <w:szCs w:val="16"/>
          <w:lang w:val="en-US"/>
        </w:rPr>
        <w:t>Article</w:t>
      </w:r>
      <w:r w:rsidRPr="00C9465D">
        <w:rPr>
          <w:sz w:val="16"/>
          <w:szCs w:val="16"/>
          <w:lang w:val="en-US"/>
        </w:rPr>
        <w:t xml:space="preserve"> 7</w:t>
      </w:r>
      <w:r w:rsidR="00193CBB" w:rsidRPr="00C9465D">
        <w:rPr>
          <w:sz w:val="16"/>
          <w:szCs w:val="16"/>
          <w:lang w:val="en-US"/>
        </w:rPr>
        <w:t xml:space="preserve"> of the Convention</w:t>
      </w:r>
      <w:r w:rsidRPr="00C9465D">
        <w:rPr>
          <w:sz w:val="16"/>
          <w:szCs w:val="16"/>
          <w:lang w:val="en-US"/>
        </w:rPr>
        <w:t>.</w:t>
      </w:r>
    </w:p>
  </w:footnote>
  <w:footnote w:id="175">
    <w:p w14:paraId="319A3243" w14:textId="4F21C942"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193CBB" w:rsidRPr="00C9465D">
        <w:rPr>
          <w:sz w:val="16"/>
          <w:szCs w:val="16"/>
          <w:lang w:val="en-US"/>
        </w:rPr>
        <w:t>Article</w:t>
      </w:r>
      <w:r w:rsidRPr="00C9465D">
        <w:rPr>
          <w:sz w:val="16"/>
          <w:szCs w:val="16"/>
          <w:lang w:val="en-US"/>
        </w:rPr>
        <w:t xml:space="preserve"> 11</w:t>
      </w:r>
      <w:r w:rsidR="00193CBB" w:rsidRPr="00C9465D">
        <w:rPr>
          <w:sz w:val="16"/>
          <w:szCs w:val="16"/>
          <w:lang w:val="en-US"/>
        </w:rPr>
        <w:t xml:space="preserve"> of the Convention</w:t>
      </w:r>
      <w:r w:rsidRPr="00C9465D">
        <w:rPr>
          <w:sz w:val="16"/>
          <w:szCs w:val="16"/>
          <w:lang w:val="en-US"/>
        </w:rPr>
        <w:t>.</w:t>
      </w:r>
    </w:p>
  </w:footnote>
  <w:footnote w:id="176">
    <w:p w14:paraId="01B76985" w14:textId="5AF2EE6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193CBB" w:rsidRPr="00C9465D">
        <w:rPr>
          <w:sz w:val="16"/>
          <w:szCs w:val="16"/>
          <w:lang w:val="en-US"/>
        </w:rPr>
        <w:t>Article</w:t>
      </w:r>
      <w:r w:rsidRPr="00C9465D">
        <w:rPr>
          <w:sz w:val="16"/>
          <w:szCs w:val="16"/>
          <w:lang w:val="en-US"/>
        </w:rPr>
        <w:t xml:space="preserve"> 13</w:t>
      </w:r>
      <w:r w:rsidR="00193CBB" w:rsidRPr="00C9465D">
        <w:rPr>
          <w:sz w:val="16"/>
          <w:szCs w:val="16"/>
          <w:lang w:val="en-US"/>
        </w:rPr>
        <w:t xml:space="preserve"> of the Convention</w:t>
      </w:r>
      <w:r w:rsidRPr="00C9465D">
        <w:rPr>
          <w:sz w:val="16"/>
          <w:szCs w:val="16"/>
          <w:lang w:val="en-US"/>
        </w:rPr>
        <w:t>.</w:t>
      </w:r>
    </w:p>
  </w:footnote>
  <w:footnote w:id="177">
    <w:p w14:paraId="5D84032B" w14:textId="06E09754"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193CBB" w:rsidRPr="00C9465D">
        <w:rPr>
          <w:sz w:val="16"/>
          <w:szCs w:val="16"/>
          <w:lang w:val="en-US"/>
        </w:rPr>
        <w:t>Article</w:t>
      </w:r>
      <w:r w:rsidRPr="00C9465D">
        <w:rPr>
          <w:sz w:val="16"/>
          <w:szCs w:val="16"/>
          <w:lang w:val="en-US"/>
        </w:rPr>
        <w:t xml:space="preserve"> 26</w:t>
      </w:r>
      <w:r w:rsidR="00193CBB" w:rsidRPr="00C9465D">
        <w:rPr>
          <w:sz w:val="16"/>
          <w:szCs w:val="16"/>
          <w:lang w:val="en-US"/>
        </w:rPr>
        <w:t xml:space="preserve"> of the Convention</w:t>
      </w:r>
      <w:r w:rsidRPr="00C9465D">
        <w:rPr>
          <w:sz w:val="16"/>
          <w:szCs w:val="16"/>
          <w:lang w:val="en-US"/>
        </w:rPr>
        <w:t>.</w:t>
      </w:r>
    </w:p>
  </w:footnote>
  <w:footnote w:id="178">
    <w:p w14:paraId="76838BC9" w14:textId="5ECEDECE"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577DE0" w:rsidRPr="00C9465D">
        <w:rPr>
          <w:sz w:val="16"/>
          <w:szCs w:val="16"/>
          <w:lang w:val="en-US"/>
        </w:rPr>
        <w:t>Article 1(1)</w:t>
      </w:r>
      <w:r w:rsidR="00193CBB" w:rsidRPr="00C9465D">
        <w:rPr>
          <w:sz w:val="16"/>
          <w:szCs w:val="16"/>
          <w:lang w:val="en-US"/>
        </w:rPr>
        <w:t xml:space="preserve"> of the Convention</w:t>
      </w:r>
      <w:r w:rsidRPr="00C9465D">
        <w:rPr>
          <w:sz w:val="16"/>
          <w:szCs w:val="16"/>
          <w:lang w:val="en-US"/>
        </w:rPr>
        <w:t>.</w:t>
      </w:r>
    </w:p>
  </w:footnote>
  <w:footnote w:id="179">
    <w:p w14:paraId="6BF9CA95" w14:textId="5A9F05EE"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193CBB" w:rsidRPr="00C9465D">
        <w:rPr>
          <w:sz w:val="16"/>
          <w:szCs w:val="16"/>
          <w:lang w:val="en-US"/>
        </w:rPr>
        <w:t>Article</w:t>
      </w:r>
      <w:r w:rsidRPr="00C9465D">
        <w:rPr>
          <w:sz w:val="16"/>
          <w:szCs w:val="16"/>
          <w:lang w:val="en-US"/>
        </w:rPr>
        <w:t xml:space="preserve"> 2</w:t>
      </w:r>
      <w:r w:rsidR="00193CBB" w:rsidRPr="00C9465D">
        <w:rPr>
          <w:sz w:val="16"/>
          <w:szCs w:val="16"/>
          <w:lang w:val="en-US"/>
        </w:rPr>
        <w:t xml:space="preserve"> of the Convention</w:t>
      </w:r>
      <w:r w:rsidRPr="00C9465D">
        <w:rPr>
          <w:sz w:val="16"/>
          <w:szCs w:val="16"/>
          <w:lang w:val="en-US"/>
        </w:rPr>
        <w:t>.</w:t>
      </w:r>
    </w:p>
  </w:footnote>
  <w:footnote w:id="180">
    <w:p w14:paraId="0DD8609E" w14:textId="0E76E752" w:rsidR="00300482" w:rsidRPr="00C9465D" w:rsidRDefault="00300482" w:rsidP="00BD26CF">
      <w:pPr>
        <w:pStyle w:val="Default"/>
        <w:spacing w:after="120"/>
        <w:jc w:val="both"/>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193CBB" w:rsidRPr="00C9465D">
        <w:rPr>
          <w:sz w:val="16"/>
          <w:szCs w:val="16"/>
          <w:lang w:val="en-US"/>
        </w:rPr>
        <w:t>Article</w:t>
      </w:r>
      <w:r w:rsidRPr="00C9465D">
        <w:rPr>
          <w:sz w:val="16"/>
          <w:szCs w:val="16"/>
          <w:lang w:val="en-US"/>
        </w:rPr>
        <w:t xml:space="preserve"> </w:t>
      </w:r>
      <w:r w:rsidR="00260D95" w:rsidRPr="00C9465D">
        <w:rPr>
          <w:sz w:val="16"/>
          <w:szCs w:val="16"/>
          <w:lang w:val="en-US"/>
        </w:rPr>
        <w:t>34(i) of the OAS Charter</w:t>
      </w:r>
      <w:r w:rsidRPr="00C9465D">
        <w:rPr>
          <w:sz w:val="16"/>
          <w:szCs w:val="16"/>
          <w:lang w:val="en-US"/>
        </w:rPr>
        <w:t xml:space="preserve"> establ</w:t>
      </w:r>
      <w:r w:rsidR="00260D95" w:rsidRPr="00C9465D">
        <w:rPr>
          <w:sz w:val="16"/>
          <w:szCs w:val="16"/>
          <w:lang w:val="en-US"/>
        </w:rPr>
        <w:t>ishes</w:t>
      </w:r>
      <w:r w:rsidRPr="00C9465D">
        <w:rPr>
          <w:sz w:val="16"/>
          <w:szCs w:val="16"/>
          <w:lang w:val="en-US"/>
        </w:rPr>
        <w:t>: “</w:t>
      </w:r>
      <w:r w:rsidR="00C445B4" w:rsidRPr="00C9465D">
        <w:rPr>
          <w:sz w:val="16"/>
          <w:szCs w:val="16"/>
          <w:lang w:val="en-US"/>
        </w:rPr>
        <w:t xml:space="preserve">Member States agree that equality of opportunity, the elimination of extreme poverty, equitable distribution of wealth and income and the full participation of their peoples in decisions relating to their own development are, among others, basic objectives of integral development. To achieve them, they likewise agree to devote their utmost efforts to accomplishing the following basic goals: </w:t>
      </w:r>
      <w:r w:rsidR="00520411" w:rsidRPr="00C9465D">
        <w:rPr>
          <w:sz w:val="16"/>
          <w:szCs w:val="16"/>
          <w:lang w:val="en-US"/>
        </w:rPr>
        <w:t>[…]</w:t>
      </w:r>
      <w:r w:rsidR="00C445B4" w:rsidRPr="00C9465D">
        <w:rPr>
          <w:sz w:val="16"/>
          <w:szCs w:val="16"/>
          <w:lang w:val="en-US"/>
        </w:rPr>
        <w:t xml:space="preserve"> (i) Protection of man's potential through the extension and application of modern medical science.”</w:t>
      </w:r>
    </w:p>
  </w:footnote>
  <w:footnote w:id="181">
    <w:p w14:paraId="40FF52C9" w14:textId="2856EB14" w:rsidR="00300482" w:rsidRPr="00C9465D" w:rsidRDefault="00300482" w:rsidP="00BD26CF">
      <w:pPr>
        <w:spacing w:after="120" w:line="240" w:lineRule="auto"/>
        <w:jc w:val="both"/>
        <w:rPr>
          <w:rFonts w:ascii="Verdana" w:hAnsi="Verdana"/>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r>
      <w:r w:rsidR="00193CBB" w:rsidRPr="00C9465D">
        <w:rPr>
          <w:rFonts w:ascii="Verdana" w:hAnsi="Verdana"/>
          <w:sz w:val="16"/>
          <w:szCs w:val="16"/>
          <w:lang w:val="en-US"/>
        </w:rPr>
        <w:t>Article</w:t>
      </w:r>
      <w:r w:rsidRPr="00C9465D">
        <w:rPr>
          <w:rFonts w:ascii="Verdana" w:hAnsi="Verdana"/>
          <w:sz w:val="16"/>
          <w:szCs w:val="16"/>
          <w:lang w:val="en-US"/>
        </w:rPr>
        <w:t xml:space="preserve"> </w:t>
      </w:r>
      <w:r w:rsidR="00260D95" w:rsidRPr="00C9465D">
        <w:rPr>
          <w:rFonts w:ascii="Verdana" w:hAnsi="Verdana"/>
          <w:sz w:val="16"/>
          <w:szCs w:val="16"/>
          <w:lang w:val="en-US"/>
        </w:rPr>
        <w:t>34(l) of the OAS Charter</w:t>
      </w:r>
      <w:r w:rsidRPr="00C9465D">
        <w:rPr>
          <w:rFonts w:ascii="Verdana" w:hAnsi="Verdana"/>
          <w:sz w:val="16"/>
          <w:szCs w:val="16"/>
          <w:lang w:val="en-US"/>
        </w:rPr>
        <w:t xml:space="preserve"> </w:t>
      </w:r>
      <w:r w:rsidR="00260D95" w:rsidRPr="00C9465D">
        <w:rPr>
          <w:rFonts w:ascii="Verdana" w:hAnsi="Verdana"/>
          <w:sz w:val="16"/>
          <w:szCs w:val="16"/>
          <w:lang w:val="en-US"/>
        </w:rPr>
        <w:t>establishes</w:t>
      </w:r>
      <w:r w:rsidRPr="00C9465D">
        <w:rPr>
          <w:rFonts w:ascii="Verdana" w:hAnsi="Verdana"/>
          <w:sz w:val="16"/>
          <w:szCs w:val="16"/>
          <w:lang w:val="en-US"/>
        </w:rPr>
        <w:t>: “</w:t>
      </w:r>
      <w:r w:rsidR="00C445B4" w:rsidRPr="00C9465D">
        <w:rPr>
          <w:rFonts w:ascii="Verdana" w:hAnsi="Verdana"/>
          <w:sz w:val="16"/>
          <w:szCs w:val="16"/>
          <w:lang w:val="en-US"/>
        </w:rPr>
        <w:t xml:space="preserve">Member States agree that equality of opportunity, the elimination of extreme poverty, equitable distribution of wealth and income and the full participation of their peoples in decisions relating to their own development are, among others, basic objectives of integral development. To achieve them, they likewise agree to devote their utmost efforts to accomplishing the following basic goals: </w:t>
      </w:r>
      <w:r w:rsidR="00520411" w:rsidRPr="00C9465D">
        <w:rPr>
          <w:rFonts w:ascii="Verdana" w:hAnsi="Verdana"/>
          <w:sz w:val="16"/>
          <w:szCs w:val="16"/>
          <w:lang w:val="en-US"/>
        </w:rPr>
        <w:t>[…]</w:t>
      </w:r>
      <w:r w:rsidR="00C445B4" w:rsidRPr="00C9465D">
        <w:rPr>
          <w:rFonts w:ascii="Verdana" w:hAnsi="Verdana"/>
          <w:sz w:val="16"/>
          <w:szCs w:val="16"/>
          <w:lang w:val="en-US"/>
        </w:rPr>
        <w:t xml:space="preserve"> (</w:t>
      </w:r>
      <w:r w:rsidRPr="00C9465D">
        <w:rPr>
          <w:rFonts w:ascii="Verdana" w:hAnsi="Verdana"/>
          <w:sz w:val="16"/>
          <w:szCs w:val="16"/>
          <w:lang w:val="en-US"/>
        </w:rPr>
        <w:t>l)</w:t>
      </w:r>
      <w:r w:rsidR="00C445B4" w:rsidRPr="00C9465D">
        <w:rPr>
          <w:rFonts w:ascii="Verdana" w:hAnsi="Verdana"/>
          <w:sz w:val="16"/>
          <w:szCs w:val="16"/>
          <w:lang w:val="en-US"/>
        </w:rPr>
        <w:t xml:space="preserve"> Urban conditions that offer the opportunity for a healthful, productive, and full life;</w:t>
      </w:r>
    </w:p>
  </w:footnote>
  <w:footnote w:id="182">
    <w:p w14:paraId="1E17BB25" w14:textId="76BACCFF" w:rsidR="00300482" w:rsidRPr="00C9465D" w:rsidRDefault="00300482" w:rsidP="00BD26CF">
      <w:pPr>
        <w:spacing w:after="120" w:line="240" w:lineRule="auto"/>
        <w:jc w:val="both"/>
        <w:rPr>
          <w:rFonts w:ascii="Verdana" w:hAnsi="Verdana"/>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r>
      <w:r w:rsidR="00834FCC" w:rsidRPr="00C9465D">
        <w:rPr>
          <w:rFonts w:ascii="Verdana" w:hAnsi="Verdana"/>
          <w:sz w:val="16"/>
          <w:szCs w:val="16"/>
          <w:lang w:val="en-US"/>
        </w:rPr>
        <w:t>Article</w:t>
      </w:r>
      <w:r w:rsidRPr="00C9465D">
        <w:rPr>
          <w:rFonts w:ascii="Verdana" w:hAnsi="Verdana"/>
          <w:sz w:val="16"/>
          <w:szCs w:val="16"/>
          <w:lang w:val="en-US"/>
        </w:rPr>
        <w:t xml:space="preserve"> </w:t>
      </w:r>
      <w:r w:rsidR="00260D95" w:rsidRPr="00C9465D">
        <w:rPr>
          <w:rFonts w:ascii="Verdana" w:hAnsi="Verdana"/>
          <w:sz w:val="16"/>
          <w:szCs w:val="16"/>
          <w:lang w:val="en-US"/>
        </w:rPr>
        <w:t>45(h) of the OAS Charter</w:t>
      </w:r>
      <w:r w:rsidRPr="00C9465D">
        <w:rPr>
          <w:rFonts w:ascii="Verdana" w:hAnsi="Verdana"/>
          <w:sz w:val="16"/>
          <w:szCs w:val="16"/>
          <w:lang w:val="en-US"/>
        </w:rPr>
        <w:t xml:space="preserve"> </w:t>
      </w:r>
      <w:r w:rsidR="00260D95" w:rsidRPr="00C9465D">
        <w:rPr>
          <w:rFonts w:ascii="Verdana" w:hAnsi="Verdana"/>
          <w:sz w:val="16"/>
          <w:szCs w:val="16"/>
          <w:lang w:val="en-US"/>
        </w:rPr>
        <w:t>establishes</w:t>
      </w:r>
      <w:r w:rsidRPr="00C9465D">
        <w:rPr>
          <w:rFonts w:ascii="Verdana" w:hAnsi="Verdana"/>
          <w:sz w:val="16"/>
          <w:szCs w:val="16"/>
          <w:lang w:val="en-US"/>
        </w:rPr>
        <w:t xml:space="preserve">: </w:t>
      </w:r>
      <w:r w:rsidR="00C445B4" w:rsidRPr="00C9465D">
        <w:rPr>
          <w:rFonts w:ascii="Verdana" w:hAnsi="Verdana"/>
          <w:sz w:val="16"/>
          <w:szCs w:val="16"/>
          <w:lang w:val="en-US"/>
        </w:rPr>
        <w:t xml:space="preserve">“[t]he Member States, convinced that man can only achieve the full realization of his aspirations within a just social order, along with economic development and true peace, agree to dedicate every effort to the application of the following principles and mechanisms: </w:t>
      </w:r>
      <w:r w:rsidR="00520411" w:rsidRPr="00C9465D">
        <w:rPr>
          <w:rFonts w:ascii="Verdana" w:hAnsi="Verdana"/>
          <w:sz w:val="16"/>
          <w:szCs w:val="16"/>
          <w:lang w:val="en-US"/>
        </w:rPr>
        <w:t>[…]</w:t>
      </w:r>
      <w:r w:rsidR="00C445B4" w:rsidRPr="00C9465D">
        <w:rPr>
          <w:rFonts w:ascii="Verdana" w:hAnsi="Verdana"/>
          <w:sz w:val="16"/>
          <w:szCs w:val="16"/>
          <w:lang w:val="en-US"/>
        </w:rPr>
        <w:t xml:space="preserve"> (h) Development of an efficient social security policy.”</w:t>
      </w:r>
    </w:p>
  </w:footnote>
  <w:footnote w:id="183">
    <w:p w14:paraId="778A0EA8" w14:textId="75FC20C7"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rStyle w:val="Strong"/>
          <w:b w:val="0"/>
          <w:i/>
          <w:sz w:val="16"/>
          <w:szCs w:val="16"/>
          <w:lang w:val="en-US"/>
        </w:rPr>
        <w:t>Case of</w:t>
      </w:r>
      <w:r w:rsidRPr="00C9465D">
        <w:rPr>
          <w:rStyle w:val="Strong"/>
          <w:b w:val="0"/>
          <w:i/>
          <w:sz w:val="16"/>
          <w:szCs w:val="16"/>
          <w:lang w:val="en-US"/>
        </w:rPr>
        <w:t xml:space="preserve"> Poblete Vilches</w:t>
      </w:r>
      <w:r w:rsidR="00193CBB" w:rsidRPr="00C9465D">
        <w:rPr>
          <w:rStyle w:val="Strong"/>
          <w:b w:val="0"/>
          <w:i/>
          <w:sz w:val="16"/>
          <w:szCs w:val="16"/>
          <w:lang w:val="en-US"/>
        </w:rPr>
        <w:t xml:space="preserve"> </w:t>
      </w:r>
      <w:r w:rsidR="00D8466F" w:rsidRPr="00C9465D">
        <w:rPr>
          <w:rStyle w:val="Strong"/>
          <w:b w:val="0"/>
          <w:i/>
          <w:sz w:val="16"/>
          <w:szCs w:val="16"/>
          <w:lang w:val="en-US"/>
        </w:rPr>
        <w:t>et al. v.</w:t>
      </w:r>
      <w:r w:rsidRPr="00C9465D">
        <w:rPr>
          <w:rStyle w:val="Strong"/>
          <w:b w:val="0"/>
          <w:i/>
          <w:sz w:val="16"/>
          <w:szCs w:val="16"/>
          <w:lang w:val="en-US"/>
        </w:rPr>
        <w:t xml:space="preserve"> Chile. </w:t>
      </w:r>
      <w:r w:rsidR="00193CBB" w:rsidRPr="00C9465D">
        <w:rPr>
          <w:rStyle w:val="Strong"/>
          <w:b w:val="0"/>
          <w:i/>
          <w:sz w:val="16"/>
          <w:szCs w:val="16"/>
          <w:lang w:val="en-US"/>
        </w:rPr>
        <w:t>Merits, reparations and costs</w:t>
      </w:r>
      <w:r w:rsidRPr="00C9465D">
        <w:rPr>
          <w:rStyle w:val="Strong"/>
          <w:b w:val="0"/>
          <w:i/>
          <w:sz w:val="16"/>
          <w:szCs w:val="16"/>
          <w:lang w:val="en-US"/>
        </w:rPr>
        <w:t>.</w:t>
      </w:r>
      <w:r w:rsidRPr="00C9465D">
        <w:rPr>
          <w:rStyle w:val="Strong"/>
          <w:b w:val="0"/>
          <w:sz w:val="16"/>
          <w:szCs w:val="16"/>
          <w:lang w:val="en-US"/>
        </w:rPr>
        <w:t xml:space="preserve"> </w:t>
      </w:r>
      <w:r w:rsidR="00D8466F" w:rsidRPr="00C9465D">
        <w:rPr>
          <w:rStyle w:val="Strong"/>
          <w:b w:val="0"/>
          <w:sz w:val="16"/>
          <w:szCs w:val="16"/>
          <w:lang w:val="en-US"/>
        </w:rPr>
        <w:t>Judgment of</w:t>
      </w:r>
      <w:r w:rsidRPr="00C9465D">
        <w:rPr>
          <w:rStyle w:val="Strong"/>
          <w:b w:val="0"/>
          <w:sz w:val="16"/>
          <w:szCs w:val="16"/>
          <w:lang w:val="en-US"/>
        </w:rPr>
        <w:t xml:space="preserve"> </w:t>
      </w:r>
      <w:r w:rsidR="00C445B4" w:rsidRPr="00C9465D">
        <w:rPr>
          <w:rStyle w:val="Strong"/>
          <w:b w:val="0"/>
          <w:sz w:val="16"/>
          <w:szCs w:val="16"/>
          <w:lang w:val="en-US"/>
        </w:rPr>
        <w:t>March 8,</w:t>
      </w:r>
      <w:r w:rsidRPr="00C9465D">
        <w:rPr>
          <w:rStyle w:val="Strong"/>
          <w:b w:val="0"/>
          <w:sz w:val="16"/>
          <w:szCs w:val="16"/>
          <w:lang w:val="en-US"/>
        </w:rPr>
        <w:t xml:space="preserve"> 2018. </w:t>
      </w:r>
      <w:r w:rsidR="00E2299F" w:rsidRPr="00C9465D">
        <w:rPr>
          <w:rStyle w:val="Strong"/>
          <w:b w:val="0"/>
          <w:sz w:val="16"/>
          <w:szCs w:val="16"/>
          <w:lang w:val="en-US"/>
        </w:rPr>
        <w:t xml:space="preserve">Series </w:t>
      </w:r>
      <w:r w:rsidRPr="00C9465D">
        <w:rPr>
          <w:rStyle w:val="Strong"/>
          <w:b w:val="0"/>
          <w:sz w:val="16"/>
          <w:szCs w:val="16"/>
          <w:lang w:val="en-US"/>
        </w:rPr>
        <w:t xml:space="preserve">C No. 349, </w:t>
      </w:r>
      <w:r w:rsidR="00D8466F" w:rsidRPr="00C9465D">
        <w:rPr>
          <w:rStyle w:val="Strong"/>
          <w:b w:val="0"/>
          <w:sz w:val="16"/>
          <w:szCs w:val="16"/>
          <w:lang w:val="en-US"/>
        </w:rPr>
        <w:t>para.</w:t>
      </w:r>
      <w:r w:rsidRPr="00C9465D">
        <w:rPr>
          <w:rStyle w:val="Strong"/>
          <w:b w:val="0"/>
          <w:sz w:val="16"/>
          <w:szCs w:val="16"/>
          <w:lang w:val="en-US"/>
        </w:rPr>
        <w:t xml:space="preserve"> 106</w:t>
      </w:r>
      <w:r w:rsidR="00193CBB" w:rsidRPr="00C9465D">
        <w:rPr>
          <w:rStyle w:val="Strong"/>
          <w:b w:val="0"/>
          <w:sz w:val="16"/>
          <w:szCs w:val="16"/>
          <w:lang w:val="en-US"/>
        </w:rPr>
        <w:t xml:space="preserve"> and </w:t>
      </w:r>
      <w:r w:rsidRPr="00C9465D">
        <w:rPr>
          <w:rStyle w:val="Strong"/>
          <w:b w:val="0"/>
          <w:sz w:val="16"/>
          <w:szCs w:val="16"/>
          <w:lang w:val="en-US"/>
        </w:rPr>
        <w:t>110;</w:t>
      </w:r>
      <w:r w:rsidRPr="00C9465D">
        <w:rPr>
          <w:rStyle w:val="Strong"/>
          <w:b w:val="0"/>
          <w:i/>
          <w:sz w:val="16"/>
          <w:szCs w:val="16"/>
          <w:lang w:val="en-US"/>
        </w:rPr>
        <w:t xml:space="preserve"> </w:t>
      </w:r>
      <w:r w:rsidR="00D8466F" w:rsidRPr="00C9465D">
        <w:rPr>
          <w:rStyle w:val="Strong"/>
          <w:b w:val="0"/>
          <w:i/>
          <w:sz w:val="16"/>
          <w:szCs w:val="16"/>
          <w:lang w:val="en-US"/>
        </w:rPr>
        <w:t>Case of</w:t>
      </w:r>
      <w:r w:rsidRPr="00C9465D">
        <w:rPr>
          <w:rStyle w:val="Strong"/>
          <w:b w:val="0"/>
          <w:i/>
          <w:sz w:val="16"/>
          <w:szCs w:val="16"/>
          <w:lang w:val="en-US"/>
        </w:rPr>
        <w:t xml:space="preserve"> Cuscul Pivaral</w:t>
      </w:r>
      <w:r w:rsidR="00193CBB" w:rsidRPr="00C9465D">
        <w:rPr>
          <w:rStyle w:val="Strong"/>
          <w:b w:val="0"/>
          <w:i/>
          <w:sz w:val="16"/>
          <w:szCs w:val="16"/>
          <w:lang w:val="en-US"/>
        </w:rPr>
        <w:t xml:space="preserve"> </w:t>
      </w:r>
      <w:r w:rsidR="00D8466F" w:rsidRPr="00C9465D">
        <w:rPr>
          <w:rStyle w:val="Strong"/>
          <w:b w:val="0"/>
          <w:i/>
          <w:sz w:val="16"/>
          <w:szCs w:val="16"/>
          <w:lang w:val="en-US"/>
        </w:rPr>
        <w:t>et al. v.</w:t>
      </w:r>
      <w:r w:rsidRPr="00C9465D">
        <w:rPr>
          <w:rStyle w:val="Strong"/>
          <w:b w:val="0"/>
          <w:i/>
          <w:sz w:val="16"/>
          <w:szCs w:val="16"/>
          <w:lang w:val="en-US"/>
        </w:rPr>
        <w:t xml:space="preserve"> Guatemala</w:t>
      </w:r>
      <w:r w:rsidRPr="00C9465D">
        <w:rPr>
          <w:sz w:val="16"/>
          <w:szCs w:val="16"/>
          <w:lang w:val="en-US"/>
        </w:rPr>
        <w:t>,</w:t>
      </w:r>
      <w:r w:rsidRPr="00C9465D">
        <w:rPr>
          <w:i/>
          <w:sz w:val="16"/>
          <w:szCs w:val="16"/>
          <w:lang w:val="en-US"/>
        </w:rPr>
        <w:t xml:space="preserve"> supra,</w:t>
      </w:r>
      <w:r w:rsidRPr="00C9465D">
        <w:rPr>
          <w:b/>
          <w:i/>
          <w:sz w:val="16"/>
          <w:szCs w:val="16"/>
          <w:lang w:val="en-US"/>
        </w:rPr>
        <w:t xml:space="preserve"> </w:t>
      </w:r>
      <w:r w:rsidR="00D8466F" w:rsidRPr="00C9465D">
        <w:rPr>
          <w:sz w:val="16"/>
          <w:szCs w:val="16"/>
          <w:lang w:val="en-US"/>
        </w:rPr>
        <w:t>para.</w:t>
      </w:r>
      <w:r w:rsidRPr="00C9465D">
        <w:rPr>
          <w:sz w:val="16"/>
          <w:szCs w:val="16"/>
          <w:lang w:val="en-US"/>
        </w:rPr>
        <w:t xml:space="preserve"> 99,</w:t>
      </w:r>
      <w:r w:rsidR="00193CBB" w:rsidRPr="00C9465D">
        <w:rPr>
          <w:sz w:val="16"/>
          <w:szCs w:val="16"/>
          <w:lang w:val="en-US"/>
        </w:rPr>
        <w:t xml:space="preserve"> and </w:t>
      </w:r>
      <w:r w:rsidR="00D8466F" w:rsidRPr="00C9465D">
        <w:rPr>
          <w:rStyle w:val="Strong"/>
          <w:b w:val="0"/>
          <w:i/>
          <w:sz w:val="16"/>
          <w:szCs w:val="16"/>
          <w:lang w:val="en-US"/>
        </w:rPr>
        <w:t>Case of</w:t>
      </w:r>
      <w:r w:rsidRPr="00C9465D">
        <w:rPr>
          <w:rStyle w:val="Strong"/>
          <w:b w:val="0"/>
          <w:i/>
          <w:sz w:val="16"/>
          <w:szCs w:val="16"/>
          <w:lang w:val="en-US"/>
        </w:rPr>
        <w:t xml:space="preserve"> Hernández </w:t>
      </w:r>
      <w:r w:rsidR="00193CBB" w:rsidRPr="00C9465D">
        <w:rPr>
          <w:rStyle w:val="Strong"/>
          <w:b w:val="0"/>
          <w:i/>
          <w:sz w:val="16"/>
          <w:szCs w:val="16"/>
          <w:lang w:val="en-US"/>
        </w:rPr>
        <w:t>v.</w:t>
      </w:r>
      <w:r w:rsidRPr="00C9465D">
        <w:rPr>
          <w:rStyle w:val="Strong"/>
          <w:b w:val="0"/>
          <w:i/>
          <w:sz w:val="16"/>
          <w:szCs w:val="16"/>
          <w:lang w:val="en-US"/>
        </w:rPr>
        <w:t xml:space="preserve"> Argentina. </w:t>
      </w:r>
      <w:r w:rsidR="00D8466F" w:rsidRPr="00C9465D">
        <w:rPr>
          <w:rStyle w:val="Strong"/>
          <w:b w:val="0"/>
          <w:i/>
          <w:sz w:val="16"/>
          <w:szCs w:val="16"/>
          <w:lang w:val="en-US"/>
        </w:rPr>
        <w:t>Preliminary objection, merits</w:t>
      </w:r>
      <w:r w:rsidR="00193CBB" w:rsidRPr="00C9465D">
        <w:rPr>
          <w:rStyle w:val="Strong"/>
          <w:b w:val="0"/>
          <w:i/>
          <w:sz w:val="16"/>
          <w:szCs w:val="16"/>
          <w:lang w:val="en-US"/>
        </w:rPr>
        <w:t>, reparations and costs</w:t>
      </w:r>
      <w:r w:rsidRPr="00C9465D">
        <w:rPr>
          <w:rStyle w:val="Strong"/>
          <w:b w:val="0"/>
          <w:i/>
          <w:sz w:val="16"/>
          <w:szCs w:val="16"/>
          <w:lang w:val="en-US"/>
        </w:rPr>
        <w:t xml:space="preserve">. </w:t>
      </w:r>
      <w:r w:rsidR="00D8466F" w:rsidRPr="00C9465D">
        <w:rPr>
          <w:rStyle w:val="Strong"/>
          <w:b w:val="0"/>
          <w:sz w:val="16"/>
          <w:szCs w:val="16"/>
          <w:lang w:val="en-US"/>
        </w:rPr>
        <w:t>Judgment of</w:t>
      </w:r>
      <w:r w:rsidRPr="00C9465D">
        <w:rPr>
          <w:rStyle w:val="Strong"/>
          <w:b w:val="0"/>
          <w:sz w:val="16"/>
          <w:szCs w:val="16"/>
          <w:lang w:val="en-US"/>
        </w:rPr>
        <w:t xml:space="preserve"> </w:t>
      </w:r>
      <w:r w:rsidR="00153C9F" w:rsidRPr="00C9465D">
        <w:rPr>
          <w:rStyle w:val="Strong"/>
          <w:b w:val="0"/>
          <w:sz w:val="16"/>
          <w:szCs w:val="16"/>
          <w:lang w:val="en-US"/>
        </w:rPr>
        <w:t xml:space="preserve">November </w:t>
      </w:r>
      <w:r w:rsidR="00D750CC" w:rsidRPr="00C9465D">
        <w:rPr>
          <w:rStyle w:val="Strong"/>
          <w:b w:val="0"/>
          <w:sz w:val="16"/>
          <w:szCs w:val="16"/>
          <w:lang w:val="en-US"/>
        </w:rPr>
        <w:t>2</w:t>
      </w:r>
      <w:r w:rsidR="00153C9F" w:rsidRPr="00C9465D">
        <w:rPr>
          <w:rStyle w:val="Strong"/>
          <w:b w:val="0"/>
          <w:sz w:val="16"/>
          <w:szCs w:val="16"/>
          <w:lang w:val="en-US"/>
        </w:rPr>
        <w:t>2,</w:t>
      </w:r>
      <w:r w:rsidRPr="00C9465D">
        <w:rPr>
          <w:rStyle w:val="Strong"/>
          <w:b w:val="0"/>
          <w:sz w:val="16"/>
          <w:szCs w:val="16"/>
          <w:lang w:val="en-US"/>
        </w:rPr>
        <w:t xml:space="preserve"> 2019. </w:t>
      </w:r>
      <w:r w:rsidR="00E2299F" w:rsidRPr="00C9465D">
        <w:rPr>
          <w:rStyle w:val="Strong"/>
          <w:b w:val="0"/>
          <w:sz w:val="16"/>
          <w:szCs w:val="16"/>
          <w:lang w:val="en-US"/>
        </w:rPr>
        <w:t xml:space="preserve">Series </w:t>
      </w:r>
      <w:r w:rsidRPr="00C9465D">
        <w:rPr>
          <w:rStyle w:val="Strong"/>
          <w:b w:val="0"/>
          <w:sz w:val="16"/>
          <w:szCs w:val="16"/>
          <w:lang w:val="en-US"/>
        </w:rPr>
        <w:t xml:space="preserve">C No. 395, </w:t>
      </w:r>
      <w:r w:rsidR="00D8466F" w:rsidRPr="00C9465D">
        <w:rPr>
          <w:rStyle w:val="Strong"/>
          <w:b w:val="0"/>
          <w:sz w:val="16"/>
          <w:szCs w:val="16"/>
          <w:lang w:val="en-US"/>
        </w:rPr>
        <w:t>para.</w:t>
      </w:r>
      <w:r w:rsidRPr="00C9465D">
        <w:rPr>
          <w:rStyle w:val="Strong"/>
          <w:b w:val="0"/>
          <w:sz w:val="16"/>
          <w:szCs w:val="16"/>
          <w:lang w:val="en-US"/>
        </w:rPr>
        <w:t xml:space="preserve"> 64.</w:t>
      </w:r>
    </w:p>
  </w:footnote>
  <w:footnote w:id="184">
    <w:p w14:paraId="206A52D3" w14:textId="3F41779E"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C445B4" w:rsidRPr="00C9465D">
        <w:rPr>
          <w:sz w:val="16"/>
          <w:szCs w:val="16"/>
          <w:lang w:val="en-US"/>
        </w:rPr>
        <w:t xml:space="preserve">American Declaration of the Rights and Duties of Man, </w:t>
      </w:r>
      <w:r w:rsidR="00193CBB" w:rsidRPr="00C9465D">
        <w:rPr>
          <w:sz w:val="16"/>
          <w:szCs w:val="16"/>
          <w:lang w:val="en-US"/>
        </w:rPr>
        <w:t>Article</w:t>
      </w:r>
      <w:r w:rsidRPr="00C9465D">
        <w:rPr>
          <w:sz w:val="16"/>
          <w:szCs w:val="16"/>
          <w:lang w:val="en-US"/>
        </w:rPr>
        <w:t xml:space="preserve"> XI.</w:t>
      </w:r>
    </w:p>
  </w:footnote>
  <w:footnote w:id="185">
    <w:p w14:paraId="487376E5" w14:textId="2D2B0F34" w:rsidR="00300482" w:rsidRPr="00C9465D" w:rsidRDefault="00300482" w:rsidP="00BD26CF">
      <w:pPr>
        <w:tabs>
          <w:tab w:val="left" w:pos="567"/>
        </w:tabs>
        <w:spacing w:after="120" w:line="240" w:lineRule="auto"/>
        <w:jc w:val="both"/>
        <w:rPr>
          <w:rFonts w:ascii="Verdana" w:eastAsia="Times New Roman" w:hAnsi="Verdana" w:cs="Times New Roman"/>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ab/>
      </w:r>
      <w:r w:rsidR="00193CBB" w:rsidRPr="00C9465D">
        <w:rPr>
          <w:rFonts w:ascii="Verdana" w:hAnsi="Verdana"/>
          <w:sz w:val="16"/>
          <w:szCs w:val="16"/>
          <w:lang w:val="en-US"/>
        </w:rPr>
        <w:t>Article</w:t>
      </w:r>
      <w:r w:rsidRPr="00C9465D">
        <w:rPr>
          <w:rFonts w:ascii="Verdana" w:hAnsi="Verdana"/>
          <w:sz w:val="16"/>
          <w:szCs w:val="16"/>
          <w:lang w:val="en-US"/>
        </w:rPr>
        <w:t xml:space="preserve"> 10</w:t>
      </w:r>
      <w:r w:rsidR="00C445B4" w:rsidRPr="00C9465D">
        <w:rPr>
          <w:rFonts w:ascii="Verdana" w:hAnsi="Verdana"/>
          <w:sz w:val="16"/>
          <w:szCs w:val="16"/>
          <w:lang w:val="en-US"/>
        </w:rPr>
        <w:t xml:space="preserve"> of </w:t>
      </w:r>
      <w:r w:rsidR="00260D95" w:rsidRPr="00C9465D">
        <w:rPr>
          <w:rFonts w:ascii="Verdana" w:hAnsi="Verdana"/>
          <w:sz w:val="16"/>
          <w:szCs w:val="16"/>
          <w:lang w:val="en-US"/>
        </w:rPr>
        <w:t>the Protocol of San</w:t>
      </w:r>
      <w:r w:rsidRPr="00C9465D">
        <w:rPr>
          <w:rFonts w:ascii="Verdana" w:hAnsi="Verdana"/>
          <w:sz w:val="16"/>
          <w:szCs w:val="16"/>
          <w:lang w:val="en-US"/>
        </w:rPr>
        <w:t xml:space="preserve"> Salvador </w:t>
      </w:r>
      <w:r w:rsidR="00260D95" w:rsidRPr="00C9465D">
        <w:rPr>
          <w:rFonts w:ascii="Verdana" w:hAnsi="Verdana"/>
          <w:sz w:val="16"/>
          <w:szCs w:val="16"/>
          <w:lang w:val="en-US"/>
        </w:rPr>
        <w:t>establishes</w:t>
      </w:r>
      <w:r w:rsidRPr="00C9465D">
        <w:rPr>
          <w:rFonts w:ascii="Verdana" w:hAnsi="Verdana"/>
          <w:sz w:val="16"/>
          <w:szCs w:val="16"/>
          <w:lang w:val="en-US"/>
        </w:rPr>
        <w:t>: “</w:t>
      </w:r>
      <w:r w:rsidR="00C445B4" w:rsidRPr="00C9465D">
        <w:rPr>
          <w:rFonts w:ascii="Verdana" w:eastAsia="Times New Roman" w:hAnsi="Verdana" w:cs="Tahoma"/>
          <w:sz w:val="16"/>
          <w:szCs w:val="16"/>
          <w:lang w:val="en-US"/>
        </w:rPr>
        <w:t>1. Everyone shall have the right to health, understood to mean the enjoyment of the highest level of physical, mental and social well-being.</w:t>
      </w:r>
      <w:r w:rsidR="00C445B4" w:rsidRPr="00C9465D">
        <w:rPr>
          <w:rFonts w:ascii="Verdana" w:hAnsi="Verdana"/>
          <w:sz w:val="16"/>
          <w:szCs w:val="16"/>
          <w:lang w:val="en-US"/>
        </w:rPr>
        <w:t xml:space="preserve"> </w:t>
      </w:r>
      <w:r w:rsidR="00C445B4" w:rsidRPr="00C9465D">
        <w:rPr>
          <w:rFonts w:ascii="Verdana" w:eastAsia="Times New Roman" w:hAnsi="Verdana" w:cs="Tahoma"/>
          <w:sz w:val="16"/>
          <w:szCs w:val="16"/>
          <w:lang w:val="en-US"/>
        </w:rPr>
        <w:t>2. In order to ensure the exercise of the right to health, the States Parties agree to recognize health as a public good and, particularly, to adopt the following measures to ensure that right:</w:t>
      </w:r>
      <w:r w:rsidR="00C445B4" w:rsidRPr="00C9465D">
        <w:rPr>
          <w:rFonts w:ascii="Verdana" w:hAnsi="Verdana"/>
          <w:sz w:val="16"/>
          <w:szCs w:val="16"/>
          <w:lang w:val="en-US"/>
        </w:rPr>
        <w:t xml:space="preserve"> (</w:t>
      </w:r>
      <w:r w:rsidR="00C445B4" w:rsidRPr="00C9465D">
        <w:rPr>
          <w:rFonts w:ascii="Verdana" w:eastAsia="Times New Roman" w:hAnsi="Verdana" w:cs="Tahoma"/>
          <w:sz w:val="16"/>
          <w:szCs w:val="16"/>
          <w:lang w:val="en-US"/>
        </w:rPr>
        <w:t>a</w:t>
      </w:r>
      <w:r w:rsidR="00C445B4" w:rsidRPr="00C9465D">
        <w:rPr>
          <w:rFonts w:ascii="Verdana" w:hAnsi="Verdana" w:cs="Tahoma"/>
          <w:sz w:val="16"/>
          <w:szCs w:val="16"/>
          <w:lang w:val="en-US"/>
        </w:rPr>
        <w:t>)</w:t>
      </w:r>
      <w:r w:rsidR="00C445B4" w:rsidRPr="00C9465D">
        <w:rPr>
          <w:rFonts w:ascii="Verdana" w:eastAsia="Times New Roman" w:hAnsi="Verdana" w:cs="Tahoma"/>
          <w:sz w:val="16"/>
          <w:szCs w:val="16"/>
          <w:lang w:val="en-US"/>
        </w:rPr>
        <w:t xml:space="preserve"> Primary health care, that is, essential health care made available to all individuals and families in the community;</w:t>
      </w:r>
      <w:r w:rsidR="00C445B4" w:rsidRPr="00C9465D">
        <w:rPr>
          <w:rFonts w:ascii="Verdana" w:hAnsi="Verdana"/>
          <w:sz w:val="16"/>
          <w:szCs w:val="16"/>
          <w:lang w:val="en-US"/>
        </w:rPr>
        <w:t xml:space="preserve"> (</w:t>
      </w:r>
      <w:r w:rsidR="00C445B4" w:rsidRPr="00C9465D">
        <w:rPr>
          <w:rFonts w:ascii="Verdana" w:eastAsia="Times New Roman" w:hAnsi="Verdana" w:cs="Tahoma"/>
          <w:sz w:val="16"/>
          <w:szCs w:val="16"/>
          <w:lang w:val="en-US"/>
        </w:rPr>
        <w:t>b</w:t>
      </w:r>
      <w:r w:rsidR="00C445B4" w:rsidRPr="00C9465D">
        <w:rPr>
          <w:rFonts w:ascii="Verdana" w:hAnsi="Verdana" w:cs="Tahoma"/>
          <w:sz w:val="16"/>
          <w:szCs w:val="16"/>
          <w:lang w:val="en-US"/>
        </w:rPr>
        <w:t>)</w:t>
      </w:r>
      <w:r w:rsidR="00C445B4" w:rsidRPr="00C9465D">
        <w:rPr>
          <w:rFonts w:ascii="Verdana" w:eastAsia="Times New Roman" w:hAnsi="Verdana" w:cs="Tahoma"/>
          <w:sz w:val="16"/>
          <w:szCs w:val="16"/>
          <w:lang w:val="en-US"/>
        </w:rPr>
        <w:t xml:space="preserve"> Extension of the benefits of health services to all individuals subject to the State's jurisdiction;</w:t>
      </w:r>
      <w:r w:rsidR="00C445B4" w:rsidRPr="00C9465D">
        <w:rPr>
          <w:rFonts w:ascii="Verdana" w:hAnsi="Verdana"/>
          <w:sz w:val="16"/>
          <w:szCs w:val="16"/>
          <w:lang w:val="en-US"/>
        </w:rPr>
        <w:t xml:space="preserve"> (</w:t>
      </w:r>
      <w:r w:rsidR="00C445B4" w:rsidRPr="00C9465D">
        <w:rPr>
          <w:rFonts w:ascii="Verdana" w:eastAsia="Times New Roman" w:hAnsi="Verdana" w:cs="Tahoma"/>
          <w:sz w:val="16"/>
          <w:szCs w:val="16"/>
          <w:lang w:val="en-US"/>
        </w:rPr>
        <w:t>c</w:t>
      </w:r>
      <w:r w:rsidR="00C445B4" w:rsidRPr="00C9465D">
        <w:rPr>
          <w:rFonts w:ascii="Verdana" w:hAnsi="Verdana" w:cs="Tahoma"/>
          <w:sz w:val="16"/>
          <w:szCs w:val="16"/>
          <w:lang w:val="en-US"/>
        </w:rPr>
        <w:t>)</w:t>
      </w:r>
      <w:r w:rsidR="00C445B4" w:rsidRPr="00C9465D">
        <w:rPr>
          <w:rFonts w:ascii="Verdana" w:eastAsia="Times New Roman" w:hAnsi="Verdana" w:cs="Tahoma"/>
          <w:sz w:val="16"/>
          <w:szCs w:val="16"/>
          <w:lang w:val="en-US"/>
        </w:rPr>
        <w:t xml:space="preserve"> Universal immunization against the principal infectious diseases;</w:t>
      </w:r>
      <w:r w:rsidR="00C445B4" w:rsidRPr="00C9465D">
        <w:rPr>
          <w:rFonts w:ascii="Verdana" w:hAnsi="Verdana"/>
          <w:sz w:val="16"/>
          <w:szCs w:val="16"/>
          <w:lang w:val="en-US"/>
        </w:rPr>
        <w:t xml:space="preserve"> (</w:t>
      </w:r>
      <w:r w:rsidR="00C445B4" w:rsidRPr="00C9465D">
        <w:rPr>
          <w:rFonts w:ascii="Verdana" w:eastAsia="Times New Roman" w:hAnsi="Verdana" w:cs="Tahoma"/>
          <w:sz w:val="16"/>
          <w:szCs w:val="16"/>
          <w:lang w:val="en-US"/>
        </w:rPr>
        <w:t>d</w:t>
      </w:r>
      <w:r w:rsidR="00C445B4" w:rsidRPr="00C9465D">
        <w:rPr>
          <w:rFonts w:ascii="Verdana" w:hAnsi="Verdana" w:cs="Tahoma"/>
          <w:sz w:val="16"/>
          <w:szCs w:val="16"/>
          <w:lang w:val="en-US"/>
        </w:rPr>
        <w:t>)</w:t>
      </w:r>
      <w:r w:rsidR="00C445B4" w:rsidRPr="00C9465D">
        <w:rPr>
          <w:rFonts w:ascii="Verdana" w:eastAsia="Times New Roman" w:hAnsi="Verdana" w:cs="Tahoma"/>
          <w:sz w:val="16"/>
          <w:szCs w:val="16"/>
          <w:lang w:val="en-US"/>
        </w:rPr>
        <w:t xml:space="preserve"> Prevention and treatment of endemic, occupational and other diseases;</w:t>
      </w:r>
      <w:r w:rsidR="00C445B4" w:rsidRPr="00C9465D">
        <w:rPr>
          <w:rFonts w:ascii="Verdana" w:hAnsi="Verdana"/>
          <w:sz w:val="16"/>
          <w:szCs w:val="16"/>
          <w:lang w:val="en-US"/>
        </w:rPr>
        <w:t xml:space="preserve"> (</w:t>
      </w:r>
      <w:r w:rsidR="00C445B4" w:rsidRPr="00C9465D">
        <w:rPr>
          <w:rFonts w:ascii="Verdana" w:eastAsia="Times New Roman" w:hAnsi="Verdana" w:cs="Tahoma"/>
          <w:sz w:val="16"/>
          <w:szCs w:val="16"/>
          <w:lang w:val="en-US"/>
        </w:rPr>
        <w:t>e</w:t>
      </w:r>
      <w:r w:rsidR="00C445B4" w:rsidRPr="00C9465D">
        <w:rPr>
          <w:rFonts w:ascii="Verdana" w:hAnsi="Verdana" w:cs="Tahoma"/>
          <w:sz w:val="16"/>
          <w:szCs w:val="16"/>
          <w:lang w:val="en-US"/>
        </w:rPr>
        <w:t>)</w:t>
      </w:r>
      <w:r w:rsidR="00C445B4" w:rsidRPr="00C9465D">
        <w:rPr>
          <w:rFonts w:ascii="Verdana" w:eastAsia="Times New Roman" w:hAnsi="Verdana" w:cs="Tahoma"/>
          <w:sz w:val="16"/>
          <w:szCs w:val="16"/>
          <w:lang w:val="en-US"/>
        </w:rPr>
        <w:t xml:space="preserve"> Education of the population on the prevention and treatment of health problems, and</w:t>
      </w:r>
      <w:r w:rsidR="00C445B4" w:rsidRPr="00C9465D">
        <w:rPr>
          <w:rFonts w:ascii="Verdana" w:hAnsi="Verdana"/>
          <w:sz w:val="16"/>
          <w:szCs w:val="16"/>
          <w:lang w:val="en-US"/>
        </w:rPr>
        <w:t xml:space="preserve"> (</w:t>
      </w:r>
      <w:r w:rsidR="00C445B4" w:rsidRPr="00C9465D">
        <w:rPr>
          <w:rFonts w:ascii="Verdana" w:eastAsia="Times New Roman" w:hAnsi="Verdana" w:cs="Tahoma"/>
          <w:sz w:val="16"/>
          <w:szCs w:val="16"/>
          <w:lang w:val="en-US"/>
        </w:rPr>
        <w:t>f</w:t>
      </w:r>
      <w:r w:rsidR="00C445B4" w:rsidRPr="00C9465D">
        <w:rPr>
          <w:rFonts w:ascii="Verdana" w:hAnsi="Verdana" w:cs="Tahoma"/>
          <w:sz w:val="16"/>
          <w:szCs w:val="16"/>
          <w:lang w:val="en-US"/>
        </w:rPr>
        <w:t>)</w:t>
      </w:r>
      <w:r w:rsidR="00C445B4" w:rsidRPr="00C9465D">
        <w:rPr>
          <w:rFonts w:ascii="Verdana" w:eastAsia="Times New Roman" w:hAnsi="Verdana" w:cs="Tahoma"/>
          <w:sz w:val="16"/>
          <w:szCs w:val="16"/>
          <w:lang w:val="en-US"/>
        </w:rPr>
        <w:t xml:space="preserve"> Satisfaction of the health needs of the highest risk groups and of those whose poverty makes them the most vulnerable.”</w:t>
      </w:r>
    </w:p>
  </w:footnote>
  <w:footnote w:id="186">
    <w:p w14:paraId="6237D0CE" w14:textId="11D0D432"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C445B4" w:rsidRPr="00C9465D">
        <w:rPr>
          <w:sz w:val="16"/>
          <w:szCs w:val="16"/>
          <w:lang w:val="en-US"/>
        </w:rPr>
        <w:t>The</w:t>
      </w:r>
      <w:r w:rsidR="00295743" w:rsidRPr="00C9465D">
        <w:rPr>
          <w:sz w:val="16"/>
          <w:szCs w:val="16"/>
          <w:lang w:val="en-US"/>
        </w:rPr>
        <w:t xml:space="preserve"> constitutional provisions of the States Parties to </w:t>
      </w:r>
      <w:r w:rsidR="00193CBB" w:rsidRPr="00C9465D">
        <w:rPr>
          <w:sz w:val="16"/>
          <w:szCs w:val="16"/>
          <w:lang w:val="en-US" w:eastAsia="es-ES"/>
        </w:rPr>
        <w:t>the American Convention</w:t>
      </w:r>
      <w:r w:rsidR="00295743" w:rsidRPr="00C9465D">
        <w:rPr>
          <w:sz w:val="16"/>
          <w:szCs w:val="16"/>
          <w:lang w:val="en-US" w:eastAsia="es-ES"/>
        </w:rPr>
        <w:t xml:space="preserve"> include</w:t>
      </w:r>
      <w:r w:rsidRPr="00C9465D">
        <w:rPr>
          <w:sz w:val="16"/>
          <w:szCs w:val="16"/>
          <w:lang w:val="en-US" w:eastAsia="es-ES"/>
        </w:rPr>
        <w:t xml:space="preserve">: Barbados (art. </w:t>
      </w:r>
      <w:r w:rsidRPr="00C9465D">
        <w:rPr>
          <w:iCs/>
          <w:sz w:val="16"/>
          <w:szCs w:val="16"/>
          <w:lang w:val="en-US" w:eastAsia="es-ES"/>
        </w:rPr>
        <w:t xml:space="preserve">17.2.A); </w:t>
      </w:r>
      <w:r w:rsidRPr="00C9465D">
        <w:rPr>
          <w:sz w:val="16"/>
          <w:szCs w:val="16"/>
          <w:lang w:val="en-US" w:eastAsia="es-ES"/>
        </w:rPr>
        <w:t xml:space="preserve">Bolivia (art. 35); </w:t>
      </w:r>
      <w:r w:rsidR="00FA5261" w:rsidRPr="00C9465D">
        <w:rPr>
          <w:sz w:val="16"/>
          <w:szCs w:val="16"/>
          <w:lang w:val="en-US" w:eastAsia="es-ES"/>
        </w:rPr>
        <w:t>Brazil</w:t>
      </w:r>
      <w:r w:rsidRPr="00C9465D">
        <w:rPr>
          <w:sz w:val="16"/>
          <w:szCs w:val="16"/>
          <w:lang w:val="en-US" w:eastAsia="es-ES"/>
        </w:rPr>
        <w:t xml:space="preserve"> (art. 196); Chile (art. 19) Colombia (art. 49); Costa Rica (art. 46); </w:t>
      </w:r>
      <w:r w:rsidR="00295743" w:rsidRPr="00C9465D">
        <w:rPr>
          <w:sz w:val="16"/>
          <w:szCs w:val="16"/>
          <w:lang w:val="en-US" w:eastAsia="es-ES"/>
        </w:rPr>
        <w:t xml:space="preserve">Dominican Republic (art. 61); </w:t>
      </w:r>
      <w:r w:rsidRPr="00C9465D">
        <w:rPr>
          <w:sz w:val="16"/>
          <w:szCs w:val="16"/>
          <w:lang w:val="en-US" w:eastAsia="es-ES"/>
        </w:rPr>
        <w:t>Ecuador (art. 32); El Salvador (art. 65); Guatemala (arts. 93</w:t>
      </w:r>
      <w:r w:rsidR="00193CBB" w:rsidRPr="00C9465D">
        <w:rPr>
          <w:sz w:val="16"/>
          <w:szCs w:val="16"/>
          <w:lang w:val="en-US" w:eastAsia="es-ES"/>
        </w:rPr>
        <w:t xml:space="preserve"> and </w:t>
      </w:r>
      <w:r w:rsidRPr="00C9465D">
        <w:rPr>
          <w:sz w:val="16"/>
          <w:szCs w:val="16"/>
          <w:lang w:val="en-US" w:eastAsia="es-ES"/>
        </w:rPr>
        <w:t>94); Hait</w:t>
      </w:r>
      <w:r w:rsidR="00295743" w:rsidRPr="00C9465D">
        <w:rPr>
          <w:sz w:val="16"/>
          <w:szCs w:val="16"/>
          <w:lang w:val="en-US" w:eastAsia="es-ES"/>
        </w:rPr>
        <w:t>i</w:t>
      </w:r>
      <w:r w:rsidRPr="00C9465D">
        <w:rPr>
          <w:sz w:val="16"/>
          <w:szCs w:val="16"/>
          <w:lang w:val="en-US" w:eastAsia="es-ES"/>
        </w:rPr>
        <w:t xml:space="preserve"> (art. 19); Honduras (art. 145); M</w:t>
      </w:r>
      <w:r w:rsidR="00295743" w:rsidRPr="00C9465D">
        <w:rPr>
          <w:sz w:val="16"/>
          <w:szCs w:val="16"/>
          <w:lang w:val="en-US" w:eastAsia="es-ES"/>
        </w:rPr>
        <w:t>e</w:t>
      </w:r>
      <w:r w:rsidRPr="00C9465D">
        <w:rPr>
          <w:sz w:val="16"/>
          <w:szCs w:val="16"/>
          <w:lang w:val="en-US" w:eastAsia="es-ES"/>
        </w:rPr>
        <w:t>xico (art. 4); Nicaragua (art. 59); Panam</w:t>
      </w:r>
      <w:r w:rsidR="00295743" w:rsidRPr="00C9465D">
        <w:rPr>
          <w:sz w:val="16"/>
          <w:szCs w:val="16"/>
          <w:lang w:val="en-US" w:eastAsia="es-ES"/>
        </w:rPr>
        <w:t>a</w:t>
      </w:r>
      <w:r w:rsidRPr="00C9465D">
        <w:rPr>
          <w:sz w:val="16"/>
          <w:szCs w:val="16"/>
          <w:lang w:val="en-US" w:eastAsia="es-ES"/>
        </w:rPr>
        <w:t xml:space="preserve"> (art. 109); Paraguay (art. 68); Per</w:t>
      </w:r>
      <w:r w:rsidR="00295743" w:rsidRPr="00C9465D">
        <w:rPr>
          <w:sz w:val="16"/>
          <w:szCs w:val="16"/>
          <w:lang w:val="en-US" w:eastAsia="es-ES"/>
        </w:rPr>
        <w:t>u</w:t>
      </w:r>
      <w:r w:rsidRPr="00C9465D">
        <w:rPr>
          <w:sz w:val="16"/>
          <w:szCs w:val="16"/>
          <w:lang w:val="en-US" w:eastAsia="es-ES"/>
        </w:rPr>
        <w:t xml:space="preserve"> (art. 70); Suriname (art. 36); Uruguay (art. 44)</w:t>
      </w:r>
      <w:r w:rsidR="00295743" w:rsidRPr="00C9465D">
        <w:rPr>
          <w:sz w:val="16"/>
          <w:szCs w:val="16"/>
          <w:lang w:val="en-US" w:eastAsia="es-ES"/>
        </w:rPr>
        <w:t>,</w:t>
      </w:r>
      <w:r w:rsidR="00193CBB" w:rsidRPr="00C9465D">
        <w:rPr>
          <w:sz w:val="16"/>
          <w:szCs w:val="16"/>
          <w:lang w:val="en-US" w:eastAsia="es-ES"/>
        </w:rPr>
        <w:t xml:space="preserve"> and </w:t>
      </w:r>
      <w:r w:rsidRPr="00C9465D">
        <w:rPr>
          <w:sz w:val="16"/>
          <w:szCs w:val="16"/>
          <w:lang w:val="en-US" w:eastAsia="es-ES"/>
        </w:rPr>
        <w:t>Venezuela (art. 83).</w:t>
      </w:r>
    </w:p>
  </w:footnote>
  <w:footnote w:id="187">
    <w:p w14:paraId="4E7E33A7" w14:textId="032AAE1D" w:rsidR="00300482" w:rsidRPr="00C9465D" w:rsidRDefault="00300482" w:rsidP="00BD26CF">
      <w:pPr>
        <w:pStyle w:val="NormalWeb"/>
        <w:tabs>
          <w:tab w:val="left" w:pos="567"/>
        </w:tabs>
        <w:spacing w:after="120" w:line="240" w:lineRule="auto"/>
        <w:jc w:val="both"/>
        <w:rPr>
          <w:rFonts w:ascii="Verdana" w:hAnsi="Verdana" w:cs="Arial"/>
          <w:color w:val="000000"/>
          <w:sz w:val="16"/>
          <w:szCs w:val="16"/>
          <w:lang w:val="en-US"/>
        </w:rPr>
      </w:pPr>
      <w:r w:rsidRPr="00C9465D">
        <w:rPr>
          <w:rStyle w:val="FootnoteReference"/>
          <w:rFonts w:ascii="Verdana" w:eastAsia="Calibri"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r>
      <w:r w:rsidR="00834FCC" w:rsidRPr="00C9465D">
        <w:rPr>
          <w:rFonts w:ascii="Verdana" w:hAnsi="Verdana"/>
          <w:sz w:val="16"/>
          <w:szCs w:val="16"/>
          <w:lang w:val="en-US"/>
        </w:rPr>
        <w:t>Article</w:t>
      </w:r>
      <w:r w:rsidRPr="00C9465D">
        <w:rPr>
          <w:rFonts w:ascii="Verdana" w:hAnsi="Verdana"/>
          <w:sz w:val="16"/>
          <w:szCs w:val="16"/>
          <w:lang w:val="en-US"/>
        </w:rPr>
        <w:t xml:space="preserve"> 32 </w:t>
      </w:r>
      <w:r w:rsidR="00834FCC" w:rsidRPr="00C9465D">
        <w:rPr>
          <w:rFonts w:ascii="Verdana" w:hAnsi="Verdana"/>
          <w:sz w:val="16"/>
          <w:szCs w:val="16"/>
          <w:lang w:val="en-US"/>
        </w:rPr>
        <w:t>of the</w:t>
      </w:r>
      <w:r w:rsidRPr="00C9465D">
        <w:rPr>
          <w:rFonts w:ascii="Verdana" w:hAnsi="Verdana"/>
          <w:sz w:val="16"/>
          <w:szCs w:val="16"/>
          <w:lang w:val="en-US"/>
        </w:rPr>
        <w:t xml:space="preserve"> </w:t>
      </w:r>
      <w:r w:rsidR="00561A0C" w:rsidRPr="00C9465D">
        <w:rPr>
          <w:rFonts w:ascii="Verdana" w:hAnsi="Verdana"/>
          <w:sz w:val="16"/>
          <w:szCs w:val="16"/>
          <w:lang w:val="en-US"/>
        </w:rPr>
        <w:t>Constitution</w:t>
      </w:r>
      <w:r w:rsidR="00092D8C" w:rsidRPr="00C9465D">
        <w:rPr>
          <w:rFonts w:ascii="Verdana" w:hAnsi="Verdana"/>
          <w:sz w:val="16"/>
          <w:szCs w:val="16"/>
          <w:lang w:val="en-US"/>
        </w:rPr>
        <w:t xml:space="preserve"> of the </w:t>
      </w:r>
      <w:r w:rsidR="00E2299F" w:rsidRPr="00C9465D">
        <w:rPr>
          <w:rFonts w:ascii="Verdana" w:hAnsi="Verdana"/>
          <w:sz w:val="16"/>
          <w:szCs w:val="16"/>
          <w:lang w:val="en-US"/>
        </w:rPr>
        <w:t>Republic of</w:t>
      </w:r>
      <w:r w:rsidRPr="00C9465D">
        <w:rPr>
          <w:rFonts w:ascii="Verdana" w:hAnsi="Verdana"/>
          <w:sz w:val="16"/>
          <w:szCs w:val="16"/>
          <w:lang w:val="en-US"/>
        </w:rPr>
        <w:t xml:space="preserve"> Ecuador</w:t>
      </w:r>
      <w:r w:rsidR="00834FCC" w:rsidRPr="00C9465D">
        <w:rPr>
          <w:rFonts w:ascii="Verdana" w:hAnsi="Verdana"/>
          <w:sz w:val="16"/>
          <w:szCs w:val="16"/>
          <w:lang w:val="en-US"/>
        </w:rPr>
        <w:t xml:space="preserve"> currently in force </w:t>
      </w:r>
      <w:r w:rsidR="00260D95" w:rsidRPr="00C9465D">
        <w:rPr>
          <w:rFonts w:ascii="Verdana" w:hAnsi="Verdana"/>
          <w:sz w:val="16"/>
          <w:szCs w:val="16"/>
          <w:lang w:val="en-US"/>
        </w:rPr>
        <w:t>establishes</w:t>
      </w:r>
      <w:r w:rsidRPr="00C9465D">
        <w:rPr>
          <w:rFonts w:ascii="Verdana" w:hAnsi="Verdana"/>
          <w:sz w:val="16"/>
          <w:szCs w:val="16"/>
          <w:lang w:val="en-US"/>
        </w:rPr>
        <w:t xml:space="preserve"> </w:t>
      </w:r>
      <w:r w:rsidR="00834FCC" w:rsidRPr="00C9465D">
        <w:rPr>
          <w:rFonts w:ascii="Verdana" w:hAnsi="Verdana"/>
          <w:sz w:val="16"/>
          <w:szCs w:val="16"/>
          <w:lang w:val="en-US"/>
        </w:rPr>
        <w:t>that</w:t>
      </w:r>
      <w:r w:rsidRPr="00C9465D">
        <w:rPr>
          <w:rFonts w:ascii="Verdana" w:hAnsi="Verdana"/>
          <w:sz w:val="16"/>
          <w:szCs w:val="16"/>
          <w:lang w:val="en-US"/>
        </w:rPr>
        <w:t>: “</w:t>
      </w:r>
      <w:r w:rsidR="00834FCC" w:rsidRPr="00C9465D">
        <w:rPr>
          <w:rFonts w:ascii="Verdana" w:hAnsi="Verdana" w:cs="Arial"/>
          <w:bCs/>
          <w:color w:val="000000"/>
          <w:sz w:val="16"/>
          <w:szCs w:val="16"/>
          <w:lang w:val="en-US"/>
        </w:rPr>
        <w:t>H</w:t>
      </w:r>
      <w:r w:rsidR="00D12C0E" w:rsidRPr="00C9465D">
        <w:rPr>
          <w:rFonts w:ascii="Verdana" w:hAnsi="Verdana" w:cs="Arial"/>
          <w:bCs/>
          <w:color w:val="000000"/>
          <w:sz w:val="16"/>
          <w:szCs w:val="16"/>
          <w:lang w:val="en-US"/>
        </w:rPr>
        <w:t>ealth</w:t>
      </w:r>
      <w:r w:rsidRPr="00C9465D">
        <w:rPr>
          <w:rFonts w:ascii="Verdana" w:hAnsi="Verdana" w:cs="Arial"/>
          <w:bCs/>
          <w:color w:val="000000"/>
          <w:sz w:val="16"/>
          <w:szCs w:val="16"/>
          <w:lang w:val="en-US"/>
        </w:rPr>
        <w:t xml:space="preserve"> </w:t>
      </w:r>
      <w:r w:rsidR="00834FCC" w:rsidRPr="00C9465D">
        <w:rPr>
          <w:rFonts w:ascii="Verdana" w:hAnsi="Verdana" w:cs="Arial"/>
          <w:bCs/>
          <w:color w:val="000000"/>
          <w:sz w:val="16"/>
          <w:szCs w:val="16"/>
          <w:lang w:val="en-US"/>
        </w:rPr>
        <w:t xml:space="preserve">is a right guaranteed by the State and its realization is linked to the exercise of other rights, including the rights to water, food, education, </w:t>
      </w:r>
      <w:r w:rsidR="00691F99" w:rsidRPr="00C9465D">
        <w:rPr>
          <w:rFonts w:ascii="Verdana" w:hAnsi="Verdana" w:cs="Arial"/>
          <w:bCs/>
          <w:color w:val="000000"/>
          <w:sz w:val="16"/>
          <w:szCs w:val="16"/>
          <w:lang w:val="en-US"/>
        </w:rPr>
        <w:t>physical culture, work, social security, healthy environments and others that support a decent life. The State shall ensure this right by economic, social, cultural, educational and environmental policies</w:t>
      </w:r>
      <w:r w:rsidR="006836BD" w:rsidRPr="00C9465D">
        <w:rPr>
          <w:rFonts w:ascii="Verdana" w:hAnsi="Verdana" w:cs="Arial"/>
          <w:bCs/>
          <w:color w:val="000000"/>
          <w:sz w:val="16"/>
          <w:szCs w:val="16"/>
          <w:lang w:val="en-US"/>
        </w:rPr>
        <w:t>,</w:t>
      </w:r>
      <w:r w:rsidR="00691F99" w:rsidRPr="00C9465D">
        <w:rPr>
          <w:rFonts w:ascii="Verdana" w:hAnsi="Verdana" w:cs="Arial"/>
          <w:bCs/>
          <w:color w:val="000000"/>
          <w:sz w:val="16"/>
          <w:szCs w:val="16"/>
          <w:lang w:val="en-US"/>
        </w:rPr>
        <w:t xml:space="preserve"> and the permanent, timely and inclusive access to programs, actions and services for the promotion and comprehensive care of </w:t>
      </w:r>
      <w:r w:rsidR="00D12C0E" w:rsidRPr="00C9465D">
        <w:rPr>
          <w:rFonts w:ascii="Verdana" w:hAnsi="Verdana" w:cs="Arial"/>
          <w:bCs/>
          <w:color w:val="000000"/>
          <w:sz w:val="16"/>
          <w:szCs w:val="16"/>
          <w:lang w:val="en-US"/>
        </w:rPr>
        <w:t>health</w:t>
      </w:r>
      <w:r w:rsidRPr="00C9465D">
        <w:rPr>
          <w:rFonts w:ascii="Verdana" w:hAnsi="Verdana" w:cs="Arial"/>
          <w:bCs/>
          <w:color w:val="000000"/>
          <w:sz w:val="16"/>
          <w:szCs w:val="16"/>
          <w:lang w:val="en-US"/>
        </w:rPr>
        <w:t xml:space="preserve">, </w:t>
      </w:r>
      <w:r w:rsidR="00691F99" w:rsidRPr="00C9465D">
        <w:rPr>
          <w:rFonts w:ascii="Verdana" w:hAnsi="Verdana" w:cs="Arial"/>
          <w:bCs/>
          <w:color w:val="000000"/>
          <w:sz w:val="16"/>
          <w:szCs w:val="16"/>
          <w:lang w:val="en-US"/>
        </w:rPr>
        <w:t xml:space="preserve">sexual </w:t>
      </w:r>
      <w:r w:rsidR="00D12C0E" w:rsidRPr="00C9465D">
        <w:rPr>
          <w:rFonts w:ascii="Verdana" w:hAnsi="Verdana" w:cs="Arial"/>
          <w:bCs/>
          <w:color w:val="000000"/>
          <w:sz w:val="16"/>
          <w:szCs w:val="16"/>
          <w:lang w:val="en-US"/>
        </w:rPr>
        <w:t>health</w:t>
      </w:r>
      <w:r w:rsidRPr="00C9465D">
        <w:rPr>
          <w:rFonts w:ascii="Verdana" w:hAnsi="Verdana" w:cs="Arial"/>
          <w:bCs/>
          <w:color w:val="000000"/>
          <w:sz w:val="16"/>
          <w:szCs w:val="16"/>
          <w:lang w:val="en-US"/>
        </w:rPr>
        <w:t xml:space="preserve"> </w:t>
      </w:r>
      <w:r w:rsidR="00193CBB" w:rsidRPr="00C9465D">
        <w:rPr>
          <w:rFonts w:ascii="Verdana" w:hAnsi="Verdana" w:cs="Arial"/>
          <w:bCs/>
          <w:color w:val="000000"/>
          <w:sz w:val="16"/>
          <w:szCs w:val="16"/>
          <w:lang w:val="en-US"/>
        </w:rPr>
        <w:t xml:space="preserve">and </w:t>
      </w:r>
      <w:r w:rsidR="00691F99" w:rsidRPr="00C9465D">
        <w:rPr>
          <w:rFonts w:ascii="Verdana" w:hAnsi="Verdana" w:cs="Arial"/>
          <w:bCs/>
          <w:color w:val="000000"/>
          <w:sz w:val="16"/>
          <w:szCs w:val="16"/>
          <w:lang w:val="en-US"/>
        </w:rPr>
        <w:t xml:space="preserve">reproductive </w:t>
      </w:r>
      <w:r w:rsidR="00D12C0E" w:rsidRPr="00C9465D">
        <w:rPr>
          <w:rFonts w:ascii="Verdana" w:hAnsi="Verdana" w:cs="Arial"/>
          <w:bCs/>
          <w:color w:val="000000"/>
          <w:sz w:val="16"/>
          <w:szCs w:val="16"/>
          <w:lang w:val="en-US"/>
        </w:rPr>
        <w:t>health</w:t>
      </w:r>
      <w:r w:rsidRPr="00C9465D">
        <w:rPr>
          <w:rFonts w:ascii="Verdana" w:hAnsi="Verdana" w:cs="Arial"/>
          <w:bCs/>
          <w:color w:val="000000"/>
          <w:sz w:val="16"/>
          <w:szCs w:val="16"/>
          <w:lang w:val="en-US"/>
        </w:rPr>
        <w:t xml:space="preserve">. </w:t>
      </w:r>
      <w:r w:rsidR="00691F99" w:rsidRPr="00C9465D">
        <w:rPr>
          <w:rFonts w:ascii="Verdana" w:hAnsi="Verdana" w:cs="Arial"/>
          <w:bCs/>
          <w:color w:val="000000"/>
          <w:sz w:val="16"/>
          <w:szCs w:val="16"/>
          <w:lang w:val="en-US"/>
        </w:rPr>
        <w:t xml:space="preserve">The provision of health </w:t>
      </w:r>
      <w:r w:rsidR="006836BD" w:rsidRPr="00C9465D">
        <w:rPr>
          <w:rFonts w:ascii="Verdana" w:hAnsi="Verdana" w:cs="Arial"/>
          <w:bCs/>
          <w:color w:val="000000"/>
          <w:sz w:val="16"/>
          <w:szCs w:val="16"/>
          <w:lang w:val="en-US"/>
        </w:rPr>
        <w:t xml:space="preserve">care </w:t>
      </w:r>
      <w:r w:rsidR="00691F99" w:rsidRPr="00C9465D">
        <w:rPr>
          <w:rFonts w:ascii="Verdana" w:hAnsi="Verdana" w:cs="Arial"/>
          <w:bCs/>
          <w:color w:val="000000"/>
          <w:sz w:val="16"/>
          <w:szCs w:val="16"/>
          <w:lang w:val="en-US"/>
        </w:rPr>
        <w:t>services shall be governed by the principles of equity, universality, solidarity, interculturality, quality, efficiency, efficacy, prevention and bioethics, with a gender and generational perspective”</w:t>
      </w:r>
      <w:r w:rsidRPr="00C9465D">
        <w:rPr>
          <w:rFonts w:ascii="Verdana" w:hAnsi="Verdana" w:cs="Arial"/>
          <w:color w:val="000000"/>
          <w:sz w:val="16"/>
          <w:szCs w:val="16"/>
          <w:lang w:val="en-US"/>
        </w:rPr>
        <w:t xml:space="preserve"> (</w:t>
      </w:r>
      <w:r w:rsidR="00153C9F" w:rsidRPr="00C9465D">
        <w:rPr>
          <w:rFonts w:ascii="Verdana" w:hAnsi="Verdana" w:cs="Arial"/>
          <w:color w:val="000000"/>
          <w:sz w:val="16"/>
          <w:szCs w:val="16"/>
          <w:lang w:val="en-US"/>
        </w:rPr>
        <w:t>evidence file</w:t>
      </w:r>
      <w:r w:rsidRPr="00C9465D">
        <w:rPr>
          <w:rFonts w:ascii="Verdana" w:hAnsi="Verdana" w:cs="Arial"/>
          <w:color w:val="000000"/>
          <w:sz w:val="16"/>
          <w:szCs w:val="16"/>
          <w:lang w:val="en-US"/>
        </w:rPr>
        <w:t>, folios 8869</w:t>
      </w:r>
      <w:r w:rsidR="00193CBB" w:rsidRPr="00C9465D">
        <w:rPr>
          <w:rFonts w:ascii="Verdana" w:hAnsi="Verdana" w:cs="Arial"/>
          <w:color w:val="000000"/>
          <w:sz w:val="16"/>
          <w:szCs w:val="16"/>
          <w:lang w:val="en-US"/>
        </w:rPr>
        <w:t xml:space="preserve"> and </w:t>
      </w:r>
      <w:r w:rsidRPr="00C9465D">
        <w:rPr>
          <w:rFonts w:ascii="Verdana" w:hAnsi="Verdana" w:cs="Arial"/>
          <w:color w:val="000000"/>
          <w:sz w:val="16"/>
          <w:szCs w:val="16"/>
          <w:lang w:val="en-US"/>
        </w:rPr>
        <w:t xml:space="preserve">8870). </w:t>
      </w:r>
      <w:r w:rsidR="00834FCC" w:rsidRPr="00C9465D">
        <w:rPr>
          <w:rFonts w:ascii="Verdana" w:hAnsi="Verdana" w:cs="Arial"/>
          <w:color w:val="000000"/>
          <w:sz w:val="16"/>
          <w:szCs w:val="16"/>
          <w:lang w:val="en-US"/>
        </w:rPr>
        <w:t>Article</w:t>
      </w:r>
      <w:r w:rsidRPr="00C9465D">
        <w:rPr>
          <w:rFonts w:ascii="Verdana" w:hAnsi="Verdana" w:cs="Arial"/>
          <w:color w:val="000000"/>
          <w:sz w:val="16"/>
          <w:szCs w:val="16"/>
          <w:lang w:val="en-US"/>
        </w:rPr>
        <w:t xml:space="preserve"> 42 </w:t>
      </w:r>
      <w:r w:rsidR="00691F99" w:rsidRPr="00C9465D">
        <w:rPr>
          <w:rFonts w:ascii="Verdana" w:hAnsi="Verdana" w:cs="Arial"/>
          <w:color w:val="000000"/>
          <w:sz w:val="16"/>
          <w:szCs w:val="16"/>
          <w:lang w:val="en-US"/>
        </w:rPr>
        <w:t>of the 1998</w:t>
      </w:r>
      <w:r w:rsidRPr="00C9465D">
        <w:rPr>
          <w:rFonts w:ascii="Verdana" w:hAnsi="Verdana" w:cs="Arial"/>
          <w:color w:val="000000"/>
          <w:sz w:val="16"/>
          <w:szCs w:val="16"/>
          <w:lang w:val="en-US"/>
        </w:rPr>
        <w:t xml:space="preserve"> </w:t>
      </w:r>
      <w:r w:rsidR="00561A0C" w:rsidRPr="00C9465D">
        <w:rPr>
          <w:rFonts w:ascii="Verdana" w:hAnsi="Verdana"/>
          <w:sz w:val="16"/>
          <w:szCs w:val="16"/>
          <w:lang w:val="en-US"/>
        </w:rPr>
        <w:t>Constitution</w:t>
      </w:r>
      <w:r w:rsidR="00092D8C" w:rsidRPr="00C9465D">
        <w:rPr>
          <w:rFonts w:ascii="Verdana" w:hAnsi="Verdana"/>
          <w:sz w:val="16"/>
          <w:szCs w:val="16"/>
          <w:lang w:val="en-US"/>
        </w:rPr>
        <w:t xml:space="preserve"> of the </w:t>
      </w:r>
      <w:r w:rsidR="00E2299F" w:rsidRPr="00C9465D">
        <w:rPr>
          <w:rFonts w:ascii="Verdana" w:hAnsi="Verdana"/>
          <w:sz w:val="16"/>
          <w:szCs w:val="16"/>
          <w:lang w:val="en-US"/>
        </w:rPr>
        <w:t>Republic of</w:t>
      </w:r>
      <w:r w:rsidRPr="00C9465D">
        <w:rPr>
          <w:rFonts w:ascii="Verdana" w:hAnsi="Verdana"/>
          <w:sz w:val="16"/>
          <w:szCs w:val="16"/>
          <w:lang w:val="en-US"/>
        </w:rPr>
        <w:t xml:space="preserve"> Ecuador</w:t>
      </w:r>
      <w:r w:rsidR="00691F99" w:rsidRPr="00C9465D">
        <w:rPr>
          <w:rFonts w:ascii="Verdana" w:hAnsi="Verdana"/>
          <w:sz w:val="16"/>
          <w:szCs w:val="16"/>
          <w:lang w:val="en-US"/>
        </w:rPr>
        <w:t xml:space="preserve"> established that</w:t>
      </w:r>
      <w:r w:rsidRPr="00C9465D">
        <w:rPr>
          <w:rFonts w:ascii="Verdana" w:hAnsi="Verdana" w:cs="Arial"/>
          <w:color w:val="000000"/>
          <w:sz w:val="16"/>
          <w:szCs w:val="16"/>
          <w:lang w:val="en-US"/>
        </w:rPr>
        <w:t>: “</w:t>
      </w:r>
      <w:r w:rsidR="00193CBB" w:rsidRPr="00C9465D">
        <w:rPr>
          <w:rFonts w:ascii="Verdana" w:hAnsi="Verdana" w:cs="Arial"/>
          <w:color w:val="000000"/>
          <w:sz w:val="16"/>
          <w:szCs w:val="16"/>
          <w:lang w:val="en-US"/>
        </w:rPr>
        <w:t>The State</w:t>
      </w:r>
      <w:r w:rsidRPr="00C9465D">
        <w:rPr>
          <w:rFonts w:ascii="Verdana" w:hAnsi="Verdana" w:cs="Arial"/>
          <w:color w:val="000000"/>
          <w:sz w:val="16"/>
          <w:szCs w:val="16"/>
          <w:lang w:val="en-US"/>
        </w:rPr>
        <w:t xml:space="preserve"> </w:t>
      </w:r>
      <w:r w:rsidR="00691F99" w:rsidRPr="00C9465D">
        <w:rPr>
          <w:rFonts w:ascii="Verdana" w:hAnsi="Verdana" w:cs="Arial"/>
          <w:color w:val="000000"/>
          <w:sz w:val="16"/>
          <w:szCs w:val="16"/>
          <w:lang w:val="en-US"/>
        </w:rPr>
        <w:t>shall ensure</w:t>
      </w:r>
      <w:r w:rsidRPr="00C9465D">
        <w:rPr>
          <w:rFonts w:ascii="Verdana" w:hAnsi="Verdana" w:cs="Arial"/>
          <w:color w:val="000000"/>
          <w:sz w:val="16"/>
          <w:szCs w:val="16"/>
          <w:lang w:val="en-US"/>
        </w:rPr>
        <w:t xml:space="preserve"> </w:t>
      </w:r>
      <w:r w:rsidR="00260D95" w:rsidRPr="00C9465D">
        <w:rPr>
          <w:rFonts w:ascii="Verdana" w:hAnsi="Verdana" w:cs="Arial"/>
          <w:color w:val="000000"/>
          <w:sz w:val="16"/>
          <w:szCs w:val="16"/>
          <w:lang w:val="en-US"/>
        </w:rPr>
        <w:t>the right to health</w:t>
      </w:r>
      <w:r w:rsidRPr="00C9465D">
        <w:rPr>
          <w:rFonts w:ascii="Verdana" w:hAnsi="Verdana" w:cs="Arial"/>
          <w:color w:val="000000"/>
          <w:sz w:val="16"/>
          <w:szCs w:val="16"/>
          <w:lang w:val="en-US"/>
        </w:rPr>
        <w:t>,</w:t>
      </w:r>
      <w:r w:rsidR="00691F99" w:rsidRPr="00C9465D">
        <w:rPr>
          <w:rFonts w:ascii="Verdana" w:hAnsi="Verdana" w:cs="Arial"/>
          <w:color w:val="000000"/>
          <w:sz w:val="16"/>
          <w:szCs w:val="16"/>
          <w:lang w:val="en-US"/>
        </w:rPr>
        <w:t xml:space="preserve"> its promotion and protection by implementing food safety, the provision of potable water and basic sanitation, promotion of healthy family, workplace and community environments, and the possibility of permanent and uninterrupted access to health </w:t>
      </w:r>
      <w:r w:rsidR="006836BD" w:rsidRPr="00C9465D">
        <w:rPr>
          <w:rFonts w:ascii="Verdana" w:hAnsi="Verdana" w:cs="Arial"/>
          <w:color w:val="000000"/>
          <w:sz w:val="16"/>
          <w:szCs w:val="16"/>
          <w:lang w:val="en-US"/>
        </w:rPr>
        <w:t xml:space="preserve">care </w:t>
      </w:r>
      <w:r w:rsidR="00691F99" w:rsidRPr="00C9465D">
        <w:rPr>
          <w:rFonts w:ascii="Verdana" w:hAnsi="Verdana" w:cs="Arial"/>
          <w:color w:val="000000"/>
          <w:sz w:val="16"/>
          <w:szCs w:val="16"/>
          <w:lang w:val="en-US"/>
        </w:rPr>
        <w:t xml:space="preserve">services based on the principles of </w:t>
      </w:r>
      <w:r w:rsidR="00691F99" w:rsidRPr="00C9465D">
        <w:rPr>
          <w:rFonts w:ascii="Verdana" w:hAnsi="Verdana" w:cs="Arial"/>
          <w:bCs/>
          <w:color w:val="000000"/>
          <w:sz w:val="16"/>
          <w:szCs w:val="16"/>
          <w:lang w:val="en-US"/>
        </w:rPr>
        <w:t>equity, universality, solidarity, quality and efficiency”</w:t>
      </w:r>
      <w:r w:rsidR="00691F99" w:rsidRPr="00C9465D">
        <w:rPr>
          <w:rFonts w:ascii="Verdana" w:hAnsi="Verdana" w:cs="Arial"/>
          <w:color w:val="000000"/>
          <w:sz w:val="16"/>
          <w:szCs w:val="16"/>
          <w:lang w:val="en-US"/>
        </w:rPr>
        <w:t xml:space="preserve"> </w:t>
      </w:r>
      <w:r w:rsidRPr="00C9465D">
        <w:rPr>
          <w:rFonts w:ascii="Verdana" w:hAnsi="Verdana" w:cs="Arial"/>
          <w:color w:val="000000"/>
          <w:sz w:val="16"/>
          <w:szCs w:val="16"/>
          <w:lang w:val="en-US"/>
        </w:rPr>
        <w:t>(</w:t>
      </w:r>
      <w:r w:rsidR="00153C9F" w:rsidRPr="00C9465D">
        <w:rPr>
          <w:rFonts w:ascii="Verdana" w:hAnsi="Verdana" w:cs="Arial"/>
          <w:color w:val="000000"/>
          <w:sz w:val="16"/>
          <w:szCs w:val="16"/>
          <w:lang w:val="en-US"/>
        </w:rPr>
        <w:t>evidence file</w:t>
      </w:r>
      <w:r w:rsidRPr="00C9465D">
        <w:rPr>
          <w:rFonts w:ascii="Verdana" w:hAnsi="Verdana" w:cs="Arial"/>
          <w:color w:val="000000"/>
          <w:sz w:val="16"/>
          <w:szCs w:val="16"/>
          <w:lang w:val="en-US"/>
        </w:rPr>
        <w:t>, folios 8799</w:t>
      </w:r>
      <w:r w:rsidR="00193CBB" w:rsidRPr="00C9465D">
        <w:rPr>
          <w:rFonts w:ascii="Verdana" w:hAnsi="Verdana" w:cs="Arial"/>
          <w:color w:val="000000"/>
          <w:sz w:val="16"/>
          <w:szCs w:val="16"/>
          <w:lang w:val="en-US"/>
        </w:rPr>
        <w:t xml:space="preserve"> and </w:t>
      </w:r>
      <w:r w:rsidRPr="00C9465D">
        <w:rPr>
          <w:rFonts w:ascii="Verdana" w:hAnsi="Verdana" w:cs="Arial"/>
          <w:color w:val="000000"/>
          <w:sz w:val="16"/>
          <w:szCs w:val="16"/>
          <w:lang w:val="en-US"/>
        </w:rPr>
        <w:t>8800).</w:t>
      </w:r>
    </w:p>
  </w:footnote>
  <w:footnote w:id="188">
    <w:p w14:paraId="3CDEBC25" w14:textId="0CDAEBED"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Poblete Vilches</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Chile,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118,</w:t>
      </w:r>
      <w:r w:rsidR="00193CBB" w:rsidRPr="00C9465D">
        <w:rPr>
          <w:sz w:val="16"/>
          <w:szCs w:val="16"/>
          <w:lang w:val="en-US"/>
        </w:rPr>
        <w:t xml:space="preserve"> and </w:t>
      </w:r>
      <w:r w:rsidR="00D8466F" w:rsidRPr="00C9465D">
        <w:rPr>
          <w:rStyle w:val="Strong"/>
          <w:b w:val="0"/>
          <w:i/>
          <w:sz w:val="16"/>
          <w:szCs w:val="16"/>
          <w:lang w:val="en-US"/>
        </w:rPr>
        <w:t>Case of</w:t>
      </w:r>
      <w:r w:rsidRPr="00C9465D">
        <w:rPr>
          <w:rStyle w:val="Strong"/>
          <w:b w:val="0"/>
          <w:i/>
          <w:sz w:val="16"/>
          <w:szCs w:val="16"/>
          <w:lang w:val="en-US"/>
        </w:rPr>
        <w:t xml:space="preserve"> Hernández </w:t>
      </w:r>
      <w:r w:rsidR="00193CBB" w:rsidRPr="00C9465D">
        <w:rPr>
          <w:rStyle w:val="Strong"/>
          <w:b w:val="0"/>
          <w:i/>
          <w:sz w:val="16"/>
          <w:szCs w:val="16"/>
          <w:lang w:val="en-US"/>
        </w:rPr>
        <w:t>v.</w:t>
      </w:r>
      <w:r w:rsidRPr="00C9465D">
        <w:rPr>
          <w:rStyle w:val="Strong"/>
          <w:b w:val="0"/>
          <w:i/>
          <w:sz w:val="16"/>
          <w:szCs w:val="16"/>
          <w:lang w:val="en-US"/>
        </w:rPr>
        <w:t xml:space="preserve"> Argentina, supra, </w:t>
      </w:r>
      <w:r w:rsidR="00D8466F" w:rsidRPr="00C9465D">
        <w:rPr>
          <w:rStyle w:val="Strong"/>
          <w:b w:val="0"/>
          <w:sz w:val="16"/>
          <w:szCs w:val="16"/>
          <w:lang w:val="en-US"/>
        </w:rPr>
        <w:t>para.</w:t>
      </w:r>
      <w:r w:rsidRPr="00C9465D">
        <w:rPr>
          <w:rStyle w:val="Strong"/>
          <w:b w:val="0"/>
          <w:sz w:val="16"/>
          <w:szCs w:val="16"/>
          <w:lang w:val="en-US"/>
        </w:rPr>
        <w:t xml:space="preserve"> 76.</w:t>
      </w:r>
    </w:p>
  </w:footnote>
  <w:footnote w:id="189">
    <w:p w14:paraId="07434DF7" w14:textId="48FB919D" w:rsidR="00300482" w:rsidRPr="00C9465D" w:rsidRDefault="00300482" w:rsidP="00BD26CF">
      <w:pPr>
        <w:pStyle w:val="FootnoteText"/>
        <w:tabs>
          <w:tab w:val="left" w:pos="567"/>
        </w:tabs>
        <w:spacing w:after="120"/>
        <w:rPr>
          <w:sz w:val="16"/>
          <w:szCs w:val="16"/>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Poblete Vilches</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Chile,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w:t>
      </w:r>
      <w:r w:rsidRPr="00C9465D">
        <w:rPr>
          <w:rStyle w:val="Strong"/>
          <w:b w:val="0"/>
          <w:sz w:val="16"/>
          <w:szCs w:val="16"/>
          <w:lang w:val="en-US"/>
        </w:rPr>
        <w:t xml:space="preserve">118. </w:t>
      </w:r>
      <w:r w:rsidR="00691F99" w:rsidRPr="00C9465D">
        <w:rPr>
          <w:rStyle w:val="Strong"/>
          <w:b w:val="0"/>
          <w:sz w:val="16"/>
          <w:szCs w:val="16"/>
          <w:lang w:val="en-US"/>
        </w:rPr>
        <w:t>See</w:t>
      </w:r>
      <w:r w:rsidRPr="00C9465D">
        <w:rPr>
          <w:rStyle w:val="Strong"/>
          <w:b w:val="0"/>
          <w:sz w:val="16"/>
          <w:szCs w:val="16"/>
          <w:lang w:val="en-US"/>
        </w:rPr>
        <w:t xml:space="preserve">, </w:t>
      </w:r>
      <w:r w:rsidRPr="00C9465D">
        <w:rPr>
          <w:i/>
          <w:sz w:val="16"/>
          <w:szCs w:val="16"/>
          <w:lang w:val="en-US"/>
        </w:rPr>
        <w:t>inter alia,</w:t>
      </w:r>
      <w:r w:rsidRPr="00C9465D">
        <w:rPr>
          <w:sz w:val="16"/>
          <w:szCs w:val="16"/>
          <w:lang w:val="en-US"/>
        </w:rPr>
        <w:t xml:space="preserve"> </w:t>
      </w:r>
      <w:r w:rsidR="00691F99" w:rsidRPr="00C9465D">
        <w:rPr>
          <w:sz w:val="16"/>
          <w:szCs w:val="16"/>
          <w:lang w:val="en-US"/>
        </w:rPr>
        <w:t>Preamble to the</w:t>
      </w:r>
      <w:r w:rsidRPr="00C9465D">
        <w:rPr>
          <w:sz w:val="16"/>
          <w:szCs w:val="16"/>
          <w:lang w:val="en-US"/>
        </w:rPr>
        <w:t xml:space="preserve"> </w:t>
      </w:r>
      <w:r w:rsidR="00561A0C" w:rsidRPr="00C9465D">
        <w:rPr>
          <w:sz w:val="16"/>
          <w:szCs w:val="16"/>
          <w:lang w:val="en-US"/>
        </w:rPr>
        <w:t>Constitution</w:t>
      </w:r>
      <w:r w:rsidRPr="00C9465D">
        <w:rPr>
          <w:sz w:val="16"/>
          <w:szCs w:val="16"/>
          <w:lang w:val="en-US"/>
        </w:rPr>
        <w:t xml:space="preserve"> </w:t>
      </w:r>
      <w:r w:rsidR="00691F99" w:rsidRPr="00C9465D">
        <w:rPr>
          <w:sz w:val="16"/>
          <w:szCs w:val="16"/>
          <w:lang w:val="en-US"/>
        </w:rPr>
        <w:t>of the World Health Organization</w:t>
      </w:r>
      <w:r w:rsidRPr="00C9465D">
        <w:rPr>
          <w:sz w:val="16"/>
          <w:szCs w:val="16"/>
          <w:lang w:val="en-US"/>
        </w:rPr>
        <w:t xml:space="preserve"> (</w:t>
      </w:r>
      <w:r w:rsidR="00691F99" w:rsidRPr="00C9465D">
        <w:rPr>
          <w:sz w:val="16"/>
          <w:szCs w:val="16"/>
          <w:lang w:val="en-US"/>
        </w:rPr>
        <w:t>WHO</w:t>
      </w:r>
      <w:r w:rsidRPr="00C9465D">
        <w:rPr>
          <w:sz w:val="16"/>
          <w:szCs w:val="16"/>
          <w:lang w:val="en-US"/>
        </w:rPr>
        <w:t>)</w:t>
      </w:r>
      <w:r w:rsidR="00691F99" w:rsidRPr="00C9465D">
        <w:rPr>
          <w:sz w:val="16"/>
          <w:szCs w:val="16"/>
          <w:lang w:val="en-US"/>
        </w:rPr>
        <w:t>, adopted by the International</w:t>
      </w:r>
      <w:r w:rsidR="00891BEF" w:rsidRPr="00C9465D">
        <w:rPr>
          <w:sz w:val="16"/>
          <w:szCs w:val="16"/>
          <w:lang w:val="en-US"/>
        </w:rPr>
        <w:t xml:space="preserve"> Health Conference held in New York from 19 June to 22 July 1946</w:t>
      </w:r>
      <w:r w:rsidRPr="00C9465D">
        <w:rPr>
          <w:sz w:val="16"/>
          <w:szCs w:val="16"/>
          <w:lang w:val="en-US"/>
        </w:rPr>
        <w:t xml:space="preserve">, </w:t>
      </w:r>
      <w:r w:rsidR="00891BEF" w:rsidRPr="00C9465D">
        <w:rPr>
          <w:sz w:val="16"/>
          <w:szCs w:val="16"/>
          <w:lang w:val="en-US"/>
        </w:rPr>
        <w:t>signed on</w:t>
      </w:r>
      <w:r w:rsidRPr="00C9465D">
        <w:rPr>
          <w:sz w:val="16"/>
          <w:szCs w:val="16"/>
          <w:lang w:val="en-US"/>
        </w:rPr>
        <w:t xml:space="preserve"> </w:t>
      </w:r>
      <w:r w:rsidR="00891BEF" w:rsidRPr="00C9465D">
        <w:rPr>
          <w:sz w:val="16"/>
          <w:szCs w:val="16"/>
          <w:lang w:val="en-US"/>
        </w:rPr>
        <w:t xml:space="preserve">22 July </w:t>
      </w:r>
      <w:r w:rsidRPr="00C9465D">
        <w:rPr>
          <w:sz w:val="16"/>
          <w:szCs w:val="16"/>
          <w:lang w:val="en-US"/>
        </w:rPr>
        <w:t>1946</w:t>
      </w:r>
      <w:r w:rsidR="00891BEF" w:rsidRPr="00C9465D">
        <w:rPr>
          <w:sz w:val="16"/>
          <w:szCs w:val="16"/>
          <w:lang w:val="en-US"/>
        </w:rPr>
        <w:t>,</w:t>
      </w:r>
      <w:r w:rsidRPr="00C9465D">
        <w:rPr>
          <w:sz w:val="16"/>
          <w:szCs w:val="16"/>
          <w:lang w:val="en-US"/>
        </w:rPr>
        <w:t xml:space="preserve"> </w:t>
      </w:r>
      <w:r w:rsidR="00891BEF" w:rsidRPr="00C9465D">
        <w:rPr>
          <w:sz w:val="16"/>
          <w:szCs w:val="16"/>
          <w:lang w:val="en-US"/>
        </w:rPr>
        <w:t>by</w:t>
      </w:r>
      <w:r w:rsidRPr="00C9465D">
        <w:rPr>
          <w:sz w:val="16"/>
          <w:szCs w:val="16"/>
          <w:lang w:val="en-US"/>
        </w:rPr>
        <w:t xml:space="preserve"> </w:t>
      </w:r>
      <w:r w:rsidR="00193CBB" w:rsidRPr="00C9465D">
        <w:rPr>
          <w:sz w:val="16"/>
          <w:szCs w:val="16"/>
          <w:lang w:val="en-US"/>
        </w:rPr>
        <w:t>the representatives</w:t>
      </w:r>
      <w:r w:rsidRPr="00C9465D">
        <w:rPr>
          <w:sz w:val="16"/>
          <w:szCs w:val="16"/>
          <w:lang w:val="en-US"/>
        </w:rPr>
        <w:t xml:space="preserve"> </w:t>
      </w:r>
      <w:r w:rsidR="00891BEF" w:rsidRPr="00C9465D">
        <w:rPr>
          <w:sz w:val="16"/>
          <w:szCs w:val="16"/>
          <w:lang w:val="en-US"/>
        </w:rPr>
        <w:t>of</w:t>
      </w:r>
      <w:r w:rsidRPr="00C9465D">
        <w:rPr>
          <w:sz w:val="16"/>
          <w:szCs w:val="16"/>
          <w:lang w:val="en-US"/>
        </w:rPr>
        <w:t xml:space="preserve"> 61 </w:t>
      </w:r>
      <w:r w:rsidR="00891BEF" w:rsidRPr="00C9465D">
        <w:rPr>
          <w:sz w:val="16"/>
          <w:szCs w:val="16"/>
          <w:lang w:val="en-US"/>
        </w:rPr>
        <w:t>States</w:t>
      </w:r>
      <w:r w:rsidRPr="00C9465D">
        <w:rPr>
          <w:sz w:val="16"/>
          <w:szCs w:val="16"/>
          <w:lang w:val="en-US"/>
        </w:rPr>
        <w:t xml:space="preserve"> (Off. Rec. </w:t>
      </w:r>
      <w:r w:rsidR="00D8209E" w:rsidRPr="00C9465D">
        <w:rPr>
          <w:sz w:val="16"/>
          <w:szCs w:val="16"/>
          <w:lang w:val="en-US"/>
        </w:rPr>
        <w:t>WHO</w:t>
      </w:r>
      <w:r w:rsidR="00891BEF" w:rsidRPr="00C9465D">
        <w:rPr>
          <w:sz w:val="16"/>
          <w:szCs w:val="16"/>
          <w:lang w:val="en-US"/>
        </w:rPr>
        <w:t xml:space="preserve">, </w:t>
      </w:r>
      <w:r w:rsidRPr="00C9465D">
        <w:rPr>
          <w:sz w:val="16"/>
          <w:szCs w:val="16"/>
          <w:lang w:val="en-US"/>
        </w:rPr>
        <w:t>2, 100),</w:t>
      </w:r>
      <w:r w:rsidR="00193CBB" w:rsidRPr="00C9465D">
        <w:rPr>
          <w:sz w:val="16"/>
          <w:szCs w:val="16"/>
          <w:lang w:val="en-US"/>
        </w:rPr>
        <w:t xml:space="preserve"> and </w:t>
      </w:r>
      <w:r w:rsidR="00891BEF" w:rsidRPr="00C9465D">
        <w:rPr>
          <w:sz w:val="16"/>
          <w:szCs w:val="16"/>
          <w:lang w:val="en-US"/>
        </w:rPr>
        <w:t>entered into force on 7 April</w:t>
      </w:r>
      <w:r w:rsidRPr="00C9465D">
        <w:rPr>
          <w:sz w:val="16"/>
          <w:szCs w:val="16"/>
          <w:lang w:val="en-US"/>
        </w:rPr>
        <w:t xml:space="preserve"> 1948.</w:t>
      </w:r>
      <w:r w:rsidR="00891BEF" w:rsidRPr="00C9465D">
        <w:rPr>
          <w:sz w:val="16"/>
          <w:szCs w:val="16"/>
          <w:lang w:val="en-US"/>
        </w:rPr>
        <w:t xml:space="preserve"> Amendments adopted by the Twenty-sixth, Twenty-ninth, Thirty-ninth and Fifty-first World Health Assemblies (resolutions WHA26.37, WHA29.38, WHA39.6 and WHA51.23) came into force on 3 February 1977, 20 January 1984, 11 July 1994 and 15 September 2005 respectively and are incorporated in</w:t>
      </w:r>
      <w:r w:rsidR="009B062B" w:rsidRPr="00C9465D">
        <w:rPr>
          <w:sz w:val="16"/>
          <w:szCs w:val="16"/>
          <w:lang w:val="en-US"/>
        </w:rPr>
        <w:t>to</w:t>
      </w:r>
      <w:r w:rsidR="00891BEF" w:rsidRPr="00C9465D">
        <w:rPr>
          <w:sz w:val="16"/>
          <w:szCs w:val="16"/>
          <w:lang w:val="en-US"/>
        </w:rPr>
        <w:t xml:space="preserve"> the present text</w:t>
      </w:r>
      <w:r w:rsidRPr="00C9465D">
        <w:rPr>
          <w:sz w:val="16"/>
          <w:szCs w:val="16"/>
          <w:lang w:val="en-US"/>
        </w:rPr>
        <w:t>.</w:t>
      </w:r>
      <w:r w:rsidRPr="00C9465D">
        <w:rPr>
          <w:rStyle w:val="Strong"/>
          <w:sz w:val="16"/>
          <w:szCs w:val="16"/>
          <w:lang w:val="en-US"/>
        </w:rPr>
        <w:t xml:space="preserve"> </w:t>
      </w:r>
      <w:r w:rsidR="00B07FDE" w:rsidRPr="00C9465D">
        <w:rPr>
          <w:sz w:val="16"/>
          <w:szCs w:val="16"/>
          <w:lang w:val="en-US"/>
        </w:rPr>
        <w:t>Committee on Economic, Social and Cultural Rights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No. 14: </w:t>
      </w:r>
      <w:r w:rsidR="00891BEF" w:rsidRPr="00C9465D">
        <w:rPr>
          <w:sz w:val="16"/>
          <w:szCs w:val="16"/>
          <w:lang w:val="en-US"/>
        </w:rPr>
        <w:t>The right to the highest attainable standard of health</w:t>
      </w:r>
      <w:r w:rsidRPr="00C9465D">
        <w:rPr>
          <w:sz w:val="16"/>
          <w:szCs w:val="16"/>
          <w:lang w:val="en-US"/>
        </w:rPr>
        <w:t xml:space="preserve">, </w:t>
      </w:r>
      <w:r w:rsidR="00891BEF" w:rsidRPr="00C9465D">
        <w:rPr>
          <w:sz w:val="16"/>
          <w:szCs w:val="16"/>
          <w:lang w:val="en-US"/>
        </w:rPr>
        <w:t>August 11,</w:t>
      </w:r>
      <w:r w:rsidRPr="00C9465D">
        <w:rPr>
          <w:sz w:val="16"/>
          <w:szCs w:val="16"/>
          <w:lang w:val="en-US"/>
        </w:rPr>
        <w:t xml:space="preserve"> 2000, </w:t>
      </w:r>
      <w:r w:rsidR="00532DEC" w:rsidRPr="00C9465D">
        <w:rPr>
          <w:sz w:val="16"/>
          <w:szCs w:val="16"/>
          <w:lang w:val="en-US"/>
        </w:rPr>
        <w:t>UN Doc.</w:t>
      </w:r>
      <w:r w:rsidRPr="00C9465D">
        <w:rPr>
          <w:sz w:val="16"/>
          <w:szCs w:val="16"/>
          <w:lang w:val="en-US"/>
        </w:rPr>
        <w:t xml:space="preserve"> </w:t>
      </w:r>
      <w:r w:rsidRPr="00C9465D">
        <w:rPr>
          <w:sz w:val="16"/>
          <w:szCs w:val="16"/>
        </w:rPr>
        <w:t>E/C.12/2000/4</w:t>
      </w:r>
      <w:r w:rsidRPr="00C9465D">
        <w:rPr>
          <w:rStyle w:val="Strong"/>
          <w:b w:val="0"/>
          <w:sz w:val="16"/>
          <w:szCs w:val="16"/>
        </w:rPr>
        <w:t xml:space="preserve">, </w:t>
      </w:r>
      <w:r w:rsidR="00D8466F" w:rsidRPr="00C9465D">
        <w:rPr>
          <w:rStyle w:val="Strong"/>
          <w:b w:val="0"/>
          <w:sz w:val="16"/>
          <w:szCs w:val="16"/>
        </w:rPr>
        <w:t>para.</w:t>
      </w:r>
      <w:r w:rsidRPr="00C9465D">
        <w:rPr>
          <w:rStyle w:val="Strong"/>
          <w:b w:val="0"/>
          <w:sz w:val="16"/>
          <w:szCs w:val="16"/>
        </w:rPr>
        <w:t xml:space="preserve"> 12.</w:t>
      </w:r>
    </w:p>
  </w:footnote>
  <w:footnote w:id="190">
    <w:p w14:paraId="7BA2F95B" w14:textId="26294B04"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rPr>
        <w:tab/>
      </w:r>
      <w:r w:rsidR="00E2299F" w:rsidRPr="00C9465D">
        <w:rPr>
          <w:i/>
          <w:sz w:val="16"/>
          <w:szCs w:val="16"/>
        </w:rPr>
        <w:t>Cf.</w:t>
      </w:r>
      <w:r w:rsidRPr="00C9465D">
        <w:rPr>
          <w:i/>
          <w:sz w:val="16"/>
          <w:szCs w:val="16"/>
        </w:rPr>
        <w:t xml:space="preserve"> </w:t>
      </w:r>
      <w:r w:rsidR="00D8466F" w:rsidRPr="00C9465D">
        <w:rPr>
          <w:i/>
          <w:sz w:val="16"/>
          <w:szCs w:val="16"/>
        </w:rPr>
        <w:t>Case of</w:t>
      </w:r>
      <w:r w:rsidRPr="00C9465D">
        <w:rPr>
          <w:i/>
          <w:sz w:val="16"/>
          <w:szCs w:val="16"/>
        </w:rPr>
        <w:t xml:space="preserve"> Poblete Vilches</w:t>
      </w:r>
      <w:r w:rsidR="00193CBB" w:rsidRPr="00C9465D">
        <w:rPr>
          <w:i/>
          <w:sz w:val="16"/>
          <w:szCs w:val="16"/>
        </w:rPr>
        <w:t xml:space="preserve"> </w:t>
      </w:r>
      <w:r w:rsidR="00D8466F" w:rsidRPr="00C9465D">
        <w:rPr>
          <w:i/>
          <w:sz w:val="16"/>
          <w:szCs w:val="16"/>
        </w:rPr>
        <w:t>et al. v.</w:t>
      </w:r>
      <w:r w:rsidRPr="00C9465D">
        <w:rPr>
          <w:i/>
          <w:sz w:val="16"/>
          <w:szCs w:val="16"/>
        </w:rPr>
        <w:t xml:space="preserve"> Chile, supra</w:t>
      </w:r>
      <w:r w:rsidRPr="00C9465D">
        <w:rPr>
          <w:sz w:val="16"/>
          <w:szCs w:val="16"/>
        </w:rPr>
        <w:t xml:space="preserve">, </w:t>
      </w:r>
      <w:r w:rsidR="00D8466F" w:rsidRPr="00C9465D">
        <w:rPr>
          <w:sz w:val="16"/>
          <w:szCs w:val="16"/>
        </w:rPr>
        <w:t>para.</w:t>
      </w:r>
      <w:r w:rsidRPr="00C9465D">
        <w:rPr>
          <w:sz w:val="16"/>
          <w:szCs w:val="16"/>
        </w:rPr>
        <w:t xml:space="preserve"> </w:t>
      </w:r>
      <w:r w:rsidRPr="00C9465D">
        <w:rPr>
          <w:sz w:val="16"/>
          <w:szCs w:val="16"/>
          <w:lang w:val="en-US"/>
        </w:rPr>
        <w:t>118,</w:t>
      </w:r>
      <w:r w:rsidR="00193CBB" w:rsidRPr="00C9465D">
        <w:rPr>
          <w:sz w:val="16"/>
          <w:szCs w:val="16"/>
          <w:lang w:val="en-US"/>
        </w:rPr>
        <w:t xml:space="preserve"> and </w:t>
      </w:r>
      <w:r w:rsidR="00D8466F" w:rsidRPr="00C9465D">
        <w:rPr>
          <w:rStyle w:val="Strong"/>
          <w:b w:val="0"/>
          <w:i/>
          <w:sz w:val="16"/>
          <w:szCs w:val="16"/>
          <w:lang w:val="en-US"/>
        </w:rPr>
        <w:t>Case of</w:t>
      </w:r>
      <w:r w:rsidRPr="00C9465D">
        <w:rPr>
          <w:rStyle w:val="Strong"/>
          <w:b w:val="0"/>
          <w:i/>
          <w:sz w:val="16"/>
          <w:szCs w:val="16"/>
          <w:lang w:val="en-US"/>
        </w:rPr>
        <w:t xml:space="preserve"> Hernández </w:t>
      </w:r>
      <w:r w:rsidR="00193CBB" w:rsidRPr="00C9465D">
        <w:rPr>
          <w:rStyle w:val="Strong"/>
          <w:b w:val="0"/>
          <w:i/>
          <w:sz w:val="16"/>
          <w:szCs w:val="16"/>
          <w:lang w:val="en-US"/>
        </w:rPr>
        <w:t>v.</w:t>
      </w:r>
      <w:r w:rsidRPr="00C9465D">
        <w:rPr>
          <w:rStyle w:val="Strong"/>
          <w:b w:val="0"/>
          <w:i/>
          <w:sz w:val="16"/>
          <w:szCs w:val="16"/>
          <w:lang w:val="en-US"/>
        </w:rPr>
        <w:t xml:space="preserve"> Argentina, supra, </w:t>
      </w:r>
      <w:r w:rsidR="00D8466F" w:rsidRPr="00C9465D">
        <w:rPr>
          <w:rStyle w:val="Strong"/>
          <w:b w:val="0"/>
          <w:sz w:val="16"/>
          <w:szCs w:val="16"/>
          <w:lang w:val="en-US"/>
        </w:rPr>
        <w:t>para.</w:t>
      </w:r>
      <w:r w:rsidRPr="00C9465D">
        <w:rPr>
          <w:rStyle w:val="Strong"/>
          <w:b w:val="0"/>
          <w:sz w:val="16"/>
          <w:szCs w:val="16"/>
          <w:lang w:val="en-US"/>
        </w:rPr>
        <w:t xml:space="preserve"> 76.</w:t>
      </w:r>
    </w:p>
  </w:footnote>
  <w:footnote w:id="191">
    <w:p w14:paraId="26B3C085" w14:textId="729D5D9B" w:rsidR="00300482" w:rsidRPr="00C9465D" w:rsidRDefault="00300482" w:rsidP="00BD26CF">
      <w:pPr>
        <w:pStyle w:val="FootnoteText"/>
        <w:tabs>
          <w:tab w:val="left" w:pos="567"/>
        </w:tabs>
        <w:spacing w:after="120"/>
        <w:rPr>
          <w:sz w:val="16"/>
          <w:szCs w:val="16"/>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Poblete Vilches</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Chile, supra</w:t>
      </w:r>
      <w:r w:rsidRPr="00C9465D">
        <w:rPr>
          <w:sz w:val="16"/>
          <w:szCs w:val="16"/>
          <w:lang w:val="en-US"/>
        </w:rPr>
        <w:t xml:space="preserve">, </w:t>
      </w:r>
      <w:r w:rsidR="00D8466F" w:rsidRPr="00C9465D">
        <w:rPr>
          <w:rStyle w:val="Strong"/>
          <w:b w:val="0"/>
          <w:sz w:val="16"/>
          <w:szCs w:val="16"/>
          <w:lang w:val="en-US"/>
        </w:rPr>
        <w:t>paras.</w:t>
      </w:r>
      <w:r w:rsidRPr="00C9465D">
        <w:rPr>
          <w:rStyle w:val="Strong"/>
          <w:b w:val="0"/>
          <w:sz w:val="16"/>
          <w:szCs w:val="16"/>
          <w:lang w:val="en-US"/>
        </w:rPr>
        <w:t xml:space="preserve"> 120</w:t>
      </w:r>
      <w:r w:rsidR="00193CBB" w:rsidRPr="00C9465D">
        <w:rPr>
          <w:rStyle w:val="Strong"/>
          <w:b w:val="0"/>
          <w:sz w:val="16"/>
          <w:szCs w:val="16"/>
          <w:lang w:val="en-US"/>
        </w:rPr>
        <w:t xml:space="preserve"> and </w:t>
      </w:r>
      <w:r w:rsidRPr="00C9465D">
        <w:rPr>
          <w:rStyle w:val="Strong"/>
          <w:b w:val="0"/>
          <w:sz w:val="16"/>
          <w:szCs w:val="16"/>
          <w:lang w:val="en-US"/>
        </w:rPr>
        <w:t>121,</w:t>
      </w:r>
      <w:r w:rsidR="00193CBB" w:rsidRPr="00C9465D">
        <w:rPr>
          <w:rStyle w:val="Strong"/>
          <w:b w:val="0"/>
          <w:sz w:val="16"/>
          <w:szCs w:val="16"/>
          <w:lang w:val="en-US"/>
        </w:rPr>
        <w:t xml:space="preserve"> and </w:t>
      </w:r>
      <w:r w:rsidR="00B07FDE" w:rsidRPr="00C9465D">
        <w:rPr>
          <w:sz w:val="16"/>
          <w:szCs w:val="16"/>
          <w:lang w:val="en-US"/>
        </w:rPr>
        <w:t>Committee on Economic, Social and Cultural Rights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No. 14: </w:t>
      </w:r>
      <w:r w:rsidR="00891BEF" w:rsidRPr="00C9465D">
        <w:rPr>
          <w:sz w:val="16"/>
          <w:szCs w:val="16"/>
          <w:lang w:val="en-US"/>
        </w:rPr>
        <w:t>The right to the highest attainable standard of health</w:t>
      </w:r>
      <w:r w:rsidRPr="00C9465D">
        <w:rPr>
          <w:sz w:val="16"/>
          <w:szCs w:val="16"/>
          <w:lang w:val="en-US"/>
        </w:rPr>
        <w:t xml:space="preserve">, </w:t>
      </w:r>
      <w:r w:rsidR="00891BEF" w:rsidRPr="00C9465D">
        <w:rPr>
          <w:sz w:val="16"/>
          <w:szCs w:val="16"/>
          <w:lang w:val="en-US"/>
        </w:rPr>
        <w:t>August 11,</w:t>
      </w:r>
      <w:r w:rsidRPr="00C9465D">
        <w:rPr>
          <w:sz w:val="16"/>
          <w:szCs w:val="16"/>
          <w:lang w:val="en-US"/>
        </w:rPr>
        <w:t xml:space="preserve"> 2000, </w:t>
      </w:r>
      <w:r w:rsidR="00532DEC" w:rsidRPr="00C9465D">
        <w:rPr>
          <w:sz w:val="16"/>
          <w:szCs w:val="16"/>
          <w:lang w:val="en-US"/>
        </w:rPr>
        <w:t>UN Doc.</w:t>
      </w:r>
      <w:r w:rsidRPr="00C9465D">
        <w:rPr>
          <w:sz w:val="16"/>
          <w:szCs w:val="16"/>
          <w:lang w:val="en-US"/>
        </w:rPr>
        <w:t xml:space="preserve"> </w:t>
      </w:r>
      <w:r w:rsidRPr="00C9465D">
        <w:rPr>
          <w:sz w:val="16"/>
          <w:szCs w:val="16"/>
        </w:rPr>
        <w:t>E/C.12/2000/4</w:t>
      </w:r>
      <w:r w:rsidRPr="00C9465D">
        <w:rPr>
          <w:rStyle w:val="Strong"/>
          <w:b w:val="0"/>
          <w:sz w:val="16"/>
          <w:szCs w:val="16"/>
        </w:rPr>
        <w:t xml:space="preserve">, </w:t>
      </w:r>
      <w:r w:rsidR="00D8466F" w:rsidRPr="00C9465D">
        <w:rPr>
          <w:rStyle w:val="Strong"/>
          <w:b w:val="0"/>
          <w:sz w:val="16"/>
          <w:szCs w:val="16"/>
        </w:rPr>
        <w:t>para.</w:t>
      </w:r>
      <w:r w:rsidRPr="00C9465D">
        <w:rPr>
          <w:rStyle w:val="Strong"/>
          <w:b w:val="0"/>
          <w:sz w:val="16"/>
          <w:szCs w:val="16"/>
        </w:rPr>
        <w:t xml:space="preserve"> 12.</w:t>
      </w:r>
    </w:p>
  </w:footnote>
  <w:footnote w:id="192">
    <w:p w14:paraId="6F30D4DB" w14:textId="2C45E8FC"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rPr>
        <w:t xml:space="preserve"> </w:t>
      </w:r>
      <w:r w:rsidRPr="00C9465D">
        <w:rPr>
          <w:sz w:val="16"/>
          <w:szCs w:val="16"/>
        </w:rPr>
        <w:tab/>
      </w:r>
      <w:r w:rsidR="00E2299F" w:rsidRPr="00C9465D">
        <w:rPr>
          <w:i/>
          <w:sz w:val="16"/>
          <w:szCs w:val="16"/>
        </w:rPr>
        <w:t>Cf.</w:t>
      </w:r>
      <w:r w:rsidRPr="00C9465D">
        <w:rPr>
          <w:i/>
          <w:sz w:val="16"/>
          <w:szCs w:val="16"/>
        </w:rPr>
        <w:t xml:space="preserve"> </w:t>
      </w:r>
      <w:r w:rsidR="00D8466F" w:rsidRPr="00C9465D">
        <w:rPr>
          <w:rStyle w:val="Strong"/>
          <w:b w:val="0"/>
          <w:i/>
          <w:sz w:val="16"/>
          <w:szCs w:val="16"/>
        </w:rPr>
        <w:t>Case of</w:t>
      </w:r>
      <w:r w:rsidRPr="00C9465D">
        <w:rPr>
          <w:rStyle w:val="Strong"/>
          <w:b w:val="0"/>
          <w:i/>
          <w:sz w:val="16"/>
          <w:szCs w:val="16"/>
        </w:rPr>
        <w:t xml:space="preserve"> </w:t>
      </w:r>
      <w:proofErr w:type="spellStart"/>
      <w:r w:rsidRPr="00C9465D">
        <w:rPr>
          <w:rStyle w:val="Strong"/>
          <w:b w:val="0"/>
          <w:i/>
          <w:sz w:val="16"/>
          <w:szCs w:val="16"/>
        </w:rPr>
        <w:t>Cuscul</w:t>
      </w:r>
      <w:proofErr w:type="spellEnd"/>
      <w:r w:rsidRPr="00C9465D">
        <w:rPr>
          <w:rStyle w:val="Strong"/>
          <w:b w:val="0"/>
          <w:i/>
          <w:sz w:val="16"/>
          <w:szCs w:val="16"/>
        </w:rPr>
        <w:t xml:space="preserve"> Pivaral</w:t>
      </w:r>
      <w:r w:rsidR="00193CBB" w:rsidRPr="00C9465D">
        <w:rPr>
          <w:rStyle w:val="Strong"/>
          <w:b w:val="0"/>
          <w:i/>
          <w:sz w:val="16"/>
          <w:szCs w:val="16"/>
        </w:rPr>
        <w:t xml:space="preserve"> </w:t>
      </w:r>
      <w:r w:rsidR="00D8466F" w:rsidRPr="00C9465D">
        <w:rPr>
          <w:rStyle w:val="Strong"/>
          <w:b w:val="0"/>
          <w:i/>
          <w:sz w:val="16"/>
          <w:szCs w:val="16"/>
        </w:rPr>
        <w:t>et al. v.</w:t>
      </w:r>
      <w:r w:rsidRPr="00C9465D">
        <w:rPr>
          <w:rStyle w:val="Strong"/>
          <w:b w:val="0"/>
          <w:i/>
          <w:sz w:val="16"/>
          <w:szCs w:val="16"/>
        </w:rPr>
        <w:t xml:space="preserve"> Guatemala, supra, </w:t>
      </w:r>
      <w:r w:rsidR="00D8466F" w:rsidRPr="00C9465D">
        <w:rPr>
          <w:rStyle w:val="Strong"/>
          <w:b w:val="0"/>
          <w:sz w:val="16"/>
          <w:szCs w:val="16"/>
        </w:rPr>
        <w:t>para.</w:t>
      </w:r>
      <w:r w:rsidRPr="00C9465D">
        <w:rPr>
          <w:rStyle w:val="Strong"/>
          <w:b w:val="0"/>
          <w:sz w:val="16"/>
          <w:szCs w:val="16"/>
        </w:rPr>
        <w:t xml:space="preserve"> </w:t>
      </w:r>
      <w:r w:rsidRPr="00C9465D">
        <w:rPr>
          <w:rStyle w:val="Strong"/>
          <w:b w:val="0"/>
          <w:sz w:val="16"/>
          <w:szCs w:val="16"/>
          <w:lang w:val="en-US"/>
        </w:rPr>
        <w:t>39,</w:t>
      </w:r>
      <w:r w:rsidR="00193CBB" w:rsidRPr="00C9465D">
        <w:rPr>
          <w:rStyle w:val="Strong"/>
          <w:b w:val="0"/>
          <w:sz w:val="16"/>
          <w:szCs w:val="16"/>
          <w:lang w:val="en-US"/>
        </w:rPr>
        <w:t xml:space="preserve"> and </w:t>
      </w:r>
      <w:r w:rsidR="00D8466F" w:rsidRPr="00C9465D">
        <w:rPr>
          <w:rStyle w:val="Strong"/>
          <w:b w:val="0"/>
          <w:i/>
          <w:sz w:val="16"/>
          <w:szCs w:val="16"/>
          <w:lang w:val="en-US"/>
        </w:rPr>
        <w:t>Case of</w:t>
      </w:r>
      <w:r w:rsidRPr="00C9465D">
        <w:rPr>
          <w:rStyle w:val="Strong"/>
          <w:b w:val="0"/>
          <w:i/>
          <w:sz w:val="16"/>
          <w:szCs w:val="16"/>
          <w:lang w:val="en-US"/>
        </w:rPr>
        <w:t xml:space="preserve"> Hernández </w:t>
      </w:r>
      <w:r w:rsidR="00193CBB" w:rsidRPr="00C9465D">
        <w:rPr>
          <w:rStyle w:val="Strong"/>
          <w:b w:val="0"/>
          <w:i/>
          <w:sz w:val="16"/>
          <w:szCs w:val="16"/>
          <w:lang w:val="en-US"/>
        </w:rPr>
        <w:t>v.</w:t>
      </w:r>
      <w:r w:rsidRPr="00C9465D">
        <w:rPr>
          <w:rStyle w:val="Strong"/>
          <w:b w:val="0"/>
          <w:i/>
          <w:sz w:val="16"/>
          <w:szCs w:val="16"/>
          <w:lang w:val="en-US"/>
        </w:rPr>
        <w:t xml:space="preserve"> Argentina, supra, </w:t>
      </w:r>
      <w:r w:rsidR="00D8466F" w:rsidRPr="00C9465D">
        <w:rPr>
          <w:rStyle w:val="Strong"/>
          <w:b w:val="0"/>
          <w:sz w:val="16"/>
          <w:szCs w:val="16"/>
          <w:lang w:val="en-US"/>
        </w:rPr>
        <w:t>para.</w:t>
      </w:r>
      <w:r w:rsidRPr="00C9465D">
        <w:rPr>
          <w:rStyle w:val="Strong"/>
          <w:b w:val="0"/>
          <w:sz w:val="16"/>
          <w:szCs w:val="16"/>
          <w:lang w:val="en-US"/>
        </w:rPr>
        <w:t xml:space="preserve"> 78.</w:t>
      </w:r>
    </w:p>
  </w:footnote>
  <w:footnote w:id="193">
    <w:p w14:paraId="4DFD65D9" w14:textId="43FFBA8E" w:rsidR="00300482" w:rsidRPr="00C9465D" w:rsidRDefault="00300482" w:rsidP="00BD26CF">
      <w:pPr>
        <w:tabs>
          <w:tab w:val="left" w:pos="567"/>
        </w:tabs>
        <w:spacing w:after="120" w:line="240" w:lineRule="auto"/>
        <w:jc w:val="both"/>
        <w:rPr>
          <w:rFonts w:ascii="Verdana" w:hAnsi="Verdana"/>
          <w:snapToGrid w:val="0"/>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r>
      <w:r w:rsidR="00E2299F" w:rsidRPr="00C9465D">
        <w:rPr>
          <w:rFonts w:ascii="Verdana" w:hAnsi="Verdana"/>
          <w:i/>
          <w:sz w:val="16"/>
          <w:szCs w:val="16"/>
          <w:lang w:val="en-US"/>
        </w:rPr>
        <w:t>Cf.</w:t>
      </w:r>
      <w:r w:rsidRPr="00C9465D">
        <w:rPr>
          <w:rFonts w:ascii="Verdana" w:hAnsi="Verdana"/>
          <w:i/>
          <w:sz w:val="16"/>
          <w:szCs w:val="16"/>
          <w:lang w:val="en-US"/>
        </w:rPr>
        <w:t xml:space="preserve">  </w:t>
      </w:r>
      <w:r w:rsidR="00561A0C" w:rsidRPr="00C9465D">
        <w:rPr>
          <w:rFonts w:ascii="Verdana" w:hAnsi="Verdana"/>
          <w:sz w:val="16"/>
          <w:szCs w:val="16"/>
          <w:lang w:val="en-US"/>
        </w:rPr>
        <w:t>Constitution</w:t>
      </w:r>
      <w:r w:rsidR="00092D8C" w:rsidRPr="00C9465D">
        <w:rPr>
          <w:rFonts w:ascii="Verdana" w:hAnsi="Verdana"/>
          <w:sz w:val="16"/>
          <w:szCs w:val="16"/>
          <w:lang w:val="en-US"/>
        </w:rPr>
        <w:t xml:space="preserve"> of the </w:t>
      </w:r>
      <w:r w:rsidR="00E2299F" w:rsidRPr="00C9465D">
        <w:rPr>
          <w:rFonts w:ascii="Verdana" w:hAnsi="Verdana"/>
          <w:sz w:val="16"/>
          <w:szCs w:val="16"/>
          <w:lang w:val="en-US"/>
        </w:rPr>
        <w:t>Republic of</w:t>
      </w:r>
      <w:r w:rsidRPr="00C9465D">
        <w:rPr>
          <w:rFonts w:ascii="Verdana" w:hAnsi="Verdana"/>
          <w:sz w:val="16"/>
          <w:szCs w:val="16"/>
          <w:lang w:val="en-US"/>
        </w:rPr>
        <w:t xml:space="preserve"> Ecuador, 1998, </w:t>
      </w:r>
      <w:r w:rsidR="00891BEF" w:rsidRPr="00C9465D">
        <w:rPr>
          <w:rFonts w:ascii="Verdana" w:hAnsi="Verdana"/>
          <w:snapToGrid w:val="0"/>
          <w:sz w:val="16"/>
          <w:szCs w:val="16"/>
          <w:lang w:val="en-US"/>
        </w:rPr>
        <w:t>a</w:t>
      </w:r>
      <w:r w:rsidR="00193CBB" w:rsidRPr="00C9465D">
        <w:rPr>
          <w:rFonts w:ascii="Verdana" w:hAnsi="Verdana"/>
          <w:snapToGrid w:val="0"/>
          <w:sz w:val="16"/>
          <w:szCs w:val="16"/>
          <w:lang w:val="en-US"/>
        </w:rPr>
        <w:t>rticle</w:t>
      </w:r>
      <w:r w:rsidRPr="00C9465D">
        <w:rPr>
          <w:rFonts w:ascii="Verdana" w:hAnsi="Verdana"/>
          <w:snapToGrid w:val="0"/>
          <w:sz w:val="16"/>
          <w:szCs w:val="16"/>
          <w:lang w:val="en-US"/>
        </w:rPr>
        <w:t xml:space="preserve"> 23</w:t>
      </w:r>
      <w:r w:rsidR="00891BEF" w:rsidRPr="00C9465D">
        <w:rPr>
          <w:rFonts w:ascii="Verdana" w:hAnsi="Verdana"/>
          <w:snapToGrid w:val="0"/>
          <w:sz w:val="16"/>
          <w:szCs w:val="16"/>
          <w:lang w:val="en-US"/>
        </w:rPr>
        <w:t>(</w:t>
      </w:r>
      <w:r w:rsidRPr="00C9465D">
        <w:rPr>
          <w:rFonts w:ascii="Verdana" w:hAnsi="Verdana"/>
          <w:snapToGrid w:val="0"/>
          <w:sz w:val="16"/>
          <w:szCs w:val="16"/>
          <w:lang w:val="en-US"/>
        </w:rPr>
        <w:t>3</w:t>
      </w:r>
      <w:r w:rsidR="00891BEF" w:rsidRPr="00C9465D">
        <w:rPr>
          <w:rFonts w:ascii="Verdana" w:hAnsi="Verdana"/>
          <w:snapToGrid w:val="0"/>
          <w:sz w:val="16"/>
          <w:szCs w:val="16"/>
          <w:lang w:val="en-US"/>
        </w:rPr>
        <w:t>)</w:t>
      </w:r>
      <w:r w:rsidR="00193CBB" w:rsidRPr="00C9465D">
        <w:rPr>
          <w:rFonts w:ascii="Verdana" w:hAnsi="Verdana"/>
          <w:snapToGrid w:val="0"/>
          <w:sz w:val="16"/>
          <w:szCs w:val="16"/>
          <w:lang w:val="en-US"/>
        </w:rPr>
        <w:t xml:space="preserve"> and </w:t>
      </w:r>
      <w:r w:rsidR="00891BEF" w:rsidRPr="00C9465D">
        <w:rPr>
          <w:rFonts w:ascii="Verdana" w:hAnsi="Verdana"/>
          <w:snapToGrid w:val="0"/>
          <w:sz w:val="16"/>
          <w:szCs w:val="16"/>
          <w:lang w:val="en-US"/>
        </w:rPr>
        <w:t>(</w:t>
      </w:r>
      <w:r w:rsidRPr="00C9465D">
        <w:rPr>
          <w:rFonts w:ascii="Verdana" w:hAnsi="Verdana"/>
          <w:snapToGrid w:val="0"/>
          <w:sz w:val="16"/>
          <w:szCs w:val="16"/>
          <w:lang w:val="en-US"/>
        </w:rPr>
        <w:t>20</w:t>
      </w:r>
      <w:r w:rsidR="00891BEF" w:rsidRPr="00C9465D">
        <w:rPr>
          <w:rFonts w:ascii="Verdana" w:hAnsi="Verdana"/>
          <w:snapToGrid w:val="0"/>
          <w:sz w:val="16"/>
          <w:szCs w:val="16"/>
          <w:lang w:val="en-US"/>
        </w:rPr>
        <w:t>)</w:t>
      </w:r>
      <w:r w:rsidR="00193CBB" w:rsidRPr="00C9465D">
        <w:rPr>
          <w:rFonts w:ascii="Verdana" w:hAnsi="Verdana"/>
          <w:snapToGrid w:val="0"/>
          <w:sz w:val="16"/>
          <w:szCs w:val="16"/>
          <w:lang w:val="en-US"/>
        </w:rPr>
        <w:t xml:space="preserve"> and </w:t>
      </w:r>
      <w:r w:rsidR="00891BEF" w:rsidRPr="00C9465D">
        <w:rPr>
          <w:rFonts w:ascii="Verdana" w:hAnsi="Verdana"/>
          <w:snapToGrid w:val="0"/>
          <w:sz w:val="16"/>
          <w:szCs w:val="16"/>
          <w:lang w:val="en-US"/>
        </w:rPr>
        <w:t>a</w:t>
      </w:r>
      <w:r w:rsidR="00193CBB" w:rsidRPr="00C9465D">
        <w:rPr>
          <w:rFonts w:ascii="Verdana" w:hAnsi="Verdana"/>
          <w:snapToGrid w:val="0"/>
          <w:sz w:val="16"/>
          <w:szCs w:val="16"/>
          <w:lang w:val="en-US"/>
        </w:rPr>
        <w:t>rticles</w:t>
      </w:r>
      <w:r w:rsidRPr="00C9465D">
        <w:rPr>
          <w:rFonts w:ascii="Verdana" w:hAnsi="Verdana"/>
          <w:snapToGrid w:val="0"/>
          <w:sz w:val="16"/>
          <w:szCs w:val="16"/>
          <w:lang w:val="en-US"/>
        </w:rPr>
        <w:t xml:space="preserve"> 42, 47</w:t>
      </w:r>
      <w:r w:rsidR="00193CBB" w:rsidRPr="00C9465D">
        <w:rPr>
          <w:rFonts w:ascii="Verdana" w:hAnsi="Verdana"/>
          <w:snapToGrid w:val="0"/>
          <w:sz w:val="16"/>
          <w:szCs w:val="16"/>
          <w:lang w:val="en-US"/>
        </w:rPr>
        <w:t xml:space="preserve"> and </w:t>
      </w:r>
      <w:r w:rsidRPr="00C9465D">
        <w:rPr>
          <w:rFonts w:ascii="Verdana" w:hAnsi="Verdana"/>
          <w:snapToGrid w:val="0"/>
          <w:sz w:val="16"/>
          <w:szCs w:val="16"/>
          <w:lang w:val="en-US"/>
        </w:rPr>
        <w:t>53</w:t>
      </w:r>
      <w:r w:rsidRPr="00C9465D">
        <w:rPr>
          <w:rFonts w:ascii="Verdana" w:hAnsi="Verdana"/>
          <w:sz w:val="16"/>
          <w:szCs w:val="16"/>
          <w:lang w:val="en-US"/>
        </w:rPr>
        <w:t xml:space="preserve"> (</w:t>
      </w:r>
      <w:r w:rsidR="00153C9F" w:rsidRPr="00C9465D">
        <w:rPr>
          <w:rFonts w:ascii="Verdana" w:hAnsi="Verdana"/>
          <w:sz w:val="16"/>
          <w:szCs w:val="16"/>
          <w:lang w:val="en-US"/>
        </w:rPr>
        <w:t>evidence file</w:t>
      </w:r>
      <w:r w:rsidRPr="00C9465D">
        <w:rPr>
          <w:rFonts w:ascii="Verdana" w:hAnsi="Verdana"/>
          <w:sz w:val="16"/>
          <w:szCs w:val="16"/>
          <w:lang w:val="en-US"/>
        </w:rPr>
        <w:t>, folios 8793, 8794, 8799, 8800</w:t>
      </w:r>
      <w:r w:rsidR="00193CBB" w:rsidRPr="00C9465D">
        <w:rPr>
          <w:rFonts w:ascii="Verdana" w:hAnsi="Verdana"/>
          <w:sz w:val="16"/>
          <w:szCs w:val="16"/>
          <w:lang w:val="en-US"/>
        </w:rPr>
        <w:t xml:space="preserve"> and </w:t>
      </w:r>
      <w:r w:rsidRPr="00C9465D">
        <w:rPr>
          <w:rFonts w:ascii="Verdana" w:hAnsi="Verdana"/>
          <w:sz w:val="16"/>
          <w:szCs w:val="16"/>
          <w:lang w:val="en-US"/>
        </w:rPr>
        <w:t xml:space="preserve">8801). </w:t>
      </w:r>
    </w:p>
  </w:footnote>
  <w:footnote w:id="194">
    <w:p w14:paraId="0D3919DD" w14:textId="6E6E6047"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B07FDE" w:rsidRPr="00C9465D">
        <w:rPr>
          <w:sz w:val="16"/>
          <w:szCs w:val="16"/>
          <w:lang w:val="en-US" w:eastAsia="es-ES"/>
        </w:rPr>
        <w:t>Standard Rules on the Equalization of Opportunities for Persons with Disabilities</w:t>
      </w:r>
      <w:r w:rsidRPr="00C9465D">
        <w:rPr>
          <w:sz w:val="16"/>
          <w:szCs w:val="16"/>
          <w:lang w:val="en-US" w:eastAsia="es-ES"/>
        </w:rPr>
        <w:t>, adopt</w:t>
      </w:r>
      <w:r w:rsidR="00077CF2" w:rsidRPr="00C9465D">
        <w:rPr>
          <w:sz w:val="16"/>
          <w:szCs w:val="16"/>
          <w:lang w:val="en-US" w:eastAsia="es-ES"/>
        </w:rPr>
        <w:t>ed by the United Nations General Assembly,</w:t>
      </w:r>
      <w:r w:rsidRPr="00C9465D">
        <w:rPr>
          <w:sz w:val="16"/>
          <w:szCs w:val="16"/>
          <w:lang w:val="en-US" w:eastAsia="es-ES"/>
        </w:rPr>
        <w:t xml:space="preserve"> 48</w:t>
      </w:r>
      <w:r w:rsidR="00077CF2" w:rsidRPr="00C9465D">
        <w:rPr>
          <w:sz w:val="16"/>
          <w:szCs w:val="16"/>
          <w:lang w:val="en-US" w:eastAsia="es-ES"/>
        </w:rPr>
        <w:t xml:space="preserve">the session, annex to Resolution </w:t>
      </w:r>
      <w:r w:rsidRPr="00C9465D">
        <w:rPr>
          <w:sz w:val="16"/>
          <w:szCs w:val="16"/>
          <w:lang w:val="en-US" w:eastAsia="es-ES"/>
        </w:rPr>
        <w:t xml:space="preserve">48/96, </w:t>
      </w:r>
      <w:r w:rsidR="00193CBB" w:rsidRPr="00C9465D">
        <w:rPr>
          <w:sz w:val="16"/>
          <w:szCs w:val="16"/>
          <w:lang w:val="en-US" w:eastAsia="es-ES"/>
        </w:rPr>
        <w:t>Article</w:t>
      </w:r>
      <w:r w:rsidRPr="00C9465D">
        <w:rPr>
          <w:sz w:val="16"/>
          <w:szCs w:val="16"/>
          <w:lang w:val="en-US" w:eastAsia="es-ES"/>
        </w:rPr>
        <w:t>s 2</w:t>
      </w:r>
      <w:r w:rsidR="00193CBB" w:rsidRPr="00C9465D">
        <w:rPr>
          <w:sz w:val="16"/>
          <w:szCs w:val="16"/>
          <w:lang w:val="en-US" w:eastAsia="es-ES"/>
        </w:rPr>
        <w:t xml:space="preserve"> and </w:t>
      </w:r>
      <w:r w:rsidRPr="00C9465D">
        <w:rPr>
          <w:sz w:val="16"/>
          <w:szCs w:val="16"/>
          <w:lang w:val="en-US" w:eastAsia="es-ES"/>
        </w:rPr>
        <w:t>3.</w:t>
      </w:r>
    </w:p>
  </w:footnote>
  <w:footnote w:id="195">
    <w:p w14:paraId="7F22DEB5" w14:textId="3DB27DFE"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rStyle w:val="FootnoteReference"/>
          <w:sz w:val="16"/>
          <w:szCs w:val="16"/>
          <w:lang w:val="en-US"/>
        </w:rPr>
        <w:tab/>
      </w:r>
      <w:r w:rsidR="00077CF2" w:rsidRPr="00C9465D">
        <w:rPr>
          <w:rStyle w:val="FootnoteReference"/>
          <w:sz w:val="16"/>
          <w:szCs w:val="16"/>
          <w:vertAlign w:val="baseline"/>
          <w:lang w:val="en-US"/>
        </w:rPr>
        <w:t>C</w:t>
      </w:r>
      <w:r w:rsidR="00077CF2" w:rsidRPr="00C9465D">
        <w:rPr>
          <w:sz w:val="16"/>
          <w:szCs w:val="16"/>
          <w:lang w:val="en-US"/>
        </w:rPr>
        <w:t>onvention on the Rights of</w:t>
      </w:r>
      <w:r w:rsidRPr="00C9465D">
        <w:rPr>
          <w:rStyle w:val="FootnoteReference"/>
          <w:sz w:val="16"/>
          <w:szCs w:val="16"/>
          <w:vertAlign w:val="baseline"/>
          <w:lang w:val="en-US"/>
        </w:rPr>
        <w:t xml:space="preserve"> </w:t>
      </w:r>
      <w:r w:rsidR="00077CF2" w:rsidRPr="00C9465D">
        <w:rPr>
          <w:rStyle w:val="FootnoteReference"/>
          <w:sz w:val="16"/>
          <w:szCs w:val="16"/>
          <w:vertAlign w:val="baseline"/>
          <w:lang w:val="en-US"/>
        </w:rPr>
        <w:t>P</w:t>
      </w:r>
      <w:r w:rsidR="00D85850" w:rsidRPr="00C9465D">
        <w:rPr>
          <w:rStyle w:val="FootnoteReference"/>
          <w:sz w:val="16"/>
          <w:szCs w:val="16"/>
          <w:vertAlign w:val="baseline"/>
          <w:lang w:val="en-US"/>
        </w:rPr>
        <w:t xml:space="preserve">ersons with </w:t>
      </w:r>
      <w:r w:rsidR="00077CF2" w:rsidRPr="00C9465D">
        <w:rPr>
          <w:rStyle w:val="FootnoteReference"/>
          <w:sz w:val="16"/>
          <w:szCs w:val="16"/>
          <w:vertAlign w:val="baseline"/>
          <w:lang w:val="en-US"/>
        </w:rPr>
        <w:t>D</w:t>
      </w:r>
      <w:r w:rsidR="00D85850" w:rsidRPr="00C9465D">
        <w:rPr>
          <w:rStyle w:val="FootnoteReference"/>
          <w:sz w:val="16"/>
          <w:szCs w:val="16"/>
          <w:vertAlign w:val="baseline"/>
          <w:lang w:val="en-US"/>
        </w:rPr>
        <w:t>isabilities</w:t>
      </w:r>
      <w:r w:rsidRPr="00C9465D">
        <w:rPr>
          <w:sz w:val="16"/>
          <w:szCs w:val="16"/>
          <w:lang w:val="en-US"/>
        </w:rPr>
        <w:t xml:space="preserve">, </w:t>
      </w:r>
      <w:r w:rsidR="00077CF2" w:rsidRPr="00C9465D">
        <w:rPr>
          <w:sz w:val="16"/>
          <w:szCs w:val="16"/>
          <w:lang w:val="en-US" w:eastAsia="es-ES"/>
        </w:rPr>
        <w:t>adopted by the United Nations General Assembly</w:t>
      </w:r>
      <w:r w:rsidR="00077CF2" w:rsidRPr="00C9465D">
        <w:rPr>
          <w:rStyle w:val="FootnoteReference"/>
          <w:sz w:val="16"/>
          <w:szCs w:val="16"/>
          <w:vertAlign w:val="baseline"/>
          <w:lang w:val="en-US"/>
        </w:rPr>
        <w:t xml:space="preserve"> </w:t>
      </w:r>
      <w:r w:rsidR="00077CF2" w:rsidRPr="00C9465D">
        <w:rPr>
          <w:sz w:val="16"/>
          <w:szCs w:val="16"/>
          <w:lang w:val="en-US"/>
        </w:rPr>
        <w:t xml:space="preserve">on December 13, </w:t>
      </w:r>
      <w:r w:rsidRPr="00C9465D">
        <w:rPr>
          <w:rStyle w:val="FootnoteReference"/>
          <w:sz w:val="16"/>
          <w:szCs w:val="16"/>
          <w:vertAlign w:val="baseline"/>
          <w:lang w:val="en-US"/>
        </w:rPr>
        <w:t>2006</w:t>
      </w:r>
      <w:r w:rsidR="00077CF2" w:rsidRPr="00C9465D">
        <w:rPr>
          <w:sz w:val="16"/>
          <w:szCs w:val="16"/>
          <w:lang w:val="en-US"/>
        </w:rPr>
        <w:t xml:space="preserve">, and entered into force on May 3, </w:t>
      </w:r>
      <w:r w:rsidRPr="00C9465D">
        <w:rPr>
          <w:sz w:val="16"/>
          <w:szCs w:val="16"/>
          <w:lang w:val="en-US"/>
        </w:rPr>
        <w:t xml:space="preserve">2008, </w:t>
      </w:r>
      <w:r w:rsidR="00193CBB" w:rsidRPr="00C9465D">
        <w:rPr>
          <w:sz w:val="16"/>
          <w:szCs w:val="16"/>
          <w:lang w:val="en-US"/>
        </w:rPr>
        <w:t>Article</w:t>
      </w:r>
      <w:r w:rsidRPr="00C9465D">
        <w:rPr>
          <w:sz w:val="16"/>
          <w:szCs w:val="16"/>
          <w:lang w:val="en-US"/>
        </w:rPr>
        <w:t xml:space="preserve"> 25.</w:t>
      </w:r>
    </w:p>
  </w:footnote>
  <w:footnote w:id="196">
    <w:p w14:paraId="62A1F991" w14:textId="36622C4A"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077CF2" w:rsidRPr="00C9465D">
        <w:rPr>
          <w:sz w:val="16"/>
          <w:szCs w:val="16"/>
          <w:lang w:val="en-US"/>
        </w:rPr>
        <w:t>United Nations</w:t>
      </w:r>
      <w:r w:rsidR="00151497" w:rsidRPr="00C9465D">
        <w:rPr>
          <w:sz w:val="16"/>
          <w:szCs w:val="16"/>
          <w:lang w:val="en-US"/>
        </w:rPr>
        <w:t>,</w:t>
      </w:r>
      <w:r w:rsidRPr="00C9465D">
        <w:rPr>
          <w:sz w:val="16"/>
          <w:szCs w:val="16"/>
          <w:lang w:val="en-US"/>
        </w:rPr>
        <w:t xml:space="preserve"> </w:t>
      </w:r>
      <w:r w:rsidR="00B07FDE" w:rsidRPr="00C9465D">
        <w:rPr>
          <w:sz w:val="16"/>
          <w:szCs w:val="16"/>
          <w:lang w:val="en-US"/>
        </w:rPr>
        <w:t>Committee on Economic, Social and Cultural Rights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No. 5: </w:t>
      </w:r>
      <w:r w:rsidR="00D85850" w:rsidRPr="00C9465D">
        <w:rPr>
          <w:sz w:val="16"/>
          <w:szCs w:val="16"/>
          <w:lang w:val="en-US"/>
        </w:rPr>
        <w:t>Persons with disabilities</w:t>
      </w:r>
      <w:r w:rsidRPr="00C9465D">
        <w:rPr>
          <w:sz w:val="16"/>
          <w:szCs w:val="16"/>
          <w:lang w:val="en-US"/>
        </w:rPr>
        <w:t xml:space="preserve">, E/1995/22, </w:t>
      </w:r>
      <w:r w:rsidR="00B07FDE" w:rsidRPr="00C9465D">
        <w:rPr>
          <w:sz w:val="16"/>
          <w:szCs w:val="16"/>
          <w:lang w:val="en-US"/>
        </w:rPr>
        <w:t>December 9,</w:t>
      </w:r>
      <w:r w:rsidRPr="00C9465D">
        <w:rPr>
          <w:sz w:val="16"/>
          <w:szCs w:val="16"/>
          <w:lang w:val="en-US"/>
        </w:rPr>
        <w:t xml:space="preserve"> 1994, </w:t>
      </w:r>
      <w:r w:rsidR="00D8466F" w:rsidRPr="00C9465D">
        <w:rPr>
          <w:sz w:val="16"/>
          <w:szCs w:val="16"/>
          <w:lang w:val="en-US"/>
        </w:rPr>
        <w:t>para.</w:t>
      </w:r>
      <w:r w:rsidRPr="00C9465D">
        <w:rPr>
          <w:sz w:val="16"/>
          <w:szCs w:val="16"/>
          <w:lang w:val="en-US"/>
        </w:rPr>
        <w:t xml:space="preserve"> 34,</w:t>
      </w:r>
      <w:r w:rsidR="00193CBB" w:rsidRPr="00C9465D">
        <w:rPr>
          <w:sz w:val="16"/>
          <w:szCs w:val="16"/>
          <w:lang w:val="en-US"/>
        </w:rPr>
        <w:t xml:space="preserve"> and </w:t>
      </w:r>
      <w:r w:rsidR="00B07FDE" w:rsidRPr="00C9465D">
        <w:rPr>
          <w:sz w:val="16"/>
          <w:szCs w:val="16"/>
          <w:lang w:val="en-US"/>
        </w:rPr>
        <w:t>Committee on Economic, Social and Cultural Rights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No. 14: </w:t>
      </w:r>
      <w:r w:rsidR="00891BEF" w:rsidRPr="00C9465D">
        <w:rPr>
          <w:sz w:val="16"/>
          <w:szCs w:val="16"/>
          <w:lang w:val="en-US"/>
        </w:rPr>
        <w:t>The right to the highest attainable standard of health</w:t>
      </w:r>
      <w:r w:rsidRPr="00C9465D">
        <w:rPr>
          <w:sz w:val="16"/>
          <w:szCs w:val="16"/>
          <w:lang w:val="en-US"/>
        </w:rPr>
        <w:t xml:space="preserve">, </w:t>
      </w:r>
      <w:r w:rsidR="00891BEF" w:rsidRPr="00C9465D">
        <w:rPr>
          <w:sz w:val="16"/>
          <w:szCs w:val="16"/>
          <w:lang w:val="en-US"/>
        </w:rPr>
        <w:t>August 11,</w:t>
      </w:r>
      <w:r w:rsidRPr="00C9465D">
        <w:rPr>
          <w:sz w:val="16"/>
          <w:szCs w:val="16"/>
          <w:lang w:val="en-US"/>
        </w:rPr>
        <w:t xml:space="preserve"> 2000, UN Doc. E/C.12/2000/4</w:t>
      </w:r>
      <w:r w:rsidRPr="00C9465D">
        <w:rPr>
          <w:rStyle w:val="Strong"/>
          <w:b w:val="0"/>
          <w:sz w:val="16"/>
          <w:szCs w:val="16"/>
          <w:lang w:val="en-US"/>
        </w:rPr>
        <w:t xml:space="preserve">, </w:t>
      </w:r>
      <w:r w:rsidR="00D8466F" w:rsidRPr="00C9465D">
        <w:rPr>
          <w:sz w:val="16"/>
          <w:szCs w:val="16"/>
          <w:lang w:val="en-US"/>
        </w:rPr>
        <w:t>para.</w:t>
      </w:r>
      <w:r w:rsidRPr="00C9465D">
        <w:rPr>
          <w:sz w:val="16"/>
          <w:szCs w:val="16"/>
          <w:lang w:val="en-US"/>
        </w:rPr>
        <w:t xml:space="preserve"> 26. </w:t>
      </w:r>
      <w:r w:rsidR="00077CF2" w:rsidRPr="00C9465D">
        <w:rPr>
          <w:sz w:val="16"/>
          <w:szCs w:val="16"/>
          <w:lang w:val="en-US"/>
        </w:rPr>
        <w:t>See also,</w:t>
      </w:r>
      <w:r w:rsidRPr="00C9465D">
        <w:rPr>
          <w:sz w:val="16"/>
          <w:szCs w:val="16"/>
          <w:lang w:val="en-US"/>
        </w:rPr>
        <w:t xml:space="preserve"> </w:t>
      </w:r>
      <w:r w:rsidR="00B07FDE" w:rsidRPr="00C9465D">
        <w:rPr>
          <w:sz w:val="16"/>
          <w:szCs w:val="16"/>
          <w:lang w:val="en-US" w:eastAsia="es-ES"/>
        </w:rPr>
        <w:t>Standard Rules on the Equalization of Opportunities for Persons with Disabilities</w:t>
      </w:r>
      <w:r w:rsidRPr="00C9465D">
        <w:rPr>
          <w:sz w:val="16"/>
          <w:szCs w:val="16"/>
          <w:lang w:val="en-US" w:eastAsia="es-ES"/>
        </w:rPr>
        <w:t xml:space="preserve">, </w:t>
      </w:r>
      <w:r w:rsidR="00077CF2" w:rsidRPr="00C9465D">
        <w:rPr>
          <w:sz w:val="16"/>
          <w:szCs w:val="16"/>
          <w:lang w:val="en-US" w:eastAsia="es-ES"/>
        </w:rPr>
        <w:t>adopted by the United Nations General Assembly, 48the session, annex to Resolution 48/96</w:t>
      </w:r>
      <w:r w:rsidRPr="00C9465D">
        <w:rPr>
          <w:sz w:val="16"/>
          <w:szCs w:val="16"/>
          <w:lang w:val="en-US" w:eastAsia="es-ES"/>
        </w:rPr>
        <w:t xml:space="preserve">, </w:t>
      </w:r>
      <w:r w:rsidR="00193CBB" w:rsidRPr="00C9465D">
        <w:rPr>
          <w:sz w:val="16"/>
          <w:szCs w:val="16"/>
          <w:lang w:val="en-US" w:eastAsia="es-ES"/>
        </w:rPr>
        <w:t>Article</w:t>
      </w:r>
      <w:r w:rsidRPr="00C9465D">
        <w:rPr>
          <w:sz w:val="16"/>
          <w:szCs w:val="16"/>
          <w:lang w:val="en-US" w:eastAsia="es-ES"/>
        </w:rPr>
        <w:t>s 2</w:t>
      </w:r>
      <w:r w:rsidR="00193CBB" w:rsidRPr="00C9465D">
        <w:rPr>
          <w:sz w:val="16"/>
          <w:szCs w:val="16"/>
          <w:lang w:val="en-US" w:eastAsia="es-ES"/>
        </w:rPr>
        <w:t xml:space="preserve"> and </w:t>
      </w:r>
      <w:r w:rsidRPr="00C9465D">
        <w:rPr>
          <w:sz w:val="16"/>
          <w:szCs w:val="16"/>
          <w:lang w:val="en-US" w:eastAsia="es-ES"/>
        </w:rPr>
        <w:t>3.</w:t>
      </w:r>
    </w:p>
  </w:footnote>
  <w:footnote w:id="197">
    <w:p w14:paraId="7AF0180C" w14:textId="181B7723" w:rsidR="00300482" w:rsidRPr="00C9465D" w:rsidRDefault="00300482" w:rsidP="00BD26CF">
      <w:pPr>
        <w:pStyle w:val="FootnoteText"/>
        <w:tabs>
          <w:tab w:val="left" w:pos="567"/>
        </w:tabs>
        <w:spacing w:after="120"/>
        <w:rPr>
          <w:sz w:val="16"/>
          <w:szCs w:val="16"/>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B07FDE" w:rsidRPr="00C9465D">
        <w:rPr>
          <w:sz w:val="16"/>
          <w:szCs w:val="16"/>
          <w:lang w:val="en-US"/>
        </w:rPr>
        <w:t>Committee on Economic, Social and Cultural Rights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No. 22: </w:t>
      </w:r>
      <w:r w:rsidR="00151497" w:rsidRPr="00C9465D">
        <w:rPr>
          <w:sz w:val="16"/>
          <w:szCs w:val="16"/>
          <w:lang w:val="en-US"/>
        </w:rPr>
        <w:t>Th</w:t>
      </w:r>
      <w:r w:rsidR="00260D95" w:rsidRPr="00C9465D">
        <w:rPr>
          <w:sz w:val="16"/>
          <w:szCs w:val="16"/>
          <w:lang w:val="en-US"/>
        </w:rPr>
        <w:t xml:space="preserve">e right to </w:t>
      </w:r>
      <w:r w:rsidR="00151497" w:rsidRPr="00C9465D">
        <w:rPr>
          <w:sz w:val="16"/>
          <w:szCs w:val="16"/>
          <w:lang w:val="en-US"/>
        </w:rPr>
        <w:t>s</w:t>
      </w:r>
      <w:r w:rsidRPr="00C9465D">
        <w:rPr>
          <w:sz w:val="16"/>
          <w:szCs w:val="16"/>
          <w:lang w:val="en-US"/>
        </w:rPr>
        <w:t>exual</w:t>
      </w:r>
      <w:r w:rsidR="00193CBB" w:rsidRPr="00C9465D">
        <w:rPr>
          <w:sz w:val="16"/>
          <w:szCs w:val="16"/>
          <w:lang w:val="en-US"/>
        </w:rPr>
        <w:t xml:space="preserve"> and </w:t>
      </w:r>
      <w:r w:rsidRPr="00C9465D">
        <w:rPr>
          <w:sz w:val="16"/>
          <w:szCs w:val="16"/>
          <w:lang w:val="en-US"/>
        </w:rPr>
        <w:t>reproductiv</w:t>
      </w:r>
      <w:r w:rsidR="00151497" w:rsidRPr="00C9465D">
        <w:rPr>
          <w:sz w:val="16"/>
          <w:szCs w:val="16"/>
          <w:lang w:val="en-US"/>
        </w:rPr>
        <w:t>e health</w:t>
      </w:r>
      <w:r w:rsidRPr="00C9465D">
        <w:rPr>
          <w:sz w:val="16"/>
          <w:szCs w:val="16"/>
          <w:lang w:val="en-US"/>
        </w:rPr>
        <w:t xml:space="preserve">, </w:t>
      </w:r>
      <w:r w:rsidR="00151497" w:rsidRPr="00C9465D">
        <w:rPr>
          <w:sz w:val="16"/>
          <w:szCs w:val="16"/>
          <w:lang w:val="en-US"/>
        </w:rPr>
        <w:t>May 2,</w:t>
      </w:r>
      <w:r w:rsidRPr="00C9465D">
        <w:rPr>
          <w:sz w:val="16"/>
          <w:szCs w:val="16"/>
          <w:lang w:val="en-US"/>
        </w:rPr>
        <w:t xml:space="preserve"> 2016, UN</w:t>
      </w:r>
      <w:r w:rsidR="00151497" w:rsidRPr="00C9465D">
        <w:rPr>
          <w:sz w:val="16"/>
          <w:szCs w:val="16"/>
          <w:lang w:val="en-US"/>
        </w:rPr>
        <w:t xml:space="preserve"> </w:t>
      </w:r>
      <w:r w:rsidRPr="00C9465D">
        <w:rPr>
          <w:sz w:val="16"/>
          <w:szCs w:val="16"/>
          <w:lang w:val="en-US"/>
        </w:rPr>
        <w:t xml:space="preserve">Doc. </w:t>
      </w:r>
      <w:r w:rsidRPr="00C9465D">
        <w:rPr>
          <w:sz w:val="16"/>
          <w:szCs w:val="16"/>
        </w:rPr>
        <w:t>E/C.12/GC/22</w:t>
      </w:r>
      <w:r w:rsidRPr="00C9465D">
        <w:rPr>
          <w:rStyle w:val="Strong"/>
          <w:b w:val="0"/>
          <w:sz w:val="16"/>
          <w:szCs w:val="16"/>
        </w:rPr>
        <w:t xml:space="preserve">, </w:t>
      </w:r>
      <w:r w:rsidR="00D8466F" w:rsidRPr="00C9465D">
        <w:rPr>
          <w:sz w:val="16"/>
          <w:szCs w:val="16"/>
        </w:rPr>
        <w:t>para.</w:t>
      </w:r>
      <w:r w:rsidRPr="00C9465D">
        <w:rPr>
          <w:sz w:val="16"/>
          <w:szCs w:val="16"/>
        </w:rPr>
        <w:t xml:space="preserve"> 24.</w:t>
      </w:r>
    </w:p>
  </w:footnote>
  <w:footnote w:id="198">
    <w:p w14:paraId="67D78589" w14:textId="7371413E"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rPr>
        <w:tab/>
      </w:r>
      <w:r w:rsidR="00E2299F" w:rsidRPr="00C9465D">
        <w:rPr>
          <w:i/>
          <w:sz w:val="16"/>
          <w:szCs w:val="16"/>
        </w:rPr>
        <w:t>Cf.</w:t>
      </w:r>
      <w:r w:rsidRPr="00C9465D">
        <w:rPr>
          <w:rStyle w:val="Strong"/>
          <w:sz w:val="16"/>
          <w:szCs w:val="16"/>
          <w:shd w:val="clear" w:color="auto" w:fill="FFFFFF"/>
        </w:rPr>
        <w:t xml:space="preserve"> </w:t>
      </w:r>
      <w:r w:rsidR="00D8466F" w:rsidRPr="00C9465D">
        <w:rPr>
          <w:i/>
          <w:sz w:val="16"/>
          <w:szCs w:val="16"/>
        </w:rPr>
        <w:t>Case of</w:t>
      </w:r>
      <w:r w:rsidRPr="00C9465D">
        <w:rPr>
          <w:i/>
          <w:sz w:val="16"/>
          <w:szCs w:val="16"/>
        </w:rPr>
        <w:t xml:space="preserve"> Poblete Vilches</w:t>
      </w:r>
      <w:r w:rsidR="00193CBB" w:rsidRPr="00C9465D">
        <w:rPr>
          <w:i/>
          <w:sz w:val="16"/>
          <w:szCs w:val="16"/>
        </w:rPr>
        <w:t xml:space="preserve"> </w:t>
      </w:r>
      <w:r w:rsidR="00D8466F" w:rsidRPr="00C9465D">
        <w:rPr>
          <w:i/>
          <w:sz w:val="16"/>
          <w:szCs w:val="16"/>
        </w:rPr>
        <w:t>et al. v.</w:t>
      </w:r>
      <w:r w:rsidRPr="00C9465D">
        <w:rPr>
          <w:i/>
          <w:sz w:val="16"/>
          <w:szCs w:val="16"/>
        </w:rPr>
        <w:t xml:space="preserve"> Chile, supra</w:t>
      </w:r>
      <w:r w:rsidRPr="00C9465D">
        <w:rPr>
          <w:sz w:val="16"/>
          <w:szCs w:val="16"/>
        </w:rPr>
        <w:t xml:space="preserve">, </w:t>
      </w:r>
      <w:r w:rsidR="00D8466F" w:rsidRPr="00C9465D">
        <w:rPr>
          <w:sz w:val="16"/>
          <w:szCs w:val="16"/>
        </w:rPr>
        <w:t>para.</w:t>
      </w:r>
      <w:r w:rsidRPr="00C9465D">
        <w:rPr>
          <w:sz w:val="16"/>
          <w:szCs w:val="16"/>
        </w:rPr>
        <w:t xml:space="preserve"> </w:t>
      </w:r>
      <w:r w:rsidRPr="00C9465D">
        <w:rPr>
          <w:sz w:val="16"/>
          <w:szCs w:val="16"/>
          <w:lang w:val="en-US"/>
        </w:rPr>
        <w:t>104,</w:t>
      </w:r>
      <w:r w:rsidR="00193CBB" w:rsidRPr="00C9465D">
        <w:rPr>
          <w:sz w:val="16"/>
          <w:szCs w:val="16"/>
          <w:lang w:val="en-US"/>
        </w:rPr>
        <w:t xml:space="preserve"> and </w:t>
      </w:r>
      <w:r w:rsidR="00D8466F" w:rsidRPr="00C9465D">
        <w:rPr>
          <w:rStyle w:val="Strong"/>
          <w:b w:val="0"/>
          <w:i/>
          <w:sz w:val="16"/>
          <w:szCs w:val="16"/>
          <w:lang w:val="en-US"/>
        </w:rPr>
        <w:t>Case of</w:t>
      </w:r>
      <w:r w:rsidRPr="00C9465D">
        <w:rPr>
          <w:rStyle w:val="Strong"/>
          <w:b w:val="0"/>
          <w:i/>
          <w:sz w:val="16"/>
          <w:szCs w:val="16"/>
          <w:lang w:val="en-US"/>
        </w:rPr>
        <w:t xml:space="preserve"> Hernández </w:t>
      </w:r>
      <w:r w:rsidR="00193CBB" w:rsidRPr="00C9465D">
        <w:rPr>
          <w:rStyle w:val="Strong"/>
          <w:b w:val="0"/>
          <w:i/>
          <w:sz w:val="16"/>
          <w:szCs w:val="16"/>
          <w:lang w:val="en-US"/>
        </w:rPr>
        <w:t>v.</w:t>
      </w:r>
      <w:r w:rsidRPr="00C9465D">
        <w:rPr>
          <w:rStyle w:val="Strong"/>
          <w:b w:val="0"/>
          <w:i/>
          <w:sz w:val="16"/>
          <w:szCs w:val="16"/>
          <w:lang w:val="en-US"/>
        </w:rPr>
        <w:t xml:space="preserve"> Argentina, supra</w:t>
      </w:r>
      <w:r w:rsidRPr="00C9465D">
        <w:rPr>
          <w:rStyle w:val="Strong"/>
          <w:b w:val="0"/>
          <w:sz w:val="16"/>
          <w:szCs w:val="16"/>
          <w:lang w:val="en-US"/>
        </w:rPr>
        <w:t xml:space="preserve">, </w:t>
      </w:r>
      <w:r w:rsidR="00D8466F" w:rsidRPr="00C9465D">
        <w:rPr>
          <w:rStyle w:val="Strong"/>
          <w:b w:val="0"/>
          <w:sz w:val="16"/>
          <w:szCs w:val="16"/>
          <w:lang w:val="en-US"/>
        </w:rPr>
        <w:t>para.</w:t>
      </w:r>
      <w:r w:rsidRPr="00C9465D">
        <w:rPr>
          <w:rStyle w:val="Strong"/>
          <w:b w:val="0"/>
          <w:sz w:val="16"/>
          <w:szCs w:val="16"/>
          <w:lang w:val="en-US"/>
        </w:rPr>
        <w:t xml:space="preserve"> 81.</w:t>
      </w:r>
    </w:p>
  </w:footnote>
  <w:footnote w:id="199">
    <w:p w14:paraId="522AB84D" w14:textId="57BB21F7"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rStyle w:val="Strong"/>
          <w:b w:val="0"/>
          <w:i/>
          <w:sz w:val="16"/>
          <w:szCs w:val="16"/>
          <w:lang w:val="en-US"/>
        </w:rPr>
        <w:t>Case of</w:t>
      </w:r>
      <w:r w:rsidRPr="00C9465D">
        <w:rPr>
          <w:rStyle w:val="Strong"/>
          <w:b w:val="0"/>
          <w:i/>
          <w:sz w:val="16"/>
          <w:szCs w:val="16"/>
          <w:lang w:val="en-US"/>
        </w:rPr>
        <w:t xml:space="preserve"> Muelle Flores </w:t>
      </w:r>
      <w:r w:rsidR="00193CBB" w:rsidRPr="00C9465D">
        <w:rPr>
          <w:rStyle w:val="Strong"/>
          <w:b w:val="0"/>
          <w:i/>
          <w:sz w:val="16"/>
          <w:szCs w:val="16"/>
          <w:lang w:val="en-US"/>
        </w:rPr>
        <w:t>v.</w:t>
      </w:r>
      <w:r w:rsidRPr="00C9465D">
        <w:rPr>
          <w:rStyle w:val="Strong"/>
          <w:b w:val="0"/>
          <w:i/>
          <w:sz w:val="16"/>
          <w:szCs w:val="16"/>
          <w:lang w:val="en-US"/>
        </w:rPr>
        <w:t xml:space="preserve"> </w:t>
      </w:r>
      <w:r w:rsidR="001902D2" w:rsidRPr="00C9465D">
        <w:rPr>
          <w:rStyle w:val="Strong"/>
          <w:b w:val="0"/>
          <w:i/>
          <w:sz w:val="16"/>
          <w:szCs w:val="16"/>
          <w:lang w:val="en-US"/>
        </w:rPr>
        <w:t>Peru</w:t>
      </w:r>
      <w:r w:rsidRPr="00C9465D">
        <w:rPr>
          <w:rStyle w:val="Strong"/>
          <w:b w:val="0"/>
          <w:i/>
          <w:sz w:val="16"/>
          <w:szCs w:val="16"/>
          <w:lang w:val="en-US"/>
        </w:rPr>
        <w:t xml:space="preserve">. </w:t>
      </w:r>
      <w:r w:rsidR="00D8466F" w:rsidRPr="00C9465D">
        <w:rPr>
          <w:rStyle w:val="Strong"/>
          <w:b w:val="0"/>
          <w:i/>
          <w:sz w:val="16"/>
          <w:szCs w:val="16"/>
          <w:lang w:val="en-US"/>
        </w:rPr>
        <w:t>Preliminary objections, merits</w:t>
      </w:r>
      <w:r w:rsidR="00193CBB" w:rsidRPr="00C9465D">
        <w:rPr>
          <w:rStyle w:val="Strong"/>
          <w:b w:val="0"/>
          <w:i/>
          <w:sz w:val="16"/>
          <w:szCs w:val="16"/>
          <w:lang w:val="en-US"/>
        </w:rPr>
        <w:t>, reparations and costs</w:t>
      </w:r>
      <w:r w:rsidRPr="00C9465D">
        <w:rPr>
          <w:rStyle w:val="Strong"/>
          <w:b w:val="0"/>
          <w:i/>
          <w:sz w:val="16"/>
          <w:szCs w:val="16"/>
          <w:lang w:val="en-US"/>
        </w:rPr>
        <w:t>.</w:t>
      </w:r>
      <w:r w:rsidRPr="00C9465D">
        <w:rPr>
          <w:rStyle w:val="Strong"/>
          <w:b w:val="0"/>
          <w:sz w:val="16"/>
          <w:szCs w:val="16"/>
          <w:lang w:val="en-US"/>
        </w:rPr>
        <w:t xml:space="preserve"> </w:t>
      </w:r>
      <w:r w:rsidR="00D8466F" w:rsidRPr="00C9465D">
        <w:rPr>
          <w:rStyle w:val="Strong"/>
          <w:b w:val="0"/>
          <w:sz w:val="16"/>
          <w:szCs w:val="16"/>
          <w:lang w:val="en-US"/>
        </w:rPr>
        <w:t>Judgment of</w:t>
      </w:r>
      <w:r w:rsidRPr="00C9465D">
        <w:rPr>
          <w:rStyle w:val="Strong"/>
          <w:b w:val="0"/>
          <w:sz w:val="16"/>
          <w:szCs w:val="16"/>
          <w:lang w:val="en-US"/>
        </w:rPr>
        <w:t xml:space="preserve"> </w:t>
      </w:r>
      <w:r w:rsidR="00197FB3" w:rsidRPr="00C9465D">
        <w:rPr>
          <w:rStyle w:val="Strong"/>
          <w:b w:val="0"/>
          <w:sz w:val="16"/>
          <w:szCs w:val="16"/>
          <w:lang w:val="en-US"/>
        </w:rPr>
        <w:t xml:space="preserve">March </w:t>
      </w:r>
      <w:r w:rsidRPr="00C9465D">
        <w:rPr>
          <w:rStyle w:val="Strong"/>
          <w:b w:val="0"/>
          <w:sz w:val="16"/>
          <w:szCs w:val="16"/>
          <w:lang w:val="en-US"/>
        </w:rPr>
        <w:t>6</w:t>
      </w:r>
      <w:r w:rsidR="00197FB3" w:rsidRPr="00C9465D">
        <w:rPr>
          <w:rStyle w:val="Strong"/>
          <w:b w:val="0"/>
          <w:sz w:val="16"/>
          <w:szCs w:val="16"/>
          <w:lang w:val="en-US"/>
        </w:rPr>
        <w:t xml:space="preserve">, </w:t>
      </w:r>
      <w:r w:rsidRPr="00C9465D">
        <w:rPr>
          <w:rStyle w:val="Strong"/>
          <w:b w:val="0"/>
          <w:sz w:val="16"/>
          <w:szCs w:val="16"/>
          <w:lang w:val="en-US"/>
        </w:rPr>
        <w:t xml:space="preserve">2019. </w:t>
      </w:r>
      <w:r w:rsidR="00E2299F" w:rsidRPr="00C9465D">
        <w:rPr>
          <w:rStyle w:val="Strong"/>
          <w:b w:val="0"/>
          <w:sz w:val="16"/>
          <w:szCs w:val="16"/>
          <w:lang w:val="en-US"/>
        </w:rPr>
        <w:t xml:space="preserve">Series </w:t>
      </w:r>
      <w:r w:rsidRPr="00C9465D">
        <w:rPr>
          <w:rStyle w:val="Strong"/>
          <w:b w:val="0"/>
          <w:sz w:val="16"/>
          <w:szCs w:val="16"/>
          <w:lang w:val="en-US"/>
        </w:rPr>
        <w:t xml:space="preserve">C No. 375, </w:t>
      </w:r>
      <w:r w:rsidR="00D8466F" w:rsidRPr="00C9465D">
        <w:rPr>
          <w:rStyle w:val="Strong"/>
          <w:b w:val="0"/>
          <w:sz w:val="16"/>
          <w:szCs w:val="16"/>
          <w:lang w:val="en-US"/>
        </w:rPr>
        <w:t>para.</w:t>
      </w:r>
      <w:r w:rsidRPr="00C9465D">
        <w:rPr>
          <w:rStyle w:val="Strong"/>
          <w:b w:val="0"/>
          <w:sz w:val="16"/>
          <w:szCs w:val="16"/>
          <w:lang w:val="en-US"/>
        </w:rPr>
        <w:t xml:space="preserve"> 190</w:t>
      </w:r>
      <w:r w:rsidRPr="00C9465D">
        <w:rPr>
          <w:sz w:val="16"/>
          <w:szCs w:val="16"/>
          <w:lang w:val="en-US"/>
        </w:rPr>
        <w:t>,</w:t>
      </w:r>
      <w:r w:rsidR="00193CBB" w:rsidRPr="00C9465D">
        <w:rPr>
          <w:sz w:val="16"/>
          <w:szCs w:val="16"/>
          <w:lang w:val="en-US"/>
        </w:rPr>
        <w:t xml:space="preserve"> and </w:t>
      </w:r>
      <w:r w:rsidR="00D8466F" w:rsidRPr="00C9465D">
        <w:rPr>
          <w:rStyle w:val="Strong"/>
          <w:b w:val="0"/>
          <w:i/>
          <w:sz w:val="16"/>
          <w:szCs w:val="16"/>
          <w:lang w:val="en-US"/>
        </w:rPr>
        <w:t>Case of</w:t>
      </w:r>
      <w:r w:rsidRPr="00C9465D">
        <w:rPr>
          <w:rStyle w:val="Strong"/>
          <w:b w:val="0"/>
          <w:i/>
          <w:sz w:val="16"/>
          <w:szCs w:val="16"/>
          <w:lang w:val="en-US"/>
        </w:rPr>
        <w:t xml:space="preserve"> Hernández </w:t>
      </w:r>
      <w:r w:rsidR="00193CBB" w:rsidRPr="00C9465D">
        <w:rPr>
          <w:rStyle w:val="Strong"/>
          <w:b w:val="0"/>
          <w:i/>
          <w:sz w:val="16"/>
          <w:szCs w:val="16"/>
          <w:lang w:val="en-US"/>
        </w:rPr>
        <w:t>v.</w:t>
      </w:r>
      <w:r w:rsidRPr="00C9465D">
        <w:rPr>
          <w:rStyle w:val="Strong"/>
          <w:b w:val="0"/>
          <w:i/>
          <w:sz w:val="16"/>
          <w:szCs w:val="16"/>
          <w:lang w:val="en-US"/>
        </w:rPr>
        <w:t xml:space="preserve"> Argentina, supra</w:t>
      </w:r>
      <w:r w:rsidRPr="00C9465D">
        <w:rPr>
          <w:rStyle w:val="Strong"/>
          <w:b w:val="0"/>
          <w:sz w:val="16"/>
          <w:szCs w:val="16"/>
          <w:lang w:val="en-US"/>
        </w:rPr>
        <w:t xml:space="preserve">, </w:t>
      </w:r>
      <w:r w:rsidR="00D8466F" w:rsidRPr="00C9465D">
        <w:rPr>
          <w:rStyle w:val="Strong"/>
          <w:b w:val="0"/>
          <w:sz w:val="16"/>
          <w:szCs w:val="16"/>
          <w:lang w:val="en-US"/>
        </w:rPr>
        <w:t>para.</w:t>
      </w:r>
      <w:r w:rsidRPr="00C9465D">
        <w:rPr>
          <w:rStyle w:val="Strong"/>
          <w:b w:val="0"/>
          <w:sz w:val="16"/>
          <w:szCs w:val="16"/>
          <w:lang w:val="en-US"/>
        </w:rPr>
        <w:t xml:space="preserve"> 81.</w:t>
      </w:r>
    </w:p>
  </w:footnote>
  <w:footnote w:id="200">
    <w:p w14:paraId="2D807161" w14:textId="1FADEEAB"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561A0C" w:rsidRPr="00C9465D">
        <w:rPr>
          <w:sz w:val="16"/>
          <w:szCs w:val="16"/>
          <w:lang w:val="en-US"/>
        </w:rPr>
        <w:t>Constitution</w:t>
      </w:r>
      <w:r w:rsidR="00092D8C" w:rsidRPr="00C9465D">
        <w:rPr>
          <w:sz w:val="16"/>
          <w:szCs w:val="16"/>
          <w:lang w:val="en-US"/>
        </w:rPr>
        <w:t xml:space="preserve"> of the </w:t>
      </w:r>
      <w:r w:rsidR="00E2299F" w:rsidRPr="00C9465D">
        <w:rPr>
          <w:sz w:val="16"/>
          <w:szCs w:val="16"/>
          <w:lang w:val="en-US"/>
        </w:rPr>
        <w:t>Republic of</w:t>
      </w:r>
      <w:r w:rsidRPr="00C9465D">
        <w:rPr>
          <w:sz w:val="16"/>
          <w:szCs w:val="16"/>
          <w:lang w:val="en-US"/>
        </w:rPr>
        <w:t xml:space="preserve"> Ecuador, 1998, </w:t>
      </w:r>
      <w:r w:rsidR="00197FB3" w:rsidRPr="00C9465D">
        <w:rPr>
          <w:sz w:val="16"/>
          <w:szCs w:val="16"/>
          <w:lang w:val="en-US"/>
        </w:rPr>
        <w:t>a</w:t>
      </w:r>
      <w:r w:rsidR="00193CBB" w:rsidRPr="00C9465D">
        <w:rPr>
          <w:sz w:val="16"/>
          <w:szCs w:val="16"/>
          <w:lang w:val="en-US"/>
        </w:rPr>
        <w:t>rticle</w:t>
      </w:r>
      <w:r w:rsidRPr="00C9465D">
        <w:rPr>
          <w:sz w:val="16"/>
          <w:szCs w:val="16"/>
          <w:lang w:val="en-US"/>
        </w:rPr>
        <w:t xml:space="preserve"> 23.20 (</w:t>
      </w:r>
      <w:r w:rsidR="00153C9F" w:rsidRPr="00C9465D">
        <w:rPr>
          <w:sz w:val="16"/>
          <w:szCs w:val="16"/>
          <w:lang w:val="en-US"/>
        </w:rPr>
        <w:t>evidence file</w:t>
      </w:r>
      <w:r w:rsidRPr="00C9465D">
        <w:rPr>
          <w:sz w:val="16"/>
          <w:szCs w:val="16"/>
          <w:lang w:val="en-US"/>
        </w:rPr>
        <w:t>, folio 8794),</w:t>
      </w:r>
      <w:r w:rsidR="00193CBB" w:rsidRPr="00C9465D">
        <w:rPr>
          <w:sz w:val="16"/>
          <w:szCs w:val="16"/>
          <w:lang w:val="en-US"/>
        </w:rPr>
        <w:t xml:space="preserve"> and </w:t>
      </w:r>
      <w:r w:rsidR="00197FB3" w:rsidRPr="00C9465D">
        <w:rPr>
          <w:sz w:val="16"/>
          <w:szCs w:val="16"/>
          <w:lang w:val="en-US"/>
        </w:rPr>
        <w:t>Organic Law of the National Health System</w:t>
      </w:r>
      <w:r w:rsidRPr="00C9465D">
        <w:rPr>
          <w:sz w:val="16"/>
          <w:szCs w:val="16"/>
          <w:lang w:val="en-US"/>
        </w:rPr>
        <w:t xml:space="preserve">, </w:t>
      </w:r>
      <w:r w:rsidR="00197FB3" w:rsidRPr="00C9465D">
        <w:rPr>
          <w:sz w:val="16"/>
          <w:szCs w:val="16"/>
          <w:lang w:val="en-US"/>
        </w:rPr>
        <w:t>a</w:t>
      </w:r>
      <w:r w:rsidR="00193CBB" w:rsidRPr="00C9465D">
        <w:rPr>
          <w:sz w:val="16"/>
          <w:szCs w:val="16"/>
          <w:lang w:val="en-US"/>
        </w:rPr>
        <w:t>rticle</w:t>
      </w:r>
      <w:r w:rsidRPr="00C9465D">
        <w:rPr>
          <w:sz w:val="16"/>
          <w:szCs w:val="16"/>
          <w:lang w:val="en-US"/>
        </w:rPr>
        <w:t>s 3</w:t>
      </w:r>
      <w:r w:rsidR="00193CBB" w:rsidRPr="00C9465D">
        <w:rPr>
          <w:sz w:val="16"/>
          <w:szCs w:val="16"/>
          <w:lang w:val="en-US"/>
        </w:rPr>
        <w:t xml:space="preserve"> and </w:t>
      </w:r>
      <w:r w:rsidRPr="00C9465D">
        <w:rPr>
          <w:sz w:val="16"/>
          <w:szCs w:val="16"/>
          <w:lang w:val="en-US"/>
        </w:rPr>
        <w:t>4 (</w:t>
      </w:r>
      <w:r w:rsidR="00153C9F" w:rsidRPr="00C9465D">
        <w:rPr>
          <w:sz w:val="16"/>
          <w:szCs w:val="16"/>
          <w:lang w:val="en-US"/>
        </w:rPr>
        <w:t>evidence file</w:t>
      </w:r>
      <w:r w:rsidRPr="00C9465D">
        <w:rPr>
          <w:sz w:val="16"/>
          <w:szCs w:val="16"/>
          <w:lang w:val="en-US"/>
        </w:rPr>
        <w:t>, folio 9078).</w:t>
      </w:r>
    </w:p>
  </w:footnote>
  <w:footnote w:id="201">
    <w:p w14:paraId="5C004885" w14:textId="12727861"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532DEC" w:rsidRPr="00C9465D">
        <w:rPr>
          <w:sz w:val="16"/>
          <w:szCs w:val="16"/>
          <w:lang w:val="en-US"/>
        </w:rPr>
        <w:t>Report of the United Nations Special Rapporteur on the right of everyone to the enjoyment of the highest attainable standard of physical and mental health</w:t>
      </w:r>
      <w:r w:rsidRPr="00C9465D">
        <w:rPr>
          <w:sz w:val="16"/>
          <w:szCs w:val="16"/>
          <w:lang w:val="en-US"/>
        </w:rPr>
        <w:t xml:space="preserve">, </w:t>
      </w:r>
      <w:r w:rsidR="00532DEC" w:rsidRPr="00C9465D">
        <w:rPr>
          <w:sz w:val="16"/>
          <w:szCs w:val="16"/>
          <w:lang w:val="en-US"/>
        </w:rPr>
        <w:t>August 10,</w:t>
      </w:r>
      <w:r w:rsidRPr="00C9465D">
        <w:rPr>
          <w:sz w:val="16"/>
          <w:szCs w:val="16"/>
          <w:lang w:val="en-US"/>
        </w:rPr>
        <w:t xml:space="preserve"> 2009, </w:t>
      </w:r>
      <w:r w:rsidR="00532DEC" w:rsidRPr="00C9465D">
        <w:rPr>
          <w:sz w:val="16"/>
          <w:szCs w:val="16"/>
          <w:lang w:val="en-US"/>
        </w:rPr>
        <w:t>UN Doc.</w:t>
      </w:r>
      <w:r w:rsidRPr="00C9465D">
        <w:rPr>
          <w:sz w:val="16"/>
          <w:szCs w:val="16"/>
          <w:lang w:val="en-US"/>
        </w:rPr>
        <w:t xml:space="preserve"> A/64/272, </w:t>
      </w:r>
      <w:r w:rsidR="00D8466F" w:rsidRPr="00C9465D">
        <w:rPr>
          <w:sz w:val="16"/>
          <w:szCs w:val="16"/>
          <w:lang w:val="en-US"/>
        </w:rPr>
        <w:t>para.</w:t>
      </w:r>
      <w:r w:rsidRPr="00C9465D">
        <w:rPr>
          <w:sz w:val="16"/>
          <w:szCs w:val="16"/>
          <w:lang w:val="en-US"/>
        </w:rPr>
        <w:t xml:space="preserve"> 18, </w:t>
      </w:r>
      <w:r w:rsidR="00532DEC" w:rsidRPr="00C9465D">
        <w:rPr>
          <w:sz w:val="16"/>
          <w:szCs w:val="16"/>
          <w:lang w:val="en-US"/>
        </w:rPr>
        <w:t>and</w:t>
      </w:r>
      <w:r w:rsidRPr="00C9465D">
        <w:rPr>
          <w:sz w:val="16"/>
          <w:szCs w:val="16"/>
          <w:lang w:val="en-US"/>
        </w:rPr>
        <w:t xml:space="preserve"> </w:t>
      </w:r>
      <w:r w:rsidR="00532DEC" w:rsidRPr="00C9465D">
        <w:rPr>
          <w:sz w:val="16"/>
          <w:szCs w:val="16"/>
          <w:lang w:val="en-US"/>
        </w:rPr>
        <w:t>Report of the United Nations Special Rapporteur on the rights of</w:t>
      </w:r>
      <w:r w:rsidRPr="00C9465D">
        <w:rPr>
          <w:sz w:val="16"/>
          <w:szCs w:val="16"/>
          <w:lang w:val="en-US"/>
        </w:rPr>
        <w:t xml:space="preserve"> </w:t>
      </w:r>
      <w:r w:rsidR="00D85850" w:rsidRPr="00C9465D">
        <w:rPr>
          <w:sz w:val="16"/>
          <w:szCs w:val="16"/>
          <w:lang w:val="en-US"/>
        </w:rPr>
        <w:t>persons with disabilities</w:t>
      </w:r>
      <w:r w:rsidRPr="00C9465D">
        <w:rPr>
          <w:sz w:val="16"/>
          <w:szCs w:val="16"/>
          <w:lang w:val="en-US"/>
        </w:rPr>
        <w:t xml:space="preserve">, </w:t>
      </w:r>
      <w:r w:rsidR="00532DEC" w:rsidRPr="00C9465D">
        <w:rPr>
          <w:sz w:val="16"/>
          <w:szCs w:val="16"/>
          <w:lang w:val="en-US"/>
        </w:rPr>
        <w:t>March 28,</w:t>
      </w:r>
      <w:r w:rsidRPr="00C9465D">
        <w:rPr>
          <w:sz w:val="16"/>
          <w:szCs w:val="16"/>
          <w:lang w:val="en-US"/>
        </w:rPr>
        <w:t xml:space="preserve"> 2017, </w:t>
      </w:r>
      <w:r w:rsidR="00532DEC" w:rsidRPr="00C9465D">
        <w:rPr>
          <w:sz w:val="16"/>
          <w:szCs w:val="16"/>
          <w:lang w:val="en-US"/>
        </w:rPr>
        <w:t>UN Doc.</w:t>
      </w:r>
      <w:r w:rsidRPr="00C9465D">
        <w:rPr>
          <w:sz w:val="16"/>
          <w:szCs w:val="16"/>
          <w:lang w:val="en-US"/>
        </w:rPr>
        <w:t xml:space="preserve"> A/HRC/35/21, </w:t>
      </w:r>
      <w:r w:rsidR="00D8466F" w:rsidRPr="00C9465D">
        <w:rPr>
          <w:sz w:val="16"/>
          <w:szCs w:val="16"/>
          <w:lang w:val="en-US"/>
        </w:rPr>
        <w:t>para.</w:t>
      </w:r>
      <w:r w:rsidRPr="00C9465D">
        <w:rPr>
          <w:sz w:val="16"/>
          <w:szCs w:val="16"/>
          <w:lang w:val="en-US"/>
        </w:rPr>
        <w:t xml:space="preserve"> 63. </w:t>
      </w:r>
      <w:r w:rsidR="00532DEC" w:rsidRPr="00C9465D">
        <w:rPr>
          <w:iCs/>
          <w:sz w:val="16"/>
          <w:szCs w:val="16"/>
          <w:lang w:val="en-US"/>
        </w:rPr>
        <w:t>See also</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Poblete Vilches</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Chile,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w:t>
      </w:r>
      <w:r w:rsidRPr="00C9465D">
        <w:rPr>
          <w:rStyle w:val="Strong"/>
          <w:b w:val="0"/>
          <w:color w:val="000000"/>
          <w:sz w:val="16"/>
          <w:szCs w:val="16"/>
          <w:shd w:val="clear" w:color="auto" w:fill="FFFFFF"/>
          <w:lang w:val="en-US"/>
        </w:rPr>
        <w:t>160.</w:t>
      </w:r>
    </w:p>
  </w:footnote>
  <w:footnote w:id="202">
    <w:p w14:paraId="11EB0C8E" w14:textId="3A7F52EA" w:rsidR="00300482" w:rsidRPr="00C9465D" w:rsidRDefault="00300482" w:rsidP="00BD26CF">
      <w:pPr>
        <w:pStyle w:val="FootnoteText"/>
        <w:tabs>
          <w:tab w:val="left" w:pos="567"/>
        </w:tabs>
        <w:spacing w:after="120"/>
        <w:rPr>
          <w:b/>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532DEC" w:rsidRPr="00C9465D">
        <w:rPr>
          <w:bCs/>
          <w:sz w:val="16"/>
          <w:szCs w:val="16"/>
          <w:lang w:val="en-US"/>
        </w:rPr>
        <w:t>Committee on the Rights of Persons with Disabilities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w:t>
      </w:r>
      <w:r w:rsidR="00B1525D" w:rsidRPr="00C9465D">
        <w:rPr>
          <w:sz w:val="16"/>
          <w:szCs w:val="16"/>
          <w:lang w:val="en-US"/>
        </w:rPr>
        <w:t>No.</w:t>
      </w:r>
      <w:r w:rsidRPr="00C9465D">
        <w:rPr>
          <w:sz w:val="16"/>
          <w:szCs w:val="16"/>
          <w:lang w:val="en-US"/>
        </w:rPr>
        <w:t xml:space="preserve"> 6: </w:t>
      </w:r>
      <w:r w:rsidR="00532DEC" w:rsidRPr="00C9465D">
        <w:rPr>
          <w:sz w:val="16"/>
          <w:szCs w:val="16"/>
          <w:lang w:val="en-US"/>
        </w:rPr>
        <w:t>Equality and non-discrimination, April 26,</w:t>
      </w:r>
      <w:r w:rsidRPr="00C9465D">
        <w:rPr>
          <w:sz w:val="16"/>
          <w:szCs w:val="16"/>
          <w:lang w:val="en-US"/>
        </w:rPr>
        <w:t xml:space="preserve"> 2018, </w:t>
      </w:r>
      <w:r w:rsidR="00532DEC" w:rsidRPr="00C9465D">
        <w:rPr>
          <w:sz w:val="16"/>
          <w:szCs w:val="16"/>
          <w:lang w:val="en-US"/>
        </w:rPr>
        <w:t>UN Doc.</w:t>
      </w:r>
      <w:r w:rsidRPr="00C9465D">
        <w:rPr>
          <w:sz w:val="16"/>
          <w:szCs w:val="16"/>
          <w:lang w:val="en-US"/>
        </w:rPr>
        <w:t xml:space="preserve"> CRPD/C/GC/6,</w:t>
      </w:r>
      <w:r w:rsidRPr="00C9465D">
        <w:rPr>
          <w:rStyle w:val="Strong"/>
          <w:b w:val="0"/>
          <w:sz w:val="16"/>
          <w:szCs w:val="16"/>
          <w:lang w:val="en-US"/>
        </w:rPr>
        <w:t xml:space="preserve"> </w:t>
      </w:r>
      <w:r w:rsidR="00D8466F" w:rsidRPr="00C9465D">
        <w:rPr>
          <w:rStyle w:val="Strong"/>
          <w:b w:val="0"/>
          <w:sz w:val="16"/>
          <w:szCs w:val="16"/>
          <w:lang w:val="en-US"/>
        </w:rPr>
        <w:t>para.</w:t>
      </w:r>
      <w:r w:rsidRPr="00C9465D">
        <w:rPr>
          <w:rStyle w:val="Strong"/>
          <w:b w:val="0"/>
          <w:sz w:val="16"/>
          <w:szCs w:val="16"/>
          <w:lang w:val="en-US"/>
        </w:rPr>
        <w:t xml:space="preserve"> 48</w:t>
      </w:r>
      <w:r w:rsidRPr="00C9465D">
        <w:rPr>
          <w:sz w:val="16"/>
          <w:szCs w:val="16"/>
          <w:lang w:val="en-US"/>
        </w:rPr>
        <w:t>,</w:t>
      </w:r>
      <w:r w:rsidR="00193CBB" w:rsidRPr="00C9465D">
        <w:rPr>
          <w:sz w:val="16"/>
          <w:szCs w:val="16"/>
          <w:lang w:val="en-US"/>
        </w:rPr>
        <w:t xml:space="preserve"> and </w:t>
      </w:r>
      <w:r w:rsidR="00532DEC" w:rsidRPr="00C9465D">
        <w:rPr>
          <w:sz w:val="16"/>
          <w:szCs w:val="16"/>
          <w:lang w:val="en-US"/>
        </w:rPr>
        <w:t xml:space="preserve">Written version of the expert opinion of </w:t>
      </w:r>
      <w:r w:rsidRPr="00C9465D">
        <w:rPr>
          <w:sz w:val="16"/>
          <w:szCs w:val="16"/>
          <w:lang w:val="en-US"/>
        </w:rPr>
        <w:t>Christian Courtis (</w:t>
      </w:r>
      <w:r w:rsidR="00153C9F" w:rsidRPr="00C9465D">
        <w:rPr>
          <w:sz w:val="16"/>
          <w:szCs w:val="16"/>
          <w:lang w:val="en-US"/>
        </w:rPr>
        <w:t>evidence file</w:t>
      </w:r>
      <w:r w:rsidRPr="00C9465D">
        <w:rPr>
          <w:sz w:val="16"/>
          <w:szCs w:val="16"/>
          <w:lang w:val="en-US"/>
        </w:rPr>
        <w:t xml:space="preserve">, folio 8499). </w:t>
      </w:r>
    </w:p>
  </w:footnote>
  <w:footnote w:id="203">
    <w:p w14:paraId="014D6F31" w14:textId="4C77F0EF"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I.V. </w:t>
      </w:r>
      <w:r w:rsidR="00193CBB" w:rsidRPr="00C9465D">
        <w:rPr>
          <w:i/>
          <w:sz w:val="16"/>
          <w:szCs w:val="16"/>
          <w:lang w:val="en-US"/>
        </w:rPr>
        <w:t>v.</w:t>
      </w:r>
      <w:r w:rsidRPr="00C9465D">
        <w:rPr>
          <w:i/>
          <w:sz w:val="16"/>
          <w:szCs w:val="16"/>
          <w:lang w:val="en-US"/>
        </w:rPr>
        <w:t xml:space="preserve"> Bolivia. </w:t>
      </w:r>
      <w:r w:rsidR="00D8466F" w:rsidRPr="00C9465D">
        <w:rPr>
          <w:i/>
          <w:sz w:val="16"/>
          <w:szCs w:val="16"/>
          <w:lang w:val="en-US"/>
        </w:rPr>
        <w:t>Preliminary objections, merits</w:t>
      </w:r>
      <w:r w:rsidR="00193CBB" w:rsidRPr="00C9465D">
        <w:rPr>
          <w:i/>
          <w:sz w:val="16"/>
          <w:szCs w:val="16"/>
          <w:lang w:val="en-US"/>
        </w:rPr>
        <w:t>, reparations and costs</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532DEC" w:rsidRPr="00C9465D">
        <w:rPr>
          <w:sz w:val="16"/>
          <w:szCs w:val="16"/>
          <w:lang w:val="en-US"/>
        </w:rPr>
        <w:t>November 30,</w:t>
      </w:r>
      <w:r w:rsidRPr="00C9465D">
        <w:rPr>
          <w:sz w:val="16"/>
          <w:szCs w:val="16"/>
          <w:lang w:val="en-US"/>
        </w:rPr>
        <w:t xml:space="preserve"> 2016. </w:t>
      </w:r>
      <w:r w:rsidR="00E2299F" w:rsidRPr="00C9465D">
        <w:rPr>
          <w:sz w:val="16"/>
          <w:szCs w:val="16"/>
          <w:lang w:val="en-US"/>
        </w:rPr>
        <w:t xml:space="preserve">Series </w:t>
      </w:r>
      <w:r w:rsidRPr="00C9465D">
        <w:rPr>
          <w:sz w:val="16"/>
          <w:szCs w:val="16"/>
          <w:lang w:val="en-US"/>
        </w:rPr>
        <w:t xml:space="preserve">C No. 329, </w:t>
      </w:r>
      <w:r w:rsidR="00D8466F" w:rsidRPr="00C9465D">
        <w:rPr>
          <w:sz w:val="16"/>
          <w:szCs w:val="16"/>
          <w:lang w:val="en-US"/>
        </w:rPr>
        <w:t>paras.</w:t>
      </w:r>
      <w:r w:rsidRPr="00C9465D">
        <w:rPr>
          <w:sz w:val="16"/>
          <w:szCs w:val="16"/>
          <w:lang w:val="en-US"/>
        </w:rPr>
        <w:t xml:space="preserve"> 163</w:t>
      </w:r>
      <w:r w:rsidR="00193CBB" w:rsidRPr="00C9465D">
        <w:rPr>
          <w:sz w:val="16"/>
          <w:szCs w:val="16"/>
          <w:lang w:val="en-US"/>
        </w:rPr>
        <w:t xml:space="preserve"> and </w:t>
      </w:r>
      <w:r w:rsidRPr="00C9465D">
        <w:rPr>
          <w:sz w:val="16"/>
          <w:szCs w:val="16"/>
          <w:lang w:val="en-US"/>
        </w:rPr>
        <w:t>165,</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Poblete Vilches</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Chile, supra</w:t>
      </w:r>
      <w:r w:rsidRPr="00C9465D">
        <w:rPr>
          <w:sz w:val="16"/>
          <w:szCs w:val="16"/>
          <w:lang w:val="en-US"/>
        </w:rPr>
        <w:t xml:space="preserve">, </w:t>
      </w:r>
      <w:r w:rsidR="00D8466F" w:rsidRPr="00C9465D">
        <w:rPr>
          <w:rStyle w:val="Strong"/>
          <w:b w:val="0"/>
          <w:color w:val="000000"/>
          <w:sz w:val="16"/>
          <w:szCs w:val="16"/>
          <w:shd w:val="clear" w:color="auto" w:fill="FFFFFF"/>
          <w:lang w:val="en-US"/>
        </w:rPr>
        <w:t>paras.</w:t>
      </w:r>
      <w:r w:rsidRPr="00C9465D">
        <w:rPr>
          <w:rStyle w:val="Strong"/>
          <w:b w:val="0"/>
          <w:color w:val="000000"/>
          <w:sz w:val="16"/>
          <w:szCs w:val="16"/>
          <w:shd w:val="clear" w:color="auto" w:fill="FFFFFF"/>
          <w:lang w:val="en-US"/>
        </w:rPr>
        <w:t xml:space="preserve"> 172</w:t>
      </w:r>
      <w:r w:rsidR="00193CBB" w:rsidRPr="00C9465D">
        <w:rPr>
          <w:rStyle w:val="Strong"/>
          <w:b w:val="0"/>
          <w:color w:val="000000"/>
          <w:sz w:val="16"/>
          <w:szCs w:val="16"/>
          <w:shd w:val="clear" w:color="auto" w:fill="FFFFFF"/>
          <w:lang w:val="en-US"/>
        </w:rPr>
        <w:t xml:space="preserve"> and </w:t>
      </w:r>
      <w:r w:rsidRPr="00C9465D">
        <w:rPr>
          <w:rStyle w:val="Strong"/>
          <w:b w:val="0"/>
          <w:color w:val="000000"/>
          <w:sz w:val="16"/>
          <w:szCs w:val="16"/>
          <w:shd w:val="clear" w:color="auto" w:fill="FFFFFF"/>
          <w:lang w:val="en-US"/>
        </w:rPr>
        <w:t>173.</w:t>
      </w:r>
    </w:p>
  </w:footnote>
  <w:footnote w:id="204">
    <w:p w14:paraId="12AF68D8" w14:textId="7FA259B1"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Velásquez Rodríguez </w:t>
      </w:r>
      <w:r w:rsidR="00193CBB" w:rsidRPr="00C9465D">
        <w:rPr>
          <w:i/>
          <w:sz w:val="16"/>
          <w:szCs w:val="16"/>
          <w:lang w:val="en-US"/>
        </w:rPr>
        <w:t>v.</w:t>
      </w:r>
      <w:r w:rsidRPr="00C9465D">
        <w:rPr>
          <w:i/>
          <w:sz w:val="16"/>
          <w:szCs w:val="16"/>
          <w:lang w:val="en-US"/>
        </w:rPr>
        <w:t xml:space="preserve"> Honduras. </w:t>
      </w:r>
      <w:r w:rsidR="00532DEC" w:rsidRPr="00C9465D">
        <w:rPr>
          <w:i/>
          <w:sz w:val="16"/>
          <w:szCs w:val="16"/>
          <w:lang w:val="en-US"/>
        </w:rPr>
        <w:t>Merits</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532DEC" w:rsidRPr="00C9465D">
        <w:rPr>
          <w:sz w:val="16"/>
          <w:szCs w:val="16"/>
          <w:lang w:val="en-US"/>
        </w:rPr>
        <w:t>July 29,</w:t>
      </w:r>
      <w:r w:rsidRPr="00C9465D">
        <w:rPr>
          <w:sz w:val="16"/>
          <w:szCs w:val="16"/>
          <w:lang w:val="en-US"/>
        </w:rPr>
        <w:t xml:space="preserve"> 1988. </w:t>
      </w:r>
      <w:r w:rsidR="00E2299F" w:rsidRPr="00C9465D">
        <w:rPr>
          <w:sz w:val="16"/>
          <w:szCs w:val="16"/>
          <w:lang w:val="en-US"/>
        </w:rPr>
        <w:t xml:space="preserve">Series </w:t>
      </w:r>
      <w:r w:rsidRPr="00C9465D">
        <w:rPr>
          <w:sz w:val="16"/>
          <w:szCs w:val="16"/>
          <w:lang w:val="en-US"/>
        </w:rPr>
        <w:t xml:space="preserve">C No. 4, </w:t>
      </w:r>
      <w:r w:rsidR="00D8466F" w:rsidRPr="00C9465D">
        <w:rPr>
          <w:sz w:val="16"/>
          <w:szCs w:val="16"/>
          <w:lang w:val="en-US"/>
        </w:rPr>
        <w:t>para.</w:t>
      </w:r>
      <w:r w:rsidRPr="00C9465D">
        <w:rPr>
          <w:sz w:val="16"/>
          <w:szCs w:val="16"/>
          <w:lang w:val="en-US"/>
        </w:rPr>
        <w:t xml:space="preserve"> 163,</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w:t>
      </w:r>
      <w:r w:rsidR="00532DEC" w:rsidRPr="00C9465D">
        <w:rPr>
          <w:i/>
          <w:sz w:val="16"/>
          <w:szCs w:val="16"/>
          <w:lang w:val="en-US"/>
        </w:rPr>
        <w:t xml:space="preserve">the Indigenous Communities of the </w:t>
      </w:r>
      <w:r w:rsidRPr="00C9465D">
        <w:rPr>
          <w:i/>
          <w:sz w:val="16"/>
          <w:szCs w:val="16"/>
          <w:lang w:val="en-US"/>
        </w:rPr>
        <w:t>Lhaka Honhat (</w:t>
      </w:r>
      <w:r w:rsidR="00532DEC" w:rsidRPr="00C9465D">
        <w:rPr>
          <w:i/>
          <w:sz w:val="16"/>
          <w:szCs w:val="16"/>
          <w:lang w:val="en-US"/>
        </w:rPr>
        <w:t>Our Land</w:t>
      </w:r>
      <w:r w:rsidRPr="00C9465D">
        <w:rPr>
          <w:i/>
          <w:sz w:val="16"/>
          <w:szCs w:val="16"/>
          <w:lang w:val="en-US"/>
        </w:rPr>
        <w:t>)</w:t>
      </w:r>
      <w:r w:rsidR="00532DEC" w:rsidRPr="00C9465D">
        <w:rPr>
          <w:i/>
          <w:sz w:val="16"/>
          <w:szCs w:val="16"/>
          <w:lang w:val="en-US"/>
        </w:rPr>
        <w:t xml:space="preserve"> Association</w:t>
      </w:r>
      <w:r w:rsidRPr="00C9465D">
        <w:rPr>
          <w:i/>
          <w:sz w:val="16"/>
          <w:szCs w:val="16"/>
          <w:lang w:val="en-US"/>
        </w:rPr>
        <w:t xml:space="preserve"> </w:t>
      </w:r>
      <w:r w:rsidR="00193CBB" w:rsidRPr="00C9465D">
        <w:rPr>
          <w:i/>
          <w:sz w:val="16"/>
          <w:szCs w:val="16"/>
          <w:lang w:val="en-US"/>
        </w:rPr>
        <w:t>v.</w:t>
      </w:r>
      <w:r w:rsidRPr="00C9465D">
        <w:rPr>
          <w:i/>
          <w:sz w:val="16"/>
          <w:szCs w:val="16"/>
          <w:lang w:val="en-US"/>
        </w:rPr>
        <w:t xml:space="preserve"> Argentina. </w:t>
      </w:r>
      <w:r w:rsidR="00193CBB" w:rsidRPr="00C9465D">
        <w:rPr>
          <w:i/>
          <w:sz w:val="16"/>
          <w:szCs w:val="16"/>
          <w:lang w:val="en-US"/>
        </w:rPr>
        <w:t>Merits, reparations and costs</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532DEC" w:rsidRPr="00C9465D">
        <w:rPr>
          <w:sz w:val="16"/>
          <w:szCs w:val="16"/>
          <w:lang w:val="en-US"/>
        </w:rPr>
        <w:t>February 6,</w:t>
      </w:r>
      <w:r w:rsidRPr="00C9465D">
        <w:rPr>
          <w:sz w:val="16"/>
          <w:szCs w:val="16"/>
          <w:lang w:val="en-US"/>
        </w:rPr>
        <w:t xml:space="preserve"> 2020. </w:t>
      </w:r>
      <w:r w:rsidR="00E2299F" w:rsidRPr="00C9465D">
        <w:rPr>
          <w:sz w:val="16"/>
          <w:szCs w:val="16"/>
          <w:lang w:val="en-US"/>
        </w:rPr>
        <w:t xml:space="preserve">Series </w:t>
      </w:r>
      <w:r w:rsidRPr="00C9465D">
        <w:rPr>
          <w:sz w:val="16"/>
          <w:szCs w:val="16"/>
          <w:lang w:val="en-US"/>
        </w:rPr>
        <w:t xml:space="preserve">C No. 400, </w:t>
      </w:r>
      <w:r w:rsidR="00D8466F" w:rsidRPr="00C9465D">
        <w:rPr>
          <w:sz w:val="16"/>
          <w:szCs w:val="16"/>
          <w:lang w:val="en-US"/>
        </w:rPr>
        <w:t>para.</w:t>
      </w:r>
      <w:r w:rsidRPr="00C9465D">
        <w:rPr>
          <w:sz w:val="16"/>
          <w:szCs w:val="16"/>
          <w:lang w:val="en-US"/>
        </w:rPr>
        <w:t xml:space="preserve"> 200.</w:t>
      </w:r>
    </w:p>
  </w:footnote>
  <w:footnote w:id="205">
    <w:p w14:paraId="6E55E93B" w14:textId="0DD31CD4"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I.V. </w:t>
      </w:r>
      <w:r w:rsidR="00193CBB" w:rsidRPr="00C9465D">
        <w:rPr>
          <w:i/>
          <w:sz w:val="16"/>
          <w:szCs w:val="16"/>
          <w:lang w:val="en-US"/>
        </w:rPr>
        <w:t>v.</w:t>
      </w:r>
      <w:r w:rsidRPr="00C9465D">
        <w:rPr>
          <w:i/>
          <w:sz w:val="16"/>
          <w:szCs w:val="16"/>
          <w:lang w:val="en-US"/>
        </w:rPr>
        <w:t xml:space="preserve"> Bolivia, supra</w:t>
      </w:r>
      <w:r w:rsidRPr="00C9465D">
        <w:rPr>
          <w:sz w:val="16"/>
          <w:szCs w:val="16"/>
          <w:lang w:val="en-US"/>
        </w:rPr>
        <w:t xml:space="preserve">, </w:t>
      </w:r>
      <w:r w:rsidR="00D8466F" w:rsidRPr="00C9465D">
        <w:rPr>
          <w:sz w:val="16"/>
          <w:szCs w:val="16"/>
          <w:lang w:val="en-US"/>
        </w:rPr>
        <w:t>paras.</w:t>
      </w:r>
      <w:r w:rsidRPr="00C9465D">
        <w:rPr>
          <w:sz w:val="16"/>
          <w:szCs w:val="16"/>
          <w:lang w:val="en-US"/>
        </w:rPr>
        <w:t xml:space="preserve"> 163</w:t>
      </w:r>
      <w:r w:rsidR="00193CBB" w:rsidRPr="00C9465D">
        <w:rPr>
          <w:sz w:val="16"/>
          <w:szCs w:val="16"/>
          <w:lang w:val="en-US"/>
        </w:rPr>
        <w:t xml:space="preserve"> and </w:t>
      </w:r>
      <w:r w:rsidRPr="00C9465D">
        <w:rPr>
          <w:sz w:val="16"/>
          <w:szCs w:val="16"/>
          <w:lang w:val="en-US"/>
        </w:rPr>
        <w:t>165,</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Poblete Vilches</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Chile, supra</w:t>
      </w:r>
      <w:r w:rsidRPr="00C9465D">
        <w:rPr>
          <w:sz w:val="16"/>
          <w:szCs w:val="16"/>
          <w:lang w:val="en-US"/>
        </w:rPr>
        <w:t xml:space="preserve">, </w:t>
      </w:r>
      <w:r w:rsidR="00D8466F" w:rsidRPr="00C9465D">
        <w:rPr>
          <w:rStyle w:val="Strong"/>
          <w:b w:val="0"/>
          <w:color w:val="000000"/>
          <w:sz w:val="16"/>
          <w:szCs w:val="16"/>
          <w:shd w:val="clear" w:color="auto" w:fill="FFFFFF"/>
          <w:lang w:val="en-US"/>
        </w:rPr>
        <w:t>paras.</w:t>
      </w:r>
      <w:r w:rsidRPr="00C9465D">
        <w:rPr>
          <w:rStyle w:val="Strong"/>
          <w:b w:val="0"/>
          <w:color w:val="000000"/>
          <w:sz w:val="16"/>
          <w:szCs w:val="16"/>
          <w:shd w:val="clear" w:color="auto" w:fill="FFFFFF"/>
          <w:lang w:val="en-US"/>
        </w:rPr>
        <w:t xml:space="preserve"> 172</w:t>
      </w:r>
      <w:r w:rsidR="00193CBB" w:rsidRPr="00C9465D">
        <w:rPr>
          <w:rStyle w:val="Strong"/>
          <w:b w:val="0"/>
          <w:color w:val="000000"/>
          <w:sz w:val="16"/>
          <w:szCs w:val="16"/>
          <w:shd w:val="clear" w:color="auto" w:fill="FFFFFF"/>
          <w:lang w:val="en-US"/>
        </w:rPr>
        <w:t xml:space="preserve"> and </w:t>
      </w:r>
      <w:r w:rsidRPr="00C9465D">
        <w:rPr>
          <w:rStyle w:val="Strong"/>
          <w:b w:val="0"/>
          <w:color w:val="000000"/>
          <w:sz w:val="16"/>
          <w:szCs w:val="16"/>
          <w:shd w:val="clear" w:color="auto" w:fill="FFFFFF"/>
          <w:lang w:val="en-US"/>
        </w:rPr>
        <w:t>173.</w:t>
      </w:r>
    </w:p>
  </w:footnote>
  <w:footnote w:id="206">
    <w:p w14:paraId="70E15BB4" w14:textId="3867DE79" w:rsidR="00300482" w:rsidRPr="00C9465D" w:rsidRDefault="00300482" w:rsidP="00BD26CF">
      <w:pPr>
        <w:pStyle w:val="FootnoteText"/>
        <w:tabs>
          <w:tab w:val="left" w:pos="567"/>
          <w:tab w:val="left" w:pos="720"/>
        </w:tabs>
        <w:spacing w:after="120"/>
        <w:rPr>
          <w:rFonts w:cs="Verdana"/>
          <w:sz w:val="16"/>
          <w:szCs w:val="16"/>
          <w:lang w:val="en-US" w:bidi="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D8466F" w:rsidRPr="00C9465D">
        <w:rPr>
          <w:rFonts w:cs="Verdana"/>
          <w:i/>
          <w:iCs/>
          <w:sz w:val="16"/>
          <w:szCs w:val="16"/>
          <w:lang w:val="en-US" w:bidi="en-US"/>
        </w:rPr>
        <w:t>Case of</w:t>
      </w:r>
      <w:r w:rsidRPr="00C9465D">
        <w:rPr>
          <w:rFonts w:cs="Verdana"/>
          <w:i/>
          <w:iCs/>
          <w:sz w:val="16"/>
          <w:szCs w:val="16"/>
          <w:lang w:val="en-US" w:bidi="en-US"/>
        </w:rPr>
        <w:t xml:space="preserve"> Bámaca Velásquez </w:t>
      </w:r>
      <w:r w:rsidR="00193CBB" w:rsidRPr="00C9465D">
        <w:rPr>
          <w:rFonts w:cs="Verdana"/>
          <w:i/>
          <w:iCs/>
          <w:sz w:val="16"/>
          <w:szCs w:val="16"/>
          <w:lang w:val="en-US" w:bidi="en-US"/>
        </w:rPr>
        <w:t>v.</w:t>
      </w:r>
      <w:r w:rsidRPr="00C9465D">
        <w:rPr>
          <w:rFonts w:cs="Verdana"/>
          <w:i/>
          <w:iCs/>
          <w:sz w:val="16"/>
          <w:szCs w:val="16"/>
          <w:lang w:val="en-US" w:bidi="en-US"/>
        </w:rPr>
        <w:t xml:space="preserve"> Guatemala. </w:t>
      </w:r>
      <w:r w:rsidR="00532DEC" w:rsidRPr="00C9465D">
        <w:rPr>
          <w:rFonts w:cs="Verdana"/>
          <w:i/>
          <w:iCs/>
          <w:sz w:val="16"/>
          <w:szCs w:val="16"/>
          <w:lang w:val="en-US" w:bidi="en-US"/>
        </w:rPr>
        <w:t>Merits</w:t>
      </w:r>
      <w:r w:rsidRPr="00C9465D">
        <w:rPr>
          <w:rFonts w:cs="Verdana"/>
          <w:iCs/>
          <w:sz w:val="16"/>
          <w:szCs w:val="16"/>
          <w:lang w:val="en-US" w:bidi="en-US"/>
        </w:rPr>
        <w:t>.</w:t>
      </w:r>
      <w:r w:rsidRPr="00C9465D">
        <w:rPr>
          <w:rFonts w:cs="Verdana"/>
          <w:i/>
          <w:iCs/>
          <w:sz w:val="16"/>
          <w:szCs w:val="16"/>
          <w:lang w:val="en-US" w:bidi="en-US"/>
        </w:rPr>
        <w:t xml:space="preserve"> </w:t>
      </w:r>
      <w:r w:rsidR="00D8466F" w:rsidRPr="00C9465D">
        <w:rPr>
          <w:rFonts w:cs="Verdana"/>
          <w:iCs/>
          <w:sz w:val="16"/>
          <w:szCs w:val="16"/>
          <w:lang w:val="en-US" w:bidi="en-US"/>
        </w:rPr>
        <w:t>Judgment of</w:t>
      </w:r>
      <w:r w:rsidRPr="00C9465D">
        <w:rPr>
          <w:rFonts w:cs="Verdana"/>
          <w:iCs/>
          <w:sz w:val="16"/>
          <w:szCs w:val="16"/>
          <w:lang w:val="en-US" w:bidi="en-US"/>
        </w:rPr>
        <w:t xml:space="preserve"> </w:t>
      </w:r>
      <w:r w:rsidR="00532DEC" w:rsidRPr="00C9465D">
        <w:rPr>
          <w:rFonts w:cs="Verdana"/>
          <w:iCs/>
          <w:sz w:val="16"/>
          <w:szCs w:val="16"/>
          <w:lang w:val="en-US" w:bidi="en-US"/>
        </w:rPr>
        <w:t>November 25,</w:t>
      </w:r>
      <w:r w:rsidRPr="00C9465D">
        <w:rPr>
          <w:rFonts w:cs="Verdana"/>
          <w:iCs/>
          <w:sz w:val="16"/>
          <w:szCs w:val="16"/>
          <w:lang w:val="en-US" w:bidi="en-US"/>
        </w:rPr>
        <w:t xml:space="preserve"> 2000. </w:t>
      </w:r>
      <w:r w:rsidR="00E2299F" w:rsidRPr="00C9465D">
        <w:rPr>
          <w:rFonts w:cs="Verdana"/>
          <w:iCs/>
          <w:sz w:val="16"/>
          <w:szCs w:val="16"/>
          <w:lang w:val="en-US" w:bidi="en-US"/>
        </w:rPr>
        <w:t xml:space="preserve">Series </w:t>
      </w:r>
      <w:r w:rsidRPr="00C9465D">
        <w:rPr>
          <w:rFonts w:cs="Verdana"/>
          <w:iCs/>
          <w:sz w:val="16"/>
          <w:szCs w:val="16"/>
          <w:lang w:val="en-US" w:bidi="en-US"/>
        </w:rPr>
        <w:t>C No. 70</w:t>
      </w:r>
      <w:r w:rsidRPr="00C9465D">
        <w:rPr>
          <w:rFonts w:cs="Verdana"/>
          <w:sz w:val="16"/>
          <w:szCs w:val="16"/>
          <w:lang w:val="en-US" w:bidi="en-US"/>
        </w:rPr>
        <w:t xml:space="preserve">, </w:t>
      </w:r>
      <w:r w:rsidR="00D8466F" w:rsidRPr="00C9465D">
        <w:rPr>
          <w:rFonts w:cs="Verdana"/>
          <w:sz w:val="16"/>
          <w:szCs w:val="16"/>
          <w:lang w:val="en-US" w:bidi="en-US"/>
        </w:rPr>
        <w:t>para.</w:t>
      </w:r>
      <w:r w:rsidRPr="00C9465D">
        <w:rPr>
          <w:rFonts w:cs="Verdana"/>
          <w:sz w:val="16"/>
          <w:szCs w:val="16"/>
          <w:lang w:val="en-US" w:bidi="en-US"/>
        </w:rPr>
        <w:t xml:space="preserve"> 179,</w:t>
      </w:r>
      <w:r w:rsidR="00193CBB" w:rsidRPr="00C9465D">
        <w:rPr>
          <w:rFonts w:cs="Verdana"/>
          <w:sz w:val="16"/>
          <w:szCs w:val="16"/>
          <w:lang w:val="en-US" w:bidi="en-US"/>
        </w:rPr>
        <w:t xml:space="preserve"> and </w:t>
      </w:r>
      <w:r w:rsidR="00D8466F" w:rsidRPr="00C9465D">
        <w:rPr>
          <w:rFonts w:cs="Verdana"/>
          <w:i/>
          <w:sz w:val="16"/>
          <w:szCs w:val="16"/>
          <w:lang w:val="en-US" w:bidi="en-US"/>
        </w:rPr>
        <w:t>Case of</w:t>
      </w:r>
      <w:r w:rsidRPr="00C9465D">
        <w:rPr>
          <w:rFonts w:cs="Verdana"/>
          <w:i/>
          <w:sz w:val="16"/>
          <w:szCs w:val="16"/>
          <w:lang w:val="en-US" w:bidi="en-US"/>
        </w:rPr>
        <w:t xml:space="preserve"> Vásquez Durand</w:t>
      </w:r>
      <w:r w:rsidR="00193CBB" w:rsidRPr="00C9465D">
        <w:rPr>
          <w:rFonts w:cs="Verdana"/>
          <w:i/>
          <w:sz w:val="16"/>
          <w:szCs w:val="16"/>
          <w:lang w:val="en-US" w:bidi="en-US"/>
        </w:rPr>
        <w:t xml:space="preserve"> </w:t>
      </w:r>
      <w:r w:rsidR="00D8466F" w:rsidRPr="00C9465D">
        <w:rPr>
          <w:rFonts w:cs="Verdana"/>
          <w:i/>
          <w:sz w:val="16"/>
          <w:szCs w:val="16"/>
          <w:lang w:val="en-US" w:bidi="en-US"/>
        </w:rPr>
        <w:t>et al. v.</w:t>
      </w:r>
      <w:r w:rsidRPr="00C9465D">
        <w:rPr>
          <w:rFonts w:cs="Verdana"/>
          <w:i/>
          <w:sz w:val="16"/>
          <w:szCs w:val="16"/>
          <w:lang w:val="en-US" w:bidi="en-US"/>
        </w:rPr>
        <w:t xml:space="preserve"> Ecuador. </w:t>
      </w:r>
      <w:r w:rsidR="00D8466F" w:rsidRPr="00C9465D">
        <w:rPr>
          <w:rFonts w:cs="Verdana"/>
          <w:i/>
          <w:sz w:val="16"/>
          <w:szCs w:val="16"/>
          <w:lang w:val="en-US" w:bidi="en-US"/>
        </w:rPr>
        <w:t>Preliminary objections, merits</w:t>
      </w:r>
      <w:r w:rsidR="00193CBB" w:rsidRPr="00C9465D">
        <w:rPr>
          <w:rFonts w:cs="Verdana"/>
          <w:i/>
          <w:sz w:val="16"/>
          <w:szCs w:val="16"/>
          <w:lang w:val="en-US" w:bidi="en-US"/>
        </w:rPr>
        <w:t>, reparations and costs</w:t>
      </w:r>
      <w:r w:rsidRPr="00C9465D">
        <w:rPr>
          <w:rFonts w:cs="Verdana"/>
          <w:sz w:val="16"/>
          <w:szCs w:val="16"/>
          <w:lang w:val="en-US" w:bidi="en-US"/>
        </w:rPr>
        <w:t xml:space="preserve">. </w:t>
      </w:r>
      <w:r w:rsidR="00D8466F" w:rsidRPr="00C9465D">
        <w:rPr>
          <w:rFonts w:cs="Verdana"/>
          <w:sz w:val="16"/>
          <w:szCs w:val="16"/>
          <w:lang w:val="en-US" w:bidi="en-US"/>
        </w:rPr>
        <w:t>Judgment of</w:t>
      </w:r>
      <w:r w:rsidRPr="00C9465D">
        <w:rPr>
          <w:rFonts w:cs="Verdana"/>
          <w:sz w:val="16"/>
          <w:szCs w:val="16"/>
          <w:lang w:val="en-US" w:bidi="en-US"/>
        </w:rPr>
        <w:t xml:space="preserve"> </w:t>
      </w:r>
      <w:r w:rsidR="00532DEC" w:rsidRPr="00C9465D">
        <w:rPr>
          <w:rFonts w:cs="Verdana"/>
          <w:sz w:val="16"/>
          <w:szCs w:val="16"/>
          <w:lang w:val="en-US" w:bidi="en-US"/>
        </w:rPr>
        <w:t>February 15,</w:t>
      </w:r>
      <w:r w:rsidRPr="00C9465D">
        <w:rPr>
          <w:rFonts w:cs="Verdana"/>
          <w:sz w:val="16"/>
          <w:szCs w:val="16"/>
          <w:lang w:val="en-US" w:bidi="en-US"/>
        </w:rPr>
        <w:t xml:space="preserve"> 2017. </w:t>
      </w:r>
      <w:r w:rsidR="00E2299F" w:rsidRPr="00C9465D">
        <w:rPr>
          <w:rFonts w:cs="Verdana"/>
          <w:sz w:val="16"/>
          <w:szCs w:val="16"/>
          <w:lang w:val="en-US" w:bidi="en-US"/>
        </w:rPr>
        <w:t xml:space="preserve">Series </w:t>
      </w:r>
      <w:r w:rsidRPr="00C9465D">
        <w:rPr>
          <w:rFonts w:cs="Verdana"/>
          <w:sz w:val="16"/>
          <w:szCs w:val="16"/>
          <w:lang w:val="en-US" w:bidi="en-US"/>
        </w:rPr>
        <w:t xml:space="preserve">C No. 332, </w:t>
      </w:r>
      <w:r w:rsidR="00D8466F" w:rsidRPr="00C9465D">
        <w:rPr>
          <w:rFonts w:cs="Verdana"/>
          <w:sz w:val="16"/>
          <w:szCs w:val="16"/>
          <w:lang w:val="en-US" w:bidi="en-US"/>
        </w:rPr>
        <w:t>para.</w:t>
      </w:r>
      <w:r w:rsidRPr="00C9465D">
        <w:rPr>
          <w:rFonts w:cs="Verdana"/>
          <w:sz w:val="16"/>
          <w:szCs w:val="16"/>
          <w:lang w:val="en-US" w:bidi="en-US"/>
        </w:rPr>
        <w:t xml:space="preserve"> 138.</w:t>
      </w:r>
    </w:p>
  </w:footnote>
  <w:footnote w:id="207">
    <w:p w14:paraId="68F4223C" w14:textId="549A7215" w:rsidR="00300482" w:rsidRPr="00C9465D" w:rsidRDefault="00300482" w:rsidP="00BD26CF">
      <w:pPr>
        <w:pStyle w:val="Heading1"/>
        <w:tabs>
          <w:tab w:val="left" w:pos="567"/>
        </w:tabs>
        <w:spacing w:before="0" w:after="120"/>
        <w:contextualSpacing w:val="0"/>
        <w:jc w:val="both"/>
        <w:rPr>
          <w:rFonts w:eastAsia="Arial Unicode MS" w:cs="Arial Unicode MS"/>
          <w:bCs/>
          <w:sz w:val="16"/>
          <w:szCs w:val="16"/>
          <w:lang w:val="en-US"/>
        </w:rPr>
      </w:pPr>
      <w:r w:rsidRPr="00C9465D">
        <w:rPr>
          <w:rStyle w:val="FootnoteReference"/>
          <w:b w:val="0"/>
          <w:bCs/>
          <w:sz w:val="16"/>
          <w:szCs w:val="16"/>
          <w:lang w:val="en-US"/>
        </w:rPr>
        <w:footnoteRef/>
      </w:r>
      <w:r w:rsidRPr="00C9465D">
        <w:rPr>
          <w:bCs/>
          <w:sz w:val="16"/>
          <w:szCs w:val="16"/>
          <w:lang w:val="en-US"/>
        </w:rPr>
        <w:tab/>
      </w:r>
      <w:r w:rsidR="00E2299F" w:rsidRPr="00C9465D">
        <w:rPr>
          <w:b w:val="0"/>
          <w:i/>
          <w:sz w:val="16"/>
          <w:szCs w:val="16"/>
          <w:lang w:val="en-US"/>
        </w:rPr>
        <w:t>Cf.</w:t>
      </w:r>
      <w:r w:rsidRPr="00C9465D">
        <w:rPr>
          <w:b w:val="0"/>
          <w:i/>
          <w:sz w:val="16"/>
          <w:szCs w:val="16"/>
          <w:lang w:val="en-US"/>
        </w:rPr>
        <w:t xml:space="preserve"> </w:t>
      </w:r>
      <w:r w:rsidR="00D8466F" w:rsidRPr="00C9465D">
        <w:rPr>
          <w:b w:val="0"/>
          <w:i/>
          <w:sz w:val="16"/>
          <w:szCs w:val="16"/>
          <w:lang w:val="en-US"/>
        </w:rPr>
        <w:t>Case of</w:t>
      </w:r>
      <w:r w:rsidRPr="00C9465D">
        <w:rPr>
          <w:b w:val="0"/>
          <w:i/>
          <w:sz w:val="16"/>
          <w:szCs w:val="16"/>
          <w:lang w:val="en-US"/>
        </w:rPr>
        <w:t xml:space="preserve"> </w:t>
      </w:r>
      <w:r w:rsidR="00532DEC" w:rsidRPr="00C9465D">
        <w:rPr>
          <w:b w:val="0"/>
          <w:i/>
          <w:sz w:val="16"/>
          <w:szCs w:val="16"/>
          <w:lang w:val="en-US"/>
        </w:rPr>
        <w:t>the</w:t>
      </w:r>
      <w:r w:rsidRPr="00C9465D">
        <w:rPr>
          <w:b w:val="0"/>
          <w:i/>
          <w:sz w:val="16"/>
          <w:szCs w:val="16"/>
          <w:lang w:val="en-US"/>
        </w:rPr>
        <w:t xml:space="preserve"> Sawhoyamaxa</w:t>
      </w:r>
      <w:r w:rsidR="00532DEC" w:rsidRPr="00C9465D">
        <w:rPr>
          <w:b w:val="0"/>
          <w:i/>
          <w:sz w:val="16"/>
          <w:szCs w:val="16"/>
          <w:lang w:val="en-US"/>
        </w:rPr>
        <w:t xml:space="preserve"> Indigenous Community</w:t>
      </w:r>
      <w:r w:rsidRPr="00C9465D">
        <w:rPr>
          <w:b w:val="0"/>
          <w:i/>
          <w:sz w:val="16"/>
          <w:szCs w:val="16"/>
          <w:lang w:val="en-US"/>
        </w:rPr>
        <w:t xml:space="preserve"> </w:t>
      </w:r>
      <w:r w:rsidR="00193CBB" w:rsidRPr="00C9465D">
        <w:rPr>
          <w:b w:val="0"/>
          <w:i/>
          <w:sz w:val="16"/>
          <w:szCs w:val="16"/>
          <w:lang w:val="en-US"/>
        </w:rPr>
        <w:t>v.</w:t>
      </w:r>
      <w:r w:rsidRPr="00C9465D">
        <w:rPr>
          <w:b w:val="0"/>
          <w:i/>
          <w:sz w:val="16"/>
          <w:szCs w:val="16"/>
          <w:lang w:val="en-US"/>
        </w:rPr>
        <w:t xml:space="preserve"> Paraguay. </w:t>
      </w:r>
      <w:r w:rsidR="00193CBB" w:rsidRPr="00C9465D">
        <w:rPr>
          <w:b w:val="0"/>
          <w:i/>
          <w:sz w:val="16"/>
          <w:szCs w:val="16"/>
          <w:lang w:val="en-US"/>
        </w:rPr>
        <w:t>Merits, reparations and costs</w:t>
      </w:r>
      <w:r w:rsidRPr="00C9465D">
        <w:rPr>
          <w:b w:val="0"/>
          <w:sz w:val="16"/>
          <w:szCs w:val="16"/>
          <w:lang w:val="en-US"/>
        </w:rPr>
        <w:t xml:space="preserve">. </w:t>
      </w:r>
      <w:r w:rsidR="00D8466F" w:rsidRPr="00C9465D">
        <w:rPr>
          <w:b w:val="0"/>
          <w:sz w:val="16"/>
          <w:szCs w:val="16"/>
          <w:lang w:val="en-US"/>
        </w:rPr>
        <w:t>Judgment of</w:t>
      </w:r>
      <w:r w:rsidRPr="00C9465D">
        <w:rPr>
          <w:b w:val="0"/>
          <w:sz w:val="16"/>
          <w:szCs w:val="16"/>
          <w:lang w:val="en-US"/>
        </w:rPr>
        <w:t xml:space="preserve"> </w:t>
      </w:r>
      <w:r w:rsidR="00532DEC" w:rsidRPr="00C9465D">
        <w:rPr>
          <w:b w:val="0"/>
          <w:sz w:val="16"/>
          <w:szCs w:val="16"/>
          <w:lang w:val="en-US"/>
        </w:rPr>
        <w:t>March 29,</w:t>
      </w:r>
      <w:r w:rsidRPr="00C9465D">
        <w:rPr>
          <w:b w:val="0"/>
          <w:sz w:val="16"/>
          <w:szCs w:val="16"/>
          <w:lang w:val="en-US"/>
        </w:rPr>
        <w:t xml:space="preserve"> 2006. </w:t>
      </w:r>
      <w:r w:rsidR="00E2299F" w:rsidRPr="00C9465D">
        <w:rPr>
          <w:b w:val="0"/>
          <w:sz w:val="16"/>
          <w:szCs w:val="16"/>
          <w:lang w:val="en-US"/>
        </w:rPr>
        <w:t xml:space="preserve">Series </w:t>
      </w:r>
      <w:r w:rsidRPr="00C9465D">
        <w:rPr>
          <w:b w:val="0"/>
          <w:sz w:val="16"/>
          <w:szCs w:val="16"/>
          <w:lang w:val="en-US"/>
        </w:rPr>
        <w:t xml:space="preserve">C No. 146, </w:t>
      </w:r>
      <w:r w:rsidR="00D8466F" w:rsidRPr="00C9465D">
        <w:rPr>
          <w:b w:val="0"/>
          <w:bCs/>
          <w:sz w:val="16"/>
          <w:szCs w:val="16"/>
          <w:lang w:val="en-US"/>
        </w:rPr>
        <w:t>para.</w:t>
      </w:r>
      <w:r w:rsidRPr="00C9465D">
        <w:rPr>
          <w:b w:val="0"/>
          <w:bCs/>
          <w:sz w:val="16"/>
          <w:szCs w:val="16"/>
          <w:lang w:val="en-US"/>
        </w:rPr>
        <w:t xml:space="preserve"> 188,</w:t>
      </w:r>
      <w:r w:rsidR="00193CBB" w:rsidRPr="00C9465D">
        <w:rPr>
          <w:b w:val="0"/>
          <w:bCs/>
          <w:sz w:val="16"/>
          <w:szCs w:val="16"/>
          <w:lang w:val="en-US"/>
        </w:rPr>
        <w:t xml:space="preserve"> and </w:t>
      </w:r>
      <w:r w:rsidR="00D8466F" w:rsidRPr="00C9465D">
        <w:rPr>
          <w:rFonts w:cs="Verdana"/>
          <w:b w:val="0"/>
          <w:i/>
          <w:sz w:val="16"/>
          <w:szCs w:val="16"/>
          <w:lang w:val="en-US" w:bidi="en-US"/>
        </w:rPr>
        <w:t>Case of</w:t>
      </w:r>
      <w:r w:rsidRPr="00C9465D">
        <w:rPr>
          <w:rFonts w:cs="Verdana"/>
          <w:b w:val="0"/>
          <w:i/>
          <w:sz w:val="16"/>
          <w:szCs w:val="16"/>
          <w:lang w:val="en-US" w:bidi="en-US"/>
        </w:rPr>
        <w:t xml:space="preserve"> González Medina</w:t>
      </w:r>
      <w:r w:rsidR="00193CBB" w:rsidRPr="00C9465D">
        <w:rPr>
          <w:rFonts w:cs="Verdana"/>
          <w:b w:val="0"/>
          <w:i/>
          <w:sz w:val="16"/>
          <w:szCs w:val="16"/>
          <w:lang w:val="en-US" w:bidi="en-US"/>
        </w:rPr>
        <w:t xml:space="preserve"> and </w:t>
      </w:r>
      <w:r w:rsidRPr="00C9465D">
        <w:rPr>
          <w:rFonts w:cs="Verdana"/>
          <w:b w:val="0"/>
          <w:i/>
          <w:sz w:val="16"/>
          <w:szCs w:val="16"/>
          <w:lang w:val="en-US" w:bidi="en-US"/>
        </w:rPr>
        <w:t>famil</w:t>
      </w:r>
      <w:r w:rsidR="00532DEC" w:rsidRPr="00C9465D">
        <w:rPr>
          <w:rFonts w:cs="Verdana"/>
          <w:b w:val="0"/>
          <w:i/>
          <w:sz w:val="16"/>
          <w:szCs w:val="16"/>
          <w:lang w:val="en-US" w:bidi="en-US"/>
        </w:rPr>
        <w:t>y</w:t>
      </w:r>
      <w:r w:rsidRPr="00C9465D">
        <w:rPr>
          <w:rFonts w:cs="Verdana"/>
          <w:b w:val="0"/>
          <w:i/>
          <w:sz w:val="16"/>
          <w:szCs w:val="16"/>
          <w:lang w:val="en-US" w:bidi="en-US"/>
        </w:rPr>
        <w:t xml:space="preserve"> </w:t>
      </w:r>
      <w:r w:rsidR="00193CBB" w:rsidRPr="00C9465D">
        <w:rPr>
          <w:rFonts w:cs="Verdana"/>
          <w:b w:val="0"/>
          <w:i/>
          <w:sz w:val="16"/>
          <w:szCs w:val="16"/>
          <w:lang w:val="en-US" w:bidi="en-US"/>
        </w:rPr>
        <w:t>v.</w:t>
      </w:r>
      <w:r w:rsidRPr="00C9465D">
        <w:rPr>
          <w:rFonts w:cs="Verdana"/>
          <w:b w:val="0"/>
          <w:i/>
          <w:sz w:val="16"/>
          <w:szCs w:val="16"/>
          <w:lang w:val="en-US" w:bidi="en-US"/>
        </w:rPr>
        <w:t xml:space="preserve"> </w:t>
      </w:r>
      <w:r w:rsidR="00D8466F" w:rsidRPr="00C9465D">
        <w:rPr>
          <w:rFonts w:cs="Verdana"/>
          <w:b w:val="0"/>
          <w:i/>
          <w:sz w:val="16"/>
          <w:szCs w:val="16"/>
          <w:lang w:val="en-US" w:bidi="en-US"/>
        </w:rPr>
        <w:t>Dominican Republic</w:t>
      </w:r>
      <w:r w:rsidRPr="00C9465D">
        <w:rPr>
          <w:rFonts w:cs="Verdana"/>
          <w:b w:val="0"/>
          <w:i/>
          <w:sz w:val="16"/>
          <w:szCs w:val="16"/>
          <w:lang w:val="en-US" w:bidi="en-US"/>
        </w:rPr>
        <w:t xml:space="preserve">. </w:t>
      </w:r>
      <w:r w:rsidR="00D8466F" w:rsidRPr="00C9465D">
        <w:rPr>
          <w:rFonts w:cs="Verdana"/>
          <w:b w:val="0"/>
          <w:i/>
          <w:sz w:val="16"/>
          <w:szCs w:val="16"/>
          <w:lang w:val="en-US" w:bidi="en-US"/>
        </w:rPr>
        <w:t>Preliminary objections, merits</w:t>
      </w:r>
      <w:r w:rsidR="00193CBB" w:rsidRPr="00C9465D">
        <w:rPr>
          <w:rFonts w:cs="Verdana"/>
          <w:b w:val="0"/>
          <w:i/>
          <w:sz w:val="16"/>
          <w:szCs w:val="16"/>
          <w:lang w:val="en-US" w:bidi="en-US"/>
        </w:rPr>
        <w:t>, reparations and costs</w:t>
      </w:r>
      <w:r w:rsidRPr="00C9465D">
        <w:rPr>
          <w:rFonts w:cs="Verdana"/>
          <w:b w:val="0"/>
          <w:i/>
          <w:sz w:val="16"/>
          <w:szCs w:val="16"/>
          <w:lang w:val="en-US" w:bidi="en-US"/>
        </w:rPr>
        <w:t>.</w:t>
      </w:r>
      <w:r w:rsidRPr="00C9465D">
        <w:rPr>
          <w:rFonts w:cs="Verdana"/>
          <w:b w:val="0"/>
          <w:sz w:val="16"/>
          <w:szCs w:val="16"/>
          <w:lang w:val="en-US" w:bidi="en-US"/>
        </w:rPr>
        <w:t xml:space="preserve"> </w:t>
      </w:r>
      <w:r w:rsidR="00D8466F" w:rsidRPr="00C9465D">
        <w:rPr>
          <w:rFonts w:cs="Verdana"/>
          <w:b w:val="0"/>
          <w:sz w:val="16"/>
          <w:szCs w:val="16"/>
          <w:lang w:val="en-US" w:bidi="en-US"/>
        </w:rPr>
        <w:t>Judgment of</w:t>
      </w:r>
      <w:r w:rsidRPr="00C9465D">
        <w:rPr>
          <w:rFonts w:cs="Verdana"/>
          <w:b w:val="0"/>
          <w:sz w:val="16"/>
          <w:szCs w:val="16"/>
          <w:lang w:val="en-US" w:bidi="en-US"/>
        </w:rPr>
        <w:t xml:space="preserve"> </w:t>
      </w:r>
      <w:r w:rsidR="00532DEC" w:rsidRPr="00C9465D">
        <w:rPr>
          <w:rFonts w:cs="Verdana"/>
          <w:b w:val="0"/>
          <w:sz w:val="16"/>
          <w:szCs w:val="16"/>
          <w:lang w:val="en-US" w:bidi="en-US"/>
        </w:rPr>
        <w:t>February 27,</w:t>
      </w:r>
      <w:r w:rsidRPr="00C9465D">
        <w:rPr>
          <w:rFonts w:cs="Verdana"/>
          <w:b w:val="0"/>
          <w:sz w:val="16"/>
          <w:szCs w:val="16"/>
          <w:lang w:val="en-US" w:bidi="en-US"/>
        </w:rPr>
        <w:t xml:space="preserve"> 2012. </w:t>
      </w:r>
      <w:r w:rsidR="00E2299F" w:rsidRPr="00C9465D">
        <w:rPr>
          <w:rFonts w:cs="Verdana"/>
          <w:b w:val="0"/>
          <w:sz w:val="16"/>
          <w:szCs w:val="16"/>
          <w:lang w:val="en-US" w:bidi="en-US"/>
        </w:rPr>
        <w:t xml:space="preserve">Series </w:t>
      </w:r>
      <w:r w:rsidRPr="00C9465D">
        <w:rPr>
          <w:rFonts w:cs="Verdana"/>
          <w:b w:val="0"/>
          <w:sz w:val="16"/>
          <w:szCs w:val="16"/>
          <w:lang w:val="en-US" w:bidi="en-US"/>
        </w:rPr>
        <w:t xml:space="preserve">C No. 240, </w:t>
      </w:r>
      <w:r w:rsidR="00D8466F" w:rsidRPr="00C9465D">
        <w:rPr>
          <w:rFonts w:cs="Verdana"/>
          <w:b w:val="0"/>
          <w:sz w:val="16"/>
          <w:szCs w:val="16"/>
          <w:lang w:val="en-US" w:bidi="en-US"/>
        </w:rPr>
        <w:t>para.</w:t>
      </w:r>
      <w:r w:rsidRPr="00C9465D">
        <w:rPr>
          <w:rFonts w:cs="Verdana"/>
          <w:b w:val="0"/>
          <w:sz w:val="16"/>
          <w:szCs w:val="16"/>
          <w:lang w:val="en-US" w:bidi="en-US"/>
        </w:rPr>
        <w:t xml:space="preserve"> 188.</w:t>
      </w:r>
    </w:p>
  </w:footnote>
  <w:footnote w:id="208">
    <w:p w14:paraId="37E5D0EA" w14:textId="74DDDF36" w:rsidR="00300482" w:rsidRPr="00C9465D" w:rsidRDefault="00300482" w:rsidP="00BD26CF">
      <w:pPr>
        <w:pStyle w:val="FootnoteText"/>
        <w:tabs>
          <w:tab w:val="left" w:pos="567"/>
        </w:tabs>
        <w:spacing w:after="120"/>
        <w:rPr>
          <w:rFonts w:cs="Verdana"/>
          <w:b/>
          <w:sz w:val="16"/>
          <w:szCs w:val="16"/>
          <w:lang w:val="en-US" w:bidi="en-US"/>
        </w:rPr>
      </w:pPr>
      <w:r w:rsidRPr="00C9465D">
        <w:rPr>
          <w:rStyle w:val="FootnoteReference"/>
          <w:sz w:val="16"/>
          <w:szCs w:val="16"/>
          <w:lang w:val="en-US"/>
        </w:rPr>
        <w:footnoteRef/>
      </w:r>
      <w:r w:rsidRPr="00C9465D">
        <w:rPr>
          <w:i/>
          <w:sz w:val="16"/>
          <w:szCs w:val="16"/>
          <w:lang w:val="en-US"/>
        </w:rPr>
        <w:t xml:space="preserve"> </w:t>
      </w:r>
      <w:r w:rsidRPr="00C9465D">
        <w:rPr>
          <w:i/>
          <w:sz w:val="16"/>
          <w:szCs w:val="16"/>
          <w:lang w:val="en-US"/>
        </w:rPr>
        <w:tab/>
      </w:r>
      <w:r w:rsidR="00E2299F" w:rsidRPr="00C9465D">
        <w:rPr>
          <w:i/>
          <w:sz w:val="16"/>
          <w:szCs w:val="16"/>
          <w:lang w:val="en-US"/>
        </w:rPr>
        <w:t>Cf.</w:t>
      </w:r>
      <w:r w:rsidRPr="00C9465D">
        <w:rPr>
          <w:sz w:val="16"/>
          <w:szCs w:val="16"/>
          <w:lang w:val="en-US"/>
        </w:rPr>
        <w:t xml:space="preserve"> </w:t>
      </w:r>
      <w:r w:rsidR="00D8466F" w:rsidRPr="00C9465D">
        <w:rPr>
          <w:i/>
          <w:sz w:val="16"/>
          <w:szCs w:val="16"/>
          <w:lang w:val="en-US"/>
        </w:rPr>
        <w:t>Case of</w:t>
      </w:r>
      <w:r w:rsidRPr="00C9465D">
        <w:rPr>
          <w:i/>
          <w:sz w:val="16"/>
          <w:szCs w:val="16"/>
          <w:lang w:val="en-US"/>
        </w:rPr>
        <w:t xml:space="preserve"> </w:t>
      </w:r>
      <w:r w:rsidR="00532DEC" w:rsidRPr="00C9465D">
        <w:rPr>
          <w:i/>
          <w:sz w:val="16"/>
          <w:szCs w:val="16"/>
          <w:lang w:val="en-US"/>
        </w:rPr>
        <w:t>the</w:t>
      </w:r>
      <w:r w:rsidRPr="00C9465D">
        <w:rPr>
          <w:i/>
          <w:sz w:val="16"/>
          <w:szCs w:val="16"/>
          <w:lang w:val="en-US"/>
        </w:rPr>
        <w:t xml:space="preserve"> Yean</w:t>
      </w:r>
      <w:r w:rsidR="00193CBB" w:rsidRPr="00C9465D">
        <w:rPr>
          <w:i/>
          <w:sz w:val="16"/>
          <w:szCs w:val="16"/>
          <w:lang w:val="en-US"/>
        </w:rPr>
        <w:t xml:space="preserve"> and </w:t>
      </w:r>
      <w:r w:rsidRPr="00C9465D">
        <w:rPr>
          <w:i/>
          <w:sz w:val="16"/>
          <w:szCs w:val="16"/>
          <w:lang w:val="en-US"/>
        </w:rPr>
        <w:t>Bosico</w:t>
      </w:r>
      <w:r w:rsidR="00532DEC" w:rsidRPr="00C9465D">
        <w:rPr>
          <w:i/>
          <w:sz w:val="16"/>
          <w:szCs w:val="16"/>
          <w:lang w:val="en-US"/>
        </w:rPr>
        <w:t xml:space="preserve"> Girls</w:t>
      </w:r>
      <w:r w:rsidRPr="00C9465D">
        <w:rPr>
          <w:i/>
          <w:sz w:val="16"/>
          <w:szCs w:val="16"/>
          <w:lang w:val="en-US"/>
        </w:rPr>
        <w:t xml:space="preserve"> </w:t>
      </w:r>
      <w:r w:rsidR="00193CBB" w:rsidRPr="00C9465D">
        <w:rPr>
          <w:i/>
          <w:sz w:val="16"/>
          <w:szCs w:val="16"/>
          <w:lang w:val="en-US"/>
        </w:rPr>
        <w:t>v.</w:t>
      </w:r>
      <w:r w:rsidRPr="00C9465D">
        <w:rPr>
          <w:i/>
          <w:sz w:val="16"/>
          <w:szCs w:val="16"/>
          <w:lang w:val="en-US"/>
        </w:rPr>
        <w:t xml:space="preserve"> </w:t>
      </w:r>
      <w:r w:rsidR="00D8466F" w:rsidRPr="00C9465D">
        <w:rPr>
          <w:i/>
          <w:sz w:val="16"/>
          <w:szCs w:val="16"/>
          <w:lang w:val="en-US"/>
        </w:rPr>
        <w:t>Dominican Republic</w:t>
      </w:r>
      <w:r w:rsidRPr="00C9465D">
        <w:rPr>
          <w:i/>
          <w:sz w:val="16"/>
          <w:szCs w:val="16"/>
          <w:lang w:val="en-US"/>
        </w:rPr>
        <w:t>.</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532DEC" w:rsidRPr="00C9465D">
        <w:rPr>
          <w:sz w:val="16"/>
          <w:szCs w:val="16"/>
          <w:lang w:val="en-US"/>
        </w:rPr>
        <w:t>September 8,</w:t>
      </w:r>
      <w:r w:rsidRPr="00C9465D">
        <w:rPr>
          <w:sz w:val="16"/>
          <w:szCs w:val="16"/>
          <w:lang w:val="en-US"/>
        </w:rPr>
        <w:t xml:space="preserve"> 2005. </w:t>
      </w:r>
      <w:r w:rsidR="00E2299F" w:rsidRPr="00C9465D">
        <w:rPr>
          <w:sz w:val="16"/>
          <w:szCs w:val="16"/>
          <w:lang w:val="en-US"/>
        </w:rPr>
        <w:t xml:space="preserve">Series </w:t>
      </w:r>
      <w:r w:rsidRPr="00C9465D">
        <w:rPr>
          <w:sz w:val="16"/>
          <w:szCs w:val="16"/>
          <w:lang w:val="en-US"/>
        </w:rPr>
        <w:t xml:space="preserve">C No. 130, </w:t>
      </w:r>
      <w:r w:rsidR="00D8466F" w:rsidRPr="00C9465D">
        <w:rPr>
          <w:sz w:val="16"/>
          <w:szCs w:val="16"/>
          <w:lang w:val="en-US"/>
        </w:rPr>
        <w:t>para.</w:t>
      </w:r>
      <w:r w:rsidRPr="00C9465D">
        <w:rPr>
          <w:sz w:val="16"/>
          <w:szCs w:val="16"/>
          <w:lang w:val="en-US"/>
        </w:rPr>
        <w:t xml:space="preserve"> 179,</w:t>
      </w:r>
      <w:r w:rsidR="00193CBB" w:rsidRPr="00C9465D">
        <w:rPr>
          <w:sz w:val="16"/>
          <w:szCs w:val="16"/>
          <w:lang w:val="en-US"/>
        </w:rPr>
        <w:t xml:space="preserve"> and </w:t>
      </w:r>
      <w:r w:rsidR="00D8466F" w:rsidRPr="00C9465D">
        <w:rPr>
          <w:rFonts w:cs="Verdana"/>
          <w:i/>
          <w:sz w:val="16"/>
          <w:szCs w:val="16"/>
          <w:lang w:val="en-US" w:bidi="en-US"/>
        </w:rPr>
        <w:t>Case of</w:t>
      </w:r>
      <w:r w:rsidRPr="00C9465D">
        <w:rPr>
          <w:rFonts w:cs="Verdana"/>
          <w:i/>
          <w:sz w:val="16"/>
          <w:szCs w:val="16"/>
          <w:lang w:val="en-US" w:bidi="en-US"/>
        </w:rPr>
        <w:t xml:space="preserve"> González Medina</w:t>
      </w:r>
      <w:r w:rsidR="00193CBB" w:rsidRPr="00C9465D">
        <w:rPr>
          <w:rFonts w:cs="Verdana"/>
          <w:i/>
          <w:sz w:val="16"/>
          <w:szCs w:val="16"/>
          <w:lang w:val="en-US" w:bidi="en-US"/>
        </w:rPr>
        <w:t xml:space="preserve"> and </w:t>
      </w:r>
      <w:r w:rsidRPr="00C9465D">
        <w:rPr>
          <w:rFonts w:cs="Verdana"/>
          <w:i/>
          <w:sz w:val="16"/>
          <w:szCs w:val="16"/>
          <w:lang w:val="en-US" w:bidi="en-US"/>
        </w:rPr>
        <w:t>famil</w:t>
      </w:r>
      <w:r w:rsidR="00532DEC" w:rsidRPr="00C9465D">
        <w:rPr>
          <w:rFonts w:cs="Verdana"/>
          <w:i/>
          <w:sz w:val="16"/>
          <w:szCs w:val="16"/>
          <w:lang w:val="en-US" w:bidi="en-US"/>
        </w:rPr>
        <w:t>y</w:t>
      </w:r>
      <w:r w:rsidRPr="00C9465D">
        <w:rPr>
          <w:rFonts w:cs="Verdana"/>
          <w:i/>
          <w:sz w:val="16"/>
          <w:szCs w:val="16"/>
          <w:lang w:val="en-US" w:bidi="en-US"/>
        </w:rPr>
        <w:t xml:space="preserve"> </w:t>
      </w:r>
      <w:r w:rsidR="00193CBB" w:rsidRPr="00C9465D">
        <w:rPr>
          <w:rFonts w:cs="Verdana"/>
          <w:i/>
          <w:sz w:val="16"/>
          <w:szCs w:val="16"/>
          <w:lang w:val="en-US" w:bidi="en-US"/>
        </w:rPr>
        <w:t>v.</w:t>
      </w:r>
      <w:r w:rsidRPr="00C9465D">
        <w:rPr>
          <w:rFonts w:cs="Verdana"/>
          <w:i/>
          <w:sz w:val="16"/>
          <w:szCs w:val="16"/>
          <w:lang w:val="en-US" w:bidi="en-US"/>
        </w:rPr>
        <w:t xml:space="preserve"> </w:t>
      </w:r>
      <w:r w:rsidR="00D8466F" w:rsidRPr="00C9465D">
        <w:rPr>
          <w:rFonts w:cs="Verdana"/>
          <w:i/>
          <w:sz w:val="16"/>
          <w:szCs w:val="16"/>
          <w:lang w:val="en-US" w:bidi="en-US"/>
        </w:rPr>
        <w:t>Dominican Republic</w:t>
      </w:r>
      <w:r w:rsidRPr="00C9465D">
        <w:rPr>
          <w:rFonts w:cs="Verdana"/>
          <w:i/>
          <w:sz w:val="16"/>
          <w:szCs w:val="16"/>
          <w:lang w:val="en-US" w:bidi="en-US"/>
        </w:rPr>
        <w:t>, supra</w:t>
      </w:r>
      <w:r w:rsidRPr="00C9465D">
        <w:rPr>
          <w:rFonts w:cs="Verdana"/>
          <w:sz w:val="16"/>
          <w:szCs w:val="16"/>
          <w:lang w:val="en-US" w:bidi="en-US"/>
        </w:rPr>
        <w:t xml:space="preserve">, </w:t>
      </w:r>
      <w:r w:rsidR="00D8466F" w:rsidRPr="00C9465D">
        <w:rPr>
          <w:rFonts w:cs="Verdana"/>
          <w:sz w:val="16"/>
          <w:szCs w:val="16"/>
          <w:lang w:val="en-US" w:bidi="en-US"/>
        </w:rPr>
        <w:t>para.</w:t>
      </w:r>
      <w:r w:rsidRPr="00C9465D">
        <w:rPr>
          <w:rFonts w:cs="Verdana"/>
          <w:sz w:val="16"/>
          <w:szCs w:val="16"/>
          <w:lang w:val="en-US" w:bidi="en-US"/>
        </w:rPr>
        <w:t xml:space="preserve"> 188.</w:t>
      </w:r>
    </w:p>
  </w:footnote>
  <w:footnote w:id="209">
    <w:p w14:paraId="068C7B26" w14:textId="4F3B381E" w:rsidR="00300482" w:rsidRPr="00C9465D" w:rsidRDefault="00300482" w:rsidP="00BD26CF">
      <w:pPr>
        <w:pStyle w:val="FootnoteText"/>
        <w:tabs>
          <w:tab w:val="left" w:pos="567"/>
          <w:tab w:val="left" w:pos="720"/>
        </w:tabs>
        <w:spacing w:after="120"/>
        <w:rPr>
          <w:b/>
          <w:i/>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bCs/>
          <w:i/>
          <w:iCs/>
          <w:sz w:val="16"/>
          <w:szCs w:val="16"/>
          <w:lang w:val="en-US"/>
        </w:rPr>
        <w:t>Cf.</w:t>
      </w:r>
      <w:r w:rsidRPr="00C9465D">
        <w:rPr>
          <w:bCs/>
          <w:i/>
          <w:iCs/>
          <w:sz w:val="16"/>
          <w:szCs w:val="16"/>
          <w:lang w:val="en-US"/>
        </w:rPr>
        <w:t xml:space="preserve"> </w:t>
      </w:r>
      <w:r w:rsidR="00D8466F" w:rsidRPr="00C9465D">
        <w:rPr>
          <w:bCs/>
          <w:i/>
          <w:iCs/>
          <w:sz w:val="16"/>
          <w:szCs w:val="16"/>
          <w:lang w:val="en-US"/>
        </w:rPr>
        <w:t xml:space="preserve">Case </w:t>
      </w:r>
      <w:r w:rsidR="00532DEC" w:rsidRPr="00C9465D">
        <w:rPr>
          <w:bCs/>
          <w:i/>
          <w:iCs/>
          <w:sz w:val="16"/>
          <w:szCs w:val="16"/>
          <w:lang w:val="en-US"/>
        </w:rPr>
        <w:t>of the Sawhoyamaxa Indigenous Community</w:t>
      </w:r>
      <w:r w:rsidRPr="00C9465D">
        <w:rPr>
          <w:bCs/>
          <w:i/>
          <w:iCs/>
          <w:sz w:val="16"/>
          <w:szCs w:val="16"/>
          <w:lang w:val="en-US"/>
        </w:rPr>
        <w:t xml:space="preserve"> </w:t>
      </w:r>
      <w:r w:rsidR="00193CBB" w:rsidRPr="00C9465D">
        <w:rPr>
          <w:bCs/>
          <w:i/>
          <w:iCs/>
          <w:sz w:val="16"/>
          <w:szCs w:val="16"/>
          <w:lang w:val="en-US"/>
        </w:rPr>
        <w:t>v.</w:t>
      </w:r>
      <w:r w:rsidRPr="00C9465D">
        <w:rPr>
          <w:bCs/>
          <w:i/>
          <w:iCs/>
          <w:sz w:val="16"/>
          <w:szCs w:val="16"/>
          <w:lang w:val="en-US"/>
        </w:rPr>
        <w:t xml:space="preserve"> Paraguay</w:t>
      </w:r>
      <w:r w:rsidRPr="00C9465D">
        <w:rPr>
          <w:i/>
          <w:sz w:val="16"/>
          <w:szCs w:val="16"/>
          <w:lang w:val="en-US"/>
        </w:rPr>
        <w:t>, supra</w:t>
      </w:r>
      <w:r w:rsidRPr="00C9465D">
        <w:rPr>
          <w:bCs/>
          <w:iCs/>
          <w:sz w:val="16"/>
          <w:szCs w:val="16"/>
          <w:lang w:val="en-US"/>
        </w:rPr>
        <w:t xml:space="preserve">, </w:t>
      </w:r>
      <w:r w:rsidR="00D8466F" w:rsidRPr="00C9465D">
        <w:rPr>
          <w:bCs/>
          <w:iCs/>
          <w:sz w:val="16"/>
          <w:szCs w:val="16"/>
          <w:lang w:val="en-US"/>
        </w:rPr>
        <w:t>para.</w:t>
      </w:r>
      <w:r w:rsidRPr="00C9465D">
        <w:rPr>
          <w:bCs/>
          <w:iCs/>
          <w:sz w:val="16"/>
          <w:szCs w:val="16"/>
          <w:lang w:val="en-US"/>
        </w:rPr>
        <w:t xml:space="preserve"> 189</w:t>
      </w:r>
      <w:r w:rsidR="00193CBB" w:rsidRPr="00C9465D">
        <w:rPr>
          <w:bCs/>
          <w:iCs/>
          <w:sz w:val="16"/>
          <w:szCs w:val="16"/>
          <w:lang w:val="en-US"/>
        </w:rPr>
        <w:t xml:space="preserve"> and </w:t>
      </w:r>
      <w:r w:rsidR="00D8466F" w:rsidRPr="00C9465D">
        <w:rPr>
          <w:rFonts w:cs="Verdana"/>
          <w:i/>
          <w:sz w:val="16"/>
          <w:szCs w:val="16"/>
          <w:lang w:val="en-US" w:bidi="en-US"/>
        </w:rPr>
        <w:t>Case of</w:t>
      </w:r>
      <w:r w:rsidRPr="00C9465D">
        <w:rPr>
          <w:rFonts w:cs="Verdana"/>
          <w:i/>
          <w:sz w:val="16"/>
          <w:szCs w:val="16"/>
          <w:lang w:val="en-US" w:bidi="en-US"/>
        </w:rPr>
        <w:t xml:space="preserve"> González </w:t>
      </w:r>
      <w:r w:rsidR="00532DEC" w:rsidRPr="00C9465D">
        <w:rPr>
          <w:rFonts w:cs="Verdana"/>
          <w:i/>
          <w:sz w:val="16"/>
          <w:szCs w:val="16"/>
          <w:lang w:val="en-US" w:bidi="en-US"/>
        </w:rPr>
        <w:t>Medina and family</w:t>
      </w:r>
      <w:r w:rsidRPr="00C9465D">
        <w:rPr>
          <w:rFonts w:cs="Verdana"/>
          <w:i/>
          <w:sz w:val="16"/>
          <w:szCs w:val="16"/>
          <w:lang w:val="en-US" w:bidi="en-US"/>
        </w:rPr>
        <w:t xml:space="preserve"> </w:t>
      </w:r>
      <w:r w:rsidR="00193CBB" w:rsidRPr="00C9465D">
        <w:rPr>
          <w:rFonts w:cs="Verdana"/>
          <w:i/>
          <w:sz w:val="16"/>
          <w:szCs w:val="16"/>
          <w:lang w:val="en-US" w:bidi="en-US"/>
        </w:rPr>
        <w:t>v.</w:t>
      </w:r>
      <w:r w:rsidRPr="00C9465D">
        <w:rPr>
          <w:rFonts w:cs="Verdana"/>
          <w:i/>
          <w:sz w:val="16"/>
          <w:szCs w:val="16"/>
          <w:lang w:val="en-US" w:bidi="en-US"/>
        </w:rPr>
        <w:t xml:space="preserve"> </w:t>
      </w:r>
      <w:r w:rsidR="00D8466F" w:rsidRPr="00C9465D">
        <w:rPr>
          <w:rFonts w:cs="Verdana"/>
          <w:i/>
          <w:sz w:val="16"/>
          <w:szCs w:val="16"/>
          <w:lang w:val="en-US" w:bidi="en-US"/>
        </w:rPr>
        <w:t>Dominican Republic</w:t>
      </w:r>
      <w:r w:rsidRPr="00C9465D">
        <w:rPr>
          <w:rFonts w:cs="Verdana"/>
          <w:i/>
          <w:sz w:val="16"/>
          <w:szCs w:val="16"/>
          <w:lang w:val="en-US" w:bidi="en-US"/>
        </w:rPr>
        <w:t>, supra</w:t>
      </w:r>
      <w:r w:rsidRPr="00C9465D">
        <w:rPr>
          <w:rFonts w:cs="Verdana"/>
          <w:sz w:val="16"/>
          <w:szCs w:val="16"/>
          <w:lang w:val="en-US" w:bidi="en-US"/>
        </w:rPr>
        <w:t xml:space="preserve">, </w:t>
      </w:r>
      <w:r w:rsidR="00D8466F" w:rsidRPr="00C9465D">
        <w:rPr>
          <w:bCs/>
          <w:iCs/>
          <w:sz w:val="16"/>
          <w:szCs w:val="16"/>
          <w:lang w:val="en-US"/>
        </w:rPr>
        <w:t>para.</w:t>
      </w:r>
      <w:r w:rsidRPr="00C9465D">
        <w:rPr>
          <w:bCs/>
          <w:iCs/>
          <w:sz w:val="16"/>
          <w:szCs w:val="16"/>
          <w:lang w:val="en-US"/>
        </w:rPr>
        <w:t xml:space="preserve"> 188.</w:t>
      </w:r>
    </w:p>
  </w:footnote>
  <w:footnote w:id="210">
    <w:p w14:paraId="565D27FC" w14:textId="07047E89" w:rsidR="00300482" w:rsidRPr="00C9465D" w:rsidRDefault="00300482" w:rsidP="00BD26CF">
      <w:pPr>
        <w:pStyle w:val="FootnoteText"/>
        <w:tabs>
          <w:tab w:val="left" w:pos="567"/>
          <w:tab w:val="left" w:pos="720"/>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4972DF" w:rsidRPr="00C9465D">
        <w:rPr>
          <w:sz w:val="16"/>
          <w:szCs w:val="16"/>
          <w:lang w:val="en-US"/>
        </w:rPr>
        <w:t xml:space="preserve">For example, in the case of the </w:t>
      </w:r>
      <w:r w:rsidRPr="00C9465D">
        <w:rPr>
          <w:sz w:val="16"/>
          <w:szCs w:val="16"/>
          <w:lang w:val="en-US"/>
        </w:rPr>
        <w:t>Sawhoyamaxa</w:t>
      </w:r>
      <w:r w:rsidR="004972DF" w:rsidRPr="00C9465D">
        <w:rPr>
          <w:sz w:val="16"/>
          <w:szCs w:val="16"/>
          <w:lang w:val="en-US"/>
        </w:rPr>
        <w:t xml:space="preserve"> Indigenous Community,</w:t>
      </w:r>
      <w:r w:rsidRPr="00C9465D">
        <w:rPr>
          <w:sz w:val="16"/>
          <w:szCs w:val="16"/>
          <w:lang w:val="en-US"/>
        </w:rPr>
        <w:t xml:space="preserve"> </w:t>
      </w:r>
      <w:r w:rsidR="00193CBB" w:rsidRPr="00C9465D">
        <w:rPr>
          <w:sz w:val="16"/>
          <w:szCs w:val="16"/>
          <w:lang w:val="en-US"/>
        </w:rPr>
        <w:t>the Court</w:t>
      </w:r>
      <w:r w:rsidRPr="00C9465D">
        <w:rPr>
          <w:sz w:val="16"/>
          <w:szCs w:val="16"/>
          <w:lang w:val="en-US"/>
        </w:rPr>
        <w:t xml:space="preserve"> consider</w:t>
      </w:r>
      <w:r w:rsidR="004972DF" w:rsidRPr="00C9465D">
        <w:rPr>
          <w:sz w:val="16"/>
          <w:szCs w:val="16"/>
          <w:lang w:val="en-US"/>
        </w:rPr>
        <w:t>ed that its members had “remained in a legal limbo in which,</w:t>
      </w:r>
      <w:r w:rsidR="001902D2" w:rsidRPr="00C9465D">
        <w:rPr>
          <w:sz w:val="16"/>
          <w:szCs w:val="16"/>
          <w:lang w:val="en-US"/>
        </w:rPr>
        <w:t xml:space="preserve"> although they were born and died in Paraguay, their very existence and identi</w:t>
      </w:r>
      <w:r w:rsidR="009769A6" w:rsidRPr="00C9465D">
        <w:rPr>
          <w:sz w:val="16"/>
          <w:szCs w:val="16"/>
          <w:lang w:val="en-US"/>
        </w:rPr>
        <w:t>t</w:t>
      </w:r>
      <w:r w:rsidR="001902D2" w:rsidRPr="00C9465D">
        <w:rPr>
          <w:sz w:val="16"/>
          <w:szCs w:val="16"/>
          <w:lang w:val="en-US"/>
        </w:rPr>
        <w:t>y w</w:t>
      </w:r>
      <w:r w:rsidR="009769A6" w:rsidRPr="00C9465D">
        <w:rPr>
          <w:sz w:val="16"/>
          <w:szCs w:val="16"/>
          <w:lang w:val="en-US"/>
        </w:rPr>
        <w:t>ere</w:t>
      </w:r>
      <w:r w:rsidR="001902D2" w:rsidRPr="00C9465D">
        <w:rPr>
          <w:sz w:val="16"/>
          <w:szCs w:val="16"/>
          <w:lang w:val="en-US"/>
        </w:rPr>
        <w:t xml:space="preserve"> never legally recognized; in other words, they did not have </w:t>
      </w:r>
      <w:r w:rsidR="009769A6" w:rsidRPr="00C9465D">
        <w:rPr>
          <w:sz w:val="16"/>
          <w:szCs w:val="16"/>
          <w:lang w:val="en-US"/>
        </w:rPr>
        <w:t>juridical</w:t>
      </w:r>
      <w:r w:rsidR="001902D2" w:rsidRPr="00C9465D">
        <w:rPr>
          <w:sz w:val="16"/>
          <w:szCs w:val="16"/>
          <w:lang w:val="en-US"/>
        </w:rPr>
        <w:t xml:space="preserve"> personality.” </w:t>
      </w:r>
      <w:r w:rsidR="00D8466F" w:rsidRPr="00C9465D">
        <w:rPr>
          <w:bCs/>
          <w:i/>
          <w:iCs/>
          <w:sz w:val="16"/>
          <w:szCs w:val="16"/>
          <w:lang w:val="en-US"/>
        </w:rPr>
        <w:t xml:space="preserve">Case </w:t>
      </w:r>
      <w:r w:rsidR="00532DEC" w:rsidRPr="00C9465D">
        <w:rPr>
          <w:bCs/>
          <w:i/>
          <w:iCs/>
          <w:sz w:val="16"/>
          <w:szCs w:val="16"/>
          <w:lang w:val="en-US"/>
        </w:rPr>
        <w:t>of the Sawhoyamaxa Indigenous Community</w:t>
      </w:r>
      <w:r w:rsidRPr="00C9465D">
        <w:rPr>
          <w:bCs/>
          <w:i/>
          <w:iCs/>
          <w:sz w:val="16"/>
          <w:szCs w:val="16"/>
          <w:lang w:val="en-US"/>
        </w:rPr>
        <w:t xml:space="preserve"> </w:t>
      </w:r>
      <w:r w:rsidR="00193CBB" w:rsidRPr="00C9465D">
        <w:rPr>
          <w:bCs/>
          <w:i/>
          <w:iCs/>
          <w:sz w:val="16"/>
          <w:szCs w:val="16"/>
          <w:lang w:val="en-US"/>
        </w:rPr>
        <w:t>v.</w:t>
      </w:r>
      <w:r w:rsidRPr="00C9465D">
        <w:rPr>
          <w:bCs/>
          <w:i/>
          <w:iCs/>
          <w:sz w:val="16"/>
          <w:szCs w:val="16"/>
          <w:lang w:val="en-US"/>
        </w:rPr>
        <w:t xml:space="preserve"> Paraguay</w:t>
      </w:r>
      <w:r w:rsidRPr="00C9465D">
        <w:rPr>
          <w:i/>
          <w:sz w:val="16"/>
          <w:szCs w:val="16"/>
          <w:lang w:val="en-US"/>
        </w:rPr>
        <w:t>, supra</w:t>
      </w:r>
      <w:r w:rsidRPr="00C9465D">
        <w:rPr>
          <w:bCs/>
          <w:iCs/>
          <w:sz w:val="16"/>
          <w:szCs w:val="16"/>
          <w:lang w:val="en-US"/>
        </w:rPr>
        <w:t xml:space="preserve">, </w:t>
      </w:r>
      <w:r w:rsidR="00D8466F" w:rsidRPr="00C9465D">
        <w:rPr>
          <w:bCs/>
          <w:iCs/>
          <w:sz w:val="16"/>
          <w:szCs w:val="16"/>
          <w:lang w:val="en-US"/>
        </w:rPr>
        <w:t>para.</w:t>
      </w:r>
      <w:r w:rsidRPr="00C9465D">
        <w:rPr>
          <w:bCs/>
          <w:iCs/>
          <w:sz w:val="16"/>
          <w:szCs w:val="16"/>
          <w:lang w:val="en-US"/>
        </w:rPr>
        <w:t xml:space="preserve"> 189,</w:t>
      </w:r>
      <w:r w:rsidR="00193CBB" w:rsidRPr="00C9465D">
        <w:rPr>
          <w:bCs/>
          <w:iCs/>
          <w:sz w:val="16"/>
          <w:szCs w:val="16"/>
          <w:lang w:val="en-US"/>
        </w:rPr>
        <w:t xml:space="preserve"> and </w:t>
      </w:r>
      <w:r w:rsidR="00D8466F" w:rsidRPr="00C9465D">
        <w:rPr>
          <w:rFonts w:cs="Verdana"/>
          <w:i/>
          <w:sz w:val="16"/>
          <w:szCs w:val="16"/>
          <w:lang w:val="en-US" w:bidi="en-US"/>
        </w:rPr>
        <w:t>Case of</w:t>
      </w:r>
      <w:r w:rsidRPr="00C9465D">
        <w:rPr>
          <w:rFonts w:cs="Verdana"/>
          <w:i/>
          <w:sz w:val="16"/>
          <w:szCs w:val="16"/>
          <w:lang w:val="en-US" w:bidi="en-US"/>
        </w:rPr>
        <w:t xml:space="preserve"> Anzualdo Castro </w:t>
      </w:r>
      <w:r w:rsidR="00193CBB" w:rsidRPr="00C9465D">
        <w:rPr>
          <w:rFonts w:cs="Verdana"/>
          <w:i/>
          <w:sz w:val="16"/>
          <w:szCs w:val="16"/>
          <w:lang w:val="en-US" w:bidi="en-US"/>
        </w:rPr>
        <w:t>v.</w:t>
      </w:r>
      <w:r w:rsidRPr="00C9465D">
        <w:rPr>
          <w:rFonts w:cs="Verdana"/>
          <w:i/>
          <w:sz w:val="16"/>
          <w:szCs w:val="16"/>
          <w:lang w:val="en-US" w:bidi="en-US"/>
        </w:rPr>
        <w:t xml:space="preserve"> </w:t>
      </w:r>
      <w:r w:rsidR="001902D2" w:rsidRPr="00C9465D">
        <w:rPr>
          <w:rFonts w:cs="Verdana"/>
          <w:i/>
          <w:sz w:val="16"/>
          <w:szCs w:val="16"/>
          <w:lang w:val="en-US" w:bidi="en-US"/>
        </w:rPr>
        <w:t>Peru</w:t>
      </w:r>
      <w:r w:rsidRPr="00C9465D">
        <w:rPr>
          <w:rFonts w:cs="Verdana"/>
          <w:i/>
          <w:sz w:val="16"/>
          <w:szCs w:val="16"/>
          <w:lang w:val="en-US" w:bidi="en-US"/>
        </w:rPr>
        <w:t xml:space="preserve">. </w:t>
      </w:r>
      <w:r w:rsidR="00D8466F" w:rsidRPr="00C9465D">
        <w:rPr>
          <w:rFonts w:cs="Verdana"/>
          <w:i/>
          <w:sz w:val="16"/>
          <w:szCs w:val="16"/>
          <w:lang w:val="en-US" w:bidi="en-US"/>
        </w:rPr>
        <w:t>Preliminary objection, merits</w:t>
      </w:r>
      <w:r w:rsidR="00193CBB" w:rsidRPr="00C9465D">
        <w:rPr>
          <w:rFonts w:cs="Verdana"/>
          <w:i/>
          <w:sz w:val="16"/>
          <w:szCs w:val="16"/>
          <w:lang w:val="en-US" w:bidi="en-US"/>
        </w:rPr>
        <w:t>, reparations and costs</w:t>
      </w:r>
      <w:r w:rsidRPr="00C9465D">
        <w:rPr>
          <w:rFonts w:cs="Verdana"/>
          <w:sz w:val="16"/>
          <w:szCs w:val="16"/>
          <w:lang w:val="en-US" w:bidi="en-US"/>
        </w:rPr>
        <w:t xml:space="preserve">. </w:t>
      </w:r>
      <w:r w:rsidR="00D8466F" w:rsidRPr="00C9465D">
        <w:rPr>
          <w:rFonts w:cs="Verdana"/>
          <w:sz w:val="16"/>
          <w:szCs w:val="16"/>
          <w:lang w:val="en-US" w:bidi="en-US"/>
        </w:rPr>
        <w:t>Judgment of</w:t>
      </w:r>
      <w:r w:rsidRPr="00C9465D">
        <w:rPr>
          <w:rFonts w:cs="Verdana"/>
          <w:sz w:val="16"/>
          <w:szCs w:val="16"/>
          <w:lang w:val="en-US" w:bidi="en-US"/>
        </w:rPr>
        <w:t xml:space="preserve"> </w:t>
      </w:r>
      <w:r w:rsidR="001902D2" w:rsidRPr="00C9465D">
        <w:rPr>
          <w:rFonts w:cs="Verdana"/>
          <w:sz w:val="16"/>
          <w:szCs w:val="16"/>
          <w:lang w:val="en-US" w:bidi="en-US"/>
        </w:rPr>
        <w:t>September 22,</w:t>
      </w:r>
      <w:r w:rsidRPr="00C9465D">
        <w:rPr>
          <w:rFonts w:cs="Verdana"/>
          <w:sz w:val="16"/>
          <w:szCs w:val="16"/>
          <w:lang w:val="en-US" w:bidi="en-US"/>
        </w:rPr>
        <w:t xml:space="preserve"> 2009. </w:t>
      </w:r>
      <w:r w:rsidR="00E2299F" w:rsidRPr="00C9465D">
        <w:rPr>
          <w:rFonts w:cs="Verdana"/>
          <w:sz w:val="16"/>
          <w:szCs w:val="16"/>
          <w:lang w:val="en-US" w:bidi="en-US"/>
        </w:rPr>
        <w:t xml:space="preserve">Series </w:t>
      </w:r>
      <w:r w:rsidRPr="00C9465D">
        <w:rPr>
          <w:rFonts w:cs="Verdana"/>
          <w:sz w:val="16"/>
          <w:szCs w:val="16"/>
          <w:lang w:val="en-US" w:bidi="en-US"/>
        </w:rPr>
        <w:t xml:space="preserve">C No. 202, </w:t>
      </w:r>
      <w:r w:rsidR="00D8466F" w:rsidRPr="00C9465D">
        <w:rPr>
          <w:rFonts w:cs="Verdana"/>
          <w:sz w:val="16"/>
          <w:szCs w:val="16"/>
          <w:lang w:val="en-US" w:bidi="en-US"/>
        </w:rPr>
        <w:t>para.</w:t>
      </w:r>
      <w:r w:rsidRPr="00C9465D">
        <w:rPr>
          <w:rFonts w:cs="Verdana"/>
          <w:sz w:val="16"/>
          <w:szCs w:val="16"/>
          <w:lang w:val="en-US" w:bidi="en-US"/>
        </w:rPr>
        <w:t xml:space="preserve"> 89.</w:t>
      </w:r>
    </w:p>
  </w:footnote>
  <w:footnote w:id="211">
    <w:p w14:paraId="37D79E9F" w14:textId="140FD1BF"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532DEC" w:rsidRPr="00C9465D">
        <w:rPr>
          <w:sz w:val="16"/>
          <w:szCs w:val="16"/>
          <w:lang w:val="en-US"/>
        </w:rPr>
        <w:t>Committee on the Rights of Persons with Disabilities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No. 1: </w:t>
      </w:r>
      <w:r w:rsidR="00193CBB" w:rsidRPr="00C9465D">
        <w:rPr>
          <w:sz w:val="16"/>
          <w:szCs w:val="16"/>
          <w:lang w:val="en-US"/>
        </w:rPr>
        <w:t>Article</w:t>
      </w:r>
      <w:r w:rsidRPr="00C9465D">
        <w:rPr>
          <w:sz w:val="16"/>
          <w:szCs w:val="16"/>
          <w:lang w:val="en-US"/>
        </w:rPr>
        <w:t xml:space="preserve"> 12: </w:t>
      </w:r>
      <w:r w:rsidR="002F1A54" w:rsidRPr="00C9465D">
        <w:rPr>
          <w:sz w:val="16"/>
          <w:szCs w:val="16"/>
          <w:lang w:val="en-US"/>
        </w:rPr>
        <w:t>Equal</w:t>
      </w:r>
      <w:r w:rsidR="001902D2" w:rsidRPr="00C9465D">
        <w:rPr>
          <w:sz w:val="16"/>
          <w:szCs w:val="16"/>
          <w:lang w:val="en-US"/>
        </w:rPr>
        <w:t xml:space="preserve"> recognition before the law</w:t>
      </w:r>
      <w:r w:rsidRPr="00C9465D">
        <w:rPr>
          <w:sz w:val="16"/>
          <w:szCs w:val="16"/>
          <w:lang w:val="en-US"/>
        </w:rPr>
        <w:t xml:space="preserve">, </w:t>
      </w:r>
      <w:r w:rsidR="001902D2" w:rsidRPr="00C9465D">
        <w:rPr>
          <w:sz w:val="16"/>
          <w:szCs w:val="16"/>
          <w:lang w:val="en-US"/>
        </w:rPr>
        <w:t>May 19,</w:t>
      </w:r>
      <w:r w:rsidRPr="00C9465D">
        <w:rPr>
          <w:sz w:val="16"/>
          <w:szCs w:val="16"/>
          <w:lang w:val="en-US"/>
        </w:rPr>
        <w:t xml:space="preserve"> 2014, </w:t>
      </w:r>
      <w:r w:rsidR="00532DEC" w:rsidRPr="00C9465D">
        <w:rPr>
          <w:sz w:val="16"/>
          <w:szCs w:val="16"/>
          <w:lang w:val="en-US"/>
        </w:rPr>
        <w:t>UN Doc.</w:t>
      </w:r>
      <w:r w:rsidRPr="00C9465D">
        <w:rPr>
          <w:sz w:val="16"/>
          <w:szCs w:val="16"/>
          <w:lang w:val="en-US"/>
        </w:rPr>
        <w:t xml:space="preserve"> CRPD/C/GC/1, </w:t>
      </w:r>
      <w:r w:rsidR="00D8466F" w:rsidRPr="00C9465D">
        <w:rPr>
          <w:sz w:val="16"/>
          <w:szCs w:val="16"/>
          <w:lang w:val="en-US"/>
        </w:rPr>
        <w:t>para.</w:t>
      </w:r>
      <w:r w:rsidRPr="00C9465D">
        <w:rPr>
          <w:sz w:val="16"/>
          <w:szCs w:val="16"/>
          <w:lang w:val="en-US"/>
        </w:rPr>
        <w:t xml:space="preserve"> 40.</w:t>
      </w:r>
    </w:p>
  </w:footnote>
  <w:footnote w:id="212">
    <w:p w14:paraId="274A7656" w14:textId="7911C793"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532DEC" w:rsidRPr="00C9465D">
        <w:rPr>
          <w:sz w:val="16"/>
          <w:szCs w:val="16"/>
          <w:lang w:val="en-US"/>
        </w:rPr>
        <w:t>Committee on the Rights of Persons with Disabilities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No. 1: </w:t>
      </w:r>
      <w:r w:rsidR="00193CBB" w:rsidRPr="00C9465D">
        <w:rPr>
          <w:sz w:val="16"/>
          <w:szCs w:val="16"/>
          <w:lang w:val="en-US"/>
        </w:rPr>
        <w:t>Article</w:t>
      </w:r>
      <w:r w:rsidRPr="00C9465D">
        <w:rPr>
          <w:sz w:val="16"/>
          <w:szCs w:val="16"/>
          <w:lang w:val="en-US"/>
        </w:rPr>
        <w:t xml:space="preserve"> 12: </w:t>
      </w:r>
      <w:r w:rsidR="002F1A54" w:rsidRPr="00C9465D">
        <w:rPr>
          <w:sz w:val="16"/>
          <w:szCs w:val="16"/>
          <w:lang w:val="en-US"/>
        </w:rPr>
        <w:t>Equal</w:t>
      </w:r>
      <w:r w:rsidR="001902D2" w:rsidRPr="00C9465D">
        <w:rPr>
          <w:sz w:val="16"/>
          <w:szCs w:val="16"/>
          <w:lang w:val="en-US"/>
        </w:rPr>
        <w:t xml:space="preserve"> recognition before the law</w:t>
      </w:r>
      <w:r w:rsidRPr="00C9465D">
        <w:rPr>
          <w:sz w:val="16"/>
          <w:szCs w:val="16"/>
          <w:lang w:val="en-US"/>
        </w:rPr>
        <w:t xml:space="preserve">, </w:t>
      </w:r>
      <w:r w:rsidR="001902D2" w:rsidRPr="00C9465D">
        <w:rPr>
          <w:sz w:val="16"/>
          <w:szCs w:val="16"/>
          <w:lang w:val="en-US"/>
        </w:rPr>
        <w:t>May 19,</w:t>
      </w:r>
      <w:r w:rsidRPr="00C9465D">
        <w:rPr>
          <w:sz w:val="16"/>
          <w:szCs w:val="16"/>
          <w:lang w:val="en-US"/>
        </w:rPr>
        <w:t xml:space="preserve"> 2014, </w:t>
      </w:r>
      <w:r w:rsidR="00532DEC" w:rsidRPr="00C9465D">
        <w:rPr>
          <w:sz w:val="16"/>
          <w:szCs w:val="16"/>
          <w:lang w:val="en-US"/>
        </w:rPr>
        <w:t>UN Doc.</w:t>
      </w:r>
      <w:r w:rsidRPr="00C9465D">
        <w:rPr>
          <w:sz w:val="16"/>
          <w:szCs w:val="16"/>
          <w:lang w:val="en-US"/>
        </w:rPr>
        <w:t xml:space="preserve"> CRPD/C/GC/1, </w:t>
      </w:r>
      <w:r w:rsidR="00D8466F" w:rsidRPr="00C9465D">
        <w:rPr>
          <w:sz w:val="16"/>
          <w:szCs w:val="16"/>
          <w:lang w:val="en-US"/>
        </w:rPr>
        <w:t>paras.</w:t>
      </w:r>
      <w:r w:rsidRPr="00C9465D">
        <w:rPr>
          <w:sz w:val="16"/>
          <w:szCs w:val="16"/>
          <w:lang w:val="en-US"/>
        </w:rPr>
        <w:t xml:space="preserve"> 14</w:t>
      </w:r>
      <w:r w:rsidR="00193CBB" w:rsidRPr="00C9465D">
        <w:rPr>
          <w:sz w:val="16"/>
          <w:szCs w:val="16"/>
          <w:lang w:val="en-US"/>
        </w:rPr>
        <w:t xml:space="preserve"> and </w:t>
      </w:r>
      <w:r w:rsidRPr="00C9465D">
        <w:rPr>
          <w:sz w:val="16"/>
          <w:szCs w:val="16"/>
          <w:lang w:val="en-US"/>
        </w:rPr>
        <w:t>15.</w:t>
      </w:r>
    </w:p>
  </w:footnote>
  <w:footnote w:id="213">
    <w:p w14:paraId="6EAA9BE7" w14:textId="4F1BB4D6"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532DEC" w:rsidRPr="00C9465D">
        <w:rPr>
          <w:sz w:val="16"/>
          <w:szCs w:val="16"/>
          <w:lang w:val="en-US"/>
        </w:rPr>
        <w:t>Committee on the Rights of Persons with Disabilities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No. 1: </w:t>
      </w:r>
      <w:r w:rsidR="00193CBB" w:rsidRPr="00C9465D">
        <w:rPr>
          <w:sz w:val="16"/>
          <w:szCs w:val="16"/>
          <w:lang w:val="en-US"/>
        </w:rPr>
        <w:t>Article</w:t>
      </w:r>
      <w:r w:rsidRPr="00C9465D">
        <w:rPr>
          <w:sz w:val="16"/>
          <w:szCs w:val="16"/>
          <w:lang w:val="en-US"/>
        </w:rPr>
        <w:t xml:space="preserve"> 12: </w:t>
      </w:r>
      <w:r w:rsidR="002F1A54" w:rsidRPr="00C9465D">
        <w:rPr>
          <w:sz w:val="16"/>
          <w:szCs w:val="16"/>
          <w:lang w:val="en-US"/>
        </w:rPr>
        <w:t>Equal</w:t>
      </w:r>
      <w:r w:rsidR="001902D2" w:rsidRPr="00C9465D">
        <w:rPr>
          <w:sz w:val="16"/>
          <w:szCs w:val="16"/>
          <w:lang w:val="en-US"/>
        </w:rPr>
        <w:t xml:space="preserve"> recognition before the law</w:t>
      </w:r>
      <w:r w:rsidRPr="00C9465D">
        <w:rPr>
          <w:sz w:val="16"/>
          <w:szCs w:val="16"/>
          <w:lang w:val="en-US"/>
        </w:rPr>
        <w:t xml:space="preserve">, </w:t>
      </w:r>
      <w:r w:rsidR="001902D2" w:rsidRPr="00C9465D">
        <w:rPr>
          <w:sz w:val="16"/>
          <w:szCs w:val="16"/>
          <w:lang w:val="en-US"/>
        </w:rPr>
        <w:t>May 19,</w:t>
      </w:r>
      <w:r w:rsidRPr="00C9465D">
        <w:rPr>
          <w:sz w:val="16"/>
          <w:szCs w:val="16"/>
          <w:lang w:val="en-US"/>
        </w:rPr>
        <w:t xml:space="preserve"> 2014, </w:t>
      </w:r>
      <w:r w:rsidR="00532DEC" w:rsidRPr="00C9465D">
        <w:rPr>
          <w:sz w:val="16"/>
          <w:szCs w:val="16"/>
          <w:lang w:val="en-US"/>
        </w:rPr>
        <w:t>UN Doc.</w:t>
      </w:r>
      <w:r w:rsidRPr="00C9465D">
        <w:rPr>
          <w:sz w:val="16"/>
          <w:szCs w:val="16"/>
          <w:lang w:val="en-US"/>
        </w:rPr>
        <w:t xml:space="preserve"> CRPD/C/GC/1, </w:t>
      </w:r>
      <w:r w:rsidR="00D8466F" w:rsidRPr="00C9465D">
        <w:rPr>
          <w:sz w:val="16"/>
          <w:szCs w:val="16"/>
          <w:lang w:val="en-US"/>
        </w:rPr>
        <w:t>para.</w:t>
      </w:r>
      <w:r w:rsidRPr="00C9465D">
        <w:rPr>
          <w:sz w:val="16"/>
          <w:szCs w:val="16"/>
          <w:lang w:val="en-US"/>
        </w:rPr>
        <w:t xml:space="preserve"> 3.</w:t>
      </w:r>
    </w:p>
  </w:footnote>
  <w:footnote w:id="214">
    <w:p w14:paraId="617BAC20" w14:textId="0076CA44"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532DEC" w:rsidRPr="00C9465D">
        <w:rPr>
          <w:sz w:val="16"/>
          <w:szCs w:val="16"/>
          <w:lang w:val="en-US"/>
        </w:rPr>
        <w:t>Committee on the Rights of Persons with Disabilities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No. 1: </w:t>
      </w:r>
      <w:r w:rsidR="00193CBB" w:rsidRPr="00C9465D">
        <w:rPr>
          <w:sz w:val="16"/>
          <w:szCs w:val="16"/>
          <w:lang w:val="en-US"/>
        </w:rPr>
        <w:t>Article</w:t>
      </w:r>
      <w:r w:rsidRPr="00C9465D">
        <w:rPr>
          <w:sz w:val="16"/>
          <w:szCs w:val="16"/>
          <w:lang w:val="en-US"/>
        </w:rPr>
        <w:t xml:space="preserve"> 12: </w:t>
      </w:r>
      <w:r w:rsidR="002F1A54" w:rsidRPr="00C9465D">
        <w:rPr>
          <w:sz w:val="16"/>
          <w:szCs w:val="16"/>
          <w:lang w:val="en-US"/>
        </w:rPr>
        <w:t>Equal</w:t>
      </w:r>
      <w:r w:rsidR="001902D2" w:rsidRPr="00C9465D">
        <w:rPr>
          <w:sz w:val="16"/>
          <w:szCs w:val="16"/>
          <w:lang w:val="en-US"/>
        </w:rPr>
        <w:t xml:space="preserve"> recognition before the law</w:t>
      </w:r>
      <w:r w:rsidRPr="00C9465D">
        <w:rPr>
          <w:sz w:val="16"/>
          <w:szCs w:val="16"/>
          <w:lang w:val="en-US"/>
        </w:rPr>
        <w:t xml:space="preserve">, </w:t>
      </w:r>
      <w:r w:rsidR="001902D2" w:rsidRPr="00C9465D">
        <w:rPr>
          <w:sz w:val="16"/>
          <w:szCs w:val="16"/>
          <w:lang w:val="en-US"/>
        </w:rPr>
        <w:t>May 19,</w:t>
      </w:r>
      <w:r w:rsidRPr="00C9465D">
        <w:rPr>
          <w:sz w:val="16"/>
          <w:szCs w:val="16"/>
          <w:lang w:val="en-US"/>
        </w:rPr>
        <w:t xml:space="preserve"> 2014, </w:t>
      </w:r>
      <w:r w:rsidR="00532DEC" w:rsidRPr="00C9465D">
        <w:rPr>
          <w:sz w:val="16"/>
          <w:szCs w:val="16"/>
          <w:lang w:val="en-US"/>
        </w:rPr>
        <w:t>UN Doc.</w:t>
      </w:r>
      <w:r w:rsidRPr="00C9465D">
        <w:rPr>
          <w:sz w:val="16"/>
          <w:szCs w:val="16"/>
          <w:lang w:val="en-US"/>
        </w:rPr>
        <w:t xml:space="preserve"> CRPD/C/GC/1, </w:t>
      </w:r>
      <w:r w:rsidR="00D8466F" w:rsidRPr="00C9465D">
        <w:rPr>
          <w:sz w:val="16"/>
          <w:szCs w:val="16"/>
          <w:lang w:val="en-US"/>
        </w:rPr>
        <w:t>para.</w:t>
      </w:r>
      <w:r w:rsidRPr="00C9465D">
        <w:rPr>
          <w:sz w:val="16"/>
          <w:szCs w:val="16"/>
          <w:lang w:val="en-US"/>
        </w:rPr>
        <w:t xml:space="preserve"> 8.</w:t>
      </w:r>
    </w:p>
  </w:footnote>
  <w:footnote w:id="215">
    <w:p w14:paraId="60872608" w14:textId="1BB7C603" w:rsidR="00300482" w:rsidRPr="00C9465D" w:rsidRDefault="00300482" w:rsidP="00BD26CF">
      <w:pPr>
        <w:pStyle w:val="FootnoteText"/>
        <w:tabs>
          <w:tab w:val="left" w:pos="567"/>
        </w:tabs>
        <w:spacing w:after="120"/>
        <w:rPr>
          <w:sz w:val="16"/>
          <w:szCs w:val="16"/>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532DEC" w:rsidRPr="00C9465D">
        <w:rPr>
          <w:sz w:val="16"/>
          <w:szCs w:val="16"/>
          <w:lang w:val="en-US"/>
        </w:rPr>
        <w:t>Committee on the Rights of Persons with Disabilities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No. 1: </w:t>
      </w:r>
      <w:r w:rsidR="00193CBB" w:rsidRPr="00C9465D">
        <w:rPr>
          <w:sz w:val="16"/>
          <w:szCs w:val="16"/>
          <w:lang w:val="en-US"/>
        </w:rPr>
        <w:t>Article</w:t>
      </w:r>
      <w:r w:rsidRPr="00C9465D">
        <w:rPr>
          <w:sz w:val="16"/>
          <w:szCs w:val="16"/>
          <w:lang w:val="en-US"/>
        </w:rPr>
        <w:t xml:space="preserve"> 12: </w:t>
      </w:r>
      <w:r w:rsidR="002F1A54" w:rsidRPr="00C9465D">
        <w:rPr>
          <w:sz w:val="16"/>
          <w:szCs w:val="16"/>
          <w:lang w:val="en-US"/>
        </w:rPr>
        <w:t>Equal</w:t>
      </w:r>
      <w:r w:rsidR="001902D2" w:rsidRPr="00C9465D">
        <w:rPr>
          <w:sz w:val="16"/>
          <w:szCs w:val="16"/>
          <w:lang w:val="en-US"/>
        </w:rPr>
        <w:t xml:space="preserve"> recognition before the law</w:t>
      </w:r>
      <w:r w:rsidRPr="00C9465D">
        <w:rPr>
          <w:sz w:val="16"/>
          <w:szCs w:val="16"/>
          <w:lang w:val="en-US"/>
        </w:rPr>
        <w:t xml:space="preserve">, </w:t>
      </w:r>
      <w:r w:rsidR="001902D2" w:rsidRPr="00C9465D">
        <w:rPr>
          <w:sz w:val="16"/>
          <w:szCs w:val="16"/>
          <w:lang w:val="en-US"/>
        </w:rPr>
        <w:t>May 19,</w:t>
      </w:r>
      <w:r w:rsidRPr="00C9465D">
        <w:rPr>
          <w:sz w:val="16"/>
          <w:szCs w:val="16"/>
          <w:lang w:val="en-US"/>
        </w:rPr>
        <w:t xml:space="preserve"> 2014, </w:t>
      </w:r>
      <w:r w:rsidR="00532DEC" w:rsidRPr="00C9465D">
        <w:rPr>
          <w:sz w:val="16"/>
          <w:szCs w:val="16"/>
          <w:lang w:val="en-US"/>
        </w:rPr>
        <w:t>UN Doc.</w:t>
      </w:r>
      <w:r w:rsidRPr="00C9465D">
        <w:rPr>
          <w:sz w:val="16"/>
          <w:szCs w:val="16"/>
          <w:lang w:val="en-US"/>
        </w:rPr>
        <w:t xml:space="preserve"> </w:t>
      </w:r>
      <w:r w:rsidRPr="00C9465D">
        <w:rPr>
          <w:sz w:val="16"/>
          <w:szCs w:val="16"/>
        </w:rPr>
        <w:t xml:space="preserve">CRPD/C/GC/1, </w:t>
      </w:r>
      <w:r w:rsidR="00D8466F" w:rsidRPr="00C9465D">
        <w:rPr>
          <w:sz w:val="16"/>
          <w:szCs w:val="16"/>
        </w:rPr>
        <w:t>para.</w:t>
      </w:r>
      <w:r w:rsidRPr="00C9465D">
        <w:rPr>
          <w:sz w:val="16"/>
          <w:szCs w:val="16"/>
        </w:rPr>
        <w:t xml:space="preserve"> 37</w:t>
      </w:r>
    </w:p>
  </w:footnote>
  <w:footnote w:id="216">
    <w:p w14:paraId="5F948246" w14:textId="723985AA" w:rsidR="00300482" w:rsidRPr="00C9465D" w:rsidRDefault="00300482" w:rsidP="00BD26CF">
      <w:pPr>
        <w:pStyle w:val="FootnoteText"/>
        <w:tabs>
          <w:tab w:val="left" w:pos="567"/>
        </w:tabs>
        <w:spacing w:after="120"/>
        <w:rPr>
          <w:sz w:val="16"/>
          <w:szCs w:val="16"/>
        </w:rPr>
      </w:pPr>
      <w:r w:rsidRPr="00C9465D">
        <w:rPr>
          <w:rStyle w:val="FootnoteReference"/>
          <w:sz w:val="16"/>
          <w:szCs w:val="16"/>
          <w:lang w:val="en-US"/>
        </w:rPr>
        <w:footnoteRef/>
      </w:r>
      <w:r w:rsidRPr="00C9465D">
        <w:rPr>
          <w:sz w:val="16"/>
          <w:szCs w:val="16"/>
        </w:rPr>
        <w:t xml:space="preserve"> </w:t>
      </w:r>
      <w:r w:rsidRPr="00C9465D">
        <w:rPr>
          <w:sz w:val="16"/>
          <w:szCs w:val="16"/>
        </w:rPr>
        <w:tab/>
      </w:r>
      <w:r w:rsidR="00E2299F" w:rsidRPr="00C9465D">
        <w:rPr>
          <w:i/>
          <w:sz w:val="16"/>
          <w:szCs w:val="16"/>
        </w:rPr>
        <w:t>Cf.</w:t>
      </w:r>
      <w:r w:rsidRPr="00C9465D">
        <w:rPr>
          <w:sz w:val="16"/>
          <w:szCs w:val="16"/>
        </w:rPr>
        <w:t xml:space="preserve"> </w:t>
      </w:r>
      <w:r w:rsidR="00D8466F" w:rsidRPr="00C9465D">
        <w:rPr>
          <w:i/>
          <w:sz w:val="16"/>
          <w:szCs w:val="16"/>
        </w:rPr>
        <w:t>Case of</w:t>
      </w:r>
      <w:r w:rsidRPr="00C9465D">
        <w:rPr>
          <w:i/>
          <w:sz w:val="16"/>
          <w:szCs w:val="16"/>
        </w:rPr>
        <w:t xml:space="preserve"> I.V. </w:t>
      </w:r>
      <w:r w:rsidR="00193CBB" w:rsidRPr="00C9465D">
        <w:rPr>
          <w:i/>
          <w:sz w:val="16"/>
          <w:szCs w:val="16"/>
        </w:rPr>
        <w:t>v.</w:t>
      </w:r>
      <w:r w:rsidRPr="00C9465D">
        <w:rPr>
          <w:i/>
          <w:sz w:val="16"/>
          <w:szCs w:val="16"/>
        </w:rPr>
        <w:t xml:space="preserve"> Bolivia, supra</w:t>
      </w:r>
      <w:r w:rsidRPr="00C9465D">
        <w:rPr>
          <w:sz w:val="16"/>
          <w:szCs w:val="16"/>
        </w:rPr>
        <w:t xml:space="preserve">, </w:t>
      </w:r>
      <w:r w:rsidR="00D8466F" w:rsidRPr="00C9465D">
        <w:rPr>
          <w:sz w:val="16"/>
          <w:szCs w:val="16"/>
        </w:rPr>
        <w:t>para.</w:t>
      </w:r>
      <w:r w:rsidRPr="00C9465D">
        <w:rPr>
          <w:sz w:val="16"/>
          <w:szCs w:val="16"/>
        </w:rPr>
        <w:t xml:space="preserve"> 159.</w:t>
      </w:r>
    </w:p>
  </w:footnote>
  <w:footnote w:id="217">
    <w:p w14:paraId="780250EE" w14:textId="0F98CFD3" w:rsidR="00300482" w:rsidRPr="00C9465D" w:rsidRDefault="00300482" w:rsidP="00BD26CF">
      <w:pPr>
        <w:pStyle w:val="FootnoteText"/>
        <w:tabs>
          <w:tab w:val="left" w:pos="567"/>
        </w:tabs>
        <w:spacing w:after="120"/>
        <w:rPr>
          <w:sz w:val="16"/>
          <w:szCs w:val="16"/>
        </w:rPr>
      </w:pPr>
      <w:r w:rsidRPr="00C9465D">
        <w:rPr>
          <w:rStyle w:val="FootnoteReference"/>
          <w:sz w:val="16"/>
          <w:szCs w:val="16"/>
          <w:lang w:val="en-US"/>
        </w:rPr>
        <w:footnoteRef/>
      </w:r>
      <w:r w:rsidRPr="00C9465D">
        <w:rPr>
          <w:sz w:val="16"/>
          <w:szCs w:val="16"/>
        </w:rPr>
        <w:t xml:space="preserve"> </w:t>
      </w:r>
      <w:r w:rsidRPr="00C9465D">
        <w:rPr>
          <w:sz w:val="16"/>
          <w:szCs w:val="16"/>
        </w:rPr>
        <w:tab/>
      </w:r>
      <w:r w:rsidR="00E2299F" w:rsidRPr="00C9465D">
        <w:rPr>
          <w:i/>
          <w:sz w:val="16"/>
          <w:szCs w:val="16"/>
        </w:rPr>
        <w:t>Cf.</w:t>
      </w:r>
      <w:r w:rsidRPr="00C9465D">
        <w:rPr>
          <w:sz w:val="16"/>
          <w:szCs w:val="16"/>
        </w:rPr>
        <w:t xml:space="preserve"> </w:t>
      </w:r>
      <w:r w:rsidR="00D8466F" w:rsidRPr="00C9465D">
        <w:rPr>
          <w:i/>
          <w:sz w:val="16"/>
          <w:szCs w:val="16"/>
        </w:rPr>
        <w:t>Case of</w:t>
      </w:r>
      <w:r w:rsidRPr="00C9465D">
        <w:rPr>
          <w:i/>
          <w:sz w:val="16"/>
          <w:szCs w:val="16"/>
        </w:rPr>
        <w:t xml:space="preserve"> I.V. </w:t>
      </w:r>
      <w:r w:rsidR="00193CBB" w:rsidRPr="00C9465D">
        <w:rPr>
          <w:i/>
          <w:sz w:val="16"/>
          <w:szCs w:val="16"/>
        </w:rPr>
        <w:t>v.</w:t>
      </w:r>
      <w:r w:rsidRPr="00C9465D">
        <w:rPr>
          <w:i/>
          <w:sz w:val="16"/>
          <w:szCs w:val="16"/>
        </w:rPr>
        <w:t xml:space="preserve"> Bolivia, supra</w:t>
      </w:r>
      <w:r w:rsidRPr="00C9465D">
        <w:rPr>
          <w:sz w:val="16"/>
          <w:szCs w:val="16"/>
        </w:rPr>
        <w:t xml:space="preserve">, </w:t>
      </w:r>
      <w:r w:rsidR="00D8466F" w:rsidRPr="00C9465D">
        <w:rPr>
          <w:sz w:val="16"/>
          <w:szCs w:val="16"/>
        </w:rPr>
        <w:t>para.</w:t>
      </w:r>
      <w:r w:rsidRPr="00C9465D">
        <w:rPr>
          <w:sz w:val="16"/>
          <w:szCs w:val="16"/>
        </w:rPr>
        <w:t xml:space="preserve"> 165.</w:t>
      </w:r>
    </w:p>
  </w:footnote>
  <w:footnote w:id="218">
    <w:p w14:paraId="0BE7A16B" w14:textId="24EA2C04"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rPr>
        <w:t xml:space="preserve">   </w:t>
      </w:r>
      <w:r w:rsidRPr="00C9465D">
        <w:rPr>
          <w:sz w:val="16"/>
          <w:szCs w:val="16"/>
        </w:rPr>
        <w:tab/>
      </w:r>
      <w:r w:rsidR="00E2299F" w:rsidRPr="00C9465D">
        <w:rPr>
          <w:i/>
          <w:sz w:val="16"/>
          <w:szCs w:val="16"/>
        </w:rPr>
        <w:t>Cf.</w:t>
      </w:r>
      <w:r w:rsidRPr="00C9465D">
        <w:rPr>
          <w:sz w:val="16"/>
          <w:szCs w:val="16"/>
        </w:rPr>
        <w:t xml:space="preserve"> </w:t>
      </w:r>
      <w:r w:rsidR="00D8466F" w:rsidRPr="00C9465D">
        <w:rPr>
          <w:i/>
          <w:sz w:val="16"/>
          <w:szCs w:val="16"/>
        </w:rPr>
        <w:t>Case of</w:t>
      </w:r>
      <w:r w:rsidRPr="00C9465D">
        <w:rPr>
          <w:i/>
          <w:sz w:val="16"/>
          <w:szCs w:val="16"/>
        </w:rPr>
        <w:t xml:space="preserve"> I.V. </w:t>
      </w:r>
      <w:r w:rsidR="00193CBB" w:rsidRPr="00C9465D">
        <w:rPr>
          <w:i/>
          <w:sz w:val="16"/>
          <w:szCs w:val="16"/>
        </w:rPr>
        <w:t>v.</w:t>
      </w:r>
      <w:r w:rsidRPr="00C9465D">
        <w:rPr>
          <w:i/>
          <w:sz w:val="16"/>
          <w:szCs w:val="16"/>
        </w:rPr>
        <w:t xml:space="preserve"> Bolivia, supra</w:t>
      </w:r>
      <w:r w:rsidRPr="00C9465D">
        <w:rPr>
          <w:sz w:val="16"/>
          <w:szCs w:val="16"/>
        </w:rPr>
        <w:t xml:space="preserve">, </w:t>
      </w:r>
      <w:r w:rsidR="00D8466F" w:rsidRPr="00C9465D">
        <w:rPr>
          <w:rStyle w:val="Strong"/>
          <w:b w:val="0"/>
          <w:color w:val="000000"/>
          <w:sz w:val="16"/>
          <w:szCs w:val="16"/>
          <w:shd w:val="clear" w:color="auto" w:fill="FFFFFF"/>
        </w:rPr>
        <w:t>para.</w:t>
      </w:r>
      <w:r w:rsidRPr="00C9465D">
        <w:rPr>
          <w:rStyle w:val="Strong"/>
          <w:b w:val="0"/>
          <w:color w:val="000000"/>
          <w:sz w:val="16"/>
          <w:szCs w:val="16"/>
          <w:shd w:val="clear" w:color="auto" w:fill="FFFFFF"/>
        </w:rPr>
        <w:t xml:space="preserve"> </w:t>
      </w:r>
      <w:r w:rsidRPr="00C9465D">
        <w:rPr>
          <w:rStyle w:val="Strong"/>
          <w:b w:val="0"/>
          <w:color w:val="000000"/>
          <w:sz w:val="16"/>
          <w:szCs w:val="16"/>
          <w:shd w:val="clear" w:color="auto" w:fill="FFFFFF"/>
          <w:lang w:val="en-US"/>
        </w:rPr>
        <w:t>166,</w:t>
      </w:r>
      <w:r w:rsidR="00193CBB" w:rsidRPr="00C9465D">
        <w:rPr>
          <w:rStyle w:val="Strong"/>
          <w:b w:val="0"/>
          <w:color w:val="000000"/>
          <w:sz w:val="16"/>
          <w:szCs w:val="16"/>
          <w:shd w:val="clear" w:color="auto" w:fill="FFFFFF"/>
          <w:lang w:val="en-US"/>
        </w:rPr>
        <w:t xml:space="preserve"> and </w:t>
      </w:r>
      <w:r w:rsidR="00D8466F" w:rsidRPr="00C9465D">
        <w:rPr>
          <w:i/>
          <w:sz w:val="16"/>
          <w:szCs w:val="16"/>
          <w:lang w:val="en-US"/>
        </w:rPr>
        <w:t>Case of</w:t>
      </w:r>
      <w:r w:rsidRPr="00C9465D">
        <w:rPr>
          <w:i/>
          <w:sz w:val="16"/>
          <w:szCs w:val="16"/>
          <w:lang w:val="en-US"/>
        </w:rPr>
        <w:t xml:space="preserve"> Poblete Vilches</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Chile,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w:t>
      </w:r>
      <w:r w:rsidRPr="00C9465D">
        <w:rPr>
          <w:rStyle w:val="Strong"/>
          <w:b w:val="0"/>
          <w:color w:val="000000"/>
          <w:sz w:val="16"/>
          <w:szCs w:val="16"/>
          <w:shd w:val="clear" w:color="auto" w:fill="FFFFFF"/>
          <w:lang w:val="en-US"/>
        </w:rPr>
        <w:t>161.</w:t>
      </w:r>
    </w:p>
  </w:footnote>
  <w:footnote w:id="219">
    <w:p w14:paraId="5028348D" w14:textId="1E9F365B"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I.V. </w:t>
      </w:r>
      <w:r w:rsidR="00193CBB" w:rsidRPr="00C9465D">
        <w:rPr>
          <w:i/>
          <w:sz w:val="16"/>
          <w:szCs w:val="16"/>
          <w:lang w:val="en-US"/>
        </w:rPr>
        <w:t>v.</w:t>
      </w:r>
      <w:r w:rsidRPr="00C9465D">
        <w:rPr>
          <w:i/>
          <w:sz w:val="16"/>
          <w:szCs w:val="16"/>
          <w:lang w:val="en-US"/>
        </w:rPr>
        <w:t xml:space="preserve"> Bolivia, supra</w:t>
      </w:r>
      <w:r w:rsidRPr="00C9465D">
        <w:rPr>
          <w:sz w:val="16"/>
          <w:szCs w:val="16"/>
          <w:lang w:val="en-US"/>
        </w:rPr>
        <w:t xml:space="preserve">, </w:t>
      </w:r>
      <w:r w:rsidR="00D8466F" w:rsidRPr="00C9465D">
        <w:rPr>
          <w:rStyle w:val="Strong"/>
          <w:b w:val="0"/>
          <w:color w:val="000000"/>
          <w:sz w:val="16"/>
          <w:szCs w:val="16"/>
          <w:shd w:val="clear" w:color="auto" w:fill="FFFFFF"/>
          <w:lang w:val="en-US"/>
        </w:rPr>
        <w:t>para.</w:t>
      </w:r>
      <w:r w:rsidRPr="00C9465D">
        <w:rPr>
          <w:rStyle w:val="Strong"/>
          <w:b w:val="0"/>
          <w:color w:val="000000"/>
          <w:sz w:val="16"/>
          <w:szCs w:val="16"/>
          <w:shd w:val="clear" w:color="auto" w:fill="FFFFFF"/>
          <w:lang w:val="en-US"/>
        </w:rPr>
        <w:t xml:space="preserve"> 189,</w:t>
      </w:r>
      <w:r w:rsidR="00193CBB" w:rsidRPr="00C9465D">
        <w:rPr>
          <w:rStyle w:val="Strong"/>
          <w:b w:val="0"/>
          <w:color w:val="000000"/>
          <w:sz w:val="16"/>
          <w:szCs w:val="16"/>
          <w:shd w:val="clear" w:color="auto" w:fill="FFFFFF"/>
          <w:lang w:val="en-US"/>
        </w:rPr>
        <w:t xml:space="preserve"> and </w:t>
      </w:r>
      <w:r w:rsidR="00D8466F" w:rsidRPr="00C9465D">
        <w:rPr>
          <w:i/>
          <w:sz w:val="16"/>
          <w:szCs w:val="16"/>
          <w:lang w:val="en-US"/>
        </w:rPr>
        <w:t>Case of</w:t>
      </w:r>
      <w:r w:rsidRPr="00C9465D">
        <w:rPr>
          <w:i/>
          <w:sz w:val="16"/>
          <w:szCs w:val="16"/>
          <w:lang w:val="en-US"/>
        </w:rPr>
        <w:t xml:space="preserve"> Poblete Vilches</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Chile,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w:t>
      </w:r>
      <w:r w:rsidRPr="00C9465D">
        <w:rPr>
          <w:rStyle w:val="Strong"/>
          <w:b w:val="0"/>
          <w:color w:val="000000"/>
          <w:sz w:val="16"/>
          <w:szCs w:val="16"/>
          <w:shd w:val="clear" w:color="auto" w:fill="FFFFFF"/>
          <w:lang w:val="en-US"/>
        </w:rPr>
        <w:t>162.</w:t>
      </w:r>
    </w:p>
  </w:footnote>
  <w:footnote w:id="220">
    <w:p w14:paraId="5A5FA50F" w14:textId="194E3461" w:rsidR="00300482" w:rsidRPr="00C9465D" w:rsidRDefault="00300482" w:rsidP="00BD26CF">
      <w:pPr>
        <w:pStyle w:val="FootnoteText"/>
        <w:tabs>
          <w:tab w:val="left" w:pos="567"/>
        </w:tabs>
        <w:spacing w:after="120"/>
        <w:rPr>
          <w:bCs/>
          <w:color w:val="000000"/>
          <w:sz w:val="16"/>
          <w:szCs w:val="16"/>
          <w:shd w:val="clear" w:color="auto" w:fill="FFFFFF"/>
          <w:lang w:val="en-US"/>
        </w:rPr>
      </w:pPr>
      <w:r w:rsidRPr="00C9465D">
        <w:rPr>
          <w:rStyle w:val="FootnoteReference"/>
          <w:sz w:val="16"/>
          <w:szCs w:val="16"/>
          <w:lang w:val="en-US"/>
        </w:rPr>
        <w:footnoteRef/>
      </w:r>
      <w:r w:rsidRPr="00C9465D">
        <w:rPr>
          <w:b/>
          <w:sz w:val="16"/>
          <w:szCs w:val="16"/>
          <w:lang w:val="en-US"/>
        </w:rPr>
        <w:t xml:space="preserve">  </w:t>
      </w:r>
      <w:r w:rsidRPr="00C9465D">
        <w:rPr>
          <w:b/>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I.V. </w:t>
      </w:r>
      <w:r w:rsidR="00193CBB" w:rsidRPr="00C9465D">
        <w:rPr>
          <w:i/>
          <w:sz w:val="16"/>
          <w:szCs w:val="16"/>
          <w:lang w:val="en-US"/>
        </w:rPr>
        <w:t>v.</w:t>
      </w:r>
      <w:r w:rsidRPr="00C9465D">
        <w:rPr>
          <w:i/>
          <w:sz w:val="16"/>
          <w:szCs w:val="16"/>
          <w:lang w:val="en-US"/>
        </w:rPr>
        <w:t xml:space="preserve"> Bolivia, supra</w:t>
      </w:r>
      <w:r w:rsidRPr="00C9465D">
        <w:rPr>
          <w:sz w:val="16"/>
          <w:szCs w:val="16"/>
          <w:lang w:val="en-US"/>
        </w:rPr>
        <w:t xml:space="preserve">, </w:t>
      </w:r>
      <w:r w:rsidR="00D8466F" w:rsidRPr="00C9465D">
        <w:rPr>
          <w:rStyle w:val="Strong"/>
          <w:b w:val="0"/>
          <w:color w:val="000000"/>
          <w:sz w:val="16"/>
          <w:szCs w:val="16"/>
          <w:shd w:val="clear" w:color="auto" w:fill="FFFFFF"/>
          <w:lang w:val="en-US"/>
        </w:rPr>
        <w:t>para.</w:t>
      </w:r>
      <w:r w:rsidRPr="00C9465D">
        <w:rPr>
          <w:rStyle w:val="Strong"/>
          <w:b w:val="0"/>
          <w:color w:val="000000"/>
          <w:sz w:val="16"/>
          <w:szCs w:val="16"/>
          <w:shd w:val="clear" w:color="auto" w:fill="FFFFFF"/>
          <w:lang w:val="en-US"/>
        </w:rPr>
        <w:t xml:space="preserve"> 182,</w:t>
      </w:r>
      <w:r w:rsidR="00193CBB" w:rsidRPr="00C9465D">
        <w:rPr>
          <w:rStyle w:val="Strong"/>
          <w:b w:val="0"/>
          <w:color w:val="000000"/>
          <w:sz w:val="16"/>
          <w:szCs w:val="16"/>
          <w:shd w:val="clear" w:color="auto" w:fill="FFFFFF"/>
          <w:lang w:val="en-US"/>
        </w:rPr>
        <w:t xml:space="preserve"> and </w:t>
      </w:r>
      <w:r w:rsidR="00D8466F" w:rsidRPr="00C9465D">
        <w:rPr>
          <w:i/>
          <w:sz w:val="16"/>
          <w:szCs w:val="16"/>
          <w:lang w:val="en-US"/>
        </w:rPr>
        <w:t>Case of</w:t>
      </w:r>
      <w:r w:rsidRPr="00C9465D">
        <w:rPr>
          <w:i/>
          <w:sz w:val="16"/>
          <w:szCs w:val="16"/>
          <w:lang w:val="en-US"/>
        </w:rPr>
        <w:t xml:space="preserve"> Poblete Vilches</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Chile,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w:t>
      </w:r>
      <w:r w:rsidRPr="00C9465D">
        <w:rPr>
          <w:rStyle w:val="Strong"/>
          <w:b w:val="0"/>
          <w:color w:val="000000"/>
          <w:sz w:val="16"/>
          <w:szCs w:val="16"/>
          <w:shd w:val="clear" w:color="auto" w:fill="FFFFFF"/>
          <w:lang w:val="en-US"/>
        </w:rPr>
        <w:t xml:space="preserve">161. </w:t>
      </w:r>
      <w:r w:rsidR="002D34C3" w:rsidRPr="00C9465D">
        <w:rPr>
          <w:rStyle w:val="Strong"/>
          <w:b w:val="0"/>
          <w:color w:val="000000"/>
          <w:sz w:val="16"/>
          <w:szCs w:val="16"/>
          <w:shd w:val="clear" w:color="auto" w:fill="FFFFFF"/>
          <w:lang w:val="en-US"/>
        </w:rPr>
        <w:t xml:space="preserve">Likewise, see: </w:t>
      </w:r>
      <w:r w:rsidR="002D34C3" w:rsidRPr="00C9465D">
        <w:rPr>
          <w:sz w:val="16"/>
          <w:szCs w:val="16"/>
          <w:lang w:val="en-US"/>
        </w:rPr>
        <w:t>Declaration of Helsink</w:t>
      </w:r>
      <w:r w:rsidR="002D34C3" w:rsidRPr="00C9465D">
        <w:rPr>
          <w:rStyle w:val="Strong"/>
          <w:b w:val="0"/>
          <w:color w:val="000000"/>
          <w:sz w:val="16"/>
          <w:szCs w:val="16"/>
          <w:shd w:val="clear" w:color="auto" w:fill="FFFFFF"/>
          <w:lang w:val="en-US"/>
        </w:rPr>
        <w:t xml:space="preserve">i. </w:t>
      </w:r>
      <w:r w:rsidR="002D34C3" w:rsidRPr="00C9465D">
        <w:rPr>
          <w:sz w:val="16"/>
          <w:szCs w:val="16"/>
          <w:lang w:val="en-US"/>
        </w:rPr>
        <w:t>Ethical principles for medical research involving human subjects, adopted by</w:t>
      </w:r>
      <w:r w:rsidR="002D34C3" w:rsidRPr="00C9465D">
        <w:rPr>
          <w:rStyle w:val="Strong"/>
          <w:b w:val="0"/>
          <w:color w:val="000000"/>
          <w:sz w:val="16"/>
          <w:szCs w:val="16"/>
          <w:shd w:val="clear" w:color="auto" w:fill="FFFFFF"/>
          <w:lang w:val="en-US"/>
        </w:rPr>
        <w:t xml:space="preserve"> the</w:t>
      </w:r>
      <w:r w:rsidR="002D34C3" w:rsidRPr="00C9465D">
        <w:rPr>
          <w:sz w:val="16"/>
          <w:szCs w:val="16"/>
          <w:lang w:val="en-US"/>
        </w:rPr>
        <w:t xml:space="preserve"> World Medical Association (59</w:t>
      </w:r>
      <w:r w:rsidR="002D34C3" w:rsidRPr="00C9465D">
        <w:rPr>
          <w:sz w:val="16"/>
          <w:szCs w:val="16"/>
          <w:vertAlign w:val="superscript"/>
          <w:lang w:val="en-US"/>
        </w:rPr>
        <w:t>th</w:t>
      </w:r>
      <w:r w:rsidR="002D34C3" w:rsidRPr="00C9465D">
        <w:rPr>
          <w:sz w:val="16"/>
          <w:szCs w:val="16"/>
          <w:lang w:val="en-US"/>
        </w:rPr>
        <w:t xml:space="preserve"> General Ass</w:t>
      </w:r>
      <w:r w:rsidR="009F3A60" w:rsidRPr="00C9465D">
        <w:rPr>
          <w:sz w:val="16"/>
          <w:szCs w:val="16"/>
          <w:lang w:val="en-US"/>
        </w:rPr>
        <w:t>e</w:t>
      </w:r>
      <w:r w:rsidR="002D34C3" w:rsidRPr="00C9465D">
        <w:rPr>
          <w:sz w:val="16"/>
          <w:szCs w:val="16"/>
          <w:lang w:val="en-US"/>
        </w:rPr>
        <w:t>mbly Seoul, Korea, October 2008</w:t>
      </w:r>
      <w:r w:rsidR="009F3A60" w:rsidRPr="00C9465D">
        <w:rPr>
          <w:sz w:val="16"/>
          <w:szCs w:val="16"/>
          <w:lang w:val="en-US"/>
        </w:rPr>
        <w:t>), Principle 25, and Declaration of Lisbon on the rights of the patient, adopted by the World Medical Association (34</w:t>
      </w:r>
      <w:r w:rsidR="009F3A60" w:rsidRPr="00C9465D">
        <w:rPr>
          <w:sz w:val="16"/>
          <w:szCs w:val="16"/>
          <w:vertAlign w:val="superscript"/>
          <w:lang w:val="en-US"/>
        </w:rPr>
        <w:t>th</w:t>
      </w:r>
      <w:r w:rsidR="009F3A60" w:rsidRPr="00C9465D">
        <w:rPr>
          <w:sz w:val="16"/>
          <w:szCs w:val="16"/>
          <w:lang w:val="en-US"/>
        </w:rPr>
        <w:t xml:space="preserve"> General Assembly, Lisbon, Portugal, September/October 1981; amended by the 47</w:t>
      </w:r>
      <w:r w:rsidR="009F3A60" w:rsidRPr="00C9465D">
        <w:rPr>
          <w:sz w:val="16"/>
          <w:szCs w:val="16"/>
          <w:vertAlign w:val="superscript"/>
          <w:lang w:val="en-US"/>
        </w:rPr>
        <w:t>th</w:t>
      </w:r>
      <w:r w:rsidR="009F3A60" w:rsidRPr="00C9465D">
        <w:rPr>
          <w:sz w:val="16"/>
          <w:szCs w:val="16"/>
          <w:lang w:val="en-US"/>
        </w:rPr>
        <w:t xml:space="preserve"> General Assembly, Bali, Indonesia, September 1995, and edited at the 171</w:t>
      </w:r>
      <w:r w:rsidR="009F3A60" w:rsidRPr="00C9465D">
        <w:rPr>
          <w:sz w:val="16"/>
          <w:szCs w:val="16"/>
          <w:vertAlign w:val="superscript"/>
          <w:lang w:val="en-US"/>
        </w:rPr>
        <w:t>st</w:t>
      </w:r>
      <w:r w:rsidR="009F3A60" w:rsidRPr="00C9465D">
        <w:rPr>
          <w:sz w:val="16"/>
          <w:szCs w:val="16"/>
          <w:lang w:val="en-US"/>
        </w:rPr>
        <w:t xml:space="preserve"> session of the Council, Santiago, Chile, October 2005, Principle 3.</w:t>
      </w:r>
    </w:p>
  </w:footnote>
  <w:footnote w:id="221">
    <w:p w14:paraId="224C0EC9" w14:textId="68B70192"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Ximenes Lopes </w:t>
      </w:r>
      <w:r w:rsidR="00193CBB" w:rsidRPr="00C9465D">
        <w:rPr>
          <w:i/>
          <w:sz w:val="16"/>
          <w:szCs w:val="16"/>
          <w:lang w:val="en-US"/>
        </w:rPr>
        <w:t>v.</w:t>
      </w:r>
      <w:r w:rsidRPr="00C9465D">
        <w:rPr>
          <w:i/>
          <w:sz w:val="16"/>
          <w:szCs w:val="16"/>
          <w:lang w:val="en-US"/>
        </w:rPr>
        <w:t xml:space="preserve"> </w:t>
      </w:r>
      <w:r w:rsidR="00FA5261" w:rsidRPr="00C9465D">
        <w:rPr>
          <w:i/>
          <w:sz w:val="16"/>
          <w:szCs w:val="16"/>
          <w:lang w:val="en-US"/>
        </w:rPr>
        <w:t>Brazil</w:t>
      </w:r>
      <w:r w:rsidRPr="00C9465D">
        <w:rPr>
          <w:i/>
          <w:sz w:val="16"/>
          <w:szCs w:val="16"/>
          <w:lang w:val="en-US"/>
        </w:rPr>
        <w:t>,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w:t>
      </w:r>
      <w:r w:rsidRPr="00C9465D">
        <w:rPr>
          <w:sz w:val="16"/>
          <w:szCs w:val="16"/>
          <w:shd w:val="clear" w:color="auto" w:fill="FFFFFF"/>
          <w:lang w:val="en-US"/>
        </w:rPr>
        <w:t>130</w:t>
      </w:r>
      <w:r w:rsidRPr="00C9465D">
        <w:rPr>
          <w:sz w:val="16"/>
          <w:szCs w:val="16"/>
          <w:lang w:val="en-US"/>
        </w:rPr>
        <w:t>.</w:t>
      </w:r>
    </w:p>
  </w:footnote>
  <w:footnote w:id="222">
    <w:p w14:paraId="73FBB5C3" w14:textId="3B06435E" w:rsidR="00300482" w:rsidRPr="00C9465D" w:rsidRDefault="00300482" w:rsidP="00BD26CF">
      <w:pPr>
        <w:pStyle w:val="FootnoteText"/>
        <w:tabs>
          <w:tab w:val="left" w:pos="567"/>
        </w:tabs>
        <w:spacing w:after="120"/>
        <w:rPr>
          <w:b/>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532DEC" w:rsidRPr="00C9465D">
        <w:rPr>
          <w:sz w:val="16"/>
          <w:szCs w:val="16"/>
          <w:lang w:val="en-US"/>
        </w:rPr>
        <w:t>Report of the United Nations Special Rapporteur on the right of everyone to the enjoyment of the highest attainable standard of physical and mental health</w:t>
      </w:r>
      <w:r w:rsidRPr="00C9465D">
        <w:rPr>
          <w:sz w:val="16"/>
          <w:szCs w:val="16"/>
          <w:lang w:val="en-US"/>
        </w:rPr>
        <w:t xml:space="preserve">, </w:t>
      </w:r>
      <w:r w:rsidR="009F3A60" w:rsidRPr="00C9465D">
        <w:rPr>
          <w:sz w:val="16"/>
          <w:szCs w:val="16"/>
          <w:lang w:val="en-US"/>
        </w:rPr>
        <w:t>August 10,</w:t>
      </w:r>
      <w:r w:rsidRPr="00C9465D">
        <w:rPr>
          <w:sz w:val="16"/>
          <w:szCs w:val="16"/>
          <w:lang w:val="en-US"/>
        </w:rPr>
        <w:t xml:space="preserve"> 2009, </w:t>
      </w:r>
      <w:r w:rsidR="00532DEC" w:rsidRPr="00C9465D">
        <w:rPr>
          <w:sz w:val="16"/>
          <w:szCs w:val="16"/>
          <w:lang w:val="en-US"/>
        </w:rPr>
        <w:t>UN Doc.</w:t>
      </w:r>
      <w:r w:rsidRPr="00C9465D">
        <w:rPr>
          <w:sz w:val="16"/>
          <w:szCs w:val="16"/>
          <w:lang w:val="en-US"/>
        </w:rPr>
        <w:t xml:space="preserve"> A/64/272, </w:t>
      </w:r>
      <w:r w:rsidR="00D8466F" w:rsidRPr="00C9465D">
        <w:rPr>
          <w:sz w:val="16"/>
          <w:szCs w:val="16"/>
          <w:lang w:val="en-US"/>
        </w:rPr>
        <w:t>para.</w:t>
      </w:r>
      <w:r w:rsidRPr="00C9465D">
        <w:rPr>
          <w:sz w:val="16"/>
          <w:szCs w:val="16"/>
          <w:lang w:val="en-US"/>
        </w:rPr>
        <w:t xml:space="preserve"> 12; </w:t>
      </w:r>
      <w:r w:rsidR="00532DEC" w:rsidRPr="00C9465D">
        <w:rPr>
          <w:sz w:val="16"/>
          <w:szCs w:val="16"/>
          <w:lang w:val="en-US"/>
        </w:rPr>
        <w:t>Report of the United Nations Special Rapporteur on the rights of</w:t>
      </w:r>
      <w:r w:rsidRPr="00C9465D">
        <w:rPr>
          <w:sz w:val="16"/>
          <w:szCs w:val="16"/>
          <w:lang w:val="en-US"/>
        </w:rPr>
        <w:t xml:space="preserve"> </w:t>
      </w:r>
      <w:r w:rsidR="00D85850" w:rsidRPr="00C9465D">
        <w:rPr>
          <w:sz w:val="16"/>
          <w:szCs w:val="16"/>
          <w:lang w:val="en-US"/>
        </w:rPr>
        <w:t>persons with disabilities</w:t>
      </w:r>
      <w:r w:rsidRPr="00C9465D">
        <w:rPr>
          <w:sz w:val="16"/>
          <w:szCs w:val="16"/>
          <w:lang w:val="en-US"/>
        </w:rPr>
        <w:t xml:space="preserve">, </w:t>
      </w:r>
      <w:r w:rsidR="009F3A60" w:rsidRPr="00C9465D">
        <w:rPr>
          <w:sz w:val="16"/>
          <w:szCs w:val="16"/>
          <w:lang w:val="en-US"/>
        </w:rPr>
        <w:t>December 20,</w:t>
      </w:r>
      <w:r w:rsidRPr="00C9465D">
        <w:rPr>
          <w:sz w:val="16"/>
          <w:szCs w:val="16"/>
          <w:lang w:val="en-US"/>
        </w:rPr>
        <w:t xml:space="preserve"> 2016, </w:t>
      </w:r>
      <w:r w:rsidR="00532DEC" w:rsidRPr="00C9465D">
        <w:rPr>
          <w:sz w:val="16"/>
          <w:szCs w:val="16"/>
          <w:lang w:val="en-US"/>
        </w:rPr>
        <w:t>UN Doc.</w:t>
      </w:r>
      <w:r w:rsidRPr="00C9465D">
        <w:rPr>
          <w:sz w:val="16"/>
          <w:szCs w:val="16"/>
          <w:lang w:val="en-US"/>
        </w:rPr>
        <w:t xml:space="preserve"> A/HRC/34/58, </w:t>
      </w:r>
      <w:r w:rsidR="00D8466F" w:rsidRPr="00C9465D">
        <w:rPr>
          <w:sz w:val="16"/>
          <w:szCs w:val="16"/>
          <w:lang w:val="en-US"/>
        </w:rPr>
        <w:t>para.</w:t>
      </w:r>
      <w:r w:rsidRPr="00C9465D">
        <w:rPr>
          <w:sz w:val="16"/>
          <w:szCs w:val="16"/>
          <w:lang w:val="en-US"/>
        </w:rPr>
        <w:t xml:space="preserve"> 32. </w:t>
      </w:r>
    </w:p>
  </w:footnote>
  <w:footnote w:id="223">
    <w:p w14:paraId="1A78DFF8" w14:textId="2C595ABD"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593C0F" w:rsidRPr="00C9465D">
        <w:rPr>
          <w:sz w:val="16"/>
          <w:szCs w:val="16"/>
          <w:lang w:val="en-US"/>
        </w:rPr>
        <w:t>CRPD</w:t>
      </w:r>
      <w:r w:rsidRPr="00C9465D">
        <w:rPr>
          <w:sz w:val="16"/>
          <w:szCs w:val="16"/>
          <w:lang w:val="en-US"/>
        </w:rPr>
        <w:t xml:space="preserve">, </w:t>
      </w:r>
      <w:r w:rsidR="00193CBB" w:rsidRPr="00C9465D">
        <w:rPr>
          <w:sz w:val="16"/>
          <w:szCs w:val="16"/>
          <w:lang w:val="en-US"/>
        </w:rPr>
        <w:t>Article</w:t>
      </w:r>
      <w:r w:rsidRPr="00C9465D">
        <w:rPr>
          <w:sz w:val="16"/>
          <w:szCs w:val="16"/>
          <w:lang w:val="en-US"/>
        </w:rPr>
        <w:t xml:space="preserve"> 12</w:t>
      </w:r>
      <w:r w:rsidR="009F3A60" w:rsidRPr="00C9465D">
        <w:rPr>
          <w:sz w:val="16"/>
          <w:szCs w:val="16"/>
          <w:lang w:val="en-US"/>
        </w:rPr>
        <w:t>(</w:t>
      </w:r>
      <w:r w:rsidRPr="00C9465D">
        <w:rPr>
          <w:sz w:val="16"/>
          <w:szCs w:val="16"/>
          <w:lang w:val="en-US"/>
        </w:rPr>
        <w:t>3</w:t>
      </w:r>
      <w:r w:rsidR="009F3A60" w:rsidRPr="00C9465D">
        <w:rPr>
          <w:sz w:val="16"/>
          <w:szCs w:val="16"/>
          <w:lang w:val="en-US"/>
        </w:rPr>
        <w:t>)</w:t>
      </w:r>
      <w:r w:rsidRPr="00C9465D">
        <w:rPr>
          <w:sz w:val="16"/>
          <w:szCs w:val="16"/>
          <w:lang w:val="en-US"/>
        </w:rPr>
        <w:t>.</w:t>
      </w:r>
    </w:p>
  </w:footnote>
  <w:footnote w:id="224">
    <w:p w14:paraId="1701BC89" w14:textId="0E87F44C"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Mutatis mutandis</w:t>
      </w:r>
      <w:r w:rsidRPr="00C9465D">
        <w:rPr>
          <w:sz w:val="16"/>
          <w:szCs w:val="16"/>
          <w:lang w:val="en-US"/>
        </w:rPr>
        <w:t xml:space="preserve">, </w:t>
      </w:r>
      <w:r w:rsidR="00532DEC" w:rsidRPr="00C9465D">
        <w:rPr>
          <w:sz w:val="16"/>
          <w:szCs w:val="16"/>
          <w:lang w:val="en-US"/>
        </w:rPr>
        <w:t>Report of the United Nations Special Rapporteur on the rights of</w:t>
      </w:r>
      <w:r w:rsidRPr="00C9465D">
        <w:rPr>
          <w:sz w:val="16"/>
          <w:szCs w:val="16"/>
          <w:lang w:val="en-US"/>
        </w:rPr>
        <w:t xml:space="preserve"> </w:t>
      </w:r>
      <w:r w:rsidR="00D85850" w:rsidRPr="00C9465D">
        <w:rPr>
          <w:sz w:val="16"/>
          <w:szCs w:val="16"/>
          <w:lang w:val="en-US"/>
        </w:rPr>
        <w:t>persons with disabilities</w:t>
      </w:r>
      <w:r w:rsidRPr="00C9465D">
        <w:rPr>
          <w:sz w:val="16"/>
          <w:szCs w:val="16"/>
          <w:lang w:val="en-US"/>
        </w:rPr>
        <w:t xml:space="preserve">, </w:t>
      </w:r>
      <w:r w:rsidR="007173DB" w:rsidRPr="00C9465D">
        <w:rPr>
          <w:sz w:val="16"/>
          <w:szCs w:val="16"/>
          <w:lang w:val="en-US"/>
        </w:rPr>
        <w:t>December 20,</w:t>
      </w:r>
      <w:r w:rsidRPr="00C9465D">
        <w:rPr>
          <w:sz w:val="16"/>
          <w:szCs w:val="16"/>
          <w:lang w:val="en-US"/>
        </w:rPr>
        <w:t xml:space="preserve"> 2016, </w:t>
      </w:r>
      <w:r w:rsidR="00532DEC" w:rsidRPr="00C9465D">
        <w:rPr>
          <w:sz w:val="16"/>
          <w:szCs w:val="16"/>
          <w:lang w:val="en-US"/>
        </w:rPr>
        <w:t>UN Doc.</w:t>
      </w:r>
      <w:r w:rsidRPr="00C9465D">
        <w:rPr>
          <w:sz w:val="16"/>
          <w:szCs w:val="16"/>
          <w:lang w:val="en-US"/>
        </w:rPr>
        <w:t xml:space="preserve"> A/HRC/34/58, </w:t>
      </w:r>
      <w:r w:rsidR="00D8466F" w:rsidRPr="00C9465D">
        <w:rPr>
          <w:sz w:val="16"/>
          <w:szCs w:val="16"/>
          <w:lang w:val="en-US"/>
        </w:rPr>
        <w:t>paras.</w:t>
      </w:r>
      <w:r w:rsidRPr="00C9465D">
        <w:rPr>
          <w:sz w:val="16"/>
          <w:szCs w:val="16"/>
          <w:lang w:val="en-US"/>
        </w:rPr>
        <w:t xml:space="preserve"> 31</w:t>
      </w:r>
      <w:r w:rsidR="00193CBB" w:rsidRPr="00C9465D">
        <w:rPr>
          <w:sz w:val="16"/>
          <w:szCs w:val="16"/>
          <w:lang w:val="en-US"/>
        </w:rPr>
        <w:t xml:space="preserve"> and </w:t>
      </w:r>
      <w:r w:rsidRPr="00C9465D">
        <w:rPr>
          <w:sz w:val="16"/>
          <w:szCs w:val="16"/>
          <w:lang w:val="en-US"/>
        </w:rPr>
        <w:t>32,</w:t>
      </w:r>
      <w:r w:rsidR="00193CBB" w:rsidRPr="00C9465D">
        <w:rPr>
          <w:sz w:val="16"/>
          <w:szCs w:val="16"/>
          <w:lang w:val="en-US"/>
        </w:rPr>
        <w:t xml:space="preserve"> and </w:t>
      </w:r>
      <w:r w:rsidR="00B07FDE" w:rsidRPr="00C9465D">
        <w:rPr>
          <w:sz w:val="16"/>
          <w:szCs w:val="16"/>
          <w:lang w:val="en-US"/>
        </w:rPr>
        <w:t>Committee on Economic, Social and Cultural Rights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w:t>
      </w:r>
      <w:r w:rsidR="00B1525D" w:rsidRPr="00C9465D">
        <w:rPr>
          <w:sz w:val="16"/>
          <w:szCs w:val="16"/>
          <w:lang w:val="en-US"/>
        </w:rPr>
        <w:t>No.</w:t>
      </w:r>
      <w:r w:rsidRPr="00C9465D">
        <w:rPr>
          <w:sz w:val="16"/>
          <w:szCs w:val="16"/>
          <w:lang w:val="en-US"/>
        </w:rPr>
        <w:t xml:space="preserve"> 5: </w:t>
      </w:r>
      <w:r w:rsidR="00D85850" w:rsidRPr="00C9465D">
        <w:rPr>
          <w:sz w:val="16"/>
          <w:szCs w:val="16"/>
          <w:lang w:val="en-US"/>
        </w:rPr>
        <w:t>Persons with disabilities</w:t>
      </w:r>
      <w:r w:rsidRPr="00C9465D">
        <w:rPr>
          <w:sz w:val="16"/>
          <w:szCs w:val="16"/>
          <w:lang w:val="en-US"/>
        </w:rPr>
        <w:t xml:space="preserve">, E/1995/22, </w:t>
      </w:r>
      <w:r w:rsidR="00B07FDE" w:rsidRPr="00C9465D">
        <w:rPr>
          <w:sz w:val="16"/>
          <w:szCs w:val="16"/>
          <w:lang w:val="en-US"/>
        </w:rPr>
        <w:t>December 9,</w:t>
      </w:r>
      <w:r w:rsidRPr="00C9465D">
        <w:rPr>
          <w:sz w:val="16"/>
          <w:szCs w:val="16"/>
          <w:lang w:val="en-US"/>
        </w:rPr>
        <w:t xml:space="preserve"> 1994, </w:t>
      </w:r>
      <w:r w:rsidR="00D8466F" w:rsidRPr="00C9465D">
        <w:rPr>
          <w:sz w:val="16"/>
          <w:szCs w:val="16"/>
          <w:lang w:val="en-US"/>
        </w:rPr>
        <w:t>para.</w:t>
      </w:r>
      <w:r w:rsidRPr="00C9465D">
        <w:rPr>
          <w:sz w:val="16"/>
          <w:szCs w:val="16"/>
          <w:lang w:val="en-US"/>
        </w:rPr>
        <w:t xml:space="preserve"> 5.</w:t>
      </w:r>
    </w:p>
  </w:footnote>
  <w:footnote w:id="225">
    <w:p w14:paraId="4CEAEC6E" w14:textId="3221DBA2"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561A0C" w:rsidRPr="00C9465D">
        <w:rPr>
          <w:sz w:val="16"/>
          <w:szCs w:val="16"/>
          <w:lang w:val="en-US"/>
        </w:rPr>
        <w:t>Constitution</w:t>
      </w:r>
      <w:r w:rsidR="00092D8C" w:rsidRPr="00C9465D">
        <w:rPr>
          <w:sz w:val="16"/>
          <w:szCs w:val="16"/>
          <w:lang w:val="en-US"/>
        </w:rPr>
        <w:t xml:space="preserve"> of the </w:t>
      </w:r>
      <w:r w:rsidR="00E2299F" w:rsidRPr="00C9465D">
        <w:rPr>
          <w:sz w:val="16"/>
          <w:szCs w:val="16"/>
          <w:lang w:val="en-US"/>
        </w:rPr>
        <w:t>Republic of</w:t>
      </w:r>
      <w:r w:rsidRPr="00C9465D">
        <w:rPr>
          <w:sz w:val="16"/>
          <w:szCs w:val="16"/>
          <w:lang w:val="en-US"/>
        </w:rPr>
        <w:t xml:space="preserve"> Ecuador</w:t>
      </w:r>
      <w:r w:rsidR="007173DB" w:rsidRPr="00C9465D">
        <w:rPr>
          <w:sz w:val="16"/>
          <w:szCs w:val="16"/>
          <w:lang w:val="en-US"/>
        </w:rPr>
        <w:t>,</w:t>
      </w:r>
      <w:r w:rsidRPr="00C9465D">
        <w:rPr>
          <w:sz w:val="16"/>
          <w:szCs w:val="16"/>
          <w:lang w:val="en-US"/>
        </w:rPr>
        <w:t xml:space="preserve"> 1998, </w:t>
      </w:r>
      <w:r w:rsidR="007173DB" w:rsidRPr="00C9465D">
        <w:rPr>
          <w:sz w:val="16"/>
          <w:szCs w:val="16"/>
          <w:lang w:val="en-US"/>
        </w:rPr>
        <w:t>a</w:t>
      </w:r>
      <w:r w:rsidR="00193CBB" w:rsidRPr="00C9465D">
        <w:rPr>
          <w:sz w:val="16"/>
          <w:szCs w:val="16"/>
          <w:lang w:val="en-US"/>
        </w:rPr>
        <w:t>rticle</w:t>
      </w:r>
      <w:r w:rsidRPr="00C9465D">
        <w:rPr>
          <w:sz w:val="16"/>
          <w:szCs w:val="16"/>
          <w:lang w:val="en-US"/>
        </w:rPr>
        <w:t xml:space="preserve"> 53 (</w:t>
      </w:r>
      <w:r w:rsidR="00153C9F" w:rsidRPr="00C9465D">
        <w:rPr>
          <w:sz w:val="16"/>
          <w:szCs w:val="16"/>
          <w:lang w:val="en-US"/>
        </w:rPr>
        <w:t>evidence file</w:t>
      </w:r>
      <w:r w:rsidRPr="00C9465D">
        <w:rPr>
          <w:sz w:val="16"/>
          <w:szCs w:val="16"/>
          <w:lang w:val="en-US"/>
        </w:rPr>
        <w:t>, folio 8801).</w:t>
      </w:r>
    </w:p>
  </w:footnote>
  <w:footnote w:id="226">
    <w:p w14:paraId="6B7D1924" w14:textId="591A584D"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532DEC" w:rsidRPr="00C9465D">
        <w:rPr>
          <w:sz w:val="16"/>
          <w:szCs w:val="16"/>
          <w:lang w:val="en-US"/>
        </w:rPr>
        <w:t>Report of the United Nations Special Rapporteur on the rights of</w:t>
      </w:r>
      <w:r w:rsidRPr="00C9465D">
        <w:rPr>
          <w:sz w:val="16"/>
          <w:szCs w:val="16"/>
          <w:lang w:val="en-US"/>
        </w:rPr>
        <w:t xml:space="preserve"> </w:t>
      </w:r>
      <w:r w:rsidR="00D85850" w:rsidRPr="00C9465D">
        <w:rPr>
          <w:sz w:val="16"/>
          <w:szCs w:val="16"/>
          <w:lang w:val="en-US"/>
        </w:rPr>
        <w:t>persons with disabilities</w:t>
      </w:r>
      <w:r w:rsidRPr="00C9465D">
        <w:rPr>
          <w:sz w:val="16"/>
          <w:szCs w:val="16"/>
          <w:lang w:val="en-US"/>
        </w:rPr>
        <w:t xml:space="preserve">, </w:t>
      </w:r>
      <w:r w:rsidR="007173DB" w:rsidRPr="00C9465D">
        <w:rPr>
          <w:sz w:val="16"/>
          <w:szCs w:val="16"/>
          <w:lang w:val="en-US"/>
        </w:rPr>
        <w:t>December 20,</w:t>
      </w:r>
      <w:r w:rsidRPr="00C9465D">
        <w:rPr>
          <w:sz w:val="16"/>
          <w:szCs w:val="16"/>
          <w:lang w:val="en-US"/>
        </w:rPr>
        <w:t xml:space="preserve"> 2016, </w:t>
      </w:r>
      <w:r w:rsidR="00532DEC" w:rsidRPr="00C9465D">
        <w:rPr>
          <w:sz w:val="16"/>
          <w:szCs w:val="16"/>
          <w:lang w:val="en-US"/>
        </w:rPr>
        <w:t>UN Doc.</w:t>
      </w:r>
      <w:r w:rsidRPr="00C9465D">
        <w:rPr>
          <w:sz w:val="16"/>
          <w:szCs w:val="16"/>
          <w:lang w:val="en-US"/>
        </w:rPr>
        <w:t xml:space="preserve"> A/HRC/34/58, </w:t>
      </w:r>
      <w:r w:rsidR="00D8466F" w:rsidRPr="00C9465D">
        <w:rPr>
          <w:sz w:val="16"/>
          <w:szCs w:val="16"/>
          <w:lang w:val="en-US"/>
        </w:rPr>
        <w:t>para.</w:t>
      </w:r>
      <w:r w:rsidRPr="00C9465D">
        <w:rPr>
          <w:sz w:val="16"/>
          <w:szCs w:val="16"/>
          <w:lang w:val="en-US"/>
        </w:rPr>
        <w:t xml:space="preserve"> 32.</w:t>
      </w:r>
    </w:p>
  </w:footnote>
  <w:footnote w:id="227">
    <w:p w14:paraId="7F6F0529" w14:textId="0E44E1FF"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rStyle w:val="FootnoteReference"/>
          <w:sz w:val="16"/>
          <w:szCs w:val="16"/>
          <w:lang w:val="en-US"/>
        </w:rPr>
        <w:tab/>
      </w:r>
      <w:r w:rsidR="00532DEC" w:rsidRPr="00C9465D">
        <w:rPr>
          <w:rStyle w:val="FootnotesChar"/>
          <w:rFonts w:eastAsiaTheme="minorHAnsi"/>
          <w:lang w:val="en-US"/>
        </w:rPr>
        <w:t>Committee on the Rights of Persons with Disabilities</w:t>
      </w:r>
      <w:r w:rsidRPr="00C9465D">
        <w:rPr>
          <w:rStyle w:val="FootnotesChar"/>
          <w:rFonts w:eastAsiaTheme="minorHAnsi"/>
          <w:lang w:val="en-US"/>
        </w:rPr>
        <w:t xml:space="preserve">, </w:t>
      </w:r>
      <w:r w:rsidR="00B07FDE" w:rsidRPr="00C9465D">
        <w:rPr>
          <w:rStyle w:val="FootnotesChar"/>
          <w:rFonts w:eastAsiaTheme="minorHAnsi"/>
          <w:lang w:val="en-US"/>
        </w:rPr>
        <w:t>General Comment</w:t>
      </w:r>
      <w:r w:rsidRPr="00C9465D">
        <w:rPr>
          <w:rStyle w:val="FootnotesChar"/>
          <w:rFonts w:eastAsiaTheme="minorHAnsi"/>
          <w:lang w:val="en-US"/>
        </w:rPr>
        <w:t xml:space="preserve"> </w:t>
      </w:r>
      <w:r w:rsidR="00B1525D" w:rsidRPr="00C9465D">
        <w:rPr>
          <w:rStyle w:val="FootnotesChar"/>
          <w:rFonts w:eastAsiaTheme="minorHAnsi"/>
          <w:lang w:val="en-US"/>
        </w:rPr>
        <w:t>No.</w:t>
      </w:r>
      <w:r w:rsidRPr="00C9465D">
        <w:rPr>
          <w:rStyle w:val="FootnotesChar"/>
          <w:rFonts w:eastAsiaTheme="minorHAnsi"/>
          <w:lang w:val="en-US"/>
        </w:rPr>
        <w:t xml:space="preserve"> 1: </w:t>
      </w:r>
      <w:r w:rsidR="00193CBB" w:rsidRPr="00C9465D">
        <w:rPr>
          <w:rStyle w:val="FootnotesChar"/>
          <w:rFonts w:eastAsiaTheme="minorHAnsi"/>
          <w:lang w:val="en-US"/>
        </w:rPr>
        <w:t>Article</w:t>
      </w:r>
      <w:r w:rsidRPr="00C9465D">
        <w:rPr>
          <w:rStyle w:val="FootnotesChar"/>
          <w:rFonts w:eastAsiaTheme="minorHAnsi"/>
          <w:lang w:val="en-US"/>
        </w:rPr>
        <w:t xml:space="preserve"> 12: </w:t>
      </w:r>
      <w:r w:rsidR="002F1A54" w:rsidRPr="00C9465D">
        <w:rPr>
          <w:rStyle w:val="FootnotesChar"/>
          <w:rFonts w:eastAsiaTheme="minorHAnsi"/>
          <w:lang w:val="en-US"/>
        </w:rPr>
        <w:t>Equal</w:t>
      </w:r>
      <w:r w:rsidR="001902D2" w:rsidRPr="00C9465D">
        <w:rPr>
          <w:rStyle w:val="FootnotesChar"/>
          <w:rFonts w:eastAsiaTheme="minorHAnsi"/>
          <w:lang w:val="en-US"/>
        </w:rPr>
        <w:t xml:space="preserve"> recognition before the law</w:t>
      </w:r>
      <w:r w:rsidRPr="00C9465D">
        <w:rPr>
          <w:rStyle w:val="FootnotesChar"/>
          <w:rFonts w:eastAsiaTheme="minorHAnsi"/>
          <w:lang w:val="en-US"/>
        </w:rPr>
        <w:t xml:space="preserve">, </w:t>
      </w:r>
      <w:r w:rsidR="001902D2" w:rsidRPr="00C9465D">
        <w:rPr>
          <w:rStyle w:val="FootnotesChar"/>
          <w:rFonts w:eastAsiaTheme="minorHAnsi"/>
          <w:lang w:val="en-US"/>
        </w:rPr>
        <w:t>May 19,</w:t>
      </w:r>
      <w:r w:rsidRPr="00C9465D">
        <w:rPr>
          <w:rStyle w:val="FootnotesChar"/>
          <w:rFonts w:eastAsiaTheme="minorHAnsi"/>
          <w:lang w:val="en-US"/>
        </w:rPr>
        <w:t xml:space="preserve"> 2014, </w:t>
      </w:r>
      <w:r w:rsidR="00532DEC" w:rsidRPr="00C9465D">
        <w:rPr>
          <w:rStyle w:val="FootnotesChar"/>
          <w:rFonts w:eastAsiaTheme="minorHAnsi"/>
          <w:lang w:val="en-US"/>
        </w:rPr>
        <w:t>UN Doc.</w:t>
      </w:r>
      <w:r w:rsidRPr="00C9465D">
        <w:rPr>
          <w:rStyle w:val="FootnotesChar"/>
          <w:rFonts w:eastAsiaTheme="minorHAnsi"/>
          <w:lang w:val="en-US"/>
        </w:rPr>
        <w:t xml:space="preserve"> CRPD/C/GC/1, </w:t>
      </w:r>
      <w:r w:rsidR="00D8466F" w:rsidRPr="00C9465D">
        <w:rPr>
          <w:rStyle w:val="FootnotesChar"/>
          <w:rFonts w:eastAsiaTheme="minorHAnsi"/>
          <w:lang w:val="en-US"/>
        </w:rPr>
        <w:t>para.</w:t>
      </w:r>
      <w:r w:rsidRPr="00C9465D">
        <w:rPr>
          <w:rStyle w:val="FootnotesChar"/>
          <w:rFonts w:eastAsiaTheme="minorHAnsi"/>
          <w:lang w:val="en-US"/>
        </w:rPr>
        <w:t xml:space="preserve"> 17.</w:t>
      </w:r>
    </w:p>
  </w:footnote>
  <w:footnote w:id="228">
    <w:p w14:paraId="542C6C68" w14:textId="456BBEA4" w:rsidR="00300482" w:rsidRPr="00C9465D" w:rsidRDefault="00300482" w:rsidP="00BD26CF">
      <w:pPr>
        <w:pStyle w:val="FootnoteText"/>
        <w:tabs>
          <w:tab w:val="left" w:pos="567"/>
        </w:tabs>
        <w:spacing w:after="120"/>
        <w:rPr>
          <w:i/>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532DEC" w:rsidRPr="00C9465D">
        <w:rPr>
          <w:sz w:val="16"/>
          <w:szCs w:val="16"/>
          <w:lang w:val="en-US"/>
        </w:rPr>
        <w:t>Committee on the Rights of Persons with Disabilities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w:t>
      </w:r>
      <w:r w:rsidR="00B1525D" w:rsidRPr="00C9465D">
        <w:rPr>
          <w:sz w:val="16"/>
          <w:szCs w:val="16"/>
          <w:lang w:val="en-US"/>
        </w:rPr>
        <w:t>No.</w:t>
      </w:r>
      <w:r w:rsidRPr="00C9465D">
        <w:rPr>
          <w:sz w:val="16"/>
          <w:szCs w:val="16"/>
          <w:lang w:val="en-US"/>
        </w:rPr>
        <w:t xml:space="preserve"> 1: </w:t>
      </w:r>
      <w:r w:rsidR="00193CBB" w:rsidRPr="00C9465D">
        <w:rPr>
          <w:sz w:val="16"/>
          <w:szCs w:val="16"/>
          <w:lang w:val="en-US"/>
        </w:rPr>
        <w:t>Article</w:t>
      </w:r>
      <w:r w:rsidRPr="00C9465D">
        <w:rPr>
          <w:sz w:val="16"/>
          <w:szCs w:val="16"/>
          <w:lang w:val="en-US"/>
        </w:rPr>
        <w:t xml:space="preserve"> 12: </w:t>
      </w:r>
      <w:r w:rsidR="002F1A54" w:rsidRPr="00C9465D">
        <w:rPr>
          <w:sz w:val="16"/>
          <w:szCs w:val="16"/>
          <w:lang w:val="en-US"/>
        </w:rPr>
        <w:t>Equal</w:t>
      </w:r>
      <w:r w:rsidR="001902D2" w:rsidRPr="00C9465D">
        <w:rPr>
          <w:sz w:val="16"/>
          <w:szCs w:val="16"/>
          <w:lang w:val="en-US"/>
        </w:rPr>
        <w:t xml:space="preserve"> recognition before the law</w:t>
      </w:r>
      <w:r w:rsidRPr="00C9465D">
        <w:rPr>
          <w:sz w:val="16"/>
          <w:szCs w:val="16"/>
          <w:lang w:val="en-US"/>
        </w:rPr>
        <w:t xml:space="preserve">, </w:t>
      </w:r>
      <w:r w:rsidR="001902D2" w:rsidRPr="00C9465D">
        <w:rPr>
          <w:sz w:val="16"/>
          <w:szCs w:val="16"/>
          <w:lang w:val="en-US"/>
        </w:rPr>
        <w:t>May 19,</w:t>
      </w:r>
      <w:r w:rsidRPr="00C9465D">
        <w:rPr>
          <w:sz w:val="16"/>
          <w:szCs w:val="16"/>
          <w:lang w:val="en-US"/>
        </w:rPr>
        <w:t xml:space="preserve"> 2014, </w:t>
      </w:r>
      <w:r w:rsidR="00532DEC" w:rsidRPr="00C9465D">
        <w:rPr>
          <w:sz w:val="16"/>
          <w:szCs w:val="16"/>
          <w:lang w:val="en-US"/>
        </w:rPr>
        <w:t>UN Doc.</w:t>
      </w:r>
      <w:r w:rsidRPr="00C9465D">
        <w:rPr>
          <w:sz w:val="16"/>
          <w:szCs w:val="16"/>
          <w:lang w:val="en-US"/>
        </w:rPr>
        <w:t xml:space="preserve"> CRPD/C/GC/1, </w:t>
      </w:r>
      <w:r w:rsidR="00D8466F" w:rsidRPr="00C9465D">
        <w:rPr>
          <w:sz w:val="16"/>
          <w:szCs w:val="16"/>
          <w:lang w:val="en-US"/>
        </w:rPr>
        <w:t>para.</w:t>
      </w:r>
      <w:r w:rsidRPr="00C9465D">
        <w:rPr>
          <w:sz w:val="16"/>
          <w:szCs w:val="16"/>
          <w:lang w:val="en-US"/>
        </w:rPr>
        <w:t xml:space="preserve"> 17. </w:t>
      </w:r>
      <w:r w:rsidR="00532DEC" w:rsidRPr="00C9465D">
        <w:rPr>
          <w:i/>
          <w:sz w:val="16"/>
          <w:szCs w:val="16"/>
          <w:lang w:val="en-US"/>
        </w:rPr>
        <w:t>See also</w:t>
      </w:r>
      <w:r w:rsidRPr="00C9465D">
        <w:rPr>
          <w:i/>
          <w:sz w:val="16"/>
          <w:szCs w:val="16"/>
          <w:lang w:val="en-US"/>
        </w:rPr>
        <w:t xml:space="preserve">, </w:t>
      </w:r>
      <w:r w:rsidR="00532DEC" w:rsidRPr="00C9465D">
        <w:rPr>
          <w:sz w:val="16"/>
          <w:szCs w:val="16"/>
          <w:lang w:val="en-US"/>
        </w:rPr>
        <w:t>Report of the United Nations Special Rapporteur on the right of everyone to the enjoyment of the highest attainable standard of physical and mental health</w:t>
      </w:r>
      <w:r w:rsidRPr="00C9465D">
        <w:rPr>
          <w:sz w:val="16"/>
          <w:szCs w:val="16"/>
          <w:lang w:val="en-US"/>
        </w:rPr>
        <w:t xml:space="preserve">, </w:t>
      </w:r>
      <w:r w:rsidR="007173DB" w:rsidRPr="00C9465D">
        <w:rPr>
          <w:sz w:val="16"/>
          <w:szCs w:val="16"/>
          <w:lang w:val="en-US"/>
        </w:rPr>
        <w:t>August 10,</w:t>
      </w:r>
      <w:r w:rsidRPr="00C9465D">
        <w:rPr>
          <w:sz w:val="16"/>
          <w:szCs w:val="16"/>
          <w:lang w:val="en-US"/>
        </w:rPr>
        <w:t xml:space="preserve"> 2009, </w:t>
      </w:r>
      <w:r w:rsidR="00532DEC" w:rsidRPr="00C9465D">
        <w:rPr>
          <w:sz w:val="16"/>
          <w:szCs w:val="16"/>
          <w:lang w:val="en-US"/>
        </w:rPr>
        <w:t>UN Doc.</w:t>
      </w:r>
      <w:r w:rsidRPr="00C9465D">
        <w:rPr>
          <w:sz w:val="16"/>
          <w:szCs w:val="16"/>
          <w:lang w:val="en-US"/>
        </w:rPr>
        <w:t xml:space="preserve"> A/64/272, </w:t>
      </w:r>
      <w:r w:rsidR="00D8466F" w:rsidRPr="00C9465D">
        <w:rPr>
          <w:sz w:val="16"/>
          <w:szCs w:val="16"/>
          <w:lang w:val="en-US"/>
        </w:rPr>
        <w:t>para.</w:t>
      </w:r>
      <w:r w:rsidRPr="00C9465D">
        <w:rPr>
          <w:sz w:val="16"/>
          <w:szCs w:val="16"/>
          <w:lang w:val="en-US"/>
        </w:rPr>
        <w:t xml:space="preserve"> 23.</w:t>
      </w:r>
    </w:p>
  </w:footnote>
  <w:footnote w:id="229">
    <w:p w14:paraId="35695C7A" w14:textId="04DBEE97"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7173DB" w:rsidRPr="00C9465D">
        <w:rPr>
          <w:sz w:val="16"/>
          <w:szCs w:val="16"/>
          <w:lang w:val="en-US"/>
        </w:rPr>
        <w:t>Report of the</w:t>
      </w:r>
      <w:r w:rsidRPr="00C9465D">
        <w:rPr>
          <w:sz w:val="16"/>
          <w:szCs w:val="16"/>
          <w:lang w:val="en-US"/>
        </w:rPr>
        <w:t xml:space="preserve"> </w:t>
      </w:r>
      <w:r w:rsidR="00532DEC" w:rsidRPr="00C9465D">
        <w:rPr>
          <w:sz w:val="16"/>
          <w:szCs w:val="16"/>
          <w:lang w:val="en-US"/>
        </w:rPr>
        <w:t>Committee on the Rights of Persons with Disabilities</w:t>
      </w:r>
      <w:r w:rsidRPr="00C9465D">
        <w:rPr>
          <w:sz w:val="16"/>
          <w:szCs w:val="16"/>
          <w:lang w:val="en-US"/>
        </w:rPr>
        <w:t xml:space="preserve">, A/72/55, </w:t>
      </w:r>
      <w:r w:rsidR="007173DB" w:rsidRPr="00C9465D">
        <w:rPr>
          <w:sz w:val="16"/>
          <w:szCs w:val="16"/>
          <w:lang w:val="en-US"/>
        </w:rPr>
        <w:t>Guidelines on the right to liberty and security of persons with disabilities</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11</w:t>
      </w:r>
    </w:p>
  </w:footnote>
  <w:footnote w:id="230">
    <w:p w14:paraId="260D87F1" w14:textId="42F7F6AD" w:rsidR="00300482" w:rsidRPr="00C9465D" w:rsidRDefault="00300482" w:rsidP="00BD26CF">
      <w:pPr>
        <w:pStyle w:val="FootnoteText"/>
        <w:tabs>
          <w:tab w:val="left" w:pos="567"/>
        </w:tabs>
        <w:spacing w:after="120"/>
        <w:rPr>
          <w:b/>
          <w:i/>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532DEC" w:rsidRPr="00C9465D">
        <w:rPr>
          <w:sz w:val="16"/>
          <w:szCs w:val="16"/>
          <w:lang w:val="en-US"/>
        </w:rPr>
        <w:t>Committee on the Rights of Persons with Disabilities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w:t>
      </w:r>
      <w:r w:rsidR="00B1525D" w:rsidRPr="00C9465D">
        <w:rPr>
          <w:sz w:val="16"/>
          <w:szCs w:val="16"/>
          <w:lang w:val="en-US"/>
        </w:rPr>
        <w:t>No.</w:t>
      </w:r>
      <w:r w:rsidRPr="00C9465D">
        <w:rPr>
          <w:sz w:val="16"/>
          <w:szCs w:val="16"/>
          <w:lang w:val="en-US"/>
        </w:rPr>
        <w:t xml:space="preserve"> 1: </w:t>
      </w:r>
      <w:r w:rsidR="00193CBB" w:rsidRPr="00C9465D">
        <w:rPr>
          <w:sz w:val="16"/>
          <w:szCs w:val="16"/>
          <w:lang w:val="en-US"/>
        </w:rPr>
        <w:t>Article</w:t>
      </w:r>
      <w:r w:rsidRPr="00C9465D">
        <w:rPr>
          <w:sz w:val="16"/>
          <w:szCs w:val="16"/>
          <w:lang w:val="en-US"/>
        </w:rPr>
        <w:t xml:space="preserve"> 12: </w:t>
      </w:r>
      <w:r w:rsidR="002F1A54" w:rsidRPr="00C9465D">
        <w:rPr>
          <w:sz w:val="16"/>
          <w:szCs w:val="16"/>
          <w:lang w:val="en-US"/>
        </w:rPr>
        <w:t>Equal</w:t>
      </w:r>
      <w:r w:rsidR="001902D2" w:rsidRPr="00C9465D">
        <w:rPr>
          <w:sz w:val="16"/>
          <w:szCs w:val="16"/>
          <w:lang w:val="en-US"/>
        </w:rPr>
        <w:t xml:space="preserve"> recognition before the law</w:t>
      </w:r>
      <w:r w:rsidRPr="00C9465D">
        <w:rPr>
          <w:sz w:val="16"/>
          <w:szCs w:val="16"/>
          <w:lang w:val="en-US"/>
        </w:rPr>
        <w:t xml:space="preserve">, </w:t>
      </w:r>
      <w:r w:rsidR="001902D2" w:rsidRPr="00C9465D">
        <w:rPr>
          <w:sz w:val="16"/>
          <w:szCs w:val="16"/>
          <w:lang w:val="en-US"/>
        </w:rPr>
        <w:t>May 19,</w:t>
      </w:r>
      <w:r w:rsidRPr="00C9465D">
        <w:rPr>
          <w:sz w:val="16"/>
          <w:szCs w:val="16"/>
          <w:lang w:val="en-US"/>
        </w:rPr>
        <w:t xml:space="preserve"> 2014, </w:t>
      </w:r>
      <w:r w:rsidR="00532DEC" w:rsidRPr="00C9465D">
        <w:rPr>
          <w:sz w:val="16"/>
          <w:szCs w:val="16"/>
          <w:lang w:val="en-US"/>
        </w:rPr>
        <w:t>UN Doc.</w:t>
      </w:r>
      <w:r w:rsidRPr="00C9465D">
        <w:rPr>
          <w:sz w:val="16"/>
          <w:szCs w:val="16"/>
          <w:lang w:val="en-US"/>
        </w:rPr>
        <w:t xml:space="preserve"> CRPD/C/GC/1, </w:t>
      </w:r>
      <w:r w:rsidR="00D8466F" w:rsidRPr="00C9465D">
        <w:rPr>
          <w:sz w:val="16"/>
          <w:szCs w:val="16"/>
          <w:lang w:val="en-US"/>
        </w:rPr>
        <w:t>paras.</w:t>
      </w:r>
      <w:r w:rsidRPr="00C9465D">
        <w:rPr>
          <w:sz w:val="16"/>
          <w:szCs w:val="16"/>
          <w:lang w:val="en-US"/>
        </w:rPr>
        <w:t xml:space="preserve"> 17</w:t>
      </w:r>
      <w:r w:rsidR="00193CBB" w:rsidRPr="00C9465D">
        <w:rPr>
          <w:sz w:val="16"/>
          <w:szCs w:val="16"/>
          <w:lang w:val="en-US"/>
        </w:rPr>
        <w:t xml:space="preserve"> and </w:t>
      </w:r>
      <w:r w:rsidRPr="00C9465D">
        <w:rPr>
          <w:sz w:val="16"/>
          <w:szCs w:val="16"/>
          <w:lang w:val="en-US"/>
        </w:rPr>
        <w:t>18,</w:t>
      </w:r>
      <w:r w:rsidR="00193CBB" w:rsidRPr="00C9465D">
        <w:rPr>
          <w:sz w:val="16"/>
          <w:szCs w:val="16"/>
          <w:lang w:val="en-US"/>
        </w:rPr>
        <w:t xml:space="preserve"> and </w:t>
      </w:r>
      <w:r w:rsidR="00581AE7" w:rsidRPr="00C9465D">
        <w:rPr>
          <w:sz w:val="16"/>
          <w:szCs w:val="16"/>
          <w:lang w:val="en-US"/>
        </w:rPr>
        <w:t>Written version of the expert opinion of</w:t>
      </w:r>
      <w:r w:rsidRPr="00C9465D">
        <w:rPr>
          <w:sz w:val="16"/>
          <w:szCs w:val="16"/>
          <w:lang w:val="en-US"/>
        </w:rPr>
        <w:t xml:space="preserve"> Christian Courtis (</w:t>
      </w:r>
      <w:r w:rsidR="00153C9F" w:rsidRPr="00C9465D">
        <w:rPr>
          <w:sz w:val="16"/>
          <w:szCs w:val="16"/>
          <w:lang w:val="en-US"/>
        </w:rPr>
        <w:t>evidence file</w:t>
      </w:r>
      <w:r w:rsidRPr="00C9465D">
        <w:rPr>
          <w:sz w:val="16"/>
          <w:szCs w:val="16"/>
          <w:lang w:val="en-US"/>
        </w:rPr>
        <w:t>, folio 8495).</w:t>
      </w:r>
    </w:p>
  </w:footnote>
  <w:footnote w:id="231">
    <w:p w14:paraId="16AB32FF" w14:textId="154D1866"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581AE7" w:rsidRPr="00C9465D">
        <w:rPr>
          <w:rStyle w:val="FootnoteReference"/>
          <w:sz w:val="16"/>
          <w:szCs w:val="16"/>
          <w:vertAlign w:val="baseline"/>
          <w:lang w:val="en-US"/>
        </w:rPr>
        <w:t>P</w:t>
      </w:r>
      <w:r w:rsidR="00581AE7" w:rsidRPr="00C9465D">
        <w:rPr>
          <w:sz w:val="16"/>
          <w:szCs w:val="16"/>
          <w:lang w:val="en-US"/>
        </w:rPr>
        <w:t>atients</w:t>
      </w:r>
      <w:r w:rsidR="00211BE1" w:rsidRPr="00C9465D">
        <w:rPr>
          <w:sz w:val="16"/>
          <w:szCs w:val="16"/>
          <w:lang w:val="en-US"/>
        </w:rPr>
        <w:t>’</w:t>
      </w:r>
      <w:r w:rsidR="00581AE7" w:rsidRPr="00C9465D">
        <w:rPr>
          <w:sz w:val="16"/>
          <w:szCs w:val="16"/>
          <w:lang w:val="en-US"/>
        </w:rPr>
        <w:t xml:space="preserve"> Rights </w:t>
      </w:r>
      <w:r w:rsidR="00455E4B" w:rsidRPr="00C9465D">
        <w:rPr>
          <w:sz w:val="16"/>
          <w:szCs w:val="16"/>
          <w:lang w:val="en-US"/>
        </w:rPr>
        <w:t>Act</w:t>
      </w:r>
      <w:r w:rsidR="00581AE7" w:rsidRPr="00C9465D">
        <w:rPr>
          <w:sz w:val="16"/>
          <w:szCs w:val="16"/>
          <w:lang w:val="en-US"/>
        </w:rPr>
        <w:t xml:space="preserve"> of February 3,</w:t>
      </w:r>
      <w:r w:rsidRPr="00C9465D">
        <w:rPr>
          <w:sz w:val="16"/>
          <w:szCs w:val="16"/>
          <w:lang w:val="en-US"/>
        </w:rPr>
        <w:t xml:space="preserve"> 1995, </w:t>
      </w:r>
      <w:r w:rsidR="00581AE7" w:rsidRPr="00C9465D">
        <w:rPr>
          <w:sz w:val="16"/>
          <w:szCs w:val="16"/>
          <w:lang w:val="en-US"/>
        </w:rPr>
        <w:t>a</w:t>
      </w:r>
      <w:r w:rsidR="00193CBB" w:rsidRPr="00C9465D">
        <w:rPr>
          <w:sz w:val="16"/>
          <w:szCs w:val="16"/>
          <w:lang w:val="en-US"/>
        </w:rPr>
        <w:t>rticle</w:t>
      </w:r>
      <w:r w:rsidRPr="00C9465D">
        <w:rPr>
          <w:sz w:val="16"/>
          <w:szCs w:val="16"/>
          <w:lang w:val="en-US"/>
        </w:rPr>
        <w:t xml:space="preserve">s 5 </w:t>
      </w:r>
      <w:r w:rsidR="00581AE7" w:rsidRPr="00C9465D">
        <w:rPr>
          <w:sz w:val="16"/>
          <w:szCs w:val="16"/>
          <w:lang w:val="en-US"/>
        </w:rPr>
        <w:t>to</w:t>
      </w:r>
      <w:r w:rsidRPr="00C9465D">
        <w:rPr>
          <w:sz w:val="16"/>
          <w:szCs w:val="16"/>
          <w:lang w:val="en-US"/>
        </w:rPr>
        <w:t xml:space="preserve"> 7 (</w:t>
      </w:r>
      <w:r w:rsidR="00153C9F" w:rsidRPr="00C9465D">
        <w:rPr>
          <w:sz w:val="16"/>
          <w:szCs w:val="16"/>
          <w:lang w:val="en-US"/>
        </w:rPr>
        <w:t>evidence file</w:t>
      </w:r>
      <w:r w:rsidRPr="00C9465D">
        <w:rPr>
          <w:sz w:val="16"/>
          <w:szCs w:val="16"/>
          <w:lang w:val="en-US"/>
        </w:rPr>
        <w:t>, folio 9073).</w:t>
      </w:r>
    </w:p>
  </w:footnote>
  <w:footnote w:id="232">
    <w:p w14:paraId="5AEC20DF" w14:textId="38D0687D"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sz w:val="16"/>
          <w:szCs w:val="16"/>
          <w:lang w:val="en-US"/>
        </w:rPr>
        <w:tab/>
      </w:r>
      <w:r w:rsidR="00581AE7" w:rsidRPr="00C9465D">
        <w:rPr>
          <w:sz w:val="16"/>
          <w:szCs w:val="16"/>
          <w:lang w:val="en-US"/>
        </w:rPr>
        <w:t>Medical Code of Ethics</w:t>
      </w:r>
      <w:r w:rsidRPr="00C9465D">
        <w:rPr>
          <w:sz w:val="16"/>
          <w:szCs w:val="16"/>
          <w:lang w:val="en-US"/>
        </w:rPr>
        <w:t xml:space="preserve"> </w:t>
      </w:r>
      <w:r w:rsidR="00581AE7" w:rsidRPr="00C9465D">
        <w:rPr>
          <w:sz w:val="16"/>
          <w:szCs w:val="16"/>
          <w:lang w:val="en-US"/>
        </w:rPr>
        <w:t>of August 17,</w:t>
      </w:r>
      <w:r w:rsidRPr="00C9465D">
        <w:rPr>
          <w:sz w:val="16"/>
          <w:szCs w:val="16"/>
          <w:lang w:val="en-US"/>
        </w:rPr>
        <w:t xml:space="preserve"> 1992, </w:t>
      </w:r>
      <w:r w:rsidR="00581AE7" w:rsidRPr="00C9465D">
        <w:rPr>
          <w:sz w:val="16"/>
          <w:szCs w:val="16"/>
          <w:lang w:val="en-US"/>
        </w:rPr>
        <w:t>a</w:t>
      </w:r>
      <w:r w:rsidR="00193CBB" w:rsidRPr="00C9465D">
        <w:rPr>
          <w:sz w:val="16"/>
          <w:szCs w:val="16"/>
          <w:lang w:val="en-US"/>
        </w:rPr>
        <w:t>rticle</w:t>
      </w:r>
      <w:r w:rsidRPr="00C9465D">
        <w:rPr>
          <w:sz w:val="16"/>
          <w:szCs w:val="16"/>
          <w:lang w:val="en-US"/>
        </w:rPr>
        <w:t>s 15</w:t>
      </w:r>
      <w:r w:rsidR="00193CBB" w:rsidRPr="00C9465D">
        <w:rPr>
          <w:sz w:val="16"/>
          <w:szCs w:val="16"/>
          <w:lang w:val="en-US"/>
        </w:rPr>
        <w:t xml:space="preserve"> and </w:t>
      </w:r>
      <w:r w:rsidRPr="00C9465D">
        <w:rPr>
          <w:sz w:val="16"/>
          <w:szCs w:val="16"/>
          <w:lang w:val="en-US"/>
        </w:rPr>
        <w:t>16 (</w:t>
      </w:r>
      <w:r w:rsidR="00153C9F" w:rsidRPr="00C9465D">
        <w:rPr>
          <w:sz w:val="16"/>
          <w:szCs w:val="16"/>
          <w:lang w:val="en-US"/>
        </w:rPr>
        <w:t>evidence file</w:t>
      </w:r>
      <w:r w:rsidRPr="00C9465D">
        <w:rPr>
          <w:sz w:val="16"/>
          <w:szCs w:val="16"/>
          <w:lang w:val="en-US"/>
        </w:rPr>
        <w:t>, folio 9088).</w:t>
      </w:r>
    </w:p>
  </w:footnote>
  <w:footnote w:id="233">
    <w:p w14:paraId="518096FD" w14:textId="1528101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0D1F57" w:rsidRPr="00C9465D">
        <w:rPr>
          <w:sz w:val="16"/>
          <w:szCs w:val="16"/>
          <w:lang w:val="en-US"/>
        </w:rPr>
        <w:t>Rules and Regulations</w:t>
      </w:r>
      <w:r w:rsidR="00B4099D" w:rsidRPr="00C9465D">
        <w:rPr>
          <w:sz w:val="16"/>
          <w:szCs w:val="16"/>
          <w:lang w:val="en-US"/>
        </w:rPr>
        <w:t xml:space="preserve"> of the</w:t>
      </w:r>
      <w:r w:rsidRPr="00C9465D">
        <w:rPr>
          <w:sz w:val="16"/>
          <w:szCs w:val="16"/>
          <w:lang w:val="en-US"/>
        </w:rPr>
        <w:t xml:space="preserve"> </w:t>
      </w:r>
      <w:r w:rsidR="002C5740" w:rsidRPr="00C9465D">
        <w:rPr>
          <w:sz w:val="16"/>
          <w:szCs w:val="16"/>
          <w:lang w:val="en-US"/>
        </w:rPr>
        <w:t>Julio Endara Psychiatric Hospital</w:t>
      </w:r>
      <w:r w:rsidRPr="00C9465D">
        <w:rPr>
          <w:sz w:val="16"/>
          <w:szCs w:val="16"/>
          <w:lang w:val="en-US"/>
        </w:rPr>
        <w:t xml:space="preserve">, </w:t>
      </w:r>
      <w:r w:rsidR="00B4099D" w:rsidRPr="00C9465D">
        <w:rPr>
          <w:sz w:val="16"/>
          <w:szCs w:val="16"/>
          <w:lang w:val="en-US"/>
        </w:rPr>
        <w:t>a</w:t>
      </w:r>
      <w:r w:rsidR="00193CBB" w:rsidRPr="00C9465D">
        <w:rPr>
          <w:sz w:val="16"/>
          <w:szCs w:val="16"/>
          <w:lang w:val="en-US"/>
        </w:rPr>
        <w:t>rticle</w:t>
      </w:r>
      <w:r w:rsidRPr="00C9465D">
        <w:rPr>
          <w:sz w:val="16"/>
          <w:szCs w:val="16"/>
          <w:lang w:val="en-US"/>
        </w:rPr>
        <w:t xml:space="preserve"> 9 (</w:t>
      </w:r>
      <w:r w:rsidR="00153C9F" w:rsidRPr="00C9465D">
        <w:rPr>
          <w:sz w:val="16"/>
          <w:szCs w:val="16"/>
          <w:lang w:val="en-US"/>
        </w:rPr>
        <w:t>evidence file</w:t>
      </w:r>
      <w:r w:rsidRPr="00C9465D">
        <w:rPr>
          <w:sz w:val="16"/>
          <w:szCs w:val="16"/>
          <w:lang w:val="en-US"/>
        </w:rPr>
        <w:t>, folio 8540).</w:t>
      </w:r>
    </w:p>
  </w:footnote>
  <w:footnote w:id="234">
    <w:p w14:paraId="09929106" w14:textId="25FB1451"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422D91" w:rsidRPr="00C9465D">
        <w:rPr>
          <w:sz w:val="16"/>
          <w:szCs w:val="16"/>
          <w:lang w:val="en-US"/>
        </w:rPr>
        <w:t>Ministry of Public Health</w:t>
      </w:r>
      <w:r w:rsidRPr="00C9465D">
        <w:rPr>
          <w:sz w:val="16"/>
          <w:szCs w:val="16"/>
          <w:lang w:val="en-US"/>
        </w:rPr>
        <w:t xml:space="preserve">, </w:t>
      </w:r>
      <w:r w:rsidR="001F65A3" w:rsidRPr="00C9465D">
        <w:rPr>
          <w:sz w:val="16"/>
          <w:szCs w:val="16"/>
          <w:lang w:val="en-US"/>
        </w:rPr>
        <w:t>Julio Endara Hospital</w:t>
      </w:r>
      <w:r w:rsidRPr="00C9465D">
        <w:rPr>
          <w:sz w:val="16"/>
          <w:szCs w:val="16"/>
          <w:lang w:val="en-US"/>
        </w:rPr>
        <w:t xml:space="preserve">. </w:t>
      </w:r>
      <w:r w:rsidR="00B4099D" w:rsidRPr="00C9465D">
        <w:rPr>
          <w:sz w:val="16"/>
          <w:szCs w:val="16"/>
          <w:lang w:val="en-US"/>
        </w:rPr>
        <w:t>Hospitalization authorization form of January 10,</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145).</w:t>
      </w:r>
    </w:p>
  </w:footnote>
  <w:footnote w:id="235">
    <w:p w14:paraId="460E082B" w14:textId="166AE01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B4099D" w:rsidRPr="00C9465D">
        <w:rPr>
          <w:sz w:val="16"/>
          <w:szCs w:val="16"/>
          <w:lang w:val="en-US"/>
        </w:rPr>
        <w:t>Answering brief of February</w:t>
      </w:r>
      <w:r w:rsidRPr="00C9465D">
        <w:rPr>
          <w:sz w:val="16"/>
          <w:szCs w:val="16"/>
          <w:lang w:val="en-US"/>
        </w:rPr>
        <w:t xml:space="preserve"> 6</w:t>
      </w:r>
      <w:r w:rsidR="00B4099D" w:rsidRPr="00C9465D">
        <w:rPr>
          <w:sz w:val="16"/>
          <w:szCs w:val="16"/>
          <w:lang w:val="en-US"/>
        </w:rPr>
        <w:t xml:space="preserve">, </w:t>
      </w:r>
      <w:r w:rsidRPr="00C9465D">
        <w:rPr>
          <w:sz w:val="16"/>
          <w:szCs w:val="16"/>
          <w:lang w:val="en-US"/>
        </w:rPr>
        <w:t>2020 (</w:t>
      </w:r>
      <w:r w:rsidR="00B4099D" w:rsidRPr="00C9465D">
        <w:rPr>
          <w:sz w:val="16"/>
          <w:szCs w:val="16"/>
          <w:lang w:val="en-US"/>
        </w:rPr>
        <w:t>merits file</w:t>
      </w:r>
      <w:r w:rsidRPr="00C9465D">
        <w:rPr>
          <w:sz w:val="16"/>
          <w:szCs w:val="16"/>
          <w:lang w:val="en-US"/>
        </w:rPr>
        <w:t>, folio 338).</w:t>
      </w:r>
    </w:p>
  </w:footnote>
  <w:footnote w:id="236">
    <w:p w14:paraId="66EAE886" w14:textId="3CF5C63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rPr>
        <w:t xml:space="preserve"> </w:t>
      </w:r>
      <w:r w:rsidRPr="00C9465D">
        <w:rPr>
          <w:sz w:val="16"/>
          <w:szCs w:val="16"/>
        </w:rPr>
        <w:tab/>
      </w:r>
      <w:r w:rsidR="00D8466F" w:rsidRPr="00C9465D">
        <w:rPr>
          <w:i/>
          <w:sz w:val="16"/>
          <w:szCs w:val="16"/>
        </w:rPr>
        <w:t>Case of</w:t>
      </w:r>
      <w:r w:rsidRPr="00C9465D">
        <w:rPr>
          <w:i/>
          <w:sz w:val="16"/>
          <w:szCs w:val="16"/>
        </w:rPr>
        <w:t xml:space="preserve"> I.V. </w:t>
      </w:r>
      <w:r w:rsidR="00193CBB" w:rsidRPr="00C9465D">
        <w:rPr>
          <w:i/>
          <w:sz w:val="16"/>
          <w:szCs w:val="16"/>
        </w:rPr>
        <w:t>v.</w:t>
      </w:r>
      <w:r w:rsidRPr="00C9465D">
        <w:rPr>
          <w:i/>
          <w:sz w:val="16"/>
          <w:szCs w:val="16"/>
        </w:rPr>
        <w:t xml:space="preserve"> Bolivia, supra</w:t>
      </w:r>
      <w:r w:rsidRPr="00C9465D">
        <w:rPr>
          <w:sz w:val="16"/>
          <w:szCs w:val="16"/>
        </w:rPr>
        <w:t xml:space="preserve">, </w:t>
      </w:r>
      <w:r w:rsidR="00D8466F" w:rsidRPr="00C9465D">
        <w:rPr>
          <w:sz w:val="16"/>
          <w:szCs w:val="16"/>
        </w:rPr>
        <w:t>para.</w:t>
      </w:r>
      <w:r w:rsidRPr="00C9465D">
        <w:rPr>
          <w:sz w:val="16"/>
          <w:szCs w:val="16"/>
        </w:rPr>
        <w:t xml:space="preserve"> </w:t>
      </w:r>
      <w:r w:rsidRPr="00C9465D">
        <w:rPr>
          <w:sz w:val="16"/>
          <w:szCs w:val="16"/>
          <w:lang w:val="en-US"/>
        </w:rPr>
        <w:t>177,</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Poblete Vilches</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Chile,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w:t>
      </w:r>
      <w:r w:rsidRPr="00C9465D">
        <w:rPr>
          <w:rStyle w:val="Strong"/>
          <w:b w:val="0"/>
          <w:color w:val="000000"/>
          <w:sz w:val="16"/>
          <w:szCs w:val="16"/>
          <w:shd w:val="clear" w:color="auto" w:fill="FFFFFF"/>
          <w:lang w:val="en-US"/>
        </w:rPr>
        <w:t>166.</w:t>
      </w:r>
    </w:p>
  </w:footnote>
  <w:footnote w:id="237">
    <w:p w14:paraId="56AC3B20" w14:textId="4E53FE5F"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D8466F" w:rsidRPr="00C9465D">
        <w:rPr>
          <w:i/>
          <w:sz w:val="16"/>
          <w:szCs w:val="16"/>
          <w:lang w:val="en-US"/>
        </w:rPr>
        <w:t>Case of</w:t>
      </w:r>
      <w:r w:rsidRPr="00C9465D">
        <w:rPr>
          <w:i/>
          <w:sz w:val="16"/>
          <w:szCs w:val="16"/>
          <w:lang w:val="en-US"/>
        </w:rPr>
        <w:t xml:space="preserve"> I.V. </w:t>
      </w:r>
      <w:r w:rsidR="00193CBB" w:rsidRPr="00C9465D">
        <w:rPr>
          <w:i/>
          <w:sz w:val="16"/>
          <w:szCs w:val="16"/>
          <w:lang w:val="en-US"/>
        </w:rPr>
        <w:t>v.</w:t>
      </w:r>
      <w:r w:rsidRPr="00C9465D">
        <w:rPr>
          <w:i/>
          <w:sz w:val="16"/>
          <w:szCs w:val="16"/>
          <w:lang w:val="en-US"/>
        </w:rPr>
        <w:t xml:space="preserve"> Bolivia, supra</w:t>
      </w:r>
      <w:r w:rsidRPr="00C9465D">
        <w:rPr>
          <w:sz w:val="16"/>
          <w:szCs w:val="16"/>
          <w:lang w:val="en-US"/>
        </w:rPr>
        <w:t>, 177.</w:t>
      </w:r>
    </w:p>
  </w:footnote>
  <w:footnote w:id="238">
    <w:p w14:paraId="1045BAC2" w14:textId="0D47FCC0" w:rsidR="00300482" w:rsidRPr="00C9465D" w:rsidRDefault="00300482" w:rsidP="00BD26CF">
      <w:pPr>
        <w:pStyle w:val="FootnoteText"/>
        <w:tabs>
          <w:tab w:val="left" w:pos="567"/>
        </w:tabs>
        <w:spacing w:after="120"/>
        <w:rPr>
          <w:b/>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B4099D" w:rsidRPr="00C9465D">
        <w:rPr>
          <w:sz w:val="16"/>
          <w:szCs w:val="16"/>
          <w:lang w:val="en-US"/>
        </w:rPr>
        <w:t>Statement made by Zoila</w:t>
      </w:r>
      <w:r w:rsidRPr="00C9465D">
        <w:rPr>
          <w:sz w:val="16"/>
          <w:szCs w:val="16"/>
          <w:lang w:val="en-US"/>
        </w:rPr>
        <w:t xml:space="preserve"> Chimbo Jarro </w:t>
      </w:r>
      <w:r w:rsidR="00B4099D" w:rsidRPr="00C9465D">
        <w:rPr>
          <w:sz w:val="16"/>
          <w:szCs w:val="16"/>
          <w:lang w:val="en-US"/>
        </w:rPr>
        <w:t>on April 4,</w:t>
      </w:r>
      <w:r w:rsidRPr="00C9465D">
        <w:rPr>
          <w:sz w:val="16"/>
          <w:szCs w:val="16"/>
          <w:lang w:val="en-US"/>
        </w:rPr>
        <w:t xml:space="preserve"> 2016</w:t>
      </w:r>
      <w:r w:rsidR="00B4099D" w:rsidRPr="00C9465D">
        <w:rPr>
          <w:sz w:val="16"/>
          <w:szCs w:val="16"/>
          <w:lang w:val="en-US"/>
        </w:rPr>
        <w:t>,</w:t>
      </w:r>
      <w:r w:rsidRPr="00C9465D">
        <w:rPr>
          <w:sz w:val="16"/>
          <w:szCs w:val="16"/>
          <w:lang w:val="en-US"/>
        </w:rPr>
        <w:t xml:space="preserve"> </w:t>
      </w:r>
      <w:r w:rsidR="00766510" w:rsidRPr="00C9465D">
        <w:rPr>
          <w:sz w:val="16"/>
          <w:szCs w:val="16"/>
          <w:lang w:val="en-US"/>
        </w:rPr>
        <w:t>before the</w:t>
      </w:r>
      <w:r w:rsidR="00193CBB" w:rsidRPr="00C9465D">
        <w:rPr>
          <w:sz w:val="16"/>
          <w:szCs w:val="16"/>
          <w:lang w:val="en-US"/>
        </w:rPr>
        <w:t xml:space="preserve"> Inter-American Commission on Human Rights</w:t>
      </w:r>
      <w:r w:rsidRPr="00C9465D">
        <w:rPr>
          <w:sz w:val="16"/>
          <w:szCs w:val="16"/>
          <w:lang w:val="en-US"/>
        </w:rPr>
        <w:t xml:space="preserve">. </w:t>
      </w:r>
      <w:r w:rsidR="00316F29" w:rsidRPr="00C9465D">
        <w:rPr>
          <w:sz w:val="16"/>
          <w:szCs w:val="16"/>
          <w:lang w:val="en-US"/>
        </w:rPr>
        <w:t>Available at</w:t>
      </w:r>
      <w:r w:rsidRPr="00C9465D">
        <w:rPr>
          <w:sz w:val="16"/>
          <w:szCs w:val="16"/>
          <w:lang w:val="en-US"/>
        </w:rPr>
        <w:t xml:space="preserve">: </w:t>
      </w:r>
      <w:hyperlink r:id="rId8" w:history="1">
        <w:r w:rsidRPr="00C9465D">
          <w:rPr>
            <w:rStyle w:val="Hyperlink"/>
            <w:sz w:val="16"/>
            <w:szCs w:val="16"/>
            <w:lang w:val="en-US"/>
          </w:rPr>
          <w:t>http://www.oas.org/es/cidh/multimedia/sesiones/157/default.asp</w:t>
        </w:r>
      </w:hyperlink>
      <w:r w:rsidRPr="00C9465D">
        <w:rPr>
          <w:sz w:val="16"/>
          <w:szCs w:val="16"/>
          <w:lang w:val="en-US"/>
        </w:rPr>
        <w:t xml:space="preserve"> </w:t>
      </w:r>
    </w:p>
  </w:footnote>
  <w:footnote w:id="239">
    <w:p w14:paraId="5E1A5747" w14:textId="2CCD251D"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B4099D" w:rsidRPr="00C9465D">
        <w:rPr>
          <w:sz w:val="16"/>
          <w:szCs w:val="16"/>
          <w:lang w:val="en-US"/>
        </w:rPr>
        <w:t xml:space="preserve">Admittance </w:t>
      </w:r>
      <w:r w:rsidR="008964D7" w:rsidRPr="00C9465D">
        <w:rPr>
          <w:sz w:val="16"/>
          <w:szCs w:val="16"/>
          <w:lang w:val="en-US"/>
        </w:rPr>
        <w:t>form</w:t>
      </w:r>
      <w:r w:rsidRPr="00C9465D">
        <w:rPr>
          <w:sz w:val="16"/>
          <w:szCs w:val="16"/>
          <w:lang w:val="en-US"/>
        </w:rPr>
        <w:t xml:space="preserve"> </w:t>
      </w:r>
      <w:r w:rsidR="002F3237" w:rsidRPr="00C9465D">
        <w:rPr>
          <w:sz w:val="16"/>
          <w:szCs w:val="16"/>
          <w:lang w:val="en-US"/>
        </w:rPr>
        <w:t>of Mr. Guachalá</w:t>
      </w:r>
      <w:r w:rsidRPr="00C9465D">
        <w:rPr>
          <w:sz w:val="16"/>
          <w:szCs w:val="16"/>
          <w:lang w:val="en-US"/>
        </w:rPr>
        <w:t xml:space="preserve"> Chimbo (</w:t>
      </w:r>
      <w:r w:rsidR="00153C9F" w:rsidRPr="00C9465D">
        <w:rPr>
          <w:sz w:val="16"/>
          <w:szCs w:val="16"/>
          <w:lang w:val="en-US"/>
        </w:rPr>
        <w:t>evidence file</w:t>
      </w:r>
      <w:r w:rsidRPr="00C9465D">
        <w:rPr>
          <w:sz w:val="16"/>
          <w:szCs w:val="16"/>
          <w:lang w:val="en-US"/>
        </w:rPr>
        <w:t>, folio 1706).</w:t>
      </w:r>
    </w:p>
  </w:footnote>
  <w:footnote w:id="240">
    <w:p w14:paraId="33931E7A" w14:textId="47D7CDB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B4099D" w:rsidRPr="00C9465D">
        <w:rPr>
          <w:sz w:val="16"/>
          <w:szCs w:val="16"/>
          <w:lang w:val="en-US"/>
        </w:rPr>
        <w:t>Statement made by</w:t>
      </w:r>
      <w:r w:rsidRPr="00C9465D">
        <w:rPr>
          <w:sz w:val="16"/>
          <w:szCs w:val="16"/>
          <w:lang w:val="en-US"/>
        </w:rPr>
        <w:t xml:space="preserve"> Claudia Chávez Ledezma </w:t>
      </w:r>
      <w:r w:rsidR="00B712CD" w:rsidRPr="00C9465D">
        <w:rPr>
          <w:sz w:val="16"/>
          <w:szCs w:val="16"/>
          <w:lang w:val="en-US"/>
        </w:rPr>
        <w:t>during the public hearing held in this case</w:t>
      </w:r>
      <w:r w:rsidRPr="00C9465D">
        <w:rPr>
          <w:sz w:val="16"/>
          <w:szCs w:val="16"/>
          <w:lang w:val="en-US"/>
        </w:rPr>
        <w:t xml:space="preserve">. </w:t>
      </w:r>
    </w:p>
  </w:footnote>
  <w:footnote w:id="241">
    <w:p w14:paraId="33660414" w14:textId="12F77958"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B4099D" w:rsidRPr="00C9465D">
        <w:rPr>
          <w:sz w:val="16"/>
          <w:szCs w:val="16"/>
          <w:lang w:val="en-US"/>
        </w:rPr>
        <w:t>Report of the</w:t>
      </w:r>
      <w:r w:rsidRPr="00C9465D">
        <w:rPr>
          <w:sz w:val="16"/>
          <w:szCs w:val="16"/>
          <w:lang w:val="en-US"/>
        </w:rPr>
        <w:t xml:space="preserve"> </w:t>
      </w:r>
      <w:r w:rsidR="00532DEC" w:rsidRPr="00C9465D">
        <w:rPr>
          <w:sz w:val="16"/>
          <w:szCs w:val="16"/>
          <w:lang w:val="en-US"/>
        </w:rPr>
        <w:t>Committee on the Rights of Persons with Disabilities</w:t>
      </w:r>
      <w:r w:rsidRPr="00C9465D">
        <w:rPr>
          <w:sz w:val="16"/>
          <w:szCs w:val="16"/>
          <w:lang w:val="en-US"/>
        </w:rPr>
        <w:t xml:space="preserve">, A/72/55, </w:t>
      </w:r>
      <w:r w:rsidR="00D1004F" w:rsidRPr="00C9465D">
        <w:rPr>
          <w:sz w:val="16"/>
          <w:szCs w:val="16"/>
          <w:lang w:val="en-US"/>
        </w:rPr>
        <w:t>Guidelines on the right to liberty and security of persons with disabilities</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22. </w:t>
      </w:r>
      <w:r w:rsidR="00B4099D" w:rsidRPr="00C9465D">
        <w:rPr>
          <w:sz w:val="16"/>
          <w:szCs w:val="16"/>
          <w:lang w:val="en-US"/>
        </w:rPr>
        <w:t>See also</w:t>
      </w:r>
      <w:r w:rsidRPr="00C9465D">
        <w:rPr>
          <w:sz w:val="16"/>
          <w:szCs w:val="16"/>
          <w:lang w:val="en-US"/>
        </w:rPr>
        <w:t xml:space="preserve">, </w:t>
      </w:r>
      <w:r w:rsidR="00532DEC" w:rsidRPr="00C9465D">
        <w:rPr>
          <w:sz w:val="16"/>
          <w:szCs w:val="16"/>
          <w:lang w:val="en-US"/>
        </w:rPr>
        <w:t>Committee on the Rights of Persons with Disabilities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No. 1: </w:t>
      </w:r>
      <w:r w:rsidR="00193CBB" w:rsidRPr="00C9465D">
        <w:rPr>
          <w:sz w:val="16"/>
          <w:szCs w:val="16"/>
          <w:lang w:val="en-US"/>
        </w:rPr>
        <w:t>Article</w:t>
      </w:r>
      <w:r w:rsidRPr="00C9465D">
        <w:rPr>
          <w:sz w:val="16"/>
          <w:szCs w:val="16"/>
          <w:lang w:val="en-US"/>
        </w:rPr>
        <w:t xml:space="preserve"> 12: </w:t>
      </w:r>
      <w:r w:rsidR="002F1A54" w:rsidRPr="00C9465D">
        <w:rPr>
          <w:sz w:val="16"/>
          <w:szCs w:val="16"/>
          <w:lang w:val="en-US"/>
        </w:rPr>
        <w:t>Equal</w:t>
      </w:r>
      <w:r w:rsidR="001902D2" w:rsidRPr="00C9465D">
        <w:rPr>
          <w:sz w:val="16"/>
          <w:szCs w:val="16"/>
          <w:lang w:val="en-US"/>
        </w:rPr>
        <w:t xml:space="preserve"> recognition before the law</w:t>
      </w:r>
      <w:r w:rsidRPr="00C9465D">
        <w:rPr>
          <w:sz w:val="16"/>
          <w:szCs w:val="16"/>
          <w:lang w:val="en-US"/>
        </w:rPr>
        <w:t xml:space="preserve">, </w:t>
      </w:r>
      <w:r w:rsidR="001902D2" w:rsidRPr="00C9465D">
        <w:rPr>
          <w:sz w:val="16"/>
          <w:szCs w:val="16"/>
          <w:lang w:val="en-US"/>
        </w:rPr>
        <w:t>May 19,</w:t>
      </w:r>
      <w:r w:rsidRPr="00C9465D">
        <w:rPr>
          <w:sz w:val="16"/>
          <w:szCs w:val="16"/>
          <w:lang w:val="en-US"/>
        </w:rPr>
        <w:t xml:space="preserve"> 2014, </w:t>
      </w:r>
      <w:r w:rsidR="00532DEC" w:rsidRPr="00C9465D">
        <w:rPr>
          <w:sz w:val="16"/>
          <w:szCs w:val="16"/>
          <w:lang w:val="en-US"/>
        </w:rPr>
        <w:t>UN Doc.</w:t>
      </w:r>
      <w:r w:rsidRPr="00C9465D">
        <w:rPr>
          <w:sz w:val="16"/>
          <w:szCs w:val="16"/>
          <w:lang w:val="en-US"/>
        </w:rPr>
        <w:t xml:space="preserve"> CRPD/C/GC/1, </w:t>
      </w:r>
      <w:r w:rsidR="00D8466F" w:rsidRPr="00C9465D">
        <w:rPr>
          <w:sz w:val="16"/>
          <w:szCs w:val="16"/>
          <w:lang w:val="en-US"/>
        </w:rPr>
        <w:t>para.</w:t>
      </w:r>
      <w:r w:rsidRPr="00C9465D">
        <w:rPr>
          <w:sz w:val="16"/>
          <w:szCs w:val="16"/>
          <w:lang w:val="en-US"/>
        </w:rPr>
        <w:t xml:space="preserve"> 42.</w:t>
      </w:r>
    </w:p>
  </w:footnote>
  <w:footnote w:id="242">
    <w:p w14:paraId="6BB7344D" w14:textId="2D97BF88"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532DEC" w:rsidRPr="00C9465D">
        <w:rPr>
          <w:sz w:val="16"/>
          <w:szCs w:val="16"/>
          <w:lang w:val="en-US"/>
        </w:rPr>
        <w:t>Report of the United Nations Special Rapporteur on the rights of</w:t>
      </w:r>
      <w:r w:rsidRPr="00C9465D">
        <w:rPr>
          <w:sz w:val="16"/>
          <w:szCs w:val="16"/>
          <w:lang w:val="en-US"/>
        </w:rPr>
        <w:t xml:space="preserve"> </w:t>
      </w:r>
      <w:r w:rsidR="00D85850" w:rsidRPr="00C9465D">
        <w:rPr>
          <w:sz w:val="16"/>
          <w:szCs w:val="16"/>
          <w:lang w:val="en-US"/>
        </w:rPr>
        <w:t>persons with disabilities</w:t>
      </w:r>
      <w:r w:rsidRPr="00C9465D">
        <w:rPr>
          <w:sz w:val="16"/>
          <w:szCs w:val="16"/>
          <w:lang w:val="en-US"/>
        </w:rPr>
        <w:t xml:space="preserve">, </w:t>
      </w:r>
      <w:r w:rsidR="00D1004F" w:rsidRPr="00C9465D">
        <w:rPr>
          <w:sz w:val="16"/>
          <w:szCs w:val="16"/>
          <w:lang w:val="en-US"/>
        </w:rPr>
        <w:t>December 12,</w:t>
      </w:r>
      <w:r w:rsidRPr="00C9465D">
        <w:rPr>
          <w:sz w:val="16"/>
          <w:szCs w:val="16"/>
          <w:lang w:val="en-US"/>
        </w:rPr>
        <w:t xml:space="preserve"> 2017, </w:t>
      </w:r>
      <w:r w:rsidR="00532DEC" w:rsidRPr="00C9465D">
        <w:rPr>
          <w:sz w:val="16"/>
          <w:szCs w:val="16"/>
          <w:lang w:val="en-US"/>
        </w:rPr>
        <w:t>UN Doc.</w:t>
      </w:r>
      <w:r w:rsidRPr="00C9465D">
        <w:rPr>
          <w:sz w:val="16"/>
          <w:szCs w:val="16"/>
          <w:lang w:val="en-US"/>
        </w:rPr>
        <w:t xml:space="preserve"> A/HRC/37/56, </w:t>
      </w:r>
      <w:r w:rsidR="00D8466F" w:rsidRPr="00C9465D">
        <w:rPr>
          <w:sz w:val="16"/>
          <w:szCs w:val="16"/>
          <w:lang w:val="en-US"/>
        </w:rPr>
        <w:t>para.</w:t>
      </w:r>
      <w:r w:rsidRPr="00C9465D">
        <w:rPr>
          <w:sz w:val="16"/>
          <w:szCs w:val="16"/>
          <w:lang w:val="en-US"/>
        </w:rPr>
        <w:t xml:space="preserve"> 31.</w:t>
      </w:r>
    </w:p>
  </w:footnote>
  <w:footnote w:id="243">
    <w:p w14:paraId="6E5E6149" w14:textId="38CAF74D"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532DEC" w:rsidRPr="00C9465D">
        <w:rPr>
          <w:sz w:val="16"/>
          <w:szCs w:val="16"/>
          <w:lang w:val="en-US"/>
        </w:rPr>
        <w:t>Report of the United Nations Special Rapporteur on the rights of</w:t>
      </w:r>
      <w:r w:rsidRPr="00C9465D">
        <w:rPr>
          <w:sz w:val="16"/>
          <w:szCs w:val="16"/>
          <w:lang w:val="en-US"/>
        </w:rPr>
        <w:t xml:space="preserve"> </w:t>
      </w:r>
      <w:r w:rsidR="00D85850" w:rsidRPr="00C9465D">
        <w:rPr>
          <w:sz w:val="16"/>
          <w:szCs w:val="16"/>
          <w:lang w:val="en-US"/>
        </w:rPr>
        <w:t>persons with disabilities</w:t>
      </w:r>
      <w:r w:rsidRPr="00C9465D">
        <w:rPr>
          <w:sz w:val="16"/>
          <w:szCs w:val="16"/>
          <w:lang w:val="en-US"/>
        </w:rPr>
        <w:t xml:space="preserve">, </w:t>
      </w:r>
      <w:r w:rsidR="00D1004F" w:rsidRPr="00C9465D">
        <w:rPr>
          <w:sz w:val="16"/>
          <w:szCs w:val="16"/>
          <w:lang w:val="en-US"/>
        </w:rPr>
        <w:t>December 12,</w:t>
      </w:r>
      <w:r w:rsidRPr="00C9465D">
        <w:rPr>
          <w:sz w:val="16"/>
          <w:szCs w:val="16"/>
          <w:lang w:val="en-US"/>
        </w:rPr>
        <w:t xml:space="preserve"> 2017, </w:t>
      </w:r>
      <w:r w:rsidR="00532DEC" w:rsidRPr="00C9465D">
        <w:rPr>
          <w:sz w:val="16"/>
          <w:szCs w:val="16"/>
          <w:lang w:val="en-US"/>
        </w:rPr>
        <w:t>UN Doc.</w:t>
      </w:r>
      <w:r w:rsidRPr="00C9465D">
        <w:rPr>
          <w:sz w:val="16"/>
          <w:szCs w:val="16"/>
          <w:lang w:val="en-US"/>
        </w:rPr>
        <w:t xml:space="preserve"> A/HRC/37/56, </w:t>
      </w:r>
      <w:r w:rsidR="00D8466F" w:rsidRPr="00C9465D">
        <w:rPr>
          <w:sz w:val="16"/>
          <w:szCs w:val="16"/>
          <w:lang w:val="en-US"/>
        </w:rPr>
        <w:t>para.</w:t>
      </w:r>
      <w:r w:rsidRPr="00C9465D">
        <w:rPr>
          <w:sz w:val="16"/>
          <w:szCs w:val="16"/>
          <w:lang w:val="en-US"/>
        </w:rPr>
        <w:t xml:space="preserve"> 31.</w:t>
      </w:r>
    </w:p>
  </w:footnote>
  <w:footnote w:id="244">
    <w:p w14:paraId="35C71C57" w14:textId="4DBE846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532DEC" w:rsidRPr="00C9465D">
        <w:rPr>
          <w:sz w:val="16"/>
          <w:szCs w:val="16"/>
          <w:lang w:val="en-US"/>
        </w:rPr>
        <w:t>Committee on the Rights of Persons with Disabilities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No. 1: </w:t>
      </w:r>
      <w:r w:rsidR="00193CBB" w:rsidRPr="00C9465D">
        <w:rPr>
          <w:sz w:val="16"/>
          <w:szCs w:val="16"/>
          <w:lang w:val="en-US"/>
        </w:rPr>
        <w:t>Article</w:t>
      </w:r>
      <w:r w:rsidRPr="00C9465D">
        <w:rPr>
          <w:sz w:val="16"/>
          <w:szCs w:val="16"/>
          <w:lang w:val="en-US"/>
        </w:rPr>
        <w:t xml:space="preserve"> 12: </w:t>
      </w:r>
      <w:r w:rsidR="002F1A54" w:rsidRPr="00C9465D">
        <w:rPr>
          <w:sz w:val="16"/>
          <w:szCs w:val="16"/>
          <w:lang w:val="en-US"/>
        </w:rPr>
        <w:t>Equal</w:t>
      </w:r>
      <w:r w:rsidR="001902D2" w:rsidRPr="00C9465D">
        <w:rPr>
          <w:sz w:val="16"/>
          <w:szCs w:val="16"/>
          <w:lang w:val="en-US"/>
        </w:rPr>
        <w:t xml:space="preserve"> recognition before the law</w:t>
      </w:r>
      <w:r w:rsidRPr="00C9465D">
        <w:rPr>
          <w:sz w:val="16"/>
          <w:szCs w:val="16"/>
          <w:lang w:val="en-US"/>
        </w:rPr>
        <w:t xml:space="preserve">, </w:t>
      </w:r>
      <w:r w:rsidR="001902D2" w:rsidRPr="00C9465D">
        <w:rPr>
          <w:sz w:val="16"/>
          <w:szCs w:val="16"/>
          <w:lang w:val="en-US"/>
        </w:rPr>
        <w:t>May 19,</w:t>
      </w:r>
      <w:r w:rsidRPr="00C9465D">
        <w:rPr>
          <w:sz w:val="16"/>
          <w:szCs w:val="16"/>
          <w:lang w:val="en-US"/>
        </w:rPr>
        <w:t xml:space="preserve"> 2014, </w:t>
      </w:r>
      <w:r w:rsidR="00532DEC" w:rsidRPr="00C9465D">
        <w:rPr>
          <w:sz w:val="16"/>
          <w:szCs w:val="16"/>
          <w:lang w:val="en-US"/>
        </w:rPr>
        <w:t>UN Doc.</w:t>
      </w:r>
      <w:r w:rsidRPr="00C9465D">
        <w:rPr>
          <w:sz w:val="16"/>
          <w:szCs w:val="16"/>
          <w:lang w:val="en-US"/>
        </w:rPr>
        <w:t xml:space="preserve"> CRPD/C/GC/1, </w:t>
      </w:r>
      <w:r w:rsidR="00D8466F" w:rsidRPr="00C9465D">
        <w:rPr>
          <w:sz w:val="16"/>
          <w:szCs w:val="16"/>
          <w:lang w:val="en-US"/>
        </w:rPr>
        <w:t>para.</w:t>
      </w:r>
      <w:r w:rsidRPr="00C9465D">
        <w:rPr>
          <w:sz w:val="16"/>
          <w:szCs w:val="16"/>
          <w:lang w:val="en-US"/>
        </w:rPr>
        <w:t xml:space="preserve"> 21.</w:t>
      </w:r>
    </w:p>
  </w:footnote>
  <w:footnote w:id="245">
    <w:p w14:paraId="329701F5" w14:textId="67685732" w:rsidR="00300482" w:rsidRPr="00C9465D" w:rsidRDefault="00300482" w:rsidP="00BD26CF">
      <w:pPr>
        <w:pStyle w:val="FootnoteText"/>
        <w:tabs>
          <w:tab w:val="left" w:pos="567"/>
        </w:tabs>
        <w:spacing w:after="120"/>
        <w:rPr>
          <w:i/>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581AE7" w:rsidRPr="00C9465D">
        <w:rPr>
          <w:sz w:val="16"/>
          <w:szCs w:val="16"/>
          <w:lang w:val="en-US"/>
        </w:rPr>
        <w:t>Written version of the expert opinion of</w:t>
      </w:r>
      <w:r w:rsidRPr="00C9465D">
        <w:rPr>
          <w:sz w:val="16"/>
          <w:szCs w:val="16"/>
          <w:lang w:val="en-US"/>
        </w:rPr>
        <w:t xml:space="preserve"> Christian Courtis (</w:t>
      </w:r>
      <w:r w:rsidR="00153C9F" w:rsidRPr="00C9465D">
        <w:rPr>
          <w:sz w:val="16"/>
          <w:szCs w:val="16"/>
          <w:lang w:val="en-US"/>
        </w:rPr>
        <w:t>evidence file</w:t>
      </w:r>
      <w:r w:rsidRPr="00C9465D">
        <w:rPr>
          <w:sz w:val="16"/>
          <w:szCs w:val="16"/>
          <w:lang w:val="en-US"/>
        </w:rPr>
        <w:t>, folio 8495).</w:t>
      </w:r>
    </w:p>
  </w:footnote>
  <w:footnote w:id="246">
    <w:p w14:paraId="5D63BA29" w14:textId="0593E8F7"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6056FD" w:rsidRPr="00C9465D">
        <w:rPr>
          <w:sz w:val="16"/>
          <w:szCs w:val="16"/>
          <w:lang w:val="en-US"/>
        </w:rPr>
        <w:t>Hospitalization authorization form of January 10,</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145).</w:t>
      </w:r>
    </w:p>
  </w:footnote>
  <w:footnote w:id="247">
    <w:p w14:paraId="55E9AFD4" w14:textId="5642C38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Gangaram Panday </w:t>
      </w:r>
      <w:r w:rsidR="00193CBB" w:rsidRPr="00C9465D">
        <w:rPr>
          <w:i/>
          <w:sz w:val="16"/>
          <w:szCs w:val="16"/>
          <w:lang w:val="en-US"/>
        </w:rPr>
        <w:t>v.</w:t>
      </w:r>
      <w:r w:rsidRPr="00C9465D">
        <w:rPr>
          <w:i/>
          <w:sz w:val="16"/>
          <w:szCs w:val="16"/>
          <w:lang w:val="en-US"/>
        </w:rPr>
        <w:t xml:space="preserve"> Surinam</w:t>
      </w:r>
      <w:r w:rsidR="00BD504E" w:rsidRPr="00C9465D">
        <w:rPr>
          <w:i/>
          <w:sz w:val="16"/>
          <w:szCs w:val="16"/>
          <w:lang w:val="en-US"/>
        </w:rPr>
        <w:t>e</w:t>
      </w:r>
      <w:r w:rsidRPr="00C9465D">
        <w:rPr>
          <w:i/>
          <w:sz w:val="16"/>
          <w:szCs w:val="16"/>
          <w:lang w:val="en-US"/>
        </w:rPr>
        <w:t>. Preliminar</w:t>
      </w:r>
      <w:r w:rsidR="00BD504E" w:rsidRPr="00C9465D">
        <w:rPr>
          <w:i/>
          <w:sz w:val="16"/>
          <w:szCs w:val="16"/>
          <w:lang w:val="en-US"/>
        </w:rPr>
        <w:t>y objection</w:t>
      </w:r>
      <w:r w:rsidRPr="00C9465D">
        <w:rPr>
          <w:i/>
          <w:sz w:val="16"/>
          <w:szCs w:val="16"/>
          <w:lang w:val="en-US"/>
        </w:rPr>
        <w:t>s</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BD504E" w:rsidRPr="00C9465D">
        <w:rPr>
          <w:sz w:val="16"/>
          <w:szCs w:val="16"/>
          <w:lang w:val="en-US"/>
        </w:rPr>
        <w:t>December 4,</w:t>
      </w:r>
      <w:r w:rsidRPr="00C9465D">
        <w:rPr>
          <w:sz w:val="16"/>
          <w:szCs w:val="16"/>
          <w:lang w:val="en-US"/>
        </w:rPr>
        <w:t xml:space="preserve"> 1991.  </w:t>
      </w:r>
      <w:r w:rsidR="00E2299F" w:rsidRPr="00C9465D">
        <w:rPr>
          <w:sz w:val="16"/>
          <w:szCs w:val="16"/>
          <w:lang w:val="en-US"/>
        </w:rPr>
        <w:t xml:space="preserve">Series </w:t>
      </w:r>
      <w:r w:rsidRPr="00C9465D">
        <w:rPr>
          <w:sz w:val="16"/>
          <w:szCs w:val="16"/>
          <w:lang w:val="en-US"/>
        </w:rPr>
        <w:t xml:space="preserve">C No. 12, </w:t>
      </w:r>
      <w:r w:rsidR="00D8466F" w:rsidRPr="00C9465D">
        <w:rPr>
          <w:sz w:val="16"/>
          <w:szCs w:val="16"/>
          <w:lang w:val="en-US"/>
        </w:rPr>
        <w:t>para.</w:t>
      </w:r>
      <w:r w:rsidRPr="00C9465D">
        <w:rPr>
          <w:sz w:val="16"/>
          <w:szCs w:val="16"/>
          <w:lang w:val="en-US"/>
        </w:rPr>
        <w:t xml:space="preserve"> 50,</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Casa Nina </w:t>
      </w:r>
      <w:r w:rsidR="00193CBB" w:rsidRPr="00C9465D">
        <w:rPr>
          <w:i/>
          <w:sz w:val="16"/>
          <w:szCs w:val="16"/>
          <w:lang w:val="en-US"/>
        </w:rPr>
        <w:t>v.</w:t>
      </w:r>
      <w:r w:rsidRPr="00C9465D">
        <w:rPr>
          <w:i/>
          <w:sz w:val="16"/>
          <w:szCs w:val="16"/>
          <w:lang w:val="en-US"/>
        </w:rPr>
        <w:t xml:space="preserve"> </w:t>
      </w:r>
      <w:r w:rsidR="001902D2" w:rsidRPr="00C9465D">
        <w:rPr>
          <w:i/>
          <w:sz w:val="16"/>
          <w:szCs w:val="16"/>
          <w:lang w:val="en-US"/>
        </w:rPr>
        <w:t>Peru</w:t>
      </w:r>
      <w:r w:rsidRPr="00C9465D">
        <w:rPr>
          <w:i/>
          <w:sz w:val="16"/>
          <w:szCs w:val="16"/>
          <w:lang w:val="en-US"/>
        </w:rPr>
        <w:t xml:space="preserve">. </w:t>
      </w:r>
      <w:r w:rsidR="00D8466F" w:rsidRPr="00C9465D">
        <w:rPr>
          <w:i/>
          <w:sz w:val="16"/>
          <w:szCs w:val="16"/>
          <w:lang w:val="en-US"/>
        </w:rPr>
        <w:t>Preliminary objections, merits</w:t>
      </w:r>
      <w:r w:rsidR="00193CBB" w:rsidRPr="00C9465D">
        <w:rPr>
          <w:i/>
          <w:sz w:val="16"/>
          <w:szCs w:val="16"/>
          <w:lang w:val="en-US"/>
        </w:rPr>
        <w:t>, reparations and costs</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BD504E" w:rsidRPr="00C9465D">
        <w:rPr>
          <w:sz w:val="16"/>
          <w:szCs w:val="16"/>
          <w:lang w:val="en-US"/>
        </w:rPr>
        <w:t>November 24,</w:t>
      </w:r>
      <w:r w:rsidRPr="00C9465D">
        <w:rPr>
          <w:sz w:val="16"/>
          <w:szCs w:val="16"/>
          <w:lang w:val="en-US"/>
        </w:rPr>
        <w:t xml:space="preserve"> 2020. </w:t>
      </w:r>
      <w:r w:rsidR="00E2299F" w:rsidRPr="00C9465D">
        <w:rPr>
          <w:sz w:val="16"/>
          <w:szCs w:val="16"/>
          <w:lang w:val="en-US"/>
        </w:rPr>
        <w:t xml:space="preserve">Series </w:t>
      </w:r>
      <w:r w:rsidRPr="00C9465D">
        <w:rPr>
          <w:sz w:val="16"/>
          <w:szCs w:val="16"/>
          <w:lang w:val="en-US"/>
        </w:rPr>
        <w:t xml:space="preserve">C No. 419, </w:t>
      </w:r>
      <w:r w:rsidR="00D8466F" w:rsidRPr="00C9465D">
        <w:rPr>
          <w:sz w:val="16"/>
          <w:szCs w:val="16"/>
          <w:lang w:val="en-US"/>
        </w:rPr>
        <w:t>para.</w:t>
      </w:r>
      <w:r w:rsidRPr="00C9465D">
        <w:rPr>
          <w:sz w:val="16"/>
          <w:szCs w:val="16"/>
          <w:lang w:val="en-US"/>
        </w:rPr>
        <w:t xml:space="preserve"> 100</w:t>
      </w:r>
      <w:r w:rsidRPr="00C9465D">
        <w:rPr>
          <w:i/>
          <w:sz w:val="16"/>
          <w:szCs w:val="16"/>
          <w:lang w:val="en-US"/>
        </w:rPr>
        <w:t>.</w:t>
      </w:r>
    </w:p>
  </w:footnote>
  <w:footnote w:id="248">
    <w:p w14:paraId="010B384D" w14:textId="683C7CFA"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Castillo Petruzzi</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w:t>
      </w:r>
      <w:r w:rsidR="001902D2" w:rsidRPr="00C9465D">
        <w:rPr>
          <w:i/>
          <w:sz w:val="16"/>
          <w:szCs w:val="16"/>
          <w:lang w:val="en-US"/>
        </w:rPr>
        <w:t>Peru</w:t>
      </w:r>
      <w:r w:rsidRPr="00C9465D">
        <w:rPr>
          <w:i/>
          <w:sz w:val="16"/>
          <w:szCs w:val="16"/>
          <w:lang w:val="en-US"/>
        </w:rPr>
        <w:t xml:space="preserve">. </w:t>
      </w:r>
      <w:r w:rsidR="00193CBB" w:rsidRPr="00C9465D">
        <w:rPr>
          <w:i/>
          <w:sz w:val="16"/>
          <w:szCs w:val="16"/>
          <w:lang w:val="en-US"/>
        </w:rPr>
        <w:t>Merits, reparations and costs</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BD504E" w:rsidRPr="00C9465D">
        <w:rPr>
          <w:sz w:val="16"/>
          <w:szCs w:val="16"/>
          <w:lang w:val="en-US"/>
        </w:rPr>
        <w:t>May 30,</w:t>
      </w:r>
      <w:r w:rsidRPr="00C9465D">
        <w:rPr>
          <w:sz w:val="16"/>
          <w:szCs w:val="16"/>
          <w:lang w:val="en-US"/>
        </w:rPr>
        <w:t xml:space="preserve"> 1999. </w:t>
      </w:r>
      <w:r w:rsidR="00E2299F" w:rsidRPr="00C9465D">
        <w:rPr>
          <w:sz w:val="16"/>
          <w:szCs w:val="16"/>
        </w:rPr>
        <w:t xml:space="preserve">Series </w:t>
      </w:r>
      <w:r w:rsidRPr="00C9465D">
        <w:rPr>
          <w:sz w:val="16"/>
          <w:szCs w:val="16"/>
        </w:rPr>
        <w:t>C</w:t>
      </w:r>
      <w:r w:rsidRPr="00C9465D">
        <w:rPr>
          <w:spacing w:val="-3"/>
          <w:sz w:val="16"/>
          <w:szCs w:val="16"/>
        </w:rPr>
        <w:t xml:space="preserve"> </w:t>
      </w:r>
      <w:r w:rsidRPr="00C9465D">
        <w:rPr>
          <w:sz w:val="16"/>
          <w:szCs w:val="16"/>
        </w:rPr>
        <w:t>No.</w:t>
      </w:r>
      <w:r w:rsidRPr="00C9465D">
        <w:rPr>
          <w:spacing w:val="-6"/>
          <w:sz w:val="16"/>
          <w:szCs w:val="16"/>
        </w:rPr>
        <w:t xml:space="preserve"> </w:t>
      </w:r>
      <w:r w:rsidRPr="00C9465D">
        <w:rPr>
          <w:sz w:val="16"/>
          <w:szCs w:val="16"/>
        </w:rPr>
        <w:t>52,</w:t>
      </w:r>
      <w:r w:rsidRPr="00C9465D">
        <w:rPr>
          <w:spacing w:val="-7"/>
          <w:sz w:val="16"/>
          <w:szCs w:val="16"/>
        </w:rPr>
        <w:t xml:space="preserve"> </w:t>
      </w:r>
      <w:r w:rsidR="00D8466F" w:rsidRPr="00C9465D">
        <w:rPr>
          <w:sz w:val="16"/>
          <w:szCs w:val="16"/>
        </w:rPr>
        <w:t>para.</w:t>
      </w:r>
      <w:r w:rsidRPr="00C9465D">
        <w:rPr>
          <w:spacing w:val="-6"/>
          <w:sz w:val="16"/>
          <w:szCs w:val="16"/>
        </w:rPr>
        <w:t xml:space="preserve"> </w:t>
      </w:r>
      <w:r w:rsidRPr="00C9465D">
        <w:rPr>
          <w:sz w:val="16"/>
          <w:szCs w:val="16"/>
        </w:rPr>
        <w:t>207,</w:t>
      </w:r>
      <w:r w:rsidR="00193CBB" w:rsidRPr="00C9465D">
        <w:rPr>
          <w:spacing w:val="-7"/>
          <w:sz w:val="16"/>
          <w:szCs w:val="16"/>
        </w:rPr>
        <w:t xml:space="preserve"> and </w:t>
      </w:r>
      <w:r w:rsidR="00D8466F" w:rsidRPr="00C9465D">
        <w:rPr>
          <w:i/>
          <w:sz w:val="16"/>
          <w:szCs w:val="16"/>
        </w:rPr>
        <w:t>Case of</w:t>
      </w:r>
      <w:r w:rsidRPr="00C9465D">
        <w:rPr>
          <w:i/>
          <w:sz w:val="16"/>
          <w:szCs w:val="16"/>
        </w:rPr>
        <w:t xml:space="preserve"> Casa Nina </w:t>
      </w:r>
      <w:r w:rsidR="00193CBB" w:rsidRPr="00C9465D">
        <w:rPr>
          <w:i/>
          <w:sz w:val="16"/>
          <w:szCs w:val="16"/>
        </w:rPr>
        <w:t>v.</w:t>
      </w:r>
      <w:r w:rsidRPr="00C9465D">
        <w:rPr>
          <w:i/>
          <w:sz w:val="16"/>
          <w:szCs w:val="16"/>
        </w:rPr>
        <w:t xml:space="preserve"> </w:t>
      </w:r>
      <w:proofErr w:type="spellStart"/>
      <w:r w:rsidR="001902D2" w:rsidRPr="00C9465D">
        <w:rPr>
          <w:i/>
          <w:sz w:val="16"/>
          <w:szCs w:val="16"/>
        </w:rPr>
        <w:t>Peru</w:t>
      </w:r>
      <w:proofErr w:type="spellEnd"/>
      <w:r w:rsidRPr="00C9465D">
        <w:rPr>
          <w:i/>
          <w:sz w:val="16"/>
          <w:szCs w:val="16"/>
        </w:rPr>
        <w:t>, supra</w:t>
      </w:r>
      <w:r w:rsidRPr="00C9465D">
        <w:rPr>
          <w:sz w:val="16"/>
          <w:szCs w:val="16"/>
        </w:rPr>
        <w:t xml:space="preserve">, </w:t>
      </w:r>
      <w:r w:rsidR="00D8466F" w:rsidRPr="00C9465D">
        <w:rPr>
          <w:sz w:val="16"/>
          <w:szCs w:val="16"/>
        </w:rPr>
        <w:t>para.</w:t>
      </w:r>
      <w:r w:rsidRPr="00C9465D">
        <w:rPr>
          <w:sz w:val="16"/>
          <w:szCs w:val="16"/>
        </w:rPr>
        <w:t xml:space="preserve"> </w:t>
      </w:r>
      <w:r w:rsidRPr="00C9465D">
        <w:rPr>
          <w:sz w:val="16"/>
          <w:szCs w:val="16"/>
          <w:lang w:val="en-US"/>
        </w:rPr>
        <w:t>100</w:t>
      </w:r>
      <w:r w:rsidRPr="00C9465D">
        <w:rPr>
          <w:i/>
          <w:sz w:val="16"/>
          <w:szCs w:val="16"/>
          <w:lang w:val="en-US"/>
        </w:rPr>
        <w:t>.</w:t>
      </w:r>
    </w:p>
  </w:footnote>
  <w:footnote w:id="249">
    <w:p w14:paraId="267BA51C" w14:textId="633E1A55"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Hilaire, Constantine</w:t>
      </w:r>
      <w:r w:rsidR="00193CBB" w:rsidRPr="00C9465D">
        <w:rPr>
          <w:i/>
          <w:sz w:val="16"/>
          <w:szCs w:val="16"/>
          <w:lang w:val="en-US"/>
        </w:rPr>
        <w:t xml:space="preserve"> and </w:t>
      </w:r>
      <w:r w:rsidRPr="00C9465D">
        <w:rPr>
          <w:i/>
          <w:sz w:val="16"/>
          <w:szCs w:val="16"/>
          <w:lang w:val="en-US"/>
        </w:rPr>
        <w:t>Benjamin</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Trinidad</w:t>
      </w:r>
      <w:r w:rsidR="00193CBB" w:rsidRPr="00C9465D">
        <w:rPr>
          <w:i/>
          <w:sz w:val="16"/>
          <w:szCs w:val="16"/>
          <w:lang w:val="en-US"/>
        </w:rPr>
        <w:t xml:space="preserve"> and </w:t>
      </w:r>
      <w:r w:rsidRPr="00C9465D">
        <w:rPr>
          <w:i/>
          <w:sz w:val="16"/>
          <w:szCs w:val="16"/>
          <w:lang w:val="en-US"/>
        </w:rPr>
        <w:t xml:space="preserve">Tobago. </w:t>
      </w:r>
      <w:r w:rsidR="00193CBB" w:rsidRPr="00C9465D">
        <w:rPr>
          <w:i/>
          <w:sz w:val="16"/>
          <w:szCs w:val="16"/>
          <w:lang w:val="en-US"/>
        </w:rPr>
        <w:t>Merits, reparations and costs</w:t>
      </w:r>
      <w:r w:rsidRPr="00C9465D">
        <w:rPr>
          <w:i/>
          <w:sz w:val="16"/>
          <w:szCs w:val="16"/>
          <w:lang w:val="en-US"/>
        </w:rPr>
        <w:t xml:space="preserve">. </w:t>
      </w:r>
      <w:r w:rsidR="00D8466F" w:rsidRPr="00C9465D">
        <w:rPr>
          <w:sz w:val="16"/>
          <w:szCs w:val="16"/>
          <w:lang w:val="en-US"/>
        </w:rPr>
        <w:t>Judgment of</w:t>
      </w:r>
      <w:r w:rsidRPr="00C9465D">
        <w:rPr>
          <w:spacing w:val="-14"/>
          <w:sz w:val="16"/>
          <w:szCs w:val="16"/>
          <w:lang w:val="en-US"/>
        </w:rPr>
        <w:t xml:space="preserve"> </w:t>
      </w:r>
      <w:r w:rsidR="00BD504E" w:rsidRPr="00C9465D">
        <w:rPr>
          <w:sz w:val="16"/>
          <w:szCs w:val="16"/>
          <w:lang w:val="en-US"/>
        </w:rPr>
        <w:t>June 21,</w:t>
      </w:r>
      <w:r w:rsidRPr="00C9465D">
        <w:rPr>
          <w:spacing w:val="-14"/>
          <w:sz w:val="16"/>
          <w:szCs w:val="16"/>
          <w:lang w:val="en-US"/>
        </w:rPr>
        <w:t xml:space="preserve"> </w:t>
      </w:r>
      <w:r w:rsidRPr="00C9465D">
        <w:rPr>
          <w:sz w:val="16"/>
          <w:szCs w:val="16"/>
          <w:lang w:val="en-US"/>
        </w:rPr>
        <w:t>2002.</w:t>
      </w:r>
      <w:r w:rsidRPr="00C9465D">
        <w:rPr>
          <w:spacing w:val="-14"/>
          <w:sz w:val="16"/>
          <w:szCs w:val="16"/>
          <w:lang w:val="en-US"/>
        </w:rPr>
        <w:t xml:space="preserve"> </w:t>
      </w:r>
      <w:r w:rsidR="00E2299F" w:rsidRPr="00C9465D">
        <w:rPr>
          <w:sz w:val="16"/>
          <w:szCs w:val="16"/>
          <w:lang w:val="en-US"/>
        </w:rPr>
        <w:t xml:space="preserve">Series </w:t>
      </w:r>
      <w:r w:rsidRPr="00C9465D">
        <w:rPr>
          <w:sz w:val="16"/>
          <w:szCs w:val="16"/>
          <w:lang w:val="en-US"/>
        </w:rPr>
        <w:t>C</w:t>
      </w:r>
      <w:r w:rsidRPr="00C9465D">
        <w:rPr>
          <w:spacing w:val="-12"/>
          <w:sz w:val="16"/>
          <w:szCs w:val="16"/>
          <w:lang w:val="en-US"/>
        </w:rPr>
        <w:t xml:space="preserve"> </w:t>
      </w:r>
      <w:r w:rsidRPr="00C9465D">
        <w:rPr>
          <w:sz w:val="16"/>
          <w:szCs w:val="16"/>
          <w:lang w:val="en-US"/>
        </w:rPr>
        <w:t>No.</w:t>
      </w:r>
      <w:r w:rsidRPr="00C9465D">
        <w:rPr>
          <w:spacing w:val="-14"/>
          <w:sz w:val="16"/>
          <w:szCs w:val="16"/>
          <w:lang w:val="en-US"/>
        </w:rPr>
        <w:t xml:space="preserve"> </w:t>
      </w:r>
      <w:r w:rsidRPr="00C9465D">
        <w:rPr>
          <w:sz w:val="16"/>
          <w:szCs w:val="16"/>
          <w:lang w:val="en-US"/>
        </w:rPr>
        <w:t>94,</w:t>
      </w:r>
      <w:r w:rsidRPr="00C9465D">
        <w:rPr>
          <w:spacing w:val="-16"/>
          <w:sz w:val="16"/>
          <w:szCs w:val="16"/>
          <w:lang w:val="en-US"/>
        </w:rPr>
        <w:t xml:space="preserve"> </w:t>
      </w:r>
      <w:r w:rsidR="00D8466F" w:rsidRPr="00C9465D">
        <w:rPr>
          <w:sz w:val="16"/>
          <w:szCs w:val="16"/>
          <w:lang w:val="en-US"/>
        </w:rPr>
        <w:t>para.</w:t>
      </w:r>
      <w:r w:rsidRPr="00C9465D">
        <w:rPr>
          <w:spacing w:val="-15"/>
          <w:sz w:val="16"/>
          <w:szCs w:val="16"/>
          <w:lang w:val="en-US"/>
        </w:rPr>
        <w:t xml:space="preserve"> </w:t>
      </w:r>
      <w:r w:rsidRPr="00C9465D">
        <w:rPr>
          <w:sz w:val="16"/>
          <w:szCs w:val="16"/>
          <w:lang w:val="en-US"/>
        </w:rPr>
        <w:t>113,</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Casa Nina </w:t>
      </w:r>
      <w:r w:rsidR="00193CBB" w:rsidRPr="00C9465D">
        <w:rPr>
          <w:i/>
          <w:sz w:val="16"/>
          <w:szCs w:val="16"/>
          <w:lang w:val="en-US"/>
        </w:rPr>
        <w:t>v.</w:t>
      </w:r>
      <w:r w:rsidRPr="00C9465D">
        <w:rPr>
          <w:i/>
          <w:sz w:val="16"/>
          <w:szCs w:val="16"/>
          <w:lang w:val="en-US"/>
        </w:rPr>
        <w:t xml:space="preserve"> </w:t>
      </w:r>
      <w:r w:rsidR="001902D2" w:rsidRPr="00C9465D">
        <w:rPr>
          <w:i/>
          <w:sz w:val="16"/>
          <w:szCs w:val="16"/>
          <w:lang w:val="en-US"/>
        </w:rPr>
        <w:t>Peru</w:t>
      </w:r>
      <w:r w:rsidRPr="00C9465D">
        <w:rPr>
          <w:i/>
          <w:sz w:val="16"/>
          <w:szCs w:val="16"/>
          <w:lang w:val="en-US"/>
        </w:rPr>
        <w:t>,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100</w:t>
      </w:r>
      <w:r w:rsidRPr="00C9465D">
        <w:rPr>
          <w:i/>
          <w:sz w:val="16"/>
          <w:szCs w:val="16"/>
          <w:lang w:val="en-US"/>
        </w:rPr>
        <w:t>.</w:t>
      </w:r>
    </w:p>
  </w:footnote>
  <w:footnote w:id="250">
    <w:p w14:paraId="7079F36B" w14:textId="11F2936E"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Castillo Petruzzi</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w:t>
      </w:r>
      <w:r w:rsidR="001902D2" w:rsidRPr="00C9465D">
        <w:rPr>
          <w:i/>
          <w:sz w:val="16"/>
          <w:szCs w:val="16"/>
          <w:lang w:val="en-US"/>
        </w:rPr>
        <w:t>Peru</w:t>
      </w:r>
      <w:r w:rsidRPr="00C9465D">
        <w:rPr>
          <w:sz w:val="16"/>
          <w:szCs w:val="16"/>
          <w:lang w:val="en-US"/>
        </w:rPr>
        <w:t xml:space="preserve">, </w:t>
      </w:r>
      <w:r w:rsidRPr="00C9465D">
        <w:rPr>
          <w:i/>
          <w:sz w:val="16"/>
          <w:szCs w:val="16"/>
          <w:lang w:val="en-US"/>
        </w:rPr>
        <w:t xml:space="preserve">supra, </w:t>
      </w:r>
      <w:r w:rsidR="00D8466F" w:rsidRPr="00C9465D">
        <w:rPr>
          <w:sz w:val="16"/>
          <w:szCs w:val="16"/>
          <w:lang w:val="en-US"/>
        </w:rPr>
        <w:t>para.</w:t>
      </w:r>
      <w:r w:rsidRPr="00C9465D">
        <w:rPr>
          <w:sz w:val="16"/>
          <w:szCs w:val="16"/>
          <w:lang w:val="en-US"/>
        </w:rPr>
        <w:t xml:space="preserve"> 207,</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Casa Nina </w:t>
      </w:r>
      <w:r w:rsidR="00193CBB" w:rsidRPr="00C9465D">
        <w:rPr>
          <w:i/>
          <w:sz w:val="16"/>
          <w:szCs w:val="16"/>
          <w:lang w:val="en-US"/>
        </w:rPr>
        <w:t>v.</w:t>
      </w:r>
      <w:r w:rsidRPr="00C9465D">
        <w:rPr>
          <w:i/>
          <w:sz w:val="16"/>
          <w:szCs w:val="16"/>
          <w:lang w:val="en-US"/>
        </w:rPr>
        <w:t xml:space="preserve"> </w:t>
      </w:r>
      <w:r w:rsidR="001902D2" w:rsidRPr="00C9465D">
        <w:rPr>
          <w:i/>
          <w:sz w:val="16"/>
          <w:szCs w:val="16"/>
          <w:lang w:val="en-US"/>
        </w:rPr>
        <w:t>Peru</w:t>
      </w:r>
      <w:r w:rsidRPr="00C9465D">
        <w:rPr>
          <w:i/>
          <w:sz w:val="16"/>
          <w:szCs w:val="16"/>
          <w:lang w:val="en-US"/>
        </w:rPr>
        <w:t>,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100</w:t>
      </w:r>
      <w:r w:rsidRPr="00C9465D">
        <w:rPr>
          <w:i/>
          <w:sz w:val="16"/>
          <w:szCs w:val="16"/>
          <w:lang w:val="en-US"/>
        </w:rPr>
        <w:t>.</w:t>
      </w:r>
    </w:p>
  </w:footnote>
  <w:footnote w:id="251">
    <w:p w14:paraId="73D474B1" w14:textId="0B4EBDAD" w:rsidR="00300482" w:rsidRPr="00C9465D" w:rsidRDefault="00300482" w:rsidP="00BD26CF">
      <w:pPr>
        <w:pStyle w:val="FootnoteText"/>
        <w:tabs>
          <w:tab w:val="left" w:pos="567"/>
        </w:tabs>
        <w:spacing w:after="120"/>
        <w:rPr>
          <w:sz w:val="16"/>
          <w:szCs w:val="16"/>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Poblete Vilches</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Chile, supra</w:t>
      </w:r>
      <w:r w:rsidRPr="00C9465D">
        <w:rPr>
          <w:sz w:val="16"/>
          <w:szCs w:val="16"/>
          <w:lang w:val="en-US"/>
        </w:rPr>
        <w:t xml:space="preserve">, </w:t>
      </w:r>
      <w:r w:rsidR="00D8466F" w:rsidRPr="00C9465D">
        <w:rPr>
          <w:rStyle w:val="Strong"/>
          <w:b w:val="0"/>
          <w:sz w:val="16"/>
          <w:szCs w:val="16"/>
          <w:lang w:val="en-US"/>
        </w:rPr>
        <w:t>paras.</w:t>
      </w:r>
      <w:r w:rsidRPr="00C9465D">
        <w:rPr>
          <w:rStyle w:val="Strong"/>
          <w:b w:val="0"/>
          <w:sz w:val="16"/>
          <w:szCs w:val="16"/>
          <w:lang w:val="en-US"/>
        </w:rPr>
        <w:t xml:space="preserve"> 120</w:t>
      </w:r>
      <w:r w:rsidR="00193CBB" w:rsidRPr="00C9465D">
        <w:rPr>
          <w:rStyle w:val="Strong"/>
          <w:b w:val="0"/>
          <w:sz w:val="16"/>
          <w:szCs w:val="16"/>
          <w:lang w:val="en-US"/>
        </w:rPr>
        <w:t xml:space="preserve"> and </w:t>
      </w:r>
      <w:r w:rsidRPr="00C9465D">
        <w:rPr>
          <w:rStyle w:val="Strong"/>
          <w:b w:val="0"/>
          <w:sz w:val="16"/>
          <w:szCs w:val="16"/>
          <w:lang w:val="en-US"/>
        </w:rPr>
        <w:t>121,</w:t>
      </w:r>
      <w:r w:rsidR="00193CBB" w:rsidRPr="00C9465D">
        <w:rPr>
          <w:rStyle w:val="Strong"/>
          <w:b w:val="0"/>
          <w:sz w:val="16"/>
          <w:szCs w:val="16"/>
          <w:lang w:val="en-US"/>
        </w:rPr>
        <w:t xml:space="preserve"> and </w:t>
      </w:r>
      <w:r w:rsidR="00B07FDE" w:rsidRPr="00C9465D">
        <w:rPr>
          <w:sz w:val="16"/>
          <w:szCs w:val="16"/>
          <w:lang w:val="en-US"/>
        </w:rPr>
        <w:t>Committee on Economic, Social and Cultural Rights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No. 14: </w:t>
      </w:r>
      <w:r w:rsidR="00891BEF" w:rsidRPr="00C9465D">
        <w:rPr>
          <w:sz w:val="16"/>
          <w:szCs w:val="16"/>
          <w:lang w:val="en-US"/>
        </w:rPr>
        <w:t>The right to the highest attainable standard of health</w:t>
      </w:r>
      <w:r w:rsidRPr="00C9465D">
        <w:rPr>
          <w:sz w:val="16"/>
          <w:szCs w:val="16"/>
          <w:lang w:val="en-US"/>
        </w:rPr>
        <w:t xml:space="preserve">, </w:t>
      </w:r>
      <w:r w:rsidR="00891BEF" w:rsidRPr="00C9465D">
        <w:rPr>
          <w:sz w:val="16"/>
          <w:szCs w:val="16"/>
          <w:lang w:val="en-US"/>
        </w:rPr>
        <w:t>August 11,</w:t>
      </w:r>
      <w:r w:rsidRPr="00C9465D">
        <w:rPr>
          <w:sz w:val="16"/>
          <w:szCs w:val="16"/>
          <w:lang w:val="en-US"/>
        </w:rPr>
        <w:t xml:space="preserve"> 2000, </w:t>
      </w:r>
      <w:r w:rsidR="00532DEC" w:rsidRPr="00C9465D">
        <w:rPr>
          <w:sz w:val="16"/>
          <w:szCs w:val="16"/>
          <w:lang w:val="en-US"/>
        </w:rPr>
        <w:t>UN Doc.</w:t>
      </w:r>
      <w:r w:rsidRPr="00C9465D">
        <w:rPr>
          <w:sz w:val="16"/>
          <w:szCs w:val="16"/>
          <w:lang w:val="en-US"/>
        </w:rPr>
        <w:t xml:space="preserve"> </w:t>
      </w:r>
      <w:r w:rsidRPr="00C9465D">
        <w:rPr>
          <w:sz w:val="16"/>
          <w:szCs w:val="16"/>
        </w:rPr>
        <w:t>E/C.12/2000/4</w:t>
      </w:r>
      <w:r w:rsidRPr="00C9465D">
        <w:rPr>
          <w:rStyle w:val="Strong"/>
          <w:b w:val="0"/>
          <w:sz w:val="16"/>
          <w:szCs w:val="16"/>
        </w:rPr>
        <w:t xml:space="preserve">, </w:t>
      </w:r>
      <w:r w:rsidR="00D8466F" w:rsidRPr="00C9465D">
        <w:rPr>
          <w:rStyle w:val="Strong"/>
          <w:b w:val="0"/>
          <w:sz w:val="16"/>
          <w:szCs w:val="16"/>
        </w:rPr>
        <w:t>para.</w:t>
      </w:r>
      <w:r w:rsidRPr="00C9465D">
        <w:rPr>
          <w:rStyle w:val="Strong"/>
          <w:b w:val="0"/>
          <w:sz w:val="16"/>
          <w:szCs w:val="16"/>
        </w:rPr>
        <w:t xml:space="preserve"> 12.</w:t>
      </w:r>
    </w:p>
  </w:footnote>
  <w:footnote w:id="252">
    <w:p w14:paraId="30AD4C4D" w14:textId="447E81B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rPr>
        <w:t xml:space="preserve"> </w:t>
      </w:r>
      <w:r w:rsidRPr="00C9465D">
        <w:rPr>
          <w:sz w:val="16"/>
          <w:szCs w:val="16"/>
        </w:rPr>
        <w:tab/>
      </w:r>
      <w:r w:rsidR="00E2299F" w:rsidRPr="00C9465D">
        <w:rPr>
          <w:i/>
          <w:sz w:val="16"/>
          <w:szCs w:val="16"/>
        </w:rPr>
        <w:t>Cf.</w:t>
      </w:r>
      <w:r w:rsidRPr="00C9465D">
        <w:rPr>
          <w:sz w:val="16"/>
          <w:szCs w:val="16"/>
        </w:rPr>
        <w:t xml:space="preserve"> </w:t>
      </w:r>
      <w:r w:rsidR="00D8466F" w:rsidRPr="00C9465D">
        <w:rPr>
          <w:rStyle w:val="Strong"/>
          <w:b w:val="0"/>
          <w:i/>
          <w:sz w:val="16"/>
          <w:szCs w:val="16"/>
        </w:rPr>
        <w:t>Case of</w:t>
      </w:r>
      <w:r w:rsidRPr="00C9465D">
        <w:rPr>
          <w:rStyle w:val="Strong"/>
          <w:b w:val="0"/>
          <w:i/>
          <w:sz w:val="16"/>
          <w:szCs w:val="16"/>
        </w:rPr>
        <w:t xml:space="preserve"> </w:t>
      </w:r>
      <w:proofErr w:type="spellStart"/>
      <w:r w:rsidRPr="00C9465D">
        <w:rPr>
          <w:rStyle w:val="Strong"/>
          <w:b w:val="0"/>
          <w:i/>
          <w:sz w:val="16"/>
          <w:szCs w:val="16"/>
        </w:rPr>
        <w:t>Cuscul</w:t>
      </w:r>
      <w:proofErr w:type="spellEnd"/>
      <w:r w:rsidRPr="00C9465D">
        <w:rPr>
          <w:rStyle w:val="Strong"/>
          <w:b w:val="0"/>
          <w:i/>
          <w:sz w:val="16"/>
          <w:szCs w:val="16"/>
        </w:rPr>
        <w:t xml:space="preserve"> Pivaral</w:t>
      </w:r>
      <w:r w:rsidR="00193CBB" w:rsidRPr="00C9465D">
        <w:rPr>
          <w:rStyle w:val="Strong"/>
          <w:b w:val="0"/>
          <w:i/>
          <w:sz w:val="16"/>
          <w:szCs w:val="16"/>
        </w:rPr>
        <w:t xml:space="preserve"> </w:t>
      </w:r>
      <w:r w:rsidR="00D8466F" w:rsidRPr="00C9465D">
        <w:rPr>
          <w:rStyle w:val="Strong"/>
          <w:b w:val="0"/>
          <w:i/>
          <w:sz w:val="16"/>
          <w:szCs w:val="16"/>
        </w:rPr>
        <w:t>et al. v.</w:t>
      </w:r>
      <w:r w:rsidRPr="00C9465D">
        <w:rPr>
          <w:rStyle w:val="Strong"/>
          <w:b w:val="0"/>
          <w:i/>
          <w:sz w:val="16"/>
          <w:szCs w:val="16"/>
        </w:rPr>
        <w:t xml:space="preserve"> Guatemala, supra, </w:t>
      </w:r>
      <w:r w:rsidR="00D8466F" w:rsidRPr="00C9465D">
        <w:rPr>
          <w:sz w:val="16"/>
          <w:szCs w:val="16"/>
        </w:rPr>
        <w:t>para.</w:t>
      </w:r>
      <w:r w:rsidRPr="00C9465D">
        <w:rPr>
          <w:sz w:val="16"/>
          <w:szCs w:val="16"/>
        </w:rPr>
        <w:t xml:space="preserve"> </w:t>
      </w:r>
      <w:r w:rsidRPr="00C9465D">
        <w:rPr>
          <w:sz w:val="16"/>
          <w:szCs w:val="16"/>
          <w:lang w:val="en-US"/>
        </w:rPr>
        <w:t>107,</w:t>
      </w:r>
      <w:r w:rsidR="00193CBB" w:rsidRPr="00C9465D">
        <w:rPr>
          <w:i/>
          <w:sz w:val="16"/>
          <w:szCs w:val="16"/>
          <w:lang w:val="en-US"/>
        </w:rPr>
        <w:t xml:space="preserve"> and </w:t>
      </w:r>
      <w:r w:rsidR="00D8466F" w:rsidRPr="00C9465D">
        <w:rPr>
          <w:rStyle w:val="Strong"/>
          <w:b w:val="0"/>
          <w:i/>
          <w:sz w:val="16"/>
          <w:szCs w:val="16"/>
          <w:lang w:val="en-US"/>
        </w:rPr>
        <w:t>Case of</w:t>
      </w:r>
      <w:r w:rsidRPr="00C9465D">
        <w:rPr>
          <w:rStyle w:val="Strong"/>
          <w:b w:val="0"/>
          <w:i/>
          <w:sz w:val="16"/>
          <w:szCs w:val="16"/>
          <w:lang w:val="en-US"/>
        </w:rPr>
        <w:t xml:space="preserve"> Hernández </w:t>
      </w:r>
      <w:r w:rsidR="00193CBB" w:rsidRPr="00C9465D">
        <w:rPr>
          <w:rStyle w:val="Strong"/>
          <w:b w:val="0"/>
          <w:i/>
          <w:sz w:val="16"/>
          <w:szCs w:val="16"/>
          <w:lang w:val="en-US"/>
        </w:rPr>
        <w:t>v.</w:t>
      </w:r>
      <w:r w:rsidRPr="00C9465D">
        <w:rPr>
          <w:rStyle w:val="Strong"/>
          <w:b w:val="0"/>
          <w:i/>
          <w:sz w:val="16"/>
          <w:szCs w:val="16"/>
          <w:lang w:val="en-US"/>
        </w:rPr>
        <w:t xml:space="preserve"> Argentina, supra</w:t>
      </w:r>
      <w:r w:rsidRPr="00C9465D">
        <w:rPr>
          <w:rStyle w:val="Strong"/>
          <w:b w:val="0"/>
          <w:sz w:val="16"/>
          <w:szCs w:val="16"/>
          <w:lang w:val="en-US"/>
        </w:rPr>
        <w:t xml:space="preserve">, </w:t>
      </w:r>
      <w:r w:rsidR="00D8466F" w:rsidRPr="00C9465D">
        <w:rPr>
          <w:rStyle w:val="Strong"/>
          <w:b w:val="0"/>
          <w:sz w:val="16"/>
          <w:szCs w:val="16"/>
          <w:lang w:val="en-US"/>
        </w:rPr>
        <w:t>para.</w:t>
      </w:r>
      <w:r w:rsidRPr="00C9465D">
        <w:rPr>
          <w:rStyle w:val="Strong"/>
          <w:b w:val="0"/>
          <w:sz w:val="16"/>
          <w:szCs w:val="16"/>
          <w:lang w:val="en-US"/>
        </w:rPr>
        <w:t xml:space="preserve"> </w:t>
      </w:r>
      <w:r w:rsidRPr="00C9465D">
        <w:rPr>
          <w:sz w:val="16"/>
          <w:szCs w:val="16"/>
          <w:lang w:val="en-US"/>
        </w:rPr>
        <w:t>93.</w:t>
      </w:r>
    </w:p>
  </w:footnote>
  <w:footnote w:id="253">
    <w:p w14:paraId="4A4DAFF9" w14:textId="5FA12255"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B07FDE" w:rsidRPr="00C9465D">
        <w:rPr>
          <w:sz w:val="16"/>
          <w:szCs w:val="16"/>
          <w:lang w:val="en-US"/>
        </w:rPr>
        <w:t>Committee on Economic, Social and Cultural Rights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w:t>
      </w:r>
      <w:r w:rsidR="00B1525D" w:rsidRPr="00C9465D">
        <w:rPr>
          <w:sz w:val="16"/>
          <w:szCs w:val="16"/>
          <w:lang w:val="en-US"/>
        </w:rPr>
        <w:t>No.</w:t>
      </w:r>
      <w:r w:rsidRPr="00C9465D">
        <w:rPr>
          <w:sz w:val="16"/>
          <w:szCs w:val="16"/>
          <w:lang w:val="en-US"/>
        </w:rPr>
        <w:t xml:space="preserve"> 5: </w:t>
      </w:r>
      <w:r w:rsidR="00D85850" w:rsidRPr="00C9465D">
        <w:rPr>
          <w:sz w:val="16"/>
          <w:szCs w:val="16"/>
          <w:lang w:val="en-US"/>
        </w:rPr>
        <w:t>Persons with disabilities</w:t>
      </w:r>
      <w:r w:rsidRPr="00C9465D">
        <w:rPr>
          <w:sz w:val="16"/>
          <w:szCs w:val="16"/>
          <w:lang w:val="en-US"/>
        </w:rPr>
        <w:t xml:space="preserve">, E/1995/22, </w:t>
      </w:r>
      <w:r w:rsidR="00B07FDE" w:rsidRPr="00C9465D">
        <w:rPr>
          <w:sz w:val="16"/>
          <w:szCs w:val="16"/>
          <w:lang w:val="en-US"/>
        </w:rPr>
        <w:t>December 9,</w:t>
      </w:r>
      <w:r w:rsidRPr="00C9465D">
        <w:rPr>
          <w:sz w:val="16"/>
          <w:szCs w:val="16"/>
          <w:lang w:val="en-US"/>
        </w:rPr>
        <w:t xml:space="preserve"> 1994, </w:t>
      </w:r>
      <w:r w:rsidR="00D8466F" w:rsidRPr="00C9465D">
        <w:rPr>
          <w:sz w:val="16"/>
          <w:szCs w:val="16"/>
          <w:lang w:val="en-US"/>
        </w:rPr>
        <w:t>para.</w:t>
      </w:r>
      <w:r w:rsidRPr="00C9465D">
        <w:rPr>
          <w:sz w:val="16"/>
          <w:szCs w:val="16"/>
          <w:lang w:val="en-US"/>
        </w:rPr>
        <w:t xml:space="preserve"> 34; </w:t>
      </w:r>
      <w:r w:rsidR="00B07FDE" w:rsidRPr="00C9465D">
        <w:rPr>
          <w:sz w:val="16"/>
          <w:szCs w:val="16"/>
          <w:lang w:val="en-US" w:eastAsia="es-ES"/>
        </w:rPr>
        <w:t>Standard Rules on the Equalization of Opportunities for Persons with Disabilities</w:t>
      </w:r>
      <w:r w:rsidRPr="00C9465D">
        <w:rPr>
          <w:sz w:val="16"/>
          <w:szCs w:val="16"/>
          <w:lang w:val="en-US" w:eastAsia="es-ES"/>
        </w:rPr>
        <w:t xml:space="preserve">, </w:t>
      </w:r>
      <w:r w:rsidR="00BD504E" w:rsidRPr="00C9465D">
        <w:rPr>
          <w:sz w:val="16"/>
          <w:szCs w:val="16"/>
          <w:lang w:val="en-US" w:eastAsia="es-ES"/>
        </w:rPr>
        <w:t xml:space="preserve">adopted by the United Nations General Assembly, 48th session, annex to Resolution 48/96 of December 17, 1991, </w:t>
      </w:r>
      <w:r w:rsidR="00193CBB" w:rsidRPr="00C9465D">
        <w:rPr>
          <w:sz w:val="16"/>
          <w:szCs w:val="16"/>
          <w:lang w:val="en-US" w:eastAsia="es-ES"/>
        </w:rPr>
        <w:t>Article</w:t>
      </w:r>
      <w:r w:rsidRPr="00C9465D">
        <w:rPr>
          <w:sz w:val="16"/>
          <w:szCs w:val="16"/>
          <w:lang w:val="en-US" w:eastAsia="es-ES"/>
        </w:rPr>
        <w:t xml:space="preserve"> 3</w:t>
      </w:r>
      <w:r w:rsidRPr="00C9465D">
        <w:rPr>
          <w:sz w:val="16"/>
          <w:szCs w:val="16"/>
          <w:lang w:val="en-US"/>
        </w:rPr>
        <w:t xml:space="preserve">; </w:t>
      </w:r>
      <w:r w:rsidR="00BD504E" w:rsidRPr="00C9465D">
        <w:rPr>
          <w:sz w:val="16"/>
          <w:szCs w:val="16"/>
          <w:lang w:val="en-US"/>
        </w:rPr>
        <w:t>United Nations Declaration on the Rights of Disabled Persons</w:t>
      </w:r>
      <w:r w:rsidRPr="00C9465D">
        <w:rPr>
          <w:sz w:val="16"/>
          <w:szCs w:val="16"/>
          <w:lang w:val="en-US"/>
        </w:rPr>
        <w:t>,</w:t>
      </w:r>
      <w:r w:rsidR="00BD504E" w:rsidRPr="00C9465D">
        <w:rPr>
          <w:sz w:val="16"/>
          <w:szCs w:val="16"/>
          <w:lang w:val="en-US"/>
        </w:rPr>
        <w:t xml:space="preserve"> adopted by the United Nations General Assembly Resolution </w:t>
      </w:r>
      <w:r w:rsidRPr="00C9465D">
        <w:rPr>
          <w:sz w:val="16"/>
          <w:szCs w:val="16"/>
          <w:lang w:val="en-US"/>
        </w:rPr>
        <w:t xml:space="preserve">3447 (XXX) </w:t>
      </w:r>
      <w:r w:rsidR="00BD504E" w:rsidRPr="00C9465D">
        <w:rPr>
          <w:sz w:val="16"/>
          <w:szCs w:val="16"/>
          <w:lang w:val="en-US"/>
        </w:rPr>
        <w:t xml:space="preserve">of </w:t>
      </w:r>
      <w:r w:rsidR="00B07FDE" w:rsidRPr="00C9465D">
        <w:rPr>
          <w:sz w:val="16"/>
          <w:szCs w:val="16"/>
          <w:lang w:val="en-US"/>
        </w:rPr>
        <w:t>December 9,</w:t>
      </w:r>
      <w:r w:rsidRPr="00C9465D">
        <w:rPr>
          <w:sz w:val="16"/>
          <w:szCs w:val="16"/>
          <w:lang w:val="en-US"/>
        </w:rPr>
        <w:t xml:space="preserve"> 1975, </w:t>
      </w:r>
      <w:r w:rsidR="00D8466F" w:rsidRPr="00C9465D">
        <w:rPr>
          <w:sz w:val="16"/>
          <w:szCs w:val="16"/>
          <w:lang w:val="en-US"/>
        </w:rPr>
        <w:t>para.</w:t>
      </w:r>
      <w:r w:rsidRPr="00C9465D">
        <w:rPr>
          <w:sz w:val="16"/>
          <w:szCs w:val="16"/>
          <w:lang w:val="en-US"/>
        </w:rPr>
        <w:t xml:space="preserve"> 6; </w:t>
      </w:r>
      <w:r w:rsidR="00BD504E" w:rsidRPr="00C9465D">
        <w:rPr>
          <w:sz w:val="16"/>
          <w:szCs w:val="16"/>
          <w:lang w:val="en-US"/>
        </w:rPr>
        <w:t>World Programme of Action concerning Disabled Persons</w:t>
      </w:r>
      <w:r w:rsidRPr="00C9465D">
        <w:rPr>
          <w:sz w:val="16"/>
          <w:szCs w:val="16"/>
          <w:lang w:val="en-US"/>
        </w:rPr>
        <w:t xml:space="preserve">, </w:t>
      </w:r>
      <w:r w:rsidR="00BD504E" w:rsidRPr="00C9465D">
        <w:rPr>
          <w:sz w:val="16"/>
          <w:szCs w:val="16"/>
          <w:lang w:val="en-US"/>
        </w:rPr>
        <w:t xml:space="preserve">adopted by UN General Assembly Resolution 37/52 of December 3, </w:t>
      </w:r>
      <w:r w:rsidRPr="00C9465D">
        <w:rPr>
          <w:sz w:val="16"/>
          <w:szCs w:val="16"/>
          <w:lang w:val="en-US"/>
        </w:rPr>
        <w:t xml:space="preserve">1982, </w:t>
      </w:r>
      <w:r w:rsidR="00D8466F" w:rsidRPr="00C9465D">
        <w:rPr>
          <w:sz w:val="16"/>
          <w:szCs w:val="16"/>
          <w:lang w:val="en-US"/>
        </w:rPr>
        <w:t>para.</w:t>
      </w:r>
      <w:r w:rsidRPr="00C9465D">
        <w:rPr>
          <w:sz w:val="16"/>
          <w:szCs w:val="16"/>
          <w:lang w:val="en-US"/>
        </w:rPr>
        <w:t xml:space="preserve"> 98,</w:t>
      </w:r>
      <w:r w:rsidR="00193CBB" w:rsidRPr="00C9465D">
        <w:rPr>
          <w:sz w:val="16"/>
          <w:szCs w:val="16"/>
          <w:lang w:val="en-US"/>
        </w:rPr>
        <w:t xml:space="preserve"> and </w:t>
      </w:r>
      <w:r w:rsidR="00593C0F" w:rsidRPr="00C9465D">
        <w:rPr>
          <w:sz w:val="16"/>
          <w:szCs w:val="16"/>
          <w:lang w:val="en-US"/>
        </w:rPr>
        <w:t>CRPD</w:t>
      </w:r>
      <w:r w:rsidRPr="00C9465D">
        <w:rPr>
          <w:sz w:val="16"/>
          <w:szCs w:val="16"/>
          <w:lang w:val="en-US"/>
        </w:rPr>
        <w:t xml:space="preserve">, </w:t>
      </w:r>
      <w:r w:rsidR="00193CBB" w:rsidRPr="00C9465D">
        <w:rPr>
          <w:sz w:val="16"/>
          <w:szCs w:val="16"/>
          <w:lang w:val="en-US"/>
        </w:rPr>
        <w:t>Article</w:t>
      </w:r>
      <w:r w:rsidRPr="00C9465D">
        <w:rPr>
          <w:sz w:val="16"/>
          <w:szCs w:val="16"/>
          <w:lang w:val="en-US"/>
        </w:rPr>
        <w:t xml:space="preserve"> 25</w:t>
      </w:r>
      <w:r w:rsidR="00BD504E" w:rsidRPr="00C9465D">
        <w:rPr>
          <w:sz w:val="16"/>
          <w:szCs w:val="16"/>
          <w:lang w:val="en-US"/>
        </w:rPr>
        <w:t>(</w:t>
      </w:r>
      <w:r w:rsidRPr="00C9465D">
        <w:rPr>
          <w:sz w:val="16"/>
          <w:szCs w:val="16"/>
          <w:lang w:val="en-US"/>
        </w:rPr>
        <w:t>b</w:t>
      </w:r>
      <w:r w:rsidR="00BD504E" w:rsidRPr="00C9465D">
        <w:rPr>
          <w:sz w:val="16"/>
          <w:szCs w:val="16"/>
          <w:lang w:val="en-US"/>
        </w:rPr>
        <w:t>)</w:t>
      </w:r>
      <w:r w:rsidRPr="00C9465D">
        <w:rPr>
          <w:sz w:val="16"/>
          <w:szCs w:val="16"/>
          <w:lang w:val="en-US" w:eastAsia="es-ES"/>
        </w:rPr>
        <w:t>.</w:t>
      </w:r>
    </w:p>
  </w:footnote>
  <w:footnote w:id="254">
    <w:p w14:paraId="627C07AC" w14:textId="6A61ADA0"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561A0C" w:rsidRPr="00C9465D">
        <w:rPr>
          <w:sz w:val="16"/>
          <w:szCs w:val="16"/>
          <w:lang w:val="en-US"/>
        </w:rPr>
        <w:t>Constitution</w:t>
      </w:r>
      <w:r w:rsidR="00092D8C" w:rsidRPr="00C9465D">
        <w:rPr>
          <w:sz w:val="16"/>
          <w:szCs w:val="16"/>
          <w:lang w:val="en-US"/>
        </w:rPr>
        <w:t xml:space="preserve"> of the </w:t>
      </w:r>
      <w:r w:rsidR="00E2299F" w:rsidRPr="00C9465D">
        <w:rPr>
          <w:sz w:val="16"/>
          <w:szCs w:val="16"/>
          <w:lang w:val="en-US"/>
        </w:rPr>
        <w:t>Republic of</w:t>
      </w:r>
      <w:r w:rsidRPr="00C9465D">
        <w:rPr>
          <w:sz w:val="16"/>
          <w:szCs w:val="16"/>
          <w:lang w:val="en-US"/>
        </w:rPr>
        <w:t xml:space="preserve"> Ecuador</w:t>
      </w:r>
      <w:r w:rsidR="00BD504E" w:rsidRPr="00C9465D">
        <w:rPr>
          <w:sz w:val="16"/>
          <w:szCs w:val="16"/>
          <w:lang w:val="en-US"/>
        </w:rPr>
        <w:t>,</w:t>
      </w:r>
      <w:r w:rsidRPr="00C9465D">
        <w:rPr>
          <w:sz w:val="16"/>
          <w:szCs w:val="16"/>
          <w:lang w:val="en-US"/>
        </w:rPr>
        <w:t xml:space="preserve"> 1998, </w:t>
      </w:r>
      <w:r w:rsidR="00BD504E" w:rsidRPr="00C9465D">
        <w:rPr>
          <w:sz w:val="16"/>
          <w:szCs w:val="16"/>
          <w:lang w:val="en-US"/>
        </w:rPr>
        <w:t>a</w:t>
      </w:r>
      <w:r w:rsidR="00193CBB" w:rsidRPr="00C9465D">
        <w:rPr>
          <w:sz w:val="16"/>
          <w:szCs w:val="16"/>
          <w:lang w:val="en-US"/>
        </w:rPr>
        <w:t>rticle</w:t>
      </w:r>
      <w:r w:rsidRPr="00C9465D">
        <w:rPr>
          <w:sz w:val="16"/>
          <w:szCs w:val="16"/>
          <w:lang w:val="en-US"/>
        </w:rPr>
        <w:t xml:space="preserve"> 53 (</w:t>
      </w:r>
      <w:r w:rsidR="00153C9F" w:rsidRPr="00C9465D">
        <w:rPr>
          <w:sz w:val="16"/>
          <w:szCs w:val="16"/>
          <w:lang w:val="en-US"/>
        </w:rPr>
        <w:t>evidence file</w:t>
      </w:r>
      <w:r w:rsidRPr="00C9465D">
        <w:rPr>
          <w:sz w:val="16"/>
          <w:szCs w:val="16"/>
          <w:lang w:val="en-US"/>
        </w:rPr>
        <w:t>, folio 8801),</w:t>
      </w:r>
      <w:r w:rsidR="00193CBB" w:rsidRPr="00C9465D">
        <w:rPr>
          <w:sz w:val="16"/>
          <w:szCs w:val="16"/>
          <w:lang w:val="en-US"/>
        </w:rPr>
        <w:t xml:space="preserve"> and </w:t>
      </w:r>
      <w:r w:rsidR="00561A0C" w:rsidRPr="00C9465D">
        <w:rPr>
          <w:sz w:val="16"/>
          <w:szCs w:val="16"/>
          <w:lang w:val="en-US"/>
        </w:rPr>
        <w:t>Constitution</w:t>
      </w:r>
      <w:r w:rsidR="00092D8C" w:rsidRPr="00C9465D">
        <w:rPr>
          <w:sz w:val="16"/>
          <w:szCs w:val="16"/>
          <w:lang w:val="en-US"/>
        </w:rPr>
        <w:t xml:space="preserve"> of the </w:t>
      </w:r>
      <w:r w:rsidR="00E2299F" w:rsidRPr="00C9465D">
        <w:rPr>
          <w:sz w:val="16"/>
          <w:szCs w:val="16"/>
          <w:lang w:val="en-US"/>
        </w:rPr>
        <w:t>Republic of</w:t>
      </w:r>
      <w:r w:rsidRPr="00C9465D">
        <w:rPr>
          <w:sz w:val="16"/>
          <w:szCs w:val="16"/>
          <w:lang w:val="en-US"/>
        </w:rPr>
        <w:t xml:space="preserve"> Ecuador</w:t>
      </w:r>
      <w:r w:rsidR="00BD504E" w:rsidRPr="00C9465D">
        <w:rPr>
          <w:sz w:val="16"/>
          <w:szCs w:val="16"/>
          <w:lang w:val="en-US"/>
        </w:rPr>
        <w:t xml:space="preserve">, </w:t>
      </w:r>
      <w:r w:rsidRPr="00C9465D">
        <w:rPr>
          <w:sz w:val="16"/>
          <w:szCs w:val="16"/>
          <w:lang w:val="en-US"/>
        </w:rPr>
        <w:t>2008,</w:t>
      </w:r>
      <w:r w:rsidR="00BD504E" w:rsidRPr="00C9465D">
        <w:rPr>
          <w:sz w:val="16"/>
          <w:szCs w:val="16"/>
          <w:lang w:val="en-US"/>
        </w:rPr>
        <w:t xml:space="preserve"> a</w:t>
      </w:r>
      <w:r w:rsidR="00193CBB" w:rsidRPr="00C9465D">
        <w:rPr>
          <w:sz w:val="16"/>
          <w:szCs w:val="16"/>
          <w:lang w:val="en-US"/>
        </w:rPr>
        <w:t>rticle</w:t>
      </w:r>
      <w:r w:rsidRPr="00C9465D">
        <w:rPr>
          <w:sz w:val="16"/>
          <w:szCs w:val="16"/>
          <w:lang w:val="en-US"/>
        </w:rPr>
        <w:t xml:space="preserve"> 47 (</w:t>
      </w:r>
      <w:r w:rsidR="00153C9F" w:rsidRPr="00C9465D">
        <w:rPr>
          <w:sz w:val="16"/>
          <w:szCs w:val="16"/>
          <w:lang w:val="en-US"/>
        </w:rPr>
        <w:t>evidence file</w:t>
      </w:r>
      <w:r w:rsidRPr="00C9465D">
        <w:rPr>
          <w:sz w:val="16"/>
          <w:szCs w:val="16"/>
          <w:lang w:val="en-US"/>
        </w:rPr>
        <w:t>, folio 8875</w:t>
      </w:r>
      <w:r w:rsidR="00193CBB" w:rsidRPr="00C9465D">
        <w:rPr>
          <w:sz w:val="16"/>
          <w:szCs w:val="16"/>
          <w:lang w:val="en-US"/>
        </w:rPr>
        <w:t xml:space="preserve"> and </w:t>
      </w:r>
      <w:r w:rsidRPr="00C9465D">
        <w:rPr>
          <w:sz w:val="16"/>
          <w:szCs w:val="16"/>
          <w:lang w:val="en-US"/>
        </w:rPr>
        <w:t>8876).</w:t>
      </w:r>
    </w:p>
  </w:footnote>
  <w:footnote w:id="255">
    <w:p w14:paraId="6A18BC71" w14:textId="77567374"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B07FDE" w:rsidRPr="00C9465D">
        <w:rPr>
          <w:sz w:val="16"/>
          <w:szCs w:val="16"/>
          <w:lang w:val="en-US"/>
        </w:rPr>
        <w:t>Committee on Economic, Social and Cultural Rights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w:t>
      </w:r>
      <w:r w:rsidR="00B1525D" w:rsidRPr="00C9465D">
        <w:rPr>
          <w:sz w:val="16"/>
          <w:szCs w:val="16"/>
          <w:lang w:val="en-US"/>
        </w:rPr>
        <w:t>No.</w:t>
      </w:r>
      <w:r w:rsidRPr="00C9465D">
        <w:rPr>
          <w:sz w:val="16"/>
          <w:szCs w:val="16"/>
          <w:lang w:val="en-US"/>
        </w:rPr>
        <w:t xml:space="preserve"> 5: </w:t>
      </w:r>
      <w:r w:rsidR="00D85850" w:rsidRPr="00C9465D">
        <w:rPr>
          <w:sz w:val="16"/>
          <w:szCs w:val="16"/>
          <w:lang w:val="en-US"/>
        </w:rPr>
        <w:t>Persons with disabilities</w:t>
      </w:r>
      <w:r w:rsidRPr="00C9465D">
        <w:rPr>
          <w:sz w:val="16"/>
          <w:szCs w:val="16"/>
          <w:lang w:val="en-US"/>
        </w:rPr>
        <w:t xml:space="preserve">, E/1995/22, </w:t>
      </w:r>
      <w:r w:rsidR="00B07FDE" w:rsidRPr="00C9465D">
        <w:rPr>
          <w:sz w:val="16"/>
          <w:szCs w:val="16"/>
          <w:lang w:val="en-US"/>
        </w:rPr>
        <w:t>December 9,</w:t>
      </w:r>
      <w:r w:rsidRPr="00C9465D">
        <w:rPr>
          <w:sz w:val="16"/>
          <w:szCs w:val="16"/>
          <w:lang w:val="en-US"/>
        </w:rPr>
        <w:t xml:space="preserve"> 1994, </w:t>
      </w:r>
      <w:r w:rsidR="00D8466F" w:rsidRPr="00C9465D">
        <w:rPr>
          <w:sz w:val="16"/>
          <w:szCs w:val="16"/>
          <w:lang w:val="en-US"/>
        </w:rPr>
        <w:t>para.</w:t>
      </w:r>
      <w:r w:rsidRPr="00C9465D">
        <w:rPr>
          <w:sz w:val="16"/>
          <w:szCs w:val="16"/>
          <w:lang w:val="en-US"/>
        </w:rPr>
        <w:t xml:space="preserve"> 5.</w:t>
      </w:r>
      <w:r w:rsidRPr="00C9465D">
        <w:rPr>
          <w:sz w:val="16"/>
          <w:szCs w:val="16"/>
          <w:lang w:val="en-US" w:eastAsia="es-ES"/>
        </w:rPr>
        <w:t xml:space="preserve"> </w:t>
      </w:r>
    </w:p>
  </w:footnote>
  <w:footnote w:id="256">
    <w:p w14:paraId="64254856" w14:textId="57009D17"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593C0F" w:rsidRPr="00C9465D">
        <w:rPr>
          <w:sz w:val="16"/>
          <w:szCs w:val="16"/>
          <w:lang w:val="en-US"/>
        </w:rPr>
        <w:t>CRPD</w:t>
      </w:r>
      <w:r w:rsidRPr="00C9465D">
        <w:rPr>
          <w:sz w:val="16"/>
          <w:szCs w:val="16"/>
          <w:lang w:val="en-US"/>
        </w:rPr>
        <w:t xml:space="preserve">, </w:t>
      </w:r>
      <w:r w:rsidR="00193CBB" w:rsidRPr="00C9465D">
        <w:rPr>
          <w:sz w:val="16"/>
          <w:szCs w:val="16"/>
          <w:lang w:val="en-US"/>
        </w:rPr>
        <w:t>Article</w:t>
      </w:r>
      <w:r w:rsidRPr="00C9465D">
        <w:rPr>
          <w:sz w:val="16"/>
          <w:szCs w:val="16"/>
          <w:lang w:val="en-US"/>
        </w:rPr>
        <w:t xml:space="preserve"> 25</w:t>
      </w:r>
      <w:r w:rsidR="00BD504E" w:rsidRPr="00C9465D">
        <w:rPr>
          <w:sz w:val="16"/>
          <w:szCs w:val="16"/>
          <w:lang w:val="en-US"/>
        </w:rPr>
        <w:t>(</w:t>
      </w:r>
      <w:r w:rsidRPr="00C9465D">
        <w:rPr>
          <w:sz w:val="16"/>
          <w:szCs w:val="16"/>
          <w:lang w:val="en-US"/>
        </w:rPr>
        <w:t>b</w:t>
      </w:r>
      <w:r w:rsidR="00BD504E" w:rsidRPr="00C9465D">
        <w:rPr>
          <w:sz w:val="16"/>
          <w:szCs w:val="16"/>
          <w:lang w:val="en-US"/>
        </w:rPr>
        <w:t>)</w:t>
      </w:r>
      <w:r w:rsidRPr="00C9465D">
        <w:rPr>
          <w:sz w:val="16"/>
          <w:szCs w:val="16"/>
          <w:lang w:val="en-US"/>
        </w:rPr>
        <w:t>.</w:t>
      </w:r>
    </w:p>
  </w:footnote>
  <w:footnote w:id="257">
    <w:p w14:paraId="46CBD15F" w14:textId="27475825"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593C0F" w:rsidRPr="00C9465D">
        <w:rPr>
          <w:sz w:val="16"/>
          <w:szCs w:val="16"/>
          <w:lang w:val="en-US"/>
        </w:rPr>
        <w:t>CRPD</w:t>
      </w:r>
      <w:r w:rsidRPr="00C9465D">
        <w:rPr>
          <w:sz w:val="16"/>
          <w:szCs w:val="16"/>
          <w:lang w:val="en-US"/>
        </w:rPr>
        <w:t xml:space="preserve">, </w:t>
      </w:r>
      <w:r w:rsidR="00193CBB" w:rsidRPr="00C9465D">
        <w:rPr>
          <w:sz w:val="16"/>
          <w:szCs w:val="16"/>
          <w:lang w:val="en-US"/>
        </w:rPr>
        <w:t>Article</w:t>
      </w:r>
      <w:r w:rsidRPr="00C9465D">
        <w:rPr>
          <w:sz w:val="16"/>
          <w:szCs w:val="16"/>
          <w:lang w:val="en-US"/>
        </w:rPr>
        <w:t xml:space="preserve"> 19.</w:t>
      </w:r>
      <w:r w:rsidRPr="00C9465D">
        <w:rPr>
          <w:sz w:val="16"/>
          <w:szCs w:val="16"/>
          <w:lang w:val="en-US" w:eastAsia="es-ES"/>
        </w:rPr>
        <w:t xml:space="preserve"> </w:t>
      </w:r>
    </w:p>
  </w:footnote>
  <w:footnote w:id="258">
    <w:p w14:paraId="19FF97B3" w14:textId="53A70885"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593C0F" w:rsidRPr="00C9465D">
        <w:rPr>
          <w:sz w:val="16"/>
          <w:szCs w:val="16"/>
          <w:lang w:val="en-US"/>
        </w:rPr>
        <w:t>CRPD</w:t>
      </w:r>
      <w:r w:rsidRPr="00C9465D">
        <w:rPr>
          <w:sz w:val="16"/>
          <w:szCs w:val="16"/>
          <w:lang w:val="en-US"/>
        </w:rPr>
        <w:t xml:space="preserve">, </w:t>
      </w:r>
      <w:r w:rsidR="00193CBB" w:rsidRPr="00C9465D">
        <w:rPr>
          <w:sz w:val="16"/>
          <w:szCs w:val="16"/>
          <w:lang w:val="en-US"/>
        </w:rPr>
        <w:t>Article</w:t>
      </w:r>
      <w:r w:rsidRPr="00C9465D">
        <w:rPr>
          <w:sz w:val="16"/>
          <w:szCs w:val="16"/>
          <w:lang w:val="en-US"/>
        </w:rPr>
        <w:t xml:space="preserve"> 26.</w:t>
      </w:r>
      <w:r w:rsidRPr="00C9465D">
        <w:rPr>
          <w:sz w:val="16"/>
          <w:szCs w:val="16"/>
          <w:lang w:val="en-US" w:eastAsia="es-ES"/>
        </w:rPr>
        <w:t xml:space="preserve"> </w:t>
      </w:r>
    </w:p>
  </w:footnote>
  <w:footnote w:id="259">
    <w:p w14:paraId="3F325E7F" w14:textId="40B3312E"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691F99" w:rsidRPr="00C9465D">
        <w:rPr>
          <w:sz w:val="16"/>
          <w:szCs w:val="16"/>
          <w:lang w:val="en-US"/>
        </w:rPr>
        <w:t>World Health Organization</w:t>
      </w:r>
      <w:r w:rsidRPr="00C9465D">
        <w:rPr>
          <w:sz w:val="16"/>
          <w:szCs w:val="16"/>
          <w:lang w:val="en-US"/>
        </w:rPr>
        <w:t>,</w:t>
      </w:r>
      <w:r w:rsidRPr="00C9465D">
        <w:rPr>
          <w:i/>
          <w:sz w:val="16"/>
          <w:szCs w:val="16"/>
          <w:lang w:val="en-US"/>
        </w:rPr>
        <w:t xml:space="preserve"> </w:t>
      </w:r>
      <w:r w:rsidR="001C78A0" w:rsidRPr="00C9465D">
        <w:rPr>
          <w:sz w:val="16"/>
          <w:szCs w:val="16"/>
          <w:lang w:val="en-US"/>
        </w:rPr>
        <w:t>Epilepsy: Key Facts, June 20,</w:t>
      </w:r>
      <w:r w:rsidRPr="00C9465D">
        <w:rPr>
          <w:sz w:val="16"/>
          <w:szCs w:val="16"/>
          <w:lang w:val="en-US"/>
        </w:rPr>
        <w:t xml:space="preserve"> 20</w:t>
      </w:r>
      <w:r w:rsidR="001C78A0" w:rsidRPr="00C9465D">
        <w:rPr>
          <w:sz w:val="16"/>
          <w:szCs w:val="16"/>
          <w:lang w:val="en-US"/>
        </w:rPr>
        <w:t>1</w:t>
      </w:r>
      <w:r w:rsidRPr="00C9465D">
        <w:rPr>
          <w:sz w:val="16"/>
          <w:szCs w:val="16"/>
          <w:lang w:val="en-US"/>
        </w:rPr>
        <w:t xml:space="preserve">9. </w:t>
      </w:r>
      <w:r w:rsidR="00316F29" w:rsidRPr="00C9465D">
        <w:rPr>
          <w:sz w:val="16"/>
          <w:szCs w:val="16"/>
          <w:lang w:val="en-US"/>
        </w:rPr>
        <w:t>Available at</w:t>
      </w:r>
      <w:r w:rsidRPr="00C9465D">
        <w:rPr>
          <w:sz w:val="16"/>
          <w:szCs w:val="16"/>
          <w:lang w:val="en-US"/>
        </w:rPr>
        <w:t xml:space="preserve">: </w:t>
      </w:r>
      <w:hyperlink r:id="rId9" w:history="1">
        <w:r w:rsidR="001C78A0" w:rsidRPr="00C9465D">
          <w:rPr>
            <w:rStyle w:val="Hyperlink"/>
            <w:sz w:val="16"/>
            <w:szCs w:val="16"/>
            <w:lang w:val="en-US"/>
          </w:rPr>
          <w:t>https://www.who.int/news-room/fact-sheets/detail/epilepsy</w:t>
        </w:r>
      </w:hyperlink>
      <w:r w:rsidRPr="00C9465D">
        <w:rPr>
          <w:sz w:val="16"/>
          <w:szCs w:val="16"/>
          <w:lang w:val="en-US"/>
        </w:rPr>
        <w:t xml:space="preserve">; </w:t>
      </w:r>
      <w:r w:rsidR="00691F99" w:rsidRPr="00C9465D">
        <w:rPr>
          <w:sz w:val="16"/>
          <w:szCs w:val="16"/>
          <w:lang w:val="en-US"/>
        </w:rPr>
        <w:t>World Health Organization</w:t>
      </w:r>
      <w:r w:rsidRPr="00C9465D">
        <w:rPr>
          <w:sz w:val="16"/>
          <w:szCs w:val="16"/>
          <w:lang w:val="en-US"/>
        </w:rPr>
        <w:t>, Epileps</w:t>
      </w:r>
      <w:r w:rsidR="001C78A0" w:rsidRPr="00C9465D">
        <w:rPr>
          <w:sz w:val="16"/>
          <w:szCs w:val="16"/>
          <w:lang w:val="en-US"/>
        </w:rPr>
        <w:t>y</w:t>
      </w:r>
      <w:r w:rsidRPr="00C9465D">
        <w:rPr>
          <w:sz w:val="16"/>
          <w:szCs w:val="16"/>
          <w:lang w:val="en-US"/>
        </w:rPr>
        <w:t xml:space="preserve">. </w:t>
      </w:r>
      <w:r w:rsidR="001C78A0" w:rsidRPr="00C9465D">
        <w:rPr>
          <w:sz w:val="16"/>
          <w:szCs w:val="16"/>
          <w:lang w:val="en-US"/>
        </w:rPr>
        <w:t xml:space="preserve">A public health imperative, </w:t>
      </w:r>
      <w:r w:rsidRPr="00C9465D">
        <w:rPr>
          <w:sz w:val="16"/>
          <w:szCs w:val="16"/>
          <w:lang w:val="en-US"/>
        </w:rPr>
        <w:t xml:space="preserve">2019, p. XVII. </w:t>
      </w:r>
      <w:r w:rsidR="00316F29" w:rsidRPr="00C9465D">
        <w:rPr>
          <w:sz w:val="16"/>
          <w:szCs w:val="16"/>
          <w:lang w:val="en-US"/>
        </w:rPr>
        <w:t>Available at</w:t>
      </w:r>
      <w:r w:rsidRPr="00C9465D">
        <w:rPr>
          <w:sz w:val="16"/>
          <w:szCs w:val="16"/>
          <w:lang w:val="en-US"/>
        </w:rPr>
        <w:t xml:space="preserve">: </w:t>
      </w:r>
      <w:hyperlink r:id="rId10" w:history="1">
        <w:r w:rsidR="001C78A0" w:rsidRPr="00C9465D">
          <w:rPr>
            <w:rStyle w:val="Hyperlink"/>
            <w:sz w:val="16"/>
            <w:szCs w:val="16"/>
            <w:lang w:val="en-US"/>
          </w:rPr>
          <w:t>f</w:t>
        </w:r>
        <w:hyperlink r:id="rId11" w:history="1">
          <w:r w:rsidR="00190EBC" w:rsidRPr="00C9465D">
            <w:rPr>
              <w:rStyle w:val="Hyperlink"/>
              <w:sz w:val="16"/>
              <w:szCs w:val="16"/>
              <w:lang w:val="en-US"/>
            </w:rPr>
            <w:t>https://www.who.int/publications/i/item/epilepsy-a-public-health-imperative</w:t>
          </w:r>
        </w:hyperlink>
      </w:hyperlink>
      <w:r w:rsidR="001C78A0" w:rsidRPr="00C9465D">
        <w:rPr>
          <w:sz w:val="16"/>
          <w:szCs w:val="16"/>
          <w:lang w:val="en-US"/>
        </w:rPr>
        <w:t>.</w:t>
      </w:r>
    </w:p>
  </w:footnote>
  <w:footnote w:id="260">
    <w:p w14:paraId="7AE258CF" w14:textId="00744AB0" w:rsidR="00300482" w:rsidRPr="00C9465D" w:rsidRDefault="00300482" w:rsidP="00BD26CF">
      <w:pPr>
        <w:pStyle w:val="FootnoteText"/>
        <w:tabs>
          <w:tab w:val="left" w:pos="567"/>
        </w:tabs>
        <w:spacing w:after="120"/>
        <w:rPr>
          <w:b/>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BD504E" w:rsidRPr="00C9465D">
        <w:rPr>
          <w:sz w:val="16"/>
          <w:szCs w:val="16"/>
          <w:lang w:val="en-US"/>
        </w:rPr>
        <w:t xml:space="preserve">Statement made by Claudia Chávez Ledesma during </w:t>
      </w:r>
      <w:r w:rsidR="00B712CD" w:rsidRPr="00C9465D">
        <w:rPr>
          <w:sz w:val="16"/>
          <w:szCs w:val="16"/>
          <w:lang w:val="en-US"/>
        </w:rPr>
        <w:t xml:space="preserve"> the public hearing held in this case</w:t>
      </w:r>
      <w:r w:rsidRPr="00C9465D">
        <w:rPr>
          <w:sz w:val="16"/>
          <w:szCs w:val="16"/>
          <w:lang w:val="en-US"/>
        </w:rPr>
        <w:t xml:space="preserve">. </w:t>
      </w:r>
    </w:p>
  </w:footnote>
  <w:footnote w:id="261">
    <w:p w14:paraId="0E5328B8" w14:textId="054D4CBA"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B4099D" w:rsidRPr="00C9465D">
        <w:rPr>
          <w:sz w:val="16"/>
          <w:szCs w:val="16"/>
          <w:lang w:val="en-US"/>
        </w:rPr>
        <w:t xml:space="preserve">Statement </w:t>
      </w:r>
      <w:r w:rsidR="001C78A0" w:rsidRPr="00C9465D">
        <w:rPr>
          <w:sz w:val="16"/>
          <w:szCs w:val="16"/>
          <w:lang w:val="en-US"/>
        </w:rPr>
        <w:t xml:space="preserve">made </w:t>
      </w:r>
      <w:r w:rsidR="00B4099D" w:rsidRPr="00C9465D">
        <w:rPr>
          <w:sz w:val="16"/>
          <w:szCs w:val="16"/>
          <w:lang w:val="en-US"/>
        </w:rPr>
        <w:t>by</w:t>
      </w:r>
      <w:r w:rsidRPr="00C9465D">
        <w:rPr>
          <w:sz w:val="16"/>
          <w:szCs w:val="16"/>
          <w:lang w:val="en-US"/>
        </w:rPr>
        <w:t xml:space="preserve"> Claudia Chávez Ledezma </w:t>
      </w:r>
      <w:r w:rsidR="00B712CD" w:rsidRPr="00C9465D">
        <w:rPr>
          <w:sz w:val="16"/>
          <w:szCs w:val="16"/>
          <w:lang w:val="en-US"/>
        </w:rPr>
        <w:t>during the public hearing held in this case</w:t>
      </w:r>
      <w:r w:rsidRPr="00C9465D">
        <w:rPr>
          <w:sz w:val="16"/>
          <w:szCs w:val="16"/>
          <w:lang w:val="en-US"/>
        </w:rPr>
        <w:t xml:space="preserve">. </w:t>
      </w:r>
    </w:p>
  </w:footnote>
  <w:footnote w:id="262">
    <w:p w14:paraId="7F5A1F37" w14:textId="2D04CAD0"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folios 20, 21</w:t>
      </w:r>
      <w:r w:rsidR="00193CBB" w:rsidRPr="00C9465D">
        <w:rPr>
          <w:sz w:val="16"/>
          <w:szCs w:val="16"/>
          <w:lang w:val="en-US"/>
        </w:rPr>
        <w:t xml:space="preserve"> and </w:t>
      </w:r>
      <w:r w:rsidRPr="00C9465D">
        <w:rPr>
          <w:sz w:val="16"/>
          <w:szCs w:val="16"/>
          <w:lang w:val="en-US"/>
        </w:rPr>
        <w:t>22),</w:t>
      </w:r>
      <w:r w:rsidR="00193CBB" w:rsidRPr="00C9465D">
        <w:rPr>
          <w:sz w:val="16"/>
          <w:szCs w:val="16"/>
          <w:lang w:val="en-US"/>
        </w:rPr>
        <w:t xml:space="preserve"> and </w:t>
      </w:r>
      <w:r w:rsidR="001A4FA7" w:rsidRPr="00C9465D">
        <w:rPr>
          <w:sz w:val="16"/>
          <w:szCs w:val="16"/>
          <w:lang w:val="en-US"/>
        </w:rPr>
        <w:t>Pichincha Prosecution Service</w:t>
      </w:r>
      <w:r w:rsidRPr="00C9465D">
        <w:rPr>
          <w:sz w:val="16"/>
          <w:szCs w:val="16"/>
          <w:lang w:val="en-US"/>
        </w:rPr>
        <w:t xml:space="preserve">. </w:t>
      </w:r>
      <w:r w:rsidR="001A4FA7" w:rsidRPr="00C9465D">
        <w:rPr>
          <w:sz w:val="16"/>
          <w:szCs w:val="16"/>
          <w:lang w:val="en-US"/>
        </w:rPr>
        <w:t>Service for the Investigation of Disappeared Persons</w:t>
      </w:r>
      <w:r w:rsidRPr="00C9465D">
        <w:rPr>
          <w:sz w:val="16"/>
          <w:szCs w:val="16"/>
          <w:lang w:val="en-US"/>
        </w:rPr>
        <w:t xml:space="preserve">. </w:t>
      </w:r>
      <w:r w:rsidR="001C78A0" w:rsidRPr="00C9465D">
        <w:rPr>
          <w:sz w:val="16"/>
          <w:szCs w:val="16"/>
          <w:lang w:val="en-US"/>
        </w:rPr>
        <w:t xml:space="preserve">Social environment assessment of November 10, </w:t>
      </w:r>
      <w:r w:rsidRPr="00C9465D">
        <w:rPr>
          <w:rStyle w:val="FootnoteReference"/>
          <w:sz w:val="16"/>
          <w:szCs w:val="16"/>
          <w:vertAlign w:val="baseline"/>
          <w:lang w:val="en-US"/>
        </w:rPr>
        <w:t>2014 (</w:t>
      </w:r>
      <w:r w:rsidR="00153C9F" w:rsidRPr="00C9465D">
        <w:rPr>
          <w:rStyle w:val="FootnoteReference"/>
          <w:sz w:val="16"/>
          <w:szCs w:val="16"/>
          <w:vertAlign w:val="baseline"/>
          <w:lang w:val="en-US"/>
        </w:rPr>
        <w:t>evidence file</w:t>
      </w:r>
      <w:r w:rsidRPr="00C9465D">
        <w:rPr>
          <w:rStyle w:val="FootnoteReference"/>
          <w:sz w:val="16"/>
          <w:szCs w:val="16"/>
          <w:vertAlign w:val="baseline"/>
          <w:lang w:val="en-US"/>
        </w:rPr>
        <w:t xml:space="preserve">, folio </w:t>
      </w:r>
      <w:r w:rsidRPr="00C9465D">
        <w:rPr>
          <w:sz w:val="16"/>
          <w:szCs w:val="16"/>
          <w:lang w:val="en-US"/>
        </w:rPr>
        <w:t>4333</w:t>
      </w:r>
      <w:r w:rsidRPr="00C9465D">
        <w:rPr>
          <w:rStyle w:val="FootnoteReference"/>
          <w:sz w:val="16"/>
          <w:szCs w:val="16"/>
          <w:vertAlign w:val="baseline"/>
          <w:lang w:val="en-US"/>
        </w:rPr>
        <w:t>).</w:t>
      </w:r>
    </w:p>
  </w:footnote>
  <w:footnote w:id="263">
    <w:p w14:paraId="3F6C8D06" w14:textId="08138D4D"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422D91" w:rsidRPr="00C9465D">
        <w:rPr>
          <w:sz w:val="16"/>
          <w:szCs w:val="16"/>
          <w:lang w:val="en-US"/>
        </w:rPr>
        <w:t>Ministry of Public Health</w:t>
      </w:r>
      <w:r w:rsidRPr="00C9465D">
        <w:rPr>
          <w:sz w:val="16"/>
          <w:szCs w:val="16"/>
          <w:lang w:val="en-US"/>
        </w:rPr>
        <w:t xml:space="preserve">, </w:t>
      </w:r>
      <w:r w:rsidR="001F65A3" w:rsidRPr="00C9465D">
        <w:rPr>
          <w:sz w:val="16"/>
          <w:szCs w:val="16"/>
          <w:lang w:val="en-US"/>
        </w:rPr>
        <w:t>Julio Endara Hospital</w:t>
      </w:r>
      <w:r w:rsidRPr="00C9465D">
        <w:rPr>
          <w:sz w:val="16"/>
          <w:szCs w:val="16"/>
          <w:lang w:val="en-US"/>
        </w:rPr>
        <w:t xml:space="preserve">. </w:t>
      </w:r>
      <w:r w:rsidR="006056FD" w:rsidRPr="00C9465D">
        <w:rPr>
          <w:sz w:val="16"/>
          <w:szCs w:val="16"/>
          <w:lang w:val="en-US"/>
        </w:rPr>
        <w:t>Hospitalization authorization form of January 10,</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145).</w:t>
      </w:r>
    </w:p>
  </w:footnote>
  <w:footnote w:id="264">
    <w:p w14:paraId="426AE563" w14:textId="046E358B"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0D1F57" w:rsidRPr="00C9465D">
        <w:rPr>
          <w:sz w:val="16"/>
          <w:szCs w:val="16"/>
          <w:lang w:val="en-US"/>
        </w:rPr>
        <w:t>Rules and Regulations</w:t>
      </w:r>
      <w:r w:rsidR="001C78A0" w:rsidRPr="00C9465D">
        <w:rPr>
          <w:sz w:val="16"/>
          <w:szCs w:val="16"/>
          <w:lang w:val="en-US"/>
        </w:rPr>
        <w:t xml:space="preserve"> of the</w:t>
      </w:r>
      <w:r w:rsidRPr="00C9465D">
        <w:rPr>
          <w:sz w:val="16"/>
          <w:szCs w:val="16"/>
          <w:lang w:val="en-US"/>
        </w:rPr>
        <w:t xml:space="preserve"> </w:t>
      </w:r>
      <w:r w:rsidR="002C5740" w:rsidRPr="00C9465D">
        <w:rPr>
          <w:sz w:val="16"/>
          <w:szCs w:val="16"/>
          <w:lang w:val="en-US"/>
        </w:rPr>
        <w:t>Julio Endara Psychiatric Hospital</w:t>
      </w:r>
      <w:r w:rsidRPr="00C9465D">
        <w:rPr>
          <w:sz w:val="16"/>
          <w:szCs w:val="16"/>
          <w:lang w:val="en-US"/>
        </w:rPr>
        <w:t xml:space="preserve">, </w:t>
      </w:r>
      <w:r w:rsidR="001C78A0" w:rsidRPr="00C9465D">
        <w:rPr>
          <w:sz w:val="16"/>
          <w:szCs w:val="16"/>
          <w:lang w:val="en-US"/>
        </w:rPr>
        <w:t>a</w:t>
      </w:r>
      <w:r w:rsidR="00193CBB" w:rsidRPr="00C9465D">
        <w:rPr>
          <w:sz w:val="16"/>
          <w:szCs w:val="16"/>
          <w:lang w:val="en-US"/>
        </w:rPr>
        <w:t>rticle</w:t>
      </w:r>
      <w:r w:rsidRPr="00C9465D">
        <w:rPr>
          <w:sz w:val="16"/>
          <w:szCs w:val="16"/>
          <w:lang w:val="en-US"/>
        </w:rPr>
        <w:t xml:space="preserve"> 10 (</w:t>
      </w:r>
      <w:r w:rsidR="00153C9F" w:rsidRPr="00C9465D">
        <w:rPr>
          <w:sz w:val="16"/>
          <w:szCs w:val="16"/>
          <w:lang w:val="en-US"/>
        </w:rPr>
        <w:t>evidence file</w:t>
      </w:r>
      <w:r w:rsidRPr="00C9465D">
        <w:rPr>
          <w:sz w:val="16"/>
          <w:szCs w:val="16"/>
          <w:lang w:val="en-US"/>
        </w:rPr>
        <w:t>, folio 8540).</w:t>
      </w:r>
    </w:p>
  </w:footnote>
  <w:footnote w:id="265">
    <w:p w14:paraId="19EEE860" w14:textId="567410F2"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B4099D" w:rsidRPr="00C9465D">
        <w:rPr>
          <w:sz w:val="16"/>
          <w:szCs w:val="16"/>
          <w:lang w:val="en-US"/>
        </w:rPr>
        <w:t xml:space="preserve">Statement </w:t>
      </w:r>
      <w:r w:rsidR="001C78A0" w:rsidRPr="00C9465D">
        <w:rPr>
          <w:sz w:val="16"/>
          <w:szCs w:val="16"/>
          <w:lang w:val="en-US"/>
        </w:rPr>
        <w:t xml:space="preserve">made </w:t>
      </w:r>
      <w:r w:rsidR="00B4099D" w:rsidRPr="00C9465D">
        <w:rPr>
          <w:sz w:val="16"/>
          <w:szCs w:val="16"/>
          <w:lang w:val="en-US"/>
        </w:rPr>
        <w:t>by</w:t>
      </w:r>
      <w:r w:rsidRPr="00C9465D">
        <w:rPr>
          <w:sz w:val="16"/>
          <w:szCs w:val="16"/>
          <w:lang w:val="en-US"/>
        </w:rPr>
        <w:t xml:space="preserve"> Zoila Chimbo Jarro </w:t>
      </w:r>
      <w:r w:rsidR="00B712CD" w:rsidRPr="00C9465D">
        <w:rPr>
          <w:sz w:val="16"/>
          <w:szCs w:val="16"/>
          <w:lang w:val="en-US"/>
        </w:rPr>
        <w:t>during the public hearing held in this case</w:t>
      </w:r>
      <w:r w:rsidRPr="00C9465D">
        <w:rPr>
          <w:sz w:val="16"/>
          <w:szCs w:val="16"/>
          <w:lang w:val="en-US"/>
        </w:rPr>
        <w:t xml:space="preserve">. </w:t>
      </w:r>
    </w:p>
  </w:footnote>
  <w:footnote w:id="266">
    <w:p w14:paraId="00AD2BE5" w14:textId="4EF9DAE2"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691F99" w:rsidRPr="00C9465D">
        <w:rPr>
          <w:sz w:val="16"/>
          <w:szCs w:val="16"/>
          <w:lang w:val="en-US"/>
        </w:rPr>
        <w:t>World Health Organization</w:t>
      </w:r>
      <w:r w:rsidRPr="00C9465D">
        <w:rPr>
          <w:sz w:val="16"/>
          <w:szCs w:val="16"/>
          <w:lang w:val="en-US"/>
        </w:rPr>
        <w:t>,</w:t>
      </w:r>
      <w:r w:rsidRPr="00C9465D">
        <w:rPr>
          <w:i/>
          <w:sz w:val="16"/>
          <w:szCs w:val="16"/>
          <w:lang w:val="en-US"/>
        </w:rPr>
        <w:t xml:space="preserve"> </w:t>
      </w:r>
      <w:r w:rsidR="00190EBC" w:rsidRPr="00C9465D">
        <w:rPr>
          <w:sz w:val="16"/>
          <w:szCs w:val="16"/>
          <w:lang w:val="en-US"/>
        </w:rPr>
        <w:t xml:space="preserve">Epilepsy: Key Facts, June 20, 2019. Available at: </w:t>
      </w:r>
      <w:hyperlink r:id="rId12" w:history="1">
        <w:r w:rsidR="00190EBC" w:rsidRPr="00C9465D">
          <w:rPr>
            <w:rStyle w:val="Hyperlink"/>
            <w:sz w:val="16"/>
            <w:szCs w:val="16"/>
            <w:lang w:val="en-US"/>
          </w:rPr>
          <w:t>https://www.who.int/news-room/fact-sheets/detail/epilepsy</w:t>
        </w:r>
      </w:hyperlink>
      <w:r w:rsidR="00190EBC" w:rsidRPr="00C9465D">
        <w:rPr>
          <w:sz w:val="16"/>
          <w:szCs w:val="16"/>
          <w:lang w:val="en-US"/>
        </w:rPr>
        <w:t xml:space="preserve">; </w:t>
      </w:r>
      <w:r w:rsidR="00691F99" w:rsidRPr="00C9465D">
        <w:rPr>
          <w:sz w:val="16"/>
          <w:szCs w:val="16"/>
          <w:lang w:val="en-US"/>
        </w:rPr>
        <w:t>World Health Organization</w:t>
      </w:r>
      <w:r w:rsidRPr="00C9465D">
        <w:rPr>
          <w:sz w:val="16"/>
          <w:szCs w:val="16"/>
          <w:lang w:val="en-US"/>
        </w:rPr>
        <w:t xml:space="preserve">, </w:t>
      </w:r>
      <w:r w:rsidR="00190EBC" w:rsidRPr="00C9465D">
        <w:rPr>
          <w:sz w:val="16"/>
          <w:szCs w:val="16"/>
          <w:lang w:val="en-US"/>
        </w:rPr>
        <w:t xml:space="preserve">Epilepsy. A public health imperative, 2019, p. XVII. Available at: </w:t>
      </w:r>
      <w:hyperlink r:id="rId13" w:history="1">
        <w:r w:rsidR="00190EBC" w:rsidRPr="00C9465D">
          <w:rPr>
            <w:rStyle w:val="Hyperlink"/>
            <w:sz w:val="16"/>
            <w:szCs w:val="16"/>
            <w:lang w:val="en-US"/>
          </w:rPr>
          <w:t>https://www.who.int/publications/i/item/epilepsy-a-public-health-imperative</w:t>
        </w:r>
      </w:hyperlink>
      <w:r w:rsidR="00190EBC" w:rsidRPr="00C9465D">
        <w:rPr>
          <w:sz w:val="16"/>
          <w:szCs w:val="16"/>
          <w:lang w:val="en-US"/>
        </w:rPr>
        <w:t>.</w:t>
      </w:r>
    </w:p>
  </w:footnote>
  <w:footnote w:id="267">
    <w:p w14:paraId="006C0AA8" w14:textId="3C1CA5B8"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rStyle w:val="FootnoteReference"/>
          <w:sz w:val="16"/>
          <w:szCs w:val="16"/>
          <w:lang w:val="en-US"/>
        </w:rPr>
        <w:tab/>
      </w:r>
      <w:r w:rsidR="00B07FDE" w:rsidRPr="00C9465D">
        <w:rPr>
          <w:rStyle w:val="FootnoteReference"/>
          <w:sz w:val="16"/>
          <w:szCs w:val="16"/>
          <w:vertAlign w:val="baseline"/>
          <w:lang w:val="en-US"/>
        </w:rPr>
        <w:t>Committee on Economic, Social and Cultural Rights</w:t>
      </w:r>
      <w:r w:rsidRPr="00C9465D">
        <w:rPr>
          <w:rStyle w:val="FootnoteReference"/>
          <w:sz w:val="16"/>
          <w:szCs w:val="16"/>
          <w:vertAlign w:val="baseline"/>
          <w:lang w:val="en-US"/>
        </w:rPr>
        <w:t xml:space="preserve">, </w:t>
      </w:r>
      <w:r w:rsidR="00B07FDE" w:rsidRPr="00C9465D">
        <w:rPr>
          <w:rStyle w:val="FootnoteReference"/>
          <w:sz w:val="16"/>
          <w:szCs w:val="16"/>
          <w:vertAlign w:val="baseline"/>
          <w:lang w:val="en-US"/>
        </w:rPr>
        <w:t>General Comment</w:t>
      </w:r>
      <w:r w:rsidRPr="00C9465D">
        <w:rPr>
          <w:rStyle w:val="FootnoteReference"/>
          <w:sz w:val="16"/>
          <w:szCs w:val="16"/>
          <w:vertAlign w:val="baseline"/>
          <w:lang w:val="en-US"/>
        </w:rPr>
        <w:t xml:space="preserve"> No. 14: </w:t>
      </w:r>
      <w:r w:rsidR="00891BEF" w:rsidRPr="00C9465D">
        <w:rPr>
          <w:rStyle w:val="FootnoteReference"/>
          <w:sz w:val="16"/>
          <w:szCs w:val="16"/>
          <w:vertAlign w:val="baseline"/>
          <w:lang w:val="en-US"/>
        </w:rPr>
        <w:t>The right to the highest attainable standard of health</w:t>
      </w:r>
      <w:r w:rsidRPr="00C9465D">
        <w:rPr>
          <w:rStyle w:val="FootnoteReference"/>
          <w:sz w:val="16"/>
          <w:szCs w:val="16"/>
          <w:vertAlign w:val="baseline"/>
          <w:lang w:val="en-US"/>
        </w:rPr>
        <w:t xml:space="preserve">, </w:t>
      </w:r>
      <w:r w:rsidR="00891BEF" w:rsidRPr="00C9465D">
        <w:rPr>
          <w:rStyle w:val="FootnoteReference"/>
          <w:sz w:val="16"/>
          <w:szCs w:val="16"/>
          <w:vertAlign w:val="baseline"/>
          <w:lang w:val="en-US"/>
        </w:rPr>
        <w:t>August 11,</w:t>
      </w:r>
      <w:r w:rsidRPr="00C9465D">
        <w:rPr>
          <w:rStyle w:val="FootnoteReference"/>
          <w:sz w:val="16"/>
          <w:szCs w:val="16"/>
          <w:vertAlign w:val="baseline"/>
          <w:lang w:val="en-US"/>
        </w:rPr>
        <w:t xml:space="preserve"> 2000, </w:t>
      </w:r>
      <w:r w:rsidR="00532DEC" w:rsidRPr="00C9465D">
        <w:rPr>
          <w:rStyle w:val="FootnoteReference"/>
          <w:sz w:val="16"/>
          <w:szCs w:val="16"/>
          <w:vertAlign w:val="baseline"/>
          <w:lang w:val="en-US"/>
        </w:rPr>
        <w:t>UN Doc.</w:t>
      </w:r>
      <w:r w:rsidRPr="00C9465D">
        <w:rPr>
          <w:rStyle w:val="FootnoteReference"/>
          <w:sz w:val="16"/>
          <w:szCs w:val="16"/>
          <w:vertAlign w:val="baseline"/>
          <w:lang w:val="en-US"/>
        </w:rPr>
        <w:t xml:space="preserve"> E/C.12/2000/4, </w:t>
      </w:r>
      <w:r w:rsidR="00D8466F" w:rsidRPr="00C9465D">
        <w:rPr>
          <w:rStyle w:val="FootnoteReference"/>
          <w:sz w:val="16"/>
          <w:szCs w:val="16"/>
          <w:vertAlign w:val="baseline"/>
          <w:lang w:val="en-US"/>
        </w:rPr>
        <w:t>para.</w:t>
      </w:r>
      <w:r w:rsidRPr="00C9465D">
        <w:rPr>
          <w:rStyle w:val="FootnoteReference"/>
          <w:sz w:val="16"/>
          <w:szCs w:val="16"/>
          <w:vertAlign w:val="baseline"/>
          <w:lang w:val="en-US"/>
        </w:rPr>
        <w:t xml:space="preserve"> 1</w:t>
      </w:r>
      <w:r w:rsidRPr="00C9465D">
        <w:rPr>
          <w:sz w:val="16"/>
          <w:szCs w:val="16"/>
          <w:lang w:val="en-US"/>
        </w:rPr>
        <w:t>2</w:t>
      </w:r>
      <w:r w:rsidRPr="00C9465D">
        <w:rPr>
          <w:rStyle w:val="FootnoteReference"/>
          <w:sz w:val="16"/>
          <w:szCs w:val="16"/>
          <w:vertAlign w:val="baseline"/>
          <w:lang w:val="en-US"/>
        </w:rPr>
        <w:t>.</w:t>
      </w:r>
    </w:p>
  </w:footnote>
  <w:footnote w:id="268">
    <w:p w14:paraId="024E2FD0" w14:textId="5AF149F2"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Juan Humberto Sánchez </w:t>
      </w:r>
      <w:r w:rsidR="00193CBB" w:rsidRPr="00C9465D">
        <w:rPr>
          <w:i/>
          <w:sz w:val="16"/>
          <w:szCs w:val="16"/>
          <w:lang w:val="en-US"/>
        </w:rPr>
        <w:t>v.</w:t>
      </w:r>
      <w:r w:rsidRPr="00C9465D">
        <w:rPr>
          <w:i/>
          <w:sz w:val="16"/>
          <w:szCs w:val="16"/>
          <w:lang w:val="en-US"/>
        </w:rPr>
        <w:t xml:space="preserve"> Honduras. </w:t>
      </w:r>
      <w:r w:rsidR="00D8466F" w:rsidRPr="00C9465D">
        <w:rPr>
          <w:i/>
          <w:sz w:val="16"/>
          <w:szCs w:val="16"/>
          <w:lang w:val="en-US"/>
        </w:rPr>
        <w:t>Preliminary objection, merits</w:t>
      </w:r>
      <w:r w:rsidR="00193CBB" w:rsidRPr="00C9465D">
        <w:rPr>
          <w:i/>
          <w:sz w:val="16"/>
          <w:szCs w:val="16"/>
          <w:lang w:val="en-US"/>
        </w:rPr>
        <w:t>, reparations and costs</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D8209E" w:rsidRPr="00C9465D">
        <w:rPr>
          <w:sz w:val="16"/>
          <w:szCs w:val="16"/>
          <w:lang w:val="en-US"/>
        </w:rPr>
        <w:t>June 7,</w:t>
      </w:r>
      <w:r w:rsidRPr="00C9465D">
        <w:rPr>
          <w:sz w:val="16"/>
          <w:szCs w:val="16"/>
          <w:lang w:val="en-US"/>
        </w:rPr>
        <w:t xml:space="preserve"> 2003. </w:t>
      </w:r>
      <w:r w:rsidR="00E2299F" w:rsidRPr="00C9465D">
        <w:rPr>
          <w:sz w:val="16"/>
          <w:szCs w:val="16"/>
          <w:lang w:val="en-US"/>
        </w:rPr>
        <w:t xml:space="preserve">Series </w:t>
      </w:r>
      <w:r w:rsidRPr="00C9465D">
        <w:rPr>
          <w:sz w:val="16"/>
          <w:szCs w:val="16"/>
          <w:lang w:val="en-US"/>
        </w:rPr>
        <w:t xml:space="preserve">C No. 99, </w:t>
      </w:r>
      <w:r w:rsidR="00D8466F" w:rsidRPr="00C9465D">
        <w:rPr>
          <w:sz w:val="16"/>
          <w:szCs w:val="16"/>
          <w:lang w:val="en-US"/>
        </w:rPr>
        <w:t>para.</w:t>
      </w:r>
      <w:r w:rsidRPr="00C9465D">
        <w:rPr>
          <w:sz w:val="16"/>
          <w:szCs w:val="16"/>
          <w:lang w:val="en-US"/>
        </w:rPr>
        <w:t xml:space="preserve"> 99,</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Munárriz Escobar</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w:t>
      </w:r>
      <w:r w:rsidR="001902D2" w:rsidRPr="00C9465D">
        <w:rPr>
          <w:i/>
          <w:sz w:val="16"/>
          <w:szCs w:val="16"/>
          <w:lang w:val="en-US"/>
        </w:rPr>
        <w:t>Peru</w:t>
      </w:r>
      <w:r w:rsidRPr="00C9465D">
        <w:rPr>
          <w:i/>
          <w:sz w:val="16"/>
          <w:szCs w:val="16"/>
          <w:lang w:val="en-US"/>
        </w:rPr>
        <w:t xml:space="preserve">. </w:t>
      </w:r>
      <w:r w:rsidR="00D8466F" w:rsidRPr="00C9465D">
        <w:rPr>
          <w:i/>
          <w:sz w:val="16"/>
          <w:szCs w:val="16"/>
          <w:lang w:val="en-US"/>
        </w:rPr>
        <w:t>Preliminary objection, merits</w:t>
      </w:r>
      <w:r w:rsidR="00193CBB" w:rsidRPr="00C9465D">
        <w:rPr>
          <w:i/>
          <w:sz w:val="16"/>
          <w:szCs w:val="16"/>
          <w:lang w:val="en-US"/>
        </w:rPr>
        <w:t>, reparations and costs</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D8209E" w:rsidRPr="00C9465D">
        <w:rPr>
          <w:sz w:val="16"/>
          <w:szCs w:val="16"/>
          <w:lang w:val="en-US"/>
        </w:rPr>
        <w:t>August 20,</w:t>
      </w:r>
      <w:r w:rsidRPr="00C9465D">
        <w:rPr>
          <w:sz w:val="16"/>
          <w:szCs w:val="16"/>
          <w:lang w:val="en-US"/>
        </w:rPr>
        <w:t xml:space="preserve"> 2018. </w:t>
      </w:r>
      <w:r w:rsidR="00E2299F" w:rsidRPr="00C9465D">
        <w:rPr>
          <w:sz w:val="16"/>
          <w:szCs w:val="16"/>
          <w:lang w:val="en-US"/>
        </w:rPr>
        <w:t xml:space="preserve">Series </w:t>
      </w:r>
      <w:r w:rsidRPr="00C9465D">
        <w:rPr>
          <w:sz w:val="16"/>
          <w:szCs w:val="16"/>
          <w:lang w:val="en-US"/>
        </w:rPr>
        <w:t xml:space="preserve">C No. 355, </w:t>
      </w:r>
      <w:r w:rsidR="00D8466F" w:rsidRPr="00C9465D">
        <w:rPr>
          <w:sz w:val="16"/>
          <w:szCs w:val="16"/>
          <w:lang w:val="en-US"/>
        </w:rPr>
        <w:t>para.</w:t>
      </w:r>
      <w:r w:rsidRPr="00C9465D">
        <w:rPr>
          <w:sz w:val="16"/>
          <w:szCs w:val="16"/>
          <w:lang w:val="en-US"/>
        </w:rPr>
        <w:t xml:space="preserve"> 73.</w:t>
      </w:r>
    </w:p>
  </w:footnote>
  <w:footnote w:id="269">
    <w:p w14:paraId="0C8D00BA" w14:textId="32F42BF8"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Ximenes Lopes </w:t>
      </w:r>
      <w:r w:rsidR="00193CBB" w:rsidRPr="00C9465D">
        <w:rPr>
          <w:i/>
          <w:sz w:val="16"/>
          <w:szCs w:val="16"/>
          <w:lang w:val="en-US"/>
        </w:rPr>
        <w:t>v.</w:t>
      </w:r>
      <w:r w:rsidRPr="00C9465D">
        <w:rPr>
          <w:i/>
          <w:sz w:val="16"/>
          <w:szCs w:val="16"/>
          <w:lang w:val="en-US"/>
        </w:rPr>
        <w:t xml:space="preserve"> </w:t>
      </w:r>
      <w:r w:rsidR="00FA5261" w:rsidRPr="00C9465D">
        <w:rPr>
          <w:i/>
          <w:sz w:val="16"/>
          <w:szCs w:val="16"/>
          <w:lang w:val="en-US"/>
        </w:rPr>
        <w:t>Brazil</w:t>
      </w:r>
      <w:r w:rsidRPr="00C9465D">
        <w:rPr>
          <w:i/>
          <w:sz w:val="16"/>
          <w:szCs w:val="16"/>
          <w:lang w:val="en-US"/>
        </w:rPr>
        <w:t>,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139.</w:t>
      </w:r>
    </w:p>
  </w:footnote>
  <w:footnote w:id="270">
    <w:p w14:paraId="1861A1F6" w14:textId="4173B151"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Ximenes Lopes </w:t>
      </w:r>
      <w:r w:rsidR="00193CBB" w:rsidRPr="00C9465D">
        <w:rPr>
          <w:i/>
          <w:sz w:val="16"/>
          <w:szCs w:val="16"/>
          <w:lang w:val="en-US"/>
        </w:rPr>
        <w:t>v.</w:t>
      </w:r>
      <w:r w:rsidRPr="00C9465D">
        <w:rPr>
          <w:i/>
          <w:sz w:val="16"/>
          <w:szCs w:val="16"/>
          <w:lang w:val="en-US"/>
        </w:rPr>
        <w:t xml:space="preserve"> </w:t>
      </w:r>
      <w:r w:rsidR="00FA5261" w:rsidRPr="00C9465D">
        <w:rPr>
          <w:i/>
          <w:sz w:val="16"/>
          <w:szCs w:val="16"/>
          <w:lang w:val="en-US"/>
        </w:rPr>
        <w:t>Brazil</w:t>
      </w:r>
      <w:r w:rsidRPr="00C9465D">
        <w:rPr>
          <w:i/>
          <w:sz w:val="16"/>
          <w:szCs w:val="16"/>
          <w:lang w:val="en-US"/>
        </w:rPr>
        <w:t>,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140.</w:t>
      </w:r>
    </w:p>
  </w:footnote>
  <w:footnote w:id="271">
    <w:p w14:paraId="626FE361" w14:textId="18409167"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2C5740" w:rsidRPr="00C9465D">
        <w:rPr>
          <w:sz w:val="16"/>
          <w:szCs w:val="16"/>
          <w:lang w:val="en-US"/>
        </w:rPr>
        <w:t>Affidavit made by</w:t>
      </w:r>
      <w:r w:rsidRPr="00C9465D">
        <w:rPr>
          <w:sz w:val="16"/>
          <w:szCs w:val="16"/>
          <w:lang w:val="en-US"/>
        </w:rPr>
        <w:t xml:space="preserve"> Elena Palacio van Isschot </w:t>
      </w:r>
      <w:r w:rsidR="00153C9F" w:rsidRPr="00C9465D">
        <w:rPr>
          <w:sz w:val="16"/>
          <w:szCs w:val="16"/>
          <w:lang w:val="en-US"/>
        </w:rPr>
        <w:t>on November 2,</w:t>
      </w:r>
      <w:r w:rsidRPr="00C9465D">
        <w:rPr>
          <w:sz w:val="16"/>
          <w:szCs w:val="16"/>
          <w:lang w:val="en-US"/>
        </w:rPr>
        <w:t xml:space="preserve"> 2020 (</w:t>
      </w:r>
      <w:r w:rsidR="00153C9F" w:rsidRPr="00C9465D">
        <w:rPr>
          <w:sz w:val="16"/>
          <w:szCs w:val="16"/>
          <w:lang w:val="en-US"/>
        </w:rPr>
        <w:t>evidence file</w:t>
      </w:r>
      <w:r w:rsidRPr="00C9465D">
        <w:rPr>
          <w:sz w:val="16"/>
          <w:szCs w:val="16"/>
          <w:lang w:val="en-US"/>
        </w:rPr>
        <w:t>, folio 2355).</w:t>
      </w:r>
    </w:p>
  </w:footnote>
  <w:footnote w:id="272">
    <w:p w14:paraId="7972E490" w14:textId="04B9243D"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691F99" w:rsidRPr="00C9465D">
        <w:rPr>
          <w:sz w:val="16"/>
          <w:szCs w:val="16"/>
          <w:lang w:val="en-US"/>
        </w:rPr>
        <w:t>World Health Organization</w:t>
      </w:r>
      <w:r w:rsidRPr="00C9465D">
        <w:rPr>
          <w:sz w:val="16"/>
          <w:szCs w:val="16"/>
          <w:lang w:val="en-US"/>
        </w:rPr>
        <w:t xml:space="preserve">, </w:t>
      </w:r>
      <w:r w:rsidR="00190EBC" w:rsidRPr="00C9465D">
        <w:rPr>
          <w:sz w:val="16"/>
          <w:szCs w:val="16"/>
          <w:lang w:val="en-US"/>
        </w:rPr>
        <w:t xml:space="preserve">Epilepsy. A public health imperative, 2019, p. XVII. Available at: </w:t>
      </w:r>
      <w:hyperlink r:id="rId14" w:history="1">
        <w:r w:rsidR="00190EBC" w:rsidRPr="00C9465D">
          <w:rPr>
            <w:rStyle w:val="Hyperlink"/>
            <w:sz w:val="16"/>
            <w:szCs w:val="16"/>
            <w:lang w:val="en-US"/>
          </w:rPr>
          <w:t>https://www.who.int/publications/i/item/epilepsy-a-public-health-imperative</w:t>
        </w:r>
      </w:hyperlink>
      <w:r w:rsidR="00190EBC" w:rsidRPr="00C9465D">
        <w:rPr>
          <w:sz w:val="16"/>
          <w:szCs w:val="16"/>
          <w:lang w:val="en-US"/>
        </w:rPr>
        <w:t xml:space="preserve">, </w:t>
      </w:r>
      <w:r w:rsidR="00193CBB" w:rsidRPr="00C9465D">
        <w:rPr>
          <w:sz w:val="16"/>
          <w:szCs w:val="16"/>
          <w:lang w:val="en-US"/>
        </w:rPr>
        <w:t xml:space="preserve">and </w:t>
      </w:r>
      <w:r w:rsidR="002C5740" w:rsidRPr="00C9465D">
        <w:rPr>
          <w:sz w:val="16"/>
          <w:szCs w:val="16"/>
          <w:lang w:val="en-US"/>
        </w:rPr>
        <w:t>Affidavit made by</w:t>
      </w:r>
      <w:r w:rsidRPr="00C9465D">
        <w:rPr>
          <w:sz w:val="16"/>
          <w:szCs w:val="16"/>
          <w:lang w:val="en-US"/>
        </w:rPr>
        <w:t xml:space="preserve"> Elena Palacio van Isschot </w:t>
      </w:r>
      <w:r w:rsidR="00153C9F" w:rsidRPr="00C9465D">
        <w:rPr>
          <w:sz w:val="16"/>
          <w:szCs w:val="16"/>
          <w:lang w:val="en-US"/>
        </w:rPr>
        <w:t>on November 2,</w:t>
      </w:r>
      <w:r w:rsidRPr="00C9465D">
        <w:rPr>
          <w:sz w:val="16"/>
          <w:szCs w:val="16"/>
          <w:lang w:val="en-US"/>
        </w:rPr>
        <w:t xml:space="preserve"> 2020 (</w:t>
      </w:r>
      <w:r w:rsidR="00153C9F" w:rsidRPr="00C9465D">
        <w:rPr>
          <w:sz w:val="16"/>
          <w:szCs w:val="16"/>
          <w:lang w:val="en-US"/>
        </w:rPr>
        <w:t>evidence file</w:t>
      </w:r>
      <w:r w:rsidRPr="00C9465D">
        <w:rPr>
          <w:sz w:val="16"/>
          <w:szCs w:val="16"/>
          <w:lang w:val="en-US"/>
        </w:rPr>
        <w:t xml:space="preserve">, folio 2358). </w:t>
      </w:r>
    </w:p>
  </w:footnote>
  <w:footnote w:id="273">
    <w:p w14:paraId="47B770D5" w14:textId="441B40CC"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2C5740" w:rsidRPr="00C9465D">
        <w:rPr>
          <w:sz w:val="16"/>
          <w:szCs w:val="16"/>
          <w:lang w:val="en-US"/>
        </w:rPr>
        <w:t>Affidavit made by</w:t>
      </w:r>
      <w:r w:rsidRPr="00C9465D">
        <w:rPr>
          <w:sz w:val="16"/>
          <w:szCs w:val="16"/>
          <w:lang w:val="en-US"/>
        </w:rPr>
        <w:t xml:space="preserve"> Elena Palacio van Isschot </w:t>
      </w:r>
      <w:r w:rsidR="00153C9F" w:rsidRPr="00C9465D">
        <w:rPr>
          <w:sz w:val="16"/>
          <w:szCs w:val="16"/>
          <w:lang w:val="en-US"/>
        </w:rPr>
        <w:t>on November 2,</w:t>
      </w:r>
      <w:r w:rsidRPr="00C9465D">
        <w:rPr>
          <w:sz w:val="16"/>
          <w:szCs w:val="16"/>
          <w:lang w:val="en-US"/>
        </w:rPr>
        <w:t xml:space="preserve"> 2020 (</w:t>
      </w:r>
      <w:r w:rsidR="00153C9F" w:rsidRPr="00C9465D">
        <w:rPr>
          <w:sz w:val="16"/>
          <w:szCs w:val="16"/>
          <w:lang w:val="en-US"/>
        </w:rPr>
        <w:t>evidence file</w:t>
      </w:r>
      <w:r w:rsidRPr="00C9465D">
        <w:rPr>
          <w:sz w:val="16"/>
          <w:szCs w:val="16"/>
          <w:lang w:val="en-US"/>
        </w:rPr>
        <w:t>, folios 2359</w:t>
      </w:r>
      <w:r w:rsidR="00193CBB" w:rsidRPr="00C9465D">
        <w:rPr>
          <w:sz w:val="16"/>
          <w:szCs w:val="16"/>
          <w:lang w:val="en-US"/>
        </w:rPr>
        <w:t xml:space="preserve"> and </w:t>
      </w:r>
      <w:r w:rsidRPr="00C9465D">
        <w:rPr>
          <w:sz w:val="16"/>
          <w:szCs w:val="16"/>
          <w:lang w:val="en-US"/>
        </w:rPr>
        <w:t>2360),</w:t>
      </w:r>
      <w:r w:rsidR="008C2989" w:rsidRPr="00C9465D">
        <w:rPr>
          <w:sz w:val="16"/>
          <w:szCs w:val="16"/>
          <w:lang w:val="en-US"/>
        </w:rPr>
        <w:t xml:space="preserve"> and </w:t>
      </w:r>
      <w:r w:rsidR="001A4FA7" w:rsidRPr="00C9465D">
        <w:rPr>
          <w:sz w:val="16"/>
          <w:szCs w:val="16"/>
          <w:lang w:val="en-US"/>
        </w:rPr>
        <w:t>Medical record of</w:t>
      </w:r>
      <w:r w:rsidRPr="00C9465D">
        <w:rPr>
          <w:sz w:val="16"/>
          <w:szCs w:val="16"/>
          <w:lang w:val="en-US"/>
        </w:rPr>
        <w:t xml:space="preserve"> Luis Eduardo Guachalá Chimbo </w:t>
      </w:r>
      <w:r w:rsidR="008C2989" w:rsidRPr="00C9465D">
        <w:rPr>
          <w:sz w:val="16"/>
          <w:szCs w:val="16"/>
          <w:lang w:val="en-US"/>
        </w:rPr>
        <w:t>from the</w:t>
      </w:r>
      <w:r w:rsidRPr="00C9465D">
        <w:rPr>
          <w:sz w:val="16"/>
          <w:szCs w:val="16"/>
          <w:lang w:val="en-US"/>
        </w:rPr>
        <w:t xml:space="preserve"> </w:t>
      </w:r>
      <w:r w:rsidR="002C5740" w:rsidRPr="00C9465D">
        <w:rPr>
          <w:sz w:val="16"/>
          <w:szCs w:val="16"/>
          <w:lang w:val="en-US"/>
        </w:rPr>
        <w:t>Julio Endara Psychiatric Hospital</w:t>
      </w:r>
      <w:r w:rsidRPr="00C9465D">
        <w:rPr>
          <w:sz w:val="16"/>
          <w:szCs w:val="16"/>
          <w:lang w:val="en-US"/>
        </w:rPr>
        <w:t xml:space="preserve"> </w:t>
      </w:r>
      <w:r w:rsidR="008C2989" w:rsidRPr="00C9465D">
        <w:rPr>
          <w:sz w:val="16"/>
          <w:szCs w:val="16"/>
          <w:lang w:val="en-US"/>
        </w:rPr>
        <w:t>from January 10 to January 21,</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12).</w:t>
      </w:r>
    </w:p>
  </w:footnote>
  <w:footnote w:id="274">
    <w:p w14:paraId="6370736B" w14:textId="231D0C90"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2C5740" w:rsidRPr="00C9465D">
        <w:rPr>
          <w:sz w:val="16"/>
          <w:szCs w:val="16"/>
          <w:lang w:val="en-US"/>
        </w:rPr>
        <w:t>Affidavit made by</w:t>
      </w:r>
      <w:r w:rsidRPr="00C9465D">
        <w:rPr>
          <w:sz w:val="16"/>
          <w:szCs w:val="16"/>
          <w:lang w:val="en-US"/>
        </w:rPr>
        <w:t xml:space="preserve"> Elena Palacio van Isschot </w:t>
      </w:r>
      <w:r w:rsidR="00153C9F" w:rsidRPr="00C9465D">
        <w:rPr>
          <w:sz w:val="16"/>
          <w:szCs w:val="16"/>
          <w:lang w:val="en-US"/>
        </w:rPr>
        <w:t>on November 2,</w:t>
      </w:r>
      <w:r w:rsidRPr="00C9465D">
        <w:rPr>
          <w:sz w:val="16"/>
          <w:szCs w:val="16"/>
          <w:lang w:val="en-US"/>
        </w:rPr>
        <w:t xml:space="preserve"> 2020 (</w:t>
      </w:r>
      <w:r w:rsidR="00153C9F" w:rsidRPr="00C9465D">
        <w:rPr>
          <w:sz w:val="16"/>
          <w:szCs w:val="16"/>
          <w:lang w:val="en-US"/>
        </w:rPr>
        <w:t>evidence file</w:t>
      </w:r>
      <w:r w:rsidRPr="00C9465D">
        <w:rPr>
          <w:sz w:val="16"/>
          <w:szCs w:val="16"/>
          <w:lang w:val="en-US"/>
        </w:rPr>
        <w:t>, folio 2361),</w:t>
      </w:r>
      <w:r w:rsidR="008C2989" w:rsidRPr="00C9465D">
        <w:rPr>
          <w:sz w:val="16"/>
          <w:szCs w:val="16"/>
          <w:lang w:val="en-US"/>
        </w:rPr>
        <w:t xml:space="preserve"> and </w:t>
      </w:r>
      <w:r w:rsidR="001A4FA7" w:rsidRPr="00C9465D">
        <w:rPr>
          <w:sz w:val="16"/>
          <w:szCs w:val="16"/>
          <w:lang w:val="en-US"/>
        </w:rPr>
        <w:t>Medical record of</w:t>
      </w:r>
      <w:r w:rsidRPr="00C9465D">
        <w:rPr>
          <w:sz w:val="16"/>
          <w:szCs w:val="16"/>
          <w:lang w:val="en-US"/>
        </w:rPr>
        <w:t xml:space="preserve"> Luis Eduardo Guachalá Chimbo </w:t>
      </w:r>
      <w:r w:rsidR="008C2989" w:rsidRPr="00C9465D">
        <w:rPr>
          <w:sz w:val="16"/>
          <w:szCs w:val="16"/>
          <w:lang w:val="en-US"/>
        </w:rPr>
        <w:t>from the</w:t>
      </w:r>
      <w:r w:rsidRPr="00C9465D">
        <w:rPr>
          <w:sz w:val="16"/>
          <w:szCs w:val="16"/>
          <w:lang w:val="en-US"/>
        </w:rPr>
        <w:t xml:space="preserve"> </w:t>
      </w:r>
      <w:r w:rsidR="002C5740" w:rsidRPr="00C9465D">
        <w:rPr>
          <w:sz w:val="16"/>
          <w:szCs w:val="16"/>
          <w:lang w:val="en-US"/>
        </w:rPr>
        <w:t>Julio Endara Psychiatric Hospital</w:t>
      </w:r>
      <w:r w:rsidRPr="00C9465D">
        <w:rPr>
          <w:sz w:val="16"/>
          <w:szCs w:val="16"/>
          <w:lang w:val="en-US"/>
        </w:rPr>
        <w:t xml:space="preserve"> </w:t>
      </w:r>
      <w:r w:rsidR="008C2989" w:rsidRPr="00C9465D">
        <w:rPr>
          <w:sz w:val="16"/>
          <w:szCs w:val="16"/>
          <w:lang w:val="en-US"/>
        </w:rPr>
        <w:t>from January 10 to January 21,</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12).</w:t>
      </w:r>
    </w:p>
  </w:footnote>
  <w:footnote w:id="275">
    <w:p w14:paraId="38627942" w14:textId="460EEC03"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1A4FA7" w:rsidRPr="00C9465D">
        <w:rPr>
          <w:sz w:val="16"/>
          <w:szCs w:val="16"/>
          <w:lang w:val="en-US"/>
        </w:rPr>
        <w:t>Medical record of</w:t>
      </w:r>
      <w:r w:rsidRPr="00C9465D">
        <w:rPr>
          <w:sz w:val="16"/>
          <w:szCs w:val="16"/>
          <w:lang w:val="en-US"/>
        </w:rPr>
        <w:t xml:space="preserve"> Luis Eduardo Guachalá Chimbo </w:t>
      </w:r>
      <w:r w:rsidR="008C2989" w:rsidRPr="00C9465D">
        <w:rPr>
          <w:sz w:val="16"/>
          <w:szCs w:val="16"/>
          <w:lang w:val="en-US"/>
        </w:rPr>
        <w:t xml:space="preserve">from the </w:t>
      </w:r>
      <w:r w:rsidR="002C5740" w:rsidRPr="00C9465D">
        <w:rPr>
          <w:sz w:val="16"/>
          <w:szCs w:val="16"/>
          <w:lang w:val="en-US"/>
        </w:rPr>
        <w:t>Julio Endara Psychiatric Hospital</w:t>
      </w:r>
      <w:r w:rsidRPr="00C9465D">
        <w:rPr>
          <w:sz w:val="16"/>
          <w:szCs w:val="16"/>
          <w:lang w:val="en-US"/>
        </w:rPr>
        <w:t xml:space="preserve"> </w:t>
      </w:r>
      <w:r w:rsidR="008C2989" w:rsidRPr="00C9465D">
        <w:rPr>
          <w:sz w:val="16"/>
          <w:szCs w:val="16"/>
          <w:lang w:val="en-US"/>
        </w:rPr>
        <w:t>from January 10 to January 21,</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folios 12</w:t>
      </w:r>
      <w:r w:rsidR="00193CBB" w:rsidRPr="00C9465D">
        <w:rPr>
          <w:sz w:val="16"/>
          <w:szCs w:val="16"/>
          <w:lang w:val="en-US"/>
        </w:rPr>
        <w:t xml:space="preserve"> and </w:t>
      </w:r>
      <w:r w:rsidRPr="00C9465D">
        <w:rPr>
          <w:sz w:val="16"/>
          <w:szCs w:val="16"/>
          <w:lang w:val="en-US"/>
        </w:rPr>
        <w:t>13).</w:t>
      </w:r>
    </w:p>
  </w:footnote>
  <w:footnote w:id="276">
    <w:p w14:paraId="6563E98C" w14:textId="1A80E131"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B712CD" w:rsidRPr="00C9465D">
        <w:rPr>
          <w:sz w:val="16"/>
          <w:szCs w:val="16"/>
          <w:lang w:val="en-US"/>
        </w:rPr>
        <w:t>Statement made by Zoila Chimbo during the public hearing held in this case</w:t>
      </w:r>
      <w:r w:rsidRPr="00C9465D">
        <w:rPr>
          <w:sz w:val="16"/>
          <w:szCs w:val="16"/>
          <w:lang w:val="en-US"/>
        </w:rPr>
        <w:t xml:space="preserve">; </w:t>
      </w:r>
      <w:r w:rsidR="002C5740" w:rsidRPr="00C9465D">
        <w:rPr>
          <w:sz w:val="16"/>
          <w:szCs w:val="16"/>
          <w:lang w:val="en-US"/>
        </w:rPr>
        <w:t>Medical record of</w:t>
      </w:r>
      <w:r w:rsidR="008C2989" w:rsidRPr="00C9465D">
        <w:rPr>
          <w:sz w:val="16"/>
          <w:szCs w:val="16"/>
          <w:lang w:val="en-US"/>
        </w:rPr>
        <w:t xml:space="preserve"> the</w:t>
      </w:r>
      <w:r w:rsidRPr="00C9465D">
        <w:rPr>
          <w:sz w:val="16"/>
          <w:szCs w:val="16"/>
          <w:lang w:val="en-US"/>
        </w:rPr>
        <w:t xml:space="preserve"> </w:t>
      </w:r>
      <w:r w:rsidR="002C5740" w:rsidRPr="00C9465D">
        <w:rPr>
          <w:sz w:val="16"/>
          <w:szCs w:val="16"/>
          <w:lang w:val="en-US"/>
        </w:rPr>
        <w:t>Julio Endara Psychiatric Hospital</w:t>
      </w:r>
      <w:r w:rsidRPr="00C9465D">
        <w:rPr>
          <w:sz w:val="16"/>
          <w:szCs w:val="16"/>
          <w:lang w:val="en-US"/>
        </w:rPr>
        <w:t xml:space="preserve"> </w:t>
      </w:r>
      <w:r w:rsidR="002C5740" w:rsidRPr="00C9465D">
        <w:rPr>
          <w:sz w:val="16"/>
          <w:szCs w:val="16"/>
          <w:lang w:val="en-US"/>
        </w:rPr>
        <w:t>of April 21,</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2),</w:t>
      </w:r>
      <w:r w:rsidR="00193CBB" w:rsidRPr="00C9465D">
        <w:rPr>
          <w:sz w:val="16"/>
          <w:szCs w:val="16"/>
          <w:lang w:val="en-US"/>
        </w:rPr>
        <w:t xml:space="preserve"> and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26).</w:t>
      </w:r>
    </w:p>
  </w:footnote>
  <w:footnote w:id="277">
    <w:p w14:paraId="462780F6" w14:textId="17B64F8A"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folios 25</w:t>
      </w:r>
      <w:r w:rsidR="00193CBB" w:rsidRPr="00C9465D">
        <w:rPr>
          <w:sz w:val="16"/>
          <w:szCs w:val="16"/>
          <w:lang w:val="en-US"/>
        </w:rPr>
        <w:t xml:space="preserve"> and </w:t>
      </w:r>
      <w:r w:rsidRPr="00C9465D">
        <w:rPr>
          <w:sz w:val="16"/>
          <w:szCs w:val="16"/>
          <w:lang w:val="en-US"/>
        </w:rPr>
        <w:t>26).</w:t>
      </w:r>
    </w:p>
  </w:footnote>
  <w:footnote w:id="278">
    <w:p w14:paraId="3E61B028" w14:textId="12B39AEA"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1A4FA7" w:rsidRPr="00C9465D">
        <w:rPr>
          <w:sz w:val="16"/>
          <w:szCs w:val="16"/>
          <w:lang w:val="en-US"/>
        </w:rPr>
        <w:t>Medical record of</w:t>
      </w:r>
      <w:r w:rsidRPr="00C9465D">
        <w:rPr>
          <w:sz w:val="16"/>
          <w:szCs w:val="16"/>
          <w:lang w:val="en-US"/>
        </w:rPr>
        <w:t xml:space="preserve"> Luis Eduardo Guachalá Chimbo </w:t>
      </w:r>
      <w:r w:rsidR="008C2989" w:rsidRPr="00C9465D">
        <w:rPr>
          <w:sz w:val="16"/>
          <w:szCs w:val="16"/>
          <w:lang w:val="en-US"/>
        </w:rPr>
        <w:t xml:space="preserve">from the </w:t>
      </w:r>
      <w:r w:rsidR="002C5740" w:rsidRPr="00C9465D">
        <w:rPr>
          <w:sz w:val="16"/>
          <w:szCs w:val="16"/>
          <w:lang w:val="en-US"/>
        </w:rPr>
        <w:t>Julio Endara Psychiatric Hospital</w:t>
      </w:r>
      <w:r w:rsidRPr="00C9465D">
        <w:rPr>
          <w:sz w:val="16"/>
          <w:szCs w:val="16"/>
          <w:lang w:val="en-US"/>
        </w:rPr>
        <w:t xml:space="preserve"> </w:t>
      </w:r>
      <w:r w:rsidR="008C2989" w:rsidRPr="00C9465D">
        <w:rPr>
          <w:sz w:val="16"/>
          <w:szCs w:val="16"/>
          <w:lang w:val="en-US"/>
        </w:rPr>
        <w:t xml:space="preserve">from January 10 to January 21, </w:t>
      </w:r>
      <w:r w:rsidRPr="00C9465D">
        <w:rPr>
          <w:sz w:val="16"/>
          <w:szCs w:val="16"/>
          <w:lang w:val="en-US"/>
        </w:rPr>
        <w:t>2004 (</w:t>
      </w:r>
      <w:r w:rsidR="00153C9F" w:rsidRPr="00C9465D">
        <w:rPr>
          <w:sz w:val="16"/>
          <w:szCs w:val="16"/>
          <w:lang w:val="en-US"/>
        </w:rPr>
        <w:t>evidence file</w:t>
      </w:r>
      <w:r w:rsidRPr="00C9465D">
        <w:rPr>
          <w:sz w:val="16"/>
          <w:szCs w:val="16"/>
          <w:lang w:val="en-US"/>
        </w:rPr>
        <w:t>, folio 12)</w:t>
      </w:r>
    </w:p>
  </w:footnote>
  <w:footnote w:id="279">
    <w:p w14:paraId="38495B40" w14:textId="0A923F9F"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26),</w:t>
      </w:r>
      <w:r w:rsidR="008C2989" w:rsidRPr="00C9465D">
        <w:rPr>
          <w:sz w:val="16"/>
          <w:szCs w:val="16"/>
          <w:lang w:val="en-US"/>
        </w:rPr>
        <w:t xml:space="preserve"> and </w:t>
      </w:r>
      <w:r w:rsidR="002C5740" w:rsidRPr="00C9465D">
        <w:rPr>
          <w:sz w:val="16"/>
          <w:szCs w:val="16"/>
          <w:lang w:val="en-US"/>
        </w:rPr>
        <w:t>Medical record of</w:t>
      </w:r>
      <w:r w:rsidRPr="00C9465D">
        <w:rPr>
          <w:sz w:val="16"/>
          <w:szCs w:val="16"/>
          <w:lang w:val="en-US"/>
        </w:rPr>
        <w:t xml:space="preserve"> </w:t>
      </w:r>
      <w:r w:rsidR="00D977E1" w:rsidRPr="00C9465D">
        <w:rPr>
          <w:sz w:val="16"/>
          <w:szCs w:val="16"/>
          <w:lang w:val="en-US"/>
        </w:rPr>
        <w:t xml:space="preserve">the </w:t>
      </w:r>
      <w:r w:rsidR="002C5740" w:rsidRPr="00C9465D">
        <w:rPr>
          <w:sz w:val="16"/>
          <w:szCs w:val="16"/>
          <w:lang w:val="en-US"/>
        </w:rPr>
        <w:t>Julio Endara Psychiatric Hospital</w:t>
      </w:r>
      <w:r w:rsidRPr="00C9465D">
        <w:rPr>
          <w:sz w:val="16"/>
          <w:szCs w:val="16"/>
          <w:lang w:val="en-US"/>
        </w:rPr>
        <w:t xml:space="preserve"> </w:t>
      </w:r>
      <w:r w:rsidR="002C5740" w:rsidRPr="00C9465D">
        <w:rPr>
          <w:sz w:val="16"/>
          <w:szCs w:val="16"/>
          <w:lang w:val="en-US"/>
        </w:rPr>
        <w:t>of April 21,</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2).</w:t>
      </w:r>
    </w:p>
  </w:footnote>
  <w:footnote w:id="280">
    <w:p w14:paraId="3E04EA23" w14:textId="7185A010"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Medical record of</w:t>
      </w:r>
      <w:r w:rsidR="00D977E1" w:rsidRPr="00C9465D">
        <w:rPr>
          <w:sz w:val="16"/>
          <w:szCs w:val="16"/>
          <w:lang w:val="en-US"/>
        </w:rPr>
        <w:t xml:space="preserve"> the</w:t>
      </w:r>
      <w:r w:rsidRPr="00C9465D">
        <w:rPr>
          <w:sz w:val="16"/>
          <w:szCs w:val="16"/>
          <w:lang w:val="en-US"/>
        </w:rPr>
        <w:t xml:space="preserve"> </w:t>
      </w:r>
      <w:r w:rsidR="002C5740" w:rsidRPr="00C9465D">
        <w:rPr>
          <w:sz w:val="16"/>
          <w:szCs w:val="16"/>
          <w:lang w:val="en-US"/>
        </w:rPr>
        <w:t>Julio Endara Psychiatric Hospital</w:t>
      </w:r>
      <w:r w:rsidRPr="00C9465D">
        <w:rPr>
          <w:sz w:val="16"/>
          <w:szCs w:val="16"/>
          <w:lang w:val="en-US"/>
        </w:rPr>
        <w:t xml:space="preserve"> </w:t>
      </w:r>
      <w:r w:rsidR="002C5740" w:rsidRPr="00C9465D">
        <w:rPr>
          <w:sz w:val="16"/>
          <w:szCs w:val="16"/>
          <w:lang w:val="en-US"/>
        </w:rPr>
        <w:t>of April 21,</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2).</w:t>
      </w:r>
    </w:p>
  </w:footnote>
  <w:footnote w:id="281">
    <w:p w14:paraId="66C82D41" w14:textId="5D05B1C7"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rStyle w:val="FootnoteReference"/>
          <w:sz w:val="16"/>
          <w:szCs w:val="16"/>
          <w:lang w:val="en-US"/>
        </w:rPr>
        <w:tab/>
      </w:r>
      <w:r w:rsidR="00E2299F" w:rsidRPr="00C9465D">
        <w:rPr>
          <w:rStyle w:val="FootnoteReference"/>
          <w:i/>
          <w:sz w:val="16"/>
          <w:szCs w:val="16"/>
          <w:vertAlign w:val="baseline"/>
          <w:lang w:val="en-US"/>
        </w:rPr>
        <w:t>Cf.</w:t>
      </w:r>
      <w:r w:rsidRPr="00C9465D">
        <w:rPr>
          <w:rStyle w:val="FootnoteReference"/>
          <w:sz w:val="16"/>
          <w:szCs w:val="16"/>
          <w:vertAlign w:val="baseline"/>
          <w:lang w:val="en-US"/>
        </w:rPr>
        <w:t xml:space="preserve"> </w:t>
      </w:r>
      <w:r w:rsidR="001A4FA7" w:rsidRPr="00C9465D">
        <w:rPr>
          <w:rStyle w:val="FootnoteReference"/>
          <w:sz w:val="16"/>
          <w:szCs w:val="16"/>
          <w:vertAlign w:val="baseline"/>
          <w:lang w:val="en-US"/>
        </w:rPr>
        <w:t>Medical record of</w:t>
      </w:r>
      <w:r w:rsidRPr="00C9465D">
        <w:rPr>
          <w:rStyle w:val="FootnoteReference"/>
          <w:sz w:val="16"/>
          <w:szCs w:val="16"/>
          <w:vertAlign w:val="baseline"/>
          <w:lang w:val="en-US"/>
        </w:rPr>
        <w:t xml:space="preserve"> Luis Eduardo Guachalá Chimbo </w:t>
      </w:r>
      <w:r w:rsidR="00D977E1" w:rsidRPr="00C9465D">
        <w:rPr>
          <w:rStyle w:val="FootnoteReference"/>
          <w:sz w:val="16"/>
          <w:szCs w:val="16"/>
          <w:vertAlign w:val="baseline"/>
          <w:lang w:val="en-US"/>
        </w:rPr>
        <w:t>from the</w:t>
      </w:r>
      <w:r w:rsidRPr="00C9465D">
        <w:rPr>
          <w:rStyle w:val="FootnoteReference"/>
          <w:sz w:val="16"/>
          <w:szCs w:val="16"/>
          <w:vertAlign w:val="baseline"/>
          <w:lang w:val="en-US"/>
        </w:rPr>
        <w:t xml:space="preserve"> </w:t>
      </w:r>
      <w:r w:rsidR="002C5740" w:rsidRPr="00C9465D">
        <w:rPr>
          <w:rStyle w:val="FootnoteReference"/>
          <w:sz w:val="16"/>
          <w:szCs w:val="16"/>
          <w:vertAlign w:val="baseline"/>
          <w:lang w:val="en-US"/>
        </w:rPr>
        <w:t>Julio Endara Psychiatric Hospital</w:t>
      </w:r>
      <w:r w:rsidRPr="00C9465D">
        <w:rPr>
          <w:rStyle w:val="FootnoteReference"/>
          <w:sz w:val="16"/>
          <w:szCs w:val="16"/>
          <w:vertAlign w:val="baseline"/>
          <w:lang w:val="en-US"/>
        </w:rPr>
        <w:t xml:space="preserve"> </w:t>
      </w:r>
      <w:r w:rsidR="008C2989" w:rsidRPr="00C9465D">
        <w:rPr>
          <w:rStyle w:val="FootnoteReference"/>
          <w:sz w:val="16"/>
          <w:szCs w:val="16"/>
          <w:vertAlign w:val="baseline"/>
          <w:lang w:val="en-US"/>
        </w:rPr>
        <w:t xml:space="preserve">of </w:t>
      </w:r>
      <w:r w:rsidR="00D977E1" w:rsidRPr="00C9465D">
        <w:rPr>
          <w:sz w:val="16"/>
          <w:szCs w:val="16"/>
          <w:lang w:val="en-US"/>
        </w:rPr>
        <w:t xml:space="preserve">from January 10 to January </w:t>
      </w:r>
      <w:r w:rsidR="008C2989" w:rsidRPr="00C9465D">
        <w:rPr>
          <w:rStyle w:val="FootnoteReference"/>
          <w:sz w:val="16"/>
          <w:szCs w:val="16"/>
          <w:vertAlign w:val="baseline"/>
          <w:lang w:val="en-US"/>
        </w:rPr>
        <w:t>21,</w:t>
      </w:r>
      <w:r w:rsidRPr="00C9465D">
        <w:rPr>
          <w:rStyle w:val="FootnoteReference"/>
          <w:sz w:val="16"/>
          <w:szCs w:val="16"/>
          <w:vertAlign w:val="baseline"/>
          <w:lang w:val="en-US"/>
        </w:rPr>
        <w:t xml:space="preserve"> 2004 (</w:t>
      </w:r>
      <w:r w:rsidR="00153C9F" w:rsidRPr="00C9465D">
        <w:rPr>
          <w:rStyle w:val="FootnoteReference"/>
          <w:sz w:val="16"/>
          <w:szCs w:val="16"/>
          <w:vertAlign w:val="baseline"/>
          <w:lang w:val="en-US"/>
        </w:rPr>
        <w:t>evidence file</w:t>
      </w:r>
      <w:r w:rsidRPr="00C9465D">
        <w:rPr>
          <w:rStyle w:val="FootnoteReference"/>
          <w:sz w:val="16"/>
          <w:szCs w:val="16"/>
          <w:vertAlign w:val="baseline"/>
          <w:lang w:val="en-US"/>
        </w:rPr>
        <w:t>, folio 13).</w:t>
      </w:r>
    </w:p>
  </w:footnote>
  <w:footnote w:id="282">
    <w:p w14:paraId="7219DA71" w14:textId="5F74B48E"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2C5740" w:rsidRPr="00C9465D">
        <w:rPr>
          <w:sz w:val="16"/>
          <w:szCs w:val="16"/>
          <w:lang w:val="en-US"/>
        </w:rPr>
        <w:t>Affidavit made by</w:t>
      </w:r>
      <w:r w:rsidRPr="00C9465D">
        <w:rPr>
          <w:sz w:val="16"/>
          <w:szCs w:val="16"/>
          <w:lang w:val="en-US"/>
        </w:rPr>
        <w:t xml:space="preserve"> Elena Palacio van Isschot </w:t>
      </w:r>
      <w:r w:rsidR="00153C9F" w:rsidRPr="00C9465D">
        <w:rPr>
          <w:sz w:val="16"/>
          <w:szCs w:val="16"/>
          <w:lang w:val="en-US"/>
        </w:rPr>
        <w:t>on November 2,</w:t>
      </w:r>
      <w:r w:rsidRPr="00C9465D">
        <w:rPr>
          <w:sz w:val="16"/>
          <w:szCs w:val="16"/>
          <w:lang w:val="en-US"/>
        </w:rPr>
        <w:t xml:space="preserve"> 2020 (</w:t>
      </w:r>
      <w:r w:rsidR="00153C9F" w:rsidRPr="00C9465D">
        <w:rPr>
          <w:sz w:val="16"/>
          <w:szCs w:val="16"/>
          <w:lang w:val="en-US"/>
        </w:rPr>
        <w:t>evidence file</w:t>
      </w:r>
      <w:r w:rsidRPr="00C9465D">
        <w:rPr>
          <w:sz w:val="16"/>
          <w:szCs w:val="16"/>
          <w:lang w:val="en-US"/>
        </w:rPr>
        <w:t xml:space="preserve">, folio 2372). </w:t>
      </w:r>
    </w:p>
  </w:footnote>
  <w:footnote w:id="283">
    <w:p w14:paraId="64DE0621" w14:textId="11F7BF63"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27).</w:t>
      </w:r>
    </w:p>
  </w:footnote>
  <w:footnote w:id="284">
    <w:p w14:paraId="349DFB2D" w14:textId="6D1D27BF" w:rsidR="00300482" w:rsidRPr="00C9465D" w:rsidRDefault="00300482" w:rsidP="00BD26CF">
      <w:pPr>
        <w:pStyle w:val="Numberedparagraphs"/>
        <w:numPr>
          <w:ilvl w:val="0"/>
          <w:numId w:val="0"/>
        </w:numPr>
        <w:tabs>
          <w:tab w:val="left" w:pos="567"/>
        </w:tabs>
        <w:spacing w:before="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501733" w:rsidRPr="00C9465D">
        <w:rPr>
          <w:sz w:val="16"/>
          <w:szCs w:val="16"/>
          <w:lang w:val="en-US"/>
        </w:rPr>
        <w:t xml:space="preserve">In addition, bearing in mind that, on January 14, </w:t>
      </w:r>
      <w:r w:rsidR="002F3237" w:rsidRPr="00C9465D">
        <w:rPr>
          <w:sz w:val="16"/>
          <w:szCs w:val="16"/>
          <w:lang w:val="en-US"/>
        </w:rPr>
        <w:t>Mr. Guachalá</w:t>
      </w:r>
      <w:r w:rsidRPr="00C9465D">
        <w:rPr>
          <w:sz w:val="16"/>
          <w:szCs w:val="16"/>
          <w:lang w:val="en-US"/>
        </w:rPr>
        <w:t xml:space="preserve"> Chimbo </w:t>
      </w:r>
      <w:r w:rsidR="00501733" w:rsidRPr="00C9465D">
        <w:rPr>
          <w:sz w:val="16"/>
          <w:szCs w:val="16"/>
          <w:lang w:val="en-US"/>
        </w:rPr>
        <w:t xml:space="preserve">had suffered a fall that required a suture in the left ciliary area, during the public hearing in this case, expert witness Claudia Chávez Ledesma was asked whether </w:t>
      </w:r>
      <w:r w:rsidR="00C6791D" w:rsidRPr="00C9465D">
        <w:rPr>
          <w:sz w:val="16"/>
          <w:szCs w:val="16"/>
          <w:lang w:val="en-US"/>
        </w:rPr>
        <w:t xml:space="preserve">or not, </w:t>
      </w:r>
      <w:r w:rsidR="00501733" w:rsidRPr="00C9465D">
        <w:rPr>
          <w:sz w:val="16"/>
          <w:szCs w:val="16"/>
          <w:lang w:val="en-US"/>
        </w:rPr>
        <w:t>“in the case of head injury and subsequent seizures</w:t>
      </w:r>
      <w:r w:rsidR="00C6791D" w:rsidRPr="00C9465D">
        <w:rPr>
          <w:sz w:val="16"/>
          <w:szCs w:val="16"/>
          <w:lang w:val="en-US"/>
        </w:rPr>
        <w:t xml:space="preserve">, it was appropriate to administer haloperidol or any other psychotropic medication?” In response, the expert indicated that: “Depending on the injury, depending on the patient's level of consciousness. In other words, it will depend on numerous factors. In reality, these falls, falls with tears in </w:t>
      </w:r>
      <w:r w:rsidR="00520411" w:rsidRPr="00C9465D">
        <w:rPr>
          <w:sz w:val="16"/>
          <w:szCs w:val="16"/>
          <w:lang w:val="en-US"/>
        </w:rPr>
        <w:t>[…]</w:t>
      </w:r>
      <w:r w:rsidR="00C6791D" w:rsidRPr="00C9465D">
        <w:rPr>
          <w:sz w:val="16"/>
          <w:szCs w:val="16"/>
          <w:lang w:val="en-US"/>
        </w:rPr>
        <w:t xml:space="preserve"> subcutaneous cellular tissue, skin, normally do not indicate changes in consciousness and</w:t>
      </w:r>
      <w:r w:rsidR="006758E3" w:rsidRPr="00C9465D">
        <w:rPr>
          <w:sz w:val="16"/>
          <w:szCs w:val="16"/>
          <w:lang w:val="en-US"/>
        </w:rPr>
        <w:t xml:space="preserve"> one merely sutures them and, evidently, assesses the person. If it is a serious injury with loss of consciousness, yes [it is contraindicated].” The expert explained that, although Mr. Guachalá had suffered a fall on January 14, on January 16 he was walking around without difficulty</w:t>
      </w:r>
      <w:r w:rsidRPr="00C9465D">
        <w:rPr>
          <w:sz w:val="16"/>
          <w:szCs w:val="16"/>
          <w:lang w:val="en-US"/>
        </w:rPr>
        <w:t xml:space="preserve">. </w:t>
      </w:r>
      <w:r w:rsidR="00E2299F" w:rsidRPr="00C9465D">
        <w:rPr>
          <w:i/>
          <w:sz w:val="16"/>
          <w:szCs w:val="16"/>
          <w:lang w:val="en-US"/>
        </w:rPr>
        <w:t>Cf.</w:t>
      </w:r>
      <w:r w:rsidRPr="00C9465D">
        <w:rPr>
          <w:sz w:val="16"/>
          <w:szCs w:val="16"/>
          <w:lang w:val="en-US"/>
        </w:rPr>
        <w:t xml:space="preserve"> </w:t>
      </w:r>
      <w:r w:rsidR="00B4099D" w:rsidRPr="00C9465D">
        <w:rPr>
          <w:sz w:val="16"/>
          <w:szCs w:val="16"/>
          <w:lang w:val="en-US"/>
        </w:rPr>
        <w:t>Statement</w:t>
      </w:r>
      <w:r w:rsidR="006758E3" w:rsidRPr="00C9465D">
        <w:rPr>
          <w:sz w:val="16"/>
          <w:szCs w:val="16"/>
          <w:lang w:val="en-US"/>
        </w:rPr>
        <w:t xml:space="preserve"> made</w:t>
      </w:r>
      <w:r w:rsidR="00B4099D" w:rsidRPr="00C9465D">
        <w:rPr>
          <w:sz w:val="16"/>
          <w:szCs w:val="16"/>
          <w:lang w:val="en-US"/>
        </w:rPr>
        <w:t xml:space="preserve"> by</w:t>
      </w:r>
      <w:r w:rsidRPr="00C9465D">
        <w:rPr>
          <w:sz w:val="16"/>
          <w:szCs w:val="16"/>
          <w:lang w:val="en-US"/>
        </w:rPr>
        <w:t xml:space="preserve"> Claudia Chávez Ledezma </w:t>
      </w:r>
      <w:r w:rsidR="00B712CD" w:rsidRPr="00C9465D">
        <w:rPr>
          <w:sz w:val="16"/>
          <w:szCs w:val="16"/>
          <w:lang w:val="en-US"/>
        </w:rPr>
        <w:t>during the public hearing held in this case</w:t>
      </w:r>
      <w:r w:rsidRPr="00C9465D">
        <w:rPr>
          <w:sz w:val="16"/>
          <w:szCs w:val="16"/>
          <w:lang w:val="en-US"/>
        </w:rPr>
        <w:t xml:space="preserve">. </w:t>
      </w:r>
    </w:p>
  </w:footnote>
  <w:footnote w:id="285">
    <w:p w14:paraId="48C0F784" w14:textId="41013342"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B4099D" w:rsidRPr="00C9465D">
        <w:rPr>
          <w:color w:val="000000"/>
          <w:sz w:val="16"/>
          <w:szCs w:val="16"/>
          <w:lang w:val="en-US"/>
        </w:rPr>
        <w:t>Statement by</w:t>
      </w:r>
      <w:r w:rsidR="006758E3" w:rsidRPr="00C9465D">
        <w:rPr>
          <w:color w:val="000000"/>
          <w:sz w:val="16"/>
          <w:szCs w:val="16"/>
          <w:lang w:val="en-US"/>
        </w:rPr>
        <w:t xml:space="preserve"> the </w:t>
      </w:r>
      <w:r w:rsidRPr="00C9465D">
        <w:rPr>
          <w:color w:val="000000"/>
          <w:sz w:val="16"/>
          <w:szCs w:val="16"/>
          <w:lang w:val="en-US"/>
        </w:rPr>
        <w:t xml:space="preserve">Director </w:t>
      </w:r>
      <w:r w:rsidR="006758E3" w:rsidRPr="00C9465D">
        <w:rPr>
          <w:color w:val="000000"/>
          <w:sz w:val="16"/>
          <w:szCs w:val="16"/>
          <w:lang w:val="en-US"/>
        </w:rPr>
        <w:t>of the Julio Endara</w:t>
      </w:r>
      <w:r w:rsidR="001F65A3" w:rsidRPr="00C9465D">
        <w:rPr>
          <w:color w:val="000000"/>
          <w:sz w:val="16"/>
          <w:szCs w:val="16"/>
          <w:lang w:val="en-US"/>
        </w:rPr>
        <w:t xml:space="preserve"> Hospital</w:t>
      </w:r>
      <w:r w:rsidRPr="00C9465D">
        <w:rPr>
          <w:color w:val="000000"/>
          <w:sz w:val="16"/>
          <w:szCs w:val="16"/>
          <w:lang w:val="en-US"/>
        </w:rPr>
        <w:t xml:space="preserve"> </w:t>
      </w:r>
      <w:r w:rsidR="006758E3" w:rsidRPr="00C9465D">
        <w:rPr>
          <w:color w:val="000000"/>
          <w:sz w:val="16"/>
          <w:szCs w:val="16"/>
          <w:lang w:val="en-US"/>
        </w:rPr>
        <w:t>of October 17,</w:t>
      </w:r>
      <w:r w:rsidRPr="00C9465D">
        <w:rPr>
          <w:color w:val="000000"/>
          <w:sz w:val="16"/>
          <w:szCs w:val="16"/>
          <w:lang w:val="en-US"/>
        </w:rPr>
        <w:t xml:space="preserve"> 2013 (</w:t>
      </w:r>
      <w:r w:rsidR="00153C9F" w:rsidRPr="00C9465D">
        <w:rPr>
          <w:color w:val="000000"/>
          <w:sz w:val="16"/>
          <w:szCs w:val="16"/>
          <w:lang w:val="en-US"/>
        </w:rPr>
        <w:t>evidence file</w:t>
      </w:r>
      <w:r w:rsidRPr="00C9465D">
        <w:rPr>
          <w:color w:val="000000"/>
          <w:sz w:val="16"/>
          <w:szCs w:val="16"/>
          <w:lang w:val="en-US"/>
        </w:rPr>
        <w:t>, folio 2664).</w:t>
      </w:r>
    </w:p>
  </w:footnote>
  <w:footnote w:id="286">
    <w:p w14:paraId="01DB8ED6" w14:textId="433D89C0"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 xml:space="preserve">Case </w:t>
      </w:r>
      <w:r w:rsidR="006758E3" w:rsidRPr="00C9465D">
        <w:rPr>
          <w:i/>
          <w:sz w:val="16"/>
          <w:szCs w:val="16"/>
          <w:lang w:val="en-US"/>
        </w:rPr>
        <w:t xml:space="preserve">of the </w:t>
      </w:r>
      <w:r w:rsidR="00E336A5" w:rsidRPr="00C9465D">
        <w:rPr>
          <w:i/>
          <w:sz w:val="16"/>
          <w:szCs w:val="16"/>
          <w:lang w:val="en-US"/>
        </w:rPr>
        <w:t>Pueblo Bello</w:t>
      </w:r>
      <w:r w:rsidR="006758E3" w:rsidRPr="00C9465D">
        <w:rPr>
          <w:i/>
          <w:sz w:val="16"/>
          <w:szCs w:val="16"/>
          <w:lang w:val="en-US"/>
        </w:rPr>
        <w:t xml:space="preserve"> Massacre</w:t>
      </w:r>
      <w:r w:rsidRPr="00C9465D">
        <w:rPr>
          <w:i/>
          <w:sz w:val="16"/>
          <w:szCs w:val="16"/>
          <w:lang w:val="en-US"/>
        </w:rPr>
        <w:t xml:space="preserve"> </w:t>
      </w:r>
      <w:r w:rsidR="00193CBB" w:rsidRPr="00C9465D">
        <w:rPr>
          <w:i/>
          <w:sz w:val="16"/>
          <w:szCs w:val="16"/>
          <w:lang w:val="en-US"/>
        </w:rPr>
        <w:t>v.</w:t>
      </w:r>
      <w:r w:rsidRPr="00C9465D">
        <w:rPr>
          <w:i/>
          <w:sz w:val="16"/>
          <w:szCs w:val="16"/>
          <w:lang w:val="en-US"/>
        </w:rPr>
        <w:t xml:space="preserve"> Colombia. </w:t>
      </w:r>
      <w:r w:rsidR="00D8466F" w:rsidRPr="00C9465D">
        <w:rPr>
          <w:sz w:val="16"/>
          <w:szCs w:val="16"/>
          <w:lang w:val="en-US"/>
        </w:rPr>
        <w:t>Judgment of</w:t>
      </w:r>
      <w:r w:rsidRPr="00C9465D">
        <w:rPr>
          <w:sz w:val="16"/>
          <w:szCs w:val="16"/>
          <w:lang w:val="en-US"/>
        </w:rPr>
        <w:t xml:space="preserve"> </w:t>
      </w:r>
      <w:r w:rsidR="006758E3" w:rsidRPr="00C9465D">
        <w:rPr>
          <w:sz w:val="16"/>
          <w:szCs w:val="16"/>
          <w:lang w:val="en-US"/>
        </w:rPr>
        <w:t>January 31,</w:t>
      </w:r>
      <w:r w:rsidRPr="00C9465D">
        <w:rPr>
          <w:sz w:val="16"/>
          <w:szCs w:val="16"/>
          <w:lang w:val="en-US"/>
        </w:rPr>
        <w:t xml:space="preserve"> 2006. </w:t>
      </w:r>
      <w:r w:rsidR="00E2299F" w:rsidRPr="00C9465D">
        <w:rPr>
          <w:sz w:val="16"/>
          <w:szCs w:val="16"/>
          <w:lang w:val="en-US"/>
        </w:rPr>
        <w:t xml:space="preserve">Series </w:t>
      </w:r>
      <w:r w:rsidRPr="00C9465D">
        <w:rPr>
          <w:sz w:val="16"/>
          <w:szCs w:val="16"/>
          <w:lang w:val="en-US"/>
        </w:rPr>
        <w:t xml:space="preserve">C No. 140, </w:t>
      </w:r>
      <w:r w:rsidR="00D8466F" w:rsidRPr="00C9465D">
        <w:rPr>
          <w:sz w:val="16"/>
          <w:szCs w:val="16"/>
          <w:lang w:val="en-US"/>
        </w:rPr>
        <w:t>para.</w:t>
      </w:r>
      <w:r w:rsidRPr="00C9465D">
        <w:rPr>
          <w:sz w:val="16"/>
          <w:szCs w:val="16"/>
          <w:lang w:val="en-US"/>
        </w:rPr>
        <w:t xml:space="preserve"> 111,</w:t>
      </w:r>
      <w:r w:rsidR="00193CBB" w:rsidRPr="00C9465D">
        <w:rPr>
          <w:sz w:val="16"/>
          <w:szCs w:val="16"/>
          <w:lang w:val="en-US"/>
        </w:rPr>
        <w:t xml:space="preserve"> and </w:t>
      </w:r>
      <w:r w:rsidR="00D8466F" w:rsidRPr="00C9465D">
        <w:rPr>
          <w:i/>
          <w:sz w:val="16"/>
          <w:szCs w:val="16"/>
          <w:lang w:val="en-US"/>
        </w:rPr>
        <w:t xml:space="preserve">Case </w:t>
      </w:r>
      <w:r w:rsidR="00FA5261" w:rsidRPr="00C9465D">
        <w:rPr>
          <w:i/>
          <w:sz w:val="16"/>
          <w:szCs w:val="16"/>
          <w:lang w:val="en-US"/>
        </w:rPr>
        <w:t>of the Workers of the Fireworks Factory of Santo</w:t>
      </w:r>
      <w:r w:rsidRPr="00C9465D">
        <w:rPr>
          <w:i/>
          <w:sz w:val="16"/>
          <w:szCs w:val="16"/>
          <w:lang w:val="en-US"/>
        </w:rPr>
        <w:t xml:space="preserve"> Antônio de Jesus</w:t>
      </w:r>
      <w:r w:rsidR="00D750CC" w:rsidRPr="00C9465D">
        <w:rPr>
          <w:i/>
          <w:sz w:val="16"/>
          <w:szCs w:val="16"/>
          <w:lang w:val="en-US"/>
        </w:rPr>
        <w:t xml:space="preserve"> and their families</w:t>
      </w:r>
      <w:r w:rsidRPr="00C9465D">
        <w:rPr>
          <w:i/>
          <w:sz w:val="16"/>
          <w:szCs w:val="16"/>
          <w:lang w:val="en-US"/>
        </w:rPr>
        <w:t xml:space="preserve"> </w:t>
      </w:r>
      <w:r w:rsidR="00193CBB" w:rsidRPr="00C9465D">
        <w:rPr>
          <w:i/>
          <w:sz w:val="16"/>
          <w:szCs w:val="16"/>
          <w:lang w:val="en-US"/>
        </w:rPr>
        <w:t>v.</w:t>
      </w:r>
      <w:r w:rsidRPr="00C9465D">
        <w:rPr>
          <w:i/>
          <w:sz w:val="16"/>
          <w:szCs w:val="16"/>
          <w:lang w:val="en-US"/>
        </w:rPr>
        <w:t xml:space="preserve"> </w:t>
      </w:r>
      <w:r w:rsidR="00FA5261" w:rsidRPr="00C9465D">
        <w:rPr>
          <w:i/>
          <w:sz w:val="16"/>
          <w:szCs w:val="16"/>
          <w:lang w:val="en-US"/>
        </w:rPr>
        <w:t>Brazil</w:t>
      </w:r>
      <w:r w:rsidRPr="00C9465D">
        <w:rPr>
          <w:i/>
          <w:sz w:val="16"/>
          <w:szCs w:val="16"/>
          <w:lang w:val="en-US"/>
        </w:rPr>
        <w:t>,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115</w:t>
      </w:r>
      <w:r w:rsidRPr="00C9465D">
        <w:rPr>
          <w:i/>
          <w:sz w:val="16"/>
          <w:szCs w:val="16"/>
          <w:lang w:val="en-US"/>
        </w:rPr>
        <w:t>.</w:t>
      </w:r>
    </w:p>
  </w:footnote>
  <w:footnote w:id="287">
    <w:p w14:paraId="1D5995D5" w14:textId="4C773C54"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Pr="00C9465D">
        <w:rPr>
          <w:i/>
          <w:sz w:val="16"/>
          <w:szCs w:val="16"/>
          <w:lang w:val="en-US"/>
        </w:rPr>
        <w:t>Mutatis mutandis</w:t>
      </w:r>
      <w:r w:rsidRPr="00C9465D">
        <w:rPr>
          <w:sz w:val="16"/>
          <w:szCs w:val="16"/>
          <w:lang w:val="en-US"/>
        </w:rPr>
        <w:t xml:space="preserve">, </w:t>
      </w:r>
      <w:r w:rsidR="00D8466F" w:rsidRPr="00C9465D">
        <w:rPr>
          <w:i/>
          <w:sz w:val="16"/>
          <w:szCs w:val="16"/>
          <w:lang w:val="en-US"/>
        </w:rPr>
        <w:t>Case of</w:t>
      </w:r>
      <w:r w:rsidRPr="00C9465D">
        <w:rPr>
          <w:i/>
          <w:sz w:val="16"/>
          <w:szCs w:val="16"/>
          <w:lang w:val="en-US"/>
        </w:rPr>
        <w:t xml:space="preserve"> Ximenes Lopes </w:t>
      </w:r>
      <w:r w:rsidR="00193CBB" w:rsidRPr="00C9465D">
        <w:rPr>
          <w:i/>
          <w:sz w:val="16"/>
          <w:szCs w:val="16"/>
          <w:lang w:val="en-US"/>
        </w:rPr>
        <w:t>v.</w:t>
      </w:r>
      <w:r w:rsidRPr="00C9465D">
        <w:rPr>
          <w:i/>
          <w:sz w:val="16"/>
          <w:szCs w:val="16"/>
          <w:lang w:val="en-US"/>
        </w:rPr>
        <w:t xml:space="preserve"> </w:t>
      </w:r>
      <w:r w:rsidR="00FA5261" w:rsidRPr="00C9465D">
        <w:rPr>
          <w:i/>
          <w:sz w:val="16"/>
          <w:szCs w:val="16"/>
          <w:lang w:val="en-US"/>
        </w:rPr>
        <w:t>Brazil</w:t>
      </w:r>
      <w:r w:rsidRPr="00C9465D">
        <w:rPr>
          <w:i/>
          <w:sz w:val="16"/>
          <w:szCs w:val="16"/>
          <w:lang w:val="en-US"/>
        </w:rPr>
        <w:t>,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138. </w:t>
      </w:r>
    </w:p>
  </w:footnote>
  <w:footnote w:id="288">
    <w:p w14:paraId="7AA2D09F" w14:textId="6D0B52CD" w:rsidR="00300482" w:rsidRPr="00C9465D" w:rsidRDefault="00300482" w:rsidP="00BD26CF">
      <w:pPr>
        <w:pStyle w:val="FootnoteText"/>
        <w:tabs>
          <w:tab w:val="left" w:pos="567"/>
        </w:tabs>
        <w:spacing w:after="120"/>
        <w:rPr>
          <w:i/>
          <w:sz w:val="16"/>
          <w:szCs w:val="16"/>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 xml:space="preserve">Case </w:t>
      </w:r>
      <w:r w:rsidR="00177BA9" w:rsidRPr="00C9465D">
        <w:rPr>
          <w:i/>
          <w:sz w:val="16"/>
          <w:szCs w:val="16"/>
          <w:lang w:val="en-US"/>
        </w:rPr>
        <w:t>of the “Street Children” (Villagrán Morales et al.)</w:t>
      </w:r>
      <w:r w:rsidRPr="00C9465D">
        <w:rPr>
          <w:i/>
          <w:sz w:val="16"/>
          <w:szCs w:val="16"/>
          <w:lang w:val="en-US"/>
        </w:rPr>
        <w:t xml:space="preserve"> </w:t>
      </w:r>
      <w:r w:rsidR="00193CBB" w:rsidRPr="00C9465D">
        <w:rPr>
          <w:i/>
          <w:sz w:val="16"/>
          <w:szCs w:val="16"/>
          <w:lang w:val="en-US"/>
        </w:rPr>
        <w:t>v.</w:t>
      </w:r>
      <w:r w:rsidRPr="00C9465D">
        <w:rPr>
          <w:i/>
          <w:sz w:val="16"/>
          <w:szCs w:val="16"/>
          <w:lang w:val="en-US"/>
        </w:rPr>
        <w:t xml:space="preserve"> Guatemala. </w:t>
      </w:r>
      <w:r w:rsidR="00532DEC" w:rsidRPr="00C9465D">
        <w:rPr>
          <w:i/>
          <w:sz w:val="16"/>
          <w:szCs w:val="16"/>
          <w:lang w:val="en-US"/>
        </w:rPr>
        <w:t>Merits</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153C9F" w:rsidRPr="00C9465D">
        <w:rPr>
          <w:sz w:val="16"/>
          <w:szCs w:val="16"/>
          <w:lang w:val="en-US"/>
        </w:rPr>
        <w:t>on November 19,</w:t>
      </w:r>
      <w:r w:rsidRPr="00C9465D">
        <w:rPr>
          <w:sz w:val="16"/>
          <w:szCs w:val="16"/>
          <w:lang w:val="en-US"/>
        </w:rPr>
        <w:t xml:space="preserve"> 1999. </w:t>
      </w:r>
      <w:r w:rsidR="00E2299F" w:rsidRPr="00C9465D">
        <w:rPr>
          <w:sz w:val="16"/>
          <w:szCs w:val="16"/>
          <w:lang w:val="en-US"/>
        </w:rPr>
        <w:t xml:space="preserve">Series </w:t>
      </w:r>
      <w:r w:rsidRPr="00C9465D">
        <w:rPr>
          <w:sz w:val="16"/>
          <w:szCs w:val="16"/>
          <w:lang w:val="en-US"/>
        </w:rPr>
        <w:t>C No. 63</w:t>
      </w:r>
      <w:r w:rsidRPr="00C9465D">
        <w:rPr>
          <w:i/>
          <w:sz w:val="16"/>
          <w:szCs w:val="16"/>
          <w:lang w:val="en-US"/>
        </w:rPr>
        <w:t xml:space="preserve">, </w:t>
      </w:r>
      <w:r w:rsidR="00D8466F" w:rsidRPr="00C9465D">
        <w:rPr>
          <w:sz w:val="16"/>
          <w:szCs w:val="16"/>
          <w:lang w:val="en-US"/>
        </w:rPr>
        <w:t>para.</w:t>
      </w:r>
      <w:r w:rsidRPr="00C9465D">
        <w:rPr>
          <w:i/>
          <w:sz w:val="16"/>
          <w:szCs w:val="16"/>
          <w:lang w:val="en-US"/>
        </w:rPr>
        <w:t xml:space="preserve"> </w:t>
      </w:r>
      <w:r w:rsidRPr="00C9465D">
        <w:rPr>
          <w:sz w:val="16"/>
          <w:szCs w:val="16"/>
          <w:lang w:val="en-US"/>
        </w:rPr>
        <w:t>95</w:t>
      </w:r>
      <w:r w:rsidR="00193CBB" w:rsidRPr="00C9465D">
        <w:rPr>
          <w:sz w:val="16"/>
          <w:szCs w:val="16"/>
          <w:lang w:val="en-US"/>
        </w:rPr>
        <w:t xml:space="preserve"> and </w:t>
      </w:r>
      <w:r w:rsidRPr="00C9465D">
        <w:rPr>
          <w:sz w:val="16"/>
          <w:szCs w:val="16"/>
          <w:lang w:val="en-US"/>
        </w:rPr>
        <w:t>170,</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Olivares Muñoz</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Venezuela. </w:t>
      </w:r>
      <w:r w:rsidR="00193CBB" w:rsidRPr="00C9465D">
        <w:rPr>
          <w:i/>
          <w:sz w:val="16"/>
          <w:szCs w:val="16"/>
          <w:lang w:val="en-US"/>
        </w:rPr>
        <w:t>Merits, reparations and costs</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177BA9" w:rsidRPr="00C9465D">
        <w:rPr>
          <w:sz w:val="16"/>
          <w:szCs w:val="16"/>
          <w:lang w:val="en-US"/>
        </w:rPr>
        <w:t>November 10,</w:t>
      </w:r>
      <w:r w:rsidRPr="00C9465D">
        <w:rPr>
          <w:sz w:val="16"/>
          <w:szCs w:val="16"/>
          <w:lang w:val="en-US"/>
        </w:rPr>
        <w:t xml:space="preserve"> 2020. </w:t>
      </w:r>
      <w:r w:rsidR="00E2299F" w:rsidRPr="00C9465D">
        <w:rPr>
          <w:sz w:val="16"/>
          <w:szCs w:val="16"/>
          <w:lang w:val="en-US"/>
        </w:rPr>
        <w:t xml:space="preserve">Series </w:t>
      </w:r>
      <w:r w:rsidRPr="00C9465D">
        <w:rPr>
          <w:sz w:val="16"/>
          <w:szCs w:val="16"/>
          <w:lang w:val="en-US"/>
        </w:rPr>
        <w:t xml:space="preserve">C No. 415, </w:t>
      </w:r>
      <w:r w:rsidR="00D8466F" w:rsidRPr="00C9465D">
        <w:rPr>
          <w:sz w:val="16"/>
          <w:szCs w:val="16"/>
          <w:lang w:val="en-US"/>
        </w:rPr>
        <w:t>para.</w:t>
      </w:r>
      <w:r w:rsidRPr="00C9465D">
        <w:rPr>
          <w:sz w:val="16"/>
          <w:szCs w:val="16"/>
          <w:lang w:val="en-US"/>
        </w:rPr>
        <w:t xml:space="preserve"> </w:t>
      </w:r>
      <w:r w:rsidRPr="00C9465D">
        <w:rPr>
          <w:sz w:val="16"/>
          <w:szCs w:val="16"/>
        </w:rPr>
        <w:t>89.</w:t>
      </w:r>
    </w:p>
  </w:footnote>
  <w:footnote w:id="289">
    <w:p w14:paraId="532A5979" w14:textId="377CC632" w:rsidR="00300482" w:rsidRPr="00C9465D" w:rsidRDefault="00300482" w:rsidP="00BD26CF">
      <w:pPr>
        <w:pStyle w:val="CommentText"/>
        <w:tabs>
          <w:tab w:val="left" w:pos="567"/>
        </w:tabs>
        <w:spacing w:after="120"/>
        <w:rPr>
          <w:rFonts w:cs="Arial"/>
          <w:color w:val="000000"/>
          <w:sz w:val="16"/>
          <w:szCs w:val="16"/>
          <w:shd w:val="clear" w:color="auto" w:fill="FFFFFF"/>
          <w:lang w:val="en-US"/>
        </w:rPr>
      </w:pPr>
      <w:r w:rsidRPr="00C9465D">
        <w:rPr>
          <w:rStyle w:val="FootnoteReference"/>
          <w:sz w:val="16"/>
          <w:szCs w:val="16"/>
          <w:lang w:val="en-US"/>
        </w:rPr>
        <w:footnoteRef/>
      </w:r>
      <w:r w:rsidRPr="00C9465D">
        <w:rPr>
          <w:sz w:val="16"/>
          <w:szCs w:val="16"/>
        </w:rPr>
        <w:t xml:space="preserve"> </w:t>
      </w:r>
      <w:r w:rsidRPr="00C9465D">
        <w:rPr>
          <w:sz w:val="16"/>
          <w:szCs w:val="16"/>
        </w:rPr>
        <w:tab/>
      </w:r>
      <w:r w:rsidR="00E2299F" w:rsidRPr="00C9465D">
        <w:rPr>
          <w:i/>
          <w:sz w:val="16"/>
          <w:szCs w:val="16"/>
        </w:rPr>
        <w:t>Cf.</w:t>
      </w:r>
      <w:r w:rsidRPr="00C9465D">
        <w:rPr>
          <w:i/>
          <w:sz w:val="16"/>
          <w:szCs w:val="16"/>
        </w:rPr>
        <w:t xml:space="preserve"> </w:t>
      </w:r>
      <w:r w:rsidR="00D8466F" w:rsidRPr="00C9465D">
        <w:rPr>
          <w:i/>
          <w:sz w:val="16"/>
          <w:szCs w:val="16"/>
        </w:rPr>
        <w:t>Case of</w:t>
      </w:r>
      <w:r w:rsidRPr="00C9465D">
        <w:rPr>
          <w:i/>
          <w:sz w:val="16"/>
          <w:szCs w:val="16"/>
        </w:rPr>
        <w:t xml:space="preserve"> </w:t>
      </w:r>
      <w:proofErr w:type="spellStart"/>
      <w:r w:rsidRPr="00C9465D">
        <w:rPr>
          <w:i/>
          <w:sz w:val="16"/>
          <w:szCs w:val="16"/>
        </w:rPr>
        <w:t>Munárriz</w:t>
      </w:r>
      <w:proofErr w:type="spellEnd"/>
      <w:r w:rsidRPr="00C9465D">
        <w:rPr>
          <w:i/>
          <w:sz w:val="16"/>
          <w:szCs w:val="16"/>
        </w:rPr>
        <w:t xml:space="preserve"> Escobar</w:t>
      </w:r>
      <w:r w:rsidR="00193CBB" w:rsidRPr="00C9465D">
        <w:rPr>
          <w:i/>
          <w:sz w:val="16"/>
          <w:szCs w:val="16"/>
        </w:rPr>
        <w:t xml:space="preserve"> </w:t>
      </w:r>
      <w:r w:rsidR="00D8466F" w:rsidRPr="00C9465D">
        <w:rPr>
          <w:i/>
          <w:sz w:val="16"/>
          <w:szCs w:val="16"/>
        </w:rPr>
        <w:t>et al. v.</w:t>
      </w:r>
      <w:r w:rsidRPr="00C9465D">
        <w:rPr>
          <w:i/>
          <w:sz w:val="16"/>
          <w:szCs w:val="16"/>
        </w:rPr>
        <w:t xml:space="preserve"> </w:t>
      </w:r>
      <w:proofErr w:type="spellStart"/>
      <w:r w:rsidR="001902D2" w:rsidRPr="00C9465D">
        <w:rPr>
          <w:i/>
          <w:sz w:val="16"/>
          <w:szCs w:val="16"/>
        </w:rPr>
        <w:t>Peru</w:t>
      </w:r>
      <w:proofErr w:type="spellEnd"/>
      <w:r w:rsidRPr="00C9465D">
        <w:rPr>
          <w:i/>
          <w:sz w:val="16"/>
          <w:szCs w:val="16"/>
        </w:rPr>
        <w:t>, supra</w:t>
      </w:r>
      <w:r w:rsidRPr="00C9465D">
        <w:rPr>
          <w:sz w:val="16"/>
          <w:szCs w:val="16"/>
        </w:rPr>
        <w:t xml:space="preserve">, </w:t>
      </w:r>
      <w:r w:rsidR="00D8466F" w:rsidRPr="00C9465D">
        <w:rPr>
          <w:sz w:val="16"/>
          <w:szCs w:val="16"/>
        </w:rPr>
        <w:t>para.</w:t>
      </w:r>
      <w:r w:rsidRPr="00C9465D">
        <w:rPr>
          <w:sz w:val="16"/>
          <w:szCs w:val="16"/>
        </w:rPr>
        <w:t xml:space="preserve"> </w:t>
      </w:r>
      <w:r w:rsidRPr="00C9465D">
        <w:rPr>
          <w:sz w:val="16"/>
          <w:szCs w:val="16"/>
          <w:lang w:val="en-US"/>
        </w:rPr>
        <w:t>73,</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Isaza Uribe</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Colombia. </w:t>
      </w:r>
      <w:r w:rsidR="00193CBB" w:rsidRPr="00C9465D">
        <w:rPr>
          <w:i/>
          <w:sz w:val="16"/>
          <w:szCs w:val="16"/>
          <w:lang w:val="en-US"/>
        </w:rPr>
        <w:t>Merits, reparations and costs</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177BA9" w:rsidRPr="00C9465D">
        <w:rPr>
          <w:sz w:val="16"/>
          <w:szCs w:val="16"/>
          <w:lang w:val="en-US"/>
        </w:rPr>
        <w:t>November 20,</w:t>
      </w:r>
      <w:r w:rsidRPr="00C9465D">
        <w:rPr>
          <w:sz w:val="16"/>
          <w:szCs w:val="16"/>
          <w:lang w:val="en-US"/>
        </w:rPr>
        <w:t xml:space="preserve"> 2018. </w:t>
      </w:r>
      <w:r w:rsidR="00E2299F" w:rsidRPr="00C9465D">
        <w:rPr>
          <w:sz w:val="16"/>
          <w:szCs w:val="16"/>
          <w:lang w:val="en-US"/>
        </w:rPr>
        <w:t xml:space="preserve">Series </w:t>
      </w:r>
      <w:r w:rsidRPr="00C9465D">
        <w:rPr>
          <w:sz w:val="16"/>
          <w:szCs w:val="16"/>
          <w:lang w:val="en-US"/>
        </w:rPr>
        <w:t xml:space="preserve">C No. 363, </w:t>
      </w:r>
      <w:r w:rsidR="00D8466F" w:rsidRPr="00C9465D">
        <w:rPr>
          <w:sz w:val="16"/>
          <w:szCs w:val="16"/>
          <w:lang w:val="en-US"/>
        </w:rPr>
        <w:t>para.</w:t>
      </w:r>
      <w:r w:rsidRPr="00C9465D">
        <w:rPr>
          <w:sz w:val="16"/>
          <w:szCs w:val="16"/>
          <w:lang w:val="en-US"/>
        </w:rPr>
        <w:t xml:space="preserve"> 89.</w:t>
      </w:r>
    </w:p>
  </w:footnote>
  <w:footnote w:id="290">
    <w:p w14:paraId="1AB75E96" w14:textId="38B8356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D8466F" w:rsidRPr="00C9465D">
        <w:rPr>
          <w:i/>
          <w:sz w:val="16"/>
          <w:szCs w:val="16"/>
          <w:shd w:val="clear" w:color="auto" w:fill="FFFFFF"/>
          <w:lang w:val="en-US"/>
        </w:rPr>
        <w:t>Case of</w:t>
      </w:r>
      <w:r w:rsidRPr="00C9465D">
        <w:rPr>
          <w:i/>
          <w:sz w:val="16"/>
          <w:szCs w:val="16"/>
          <w:shd w:val="clear" w:color="auto" w:fill="FFFFFF"/>
          <w:lang w:val="en-US"/>
        </w:rPr>
        <w:t xml:space="preserve"> Montero Aranguren</w:t>
      </w:r>
      <w:r w:rsidR="00193CBB" w:rsidRPr="00C9465D">
        <w:rPr>
          <w:i/>
          <w:sz w:val="16"/>
          <w:szCs w:val="16"/>
          <w:shd w:val="clear" w:color="auto" w:fill="FFFFFF"/>
          <w:lang w:val="en-US"/>
        </w:rPr>
        <w:t xml:space="preserve"> </w:t>
      </w:r>
      <w:r w:rsidR="00177BA9" w:rsidRPr="00C9465D">
        <w:rPr>
          <w:i/>
          <w:sz w:val="16"/>
          <w:szCs w:val="16"/>
          <w:shd w:val="clear" w:color="auto" w:fill="FFFFFF"/>
          <w:lang w:val="en-US"/>
        </w:rPr>
        <w:t>et al.</w:t>
      </w:r>
      <w:r w:rsidRPr="00C9465D">
        <w:rPr>
          <w:i/>
          <w:sz w:val="16"/>
          <w:szCs w:val="16"/>
          <w:shd w:val="clear" w:color="auto" w:fill="FFFFFF"/>
          <w:lang w:val="en-US"/>
        </w:rPr>
        <w:t xml:space="preserve"> (Retén de Catia) </w:t>
      </w:r>
      <w:r w:rsidR="00193CBB" w:rsidRPr="00C9465D">
        <w:rPr>
          <w:i/>
          <w:sz w:val="16"/>
          <w:szCs w:val="16"/>
          <w:shd w:val="clear" w:color="auto" w:fill="FFFFFF"/>
          <w:lang w:val="en-US"/>
        </w:rPr>
        <w:t>v.</w:t>
      </w:r>
      <w:r w:rsidRPr="00C9465D">
        <w:rPr>
          <w:i/>
          <w:sz w:val="16"/>
          <w:szCs w:val="16"/>
          <w:shd w:val="clear" w:color="auto" w:fill="FFFFFF"/>
          <w:lang w:val="en-US"/>
        </w:rPr>
        <w:t xml:space="preserve"> Venezuela. </w:t>
      </w:r>
      <w:r w:rsidR="00D8466F" w:rsidRPr="00C9465D">
        <w:rPr>
          <w:i/>
          <w:sz w:val="16"/>
          <w:szCs w:val="16"/>
          <w:shd w:val="clear" w:color="auto" w:fill="FFFFFF"/>
          <w:lang w:val="en-US"/>
        </w:rPr>
        <w:t>Preliminary objection, merits</w:t>
      </w:r>
      <w:r w:rsidR="00193CBB" w:rsidRPr="00C9465D">
        <w:rPr>
          <w:i/>
          <w:sz w:val="16"/>
          <w:szCs w:val="16"/>
          <w:shd w:val="clear" w:color="auto" w:fill="FFFFFF"/>
          <w:lang w:val="en-US"/>
        </w:rPr>
        <w:t>, reparations and costs</w:t>
      </w:r>
      <w:r w:rsidRPr="00C9465D">
        <w:rPr>
          <w:sz w:val="16"/>
          <w:szCs w:val="16"/>
          <w:shd w:val="clear" w:color="auto" w:fill="FFFFFF"/>
          <w:lang w:val="en-US"/>
        </w:rPr>
        <w:t xml:space="preserve">. </w:t>
      </w:r>
      <w:r w:rsidR="00D8466F" w:rsidRPr="00C9465D">
        <w:rPr>
          <w:sz w:val="16"/>
          <w:szCs w:val="16"/>
          <w:shd w:val="clear" w:color="auto" w:fill="FFFFFF"/>
          <w:lang w:val="en-US"/>
        </w:rPr>
        <w:t>Judgment of</w:t>
      </w:r>
      <w:r w:rsidRPr="00C9465D">
        <w:rPr>
          <w:sz w:val="16"/>
          <w:szCs w:val="16"/>
          <w:shd w:val="clear" w:color="auto" w:fill="FFFFFF"/>
          <w:lang w:val="en-US"/>
        </w:rPr>
        <w:t xml:space="preserve"> </w:t>
      </w:r>
      <w:r w:rsidR="00177BA9" w:rsidRPr="00C9465D">
        <w:rPr>
          <w:sz w:val="16"/>
          <w:szCs w:val="16"/>
          <w:shd w:val="clear" w:color="auto" w:fill="FFFFFF"/>
          <w:lang w:val="en-US"/>
        </w:rPr>
        <w:t>July 5,</w:t>
      </w:r>
      <w:r w:rsidRPr="00C9465D">
        <w:rPr>
          <w:sz w:val="16"/>
          <w:szCs w:val="16"/>
          <w:shd w:val="clear" w:color="auto" w:fill="FFFFFF"/>
          <w:lang w:val="en-US"/>
        </w:rPr>
        <w:t xml:space="preserve"> 2006. </w:t>
      </w:r>
      <w:r w:rsidR="00E2299F" w:rsidRPr="00C9465D">
        <w:rPr>
          <w:sz w:val="16"/>
          <w:szCs w:val="16"/>
          <w:shd w:val="clear" w:color="auto" w:fill="FFFFFF"/>
          <w:lang w:val="en-US"/>
        </w:rPr>
        <w:t xml:space="preserve">Series </w:t>
      </w:r>
      <w:r w:rsidRPr="00C9465D">
        <w:rPr>
          <w:sz w:val="16"/>
          <w:szCs w:val="16"/>
          <w:shd w:val="clear" w:color="auto" w:fill="FFFFFF"/>
          <w:lang w:val="en-US"/>
        </w:rPr>
        <w:t xml:space="preserve">C No. 150, </w:t>
      </w:r>
      <w:r w:rsidR="00D8466F" w:rsidRPr="00C9465D">
        <w:rPr>
          <w:sz w:val="16"/>
          <w:szCs w:val="16"/>
          <w:shd w:val="clear" w:color="auto" w:fill="FFFFFF"/>
          <w:lang w:val="en-US"/>
        </w:rPr>
        <w:t>para.</w:t>
      </w:r>
      <w:r w:rsidRPr="00C9465D">
        <w:rPr>
          <w:sz w:val="16"/>
          <w:szCs w:val="16"/>
          <w:shd w:val="clear" w:color="auto" w:fill="FFFFFF"/>
          <w:lang w:val="en-US"/>
        </w:rPr>
        <w:t xml:space="preserve"> 80</w:t>
      </w:r>
      <w:r w:rsidRPr="00C9465D">
        <w:rPr>
          <w:sz w:val="16"/>
          <w:szCs w:val="16"/>
          <w:lang w:val="en-US"/>
        </w:rPr>
        <w:t>,</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Olivares Muñoz</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Venezuela,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89.</w:t>
      </w:r>
    </w:p>
  </w:footnote>
  <w:footnote w:id="291">
    <w:p w14:paraId="67E1FD19" w14:textId="14DF4395" w:rsidR="00300482" w:rsidRPr="00C9465D" w:rsidRDefault="00300482" w:rsidP="00BD26CF">
      <w:pPr>
        <w:pStyle w:val="FootnoteText"/>
        <w:tabs>
          <w:tab w:val="left" w:pos="567"/>
        </w:tabs>
        <w:spacing w:after="120"/>
        <w:rPr>
          <w:sz w:val="16"/>
          <w:szCs w:val="16"/>
          <w:lang w:val="en-US"/>
        </w:rPr>
      </w:pPr>
      <w:r w:rsidRPr="00C9465D">
        <w:rPr>
          <w:rStyle w:val="FootnoteReference"/>
          <w:rFonts w:eastAsia="Calibri"/>
          <w:sz w:val="16"/>
          <w:szCs w:val="16"/>
          <w:lang w:val="en-US"/>
        </w:rPr>
        <w:footnoteRef/>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Poblete Vilches</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Chile,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122,</w:t>
      </w:r>
      <w:r w:rsidR="00193CBB" w:rsidRPr="00C9465D">
        <w:rPr>
          <w:sz w:val="16"/>
          <w:szCs w:val="16"/>
          <w:lang w:val="en-US"/>
        </w:rPr>
        <w:t xml:space="preserve"> and </w:t>
      </w:r>
      <w:r w:rsidR="00D8466F" w:rsidRPr="00C9465D">
        <w:rPr>
          <w:rStyle w:val="Strong"/>
          <w:b w:val="0"/>
          <w:i/>
          <w:sz w:val="16"/>
          <w:szCs w:val="16"/>
          <w:lang w:val="en-US"/>
        </w:rPr>
        <w:t>Case of</w:t>
      </w:r>
      <w:r w:rsidRPr="00C9465D">
        <w:rPr>
          <w:rStyle w:val="Strong"/>
          <w:b w:val="0"/>
          <w:i/>
          <w:sz w:val="16"/>
          <w:szCs w:val="16"/>
          <w:lang w:val="en-US"/>
        </w:rPr>
        <w:t xml:space="preserve"> Cuscul Pivaral</w:t>
      </w:r>
      <w:r w:rsidR="00193CBB" w:rsidRPr="00C9465D">
        <w:rPr>
          <w:rStyle w:val="Strong"/>
          <w:b w:val="0"/>
          <w:i/>
          <w:sz w:val="16"/>
          <w:szCs w:val="16"/>
          <w:lang w:val="en-US"/>
        </w:rPr>
        <w:t xml:space="preserve"> </w:t>
      </w:r>
      <w:r w:rsidR="00D8466F" w:rsidRPr="00C9465D">
        <w:rPr>
          <w:rStyle w:val="Strong"/>
          <w:b w:val="0"/>
          <w:i/>
          <w:sz w:val="16"/>
          <w:szCs w:val="16"/>
          <w:lang w:val="en-US"/>
        </w:rPr>
        <w:t>et al. v.</w:t>
      </w:r>
      <w:r w:rsidRPr="00C9465D">
        <w:rPr>
          <w:rStyle w:val="Strong"/>
          <w:b w:val="0"/>
          <w:i/>
          <w:sz w:val="16"/>
          <w:szCs w:val="16"/>
          <w:lang w:val="en-US"/>
        </w:rPr>
        <w:t xml:space="preserve"> Guatemala, supra, </w:t>
      </w:r>
      <w:r w:rsidR="00D8466F" w:rsidRPr="00C9465D">
        <w:rPr>
          <w:rStyle w:val="Strong"/>
          <w:b w:val="0"/>
          <w:sz w:val="16"/>
          <w:szCs w:val="16"/>
          <w:lang w:val="en-US"/>
        </w:rPr>
        <w:t>para.</w:t>
      </w:r>
      <w:r w:rsidRPr="00C9465D">
        <w:rPr>
          <w:rStyle w:val="Strong"/>
          <w:b w:val="0"/>
          <w:sz w:val="16"/>
          <w:szCs w:val="16"/>
          <w:lang w:val="en-US"/>
        </w:rPr>
        <w:t xml:space="preserve"> </w:t>
      </w:r>
      <w:r w:rsidRPr="00C9465D">
        <w:rPr>
          <w:sz w:val="16"/>
          <w:szCs w:val="16"/>
          <w:lang w:val="en-US"/>
        </w:rPr>
        <w:t xml:space="preserve">129. </w:t>
      </w:r>
      <w:r w:rsidR="00532DEC" w:rsidRPr="00C9465D">
        <w:rPr>
          <w:i/>
          <w:sz w:val="16"/>
          <w:szCs w:val="16"/>
          <w:lang w:val="en-US"/>
        </w:rPr>
        <w:t>See also</w:t>
      </w:r>
      <w:r w:rsidRPr="00C9465D">
        <w:rPr>
          <w:i/>
          <w:sz w:val="16"/>
          <w:szCs w:val="16"/>
          <w:lang w:val="en-US"/>
        </w:rPr>
        <w:t>,</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No. 14: “</w:t>
      </w:r>
      <w:r w:rsidR="00891BEF" w:rsidRPr="00C9465D">
        <w:rPr>
          <w:sz w:val="16"/>
          <w:szCs w:val="16"/>
          <w:lang w:val="en-US"/>
        </w:rPr>
        <w:t>The right to the highest attainable standard of health</w:t>
      </w:r>
      <w:r w:rsidRPr="00C9465D">
        <w:rPr>
          <w:sz w:val="16"/>
          <w:szCs w:val="16"/>
          <w:lang w:val="en-US"/>
        </w:rPr>
        <w:t xml:space="preserve">”, </w:t>
      </w:r>
      <w:r w:rsidR="00891BEF" w:rsidRPr="00C9465D">
        <w:rPr>
          <w:sz w:val="16"/>
          <w:szCs w:val="16"/>
          <w:lang w:val="en-US"/>
        </w:rPr>
        <w:t>August 11,</w:t>
      </w:r>
      <w:r w:rsidRPr="00C9465D">
        <w:rPr>
          <w:sz w:val="16"/>
          <w:szCs w:val="16"/>
          <w:lang w:val="en-US"/>
        </w:rPr>
        <w:t xml:space="preserve"> 2000, </w:t>
      </w:r>
      <w:r w:rsidR="00532DEC" w:rsidRPr="00C9465D">
        <w:rPr>
          <w:sz w:val="16"/>
          <w:szCs w:val="16"/>
          <w:lang w:val="en-US"/>
        </w:rPr>
        <w:t>UN Doc.</w:t>
      </w:r>
      <w:r w:rsidRPr="00C9465D">
        <w:rPr>
          <w:sz w:val="16"/>
          <w:szCs w:val="16"/>
          <w:lang w:val="en-US"/>
        </w:rPr>
        <w:t xml:space="preserve"> E/C.12/2000/4, </w:t>
      </w:r>
      <w:r w:rsidR="00D8466F" w:rsidRPr="00C9465D">
        <w:rPr>
          <w:sz w:val="16"/>
          <w:szCs w:val="16"/>
          <w:lang w:val="en-US"/>
        </w:rPr>
        <w:t>para.</w:t>
      </w:r>
      <w:r w:rsidRPr="00C9465D">
        <w:rPr>
          <w:sz w:val="16"/>
          <w:szCs w:val="16"/>
          <w:lang w:val="en-US"/>
        </w:rPr>
        <w:t xml:space="preserve"> 12. </w:t>
      </w:r>
      <w:r w:rsidR="00177BA9" w:rsidRPr="00C9465D">
        <w:rPr>
          <w:sz w:val="16"/>
          <w:szCs w:val="16"/>
          <w:lang w:val="en-US"/>
        </w:rPr>
        <w:t xml:space="preserve">In this regard, the </w:t>
      </w:r>
      <w:r w:rsidR="00B07FDE" w:rsidRPr="00C9465D">
        <w:rPr>
          <w:sz w:val="16"/>
          <w:szCs w:val="16"/>
          <w:lang w:val="en-US"/>
        </w:rPr>
        <w:t>General Comment</w:t>
      </w:r>
      <w:r w:rsidRPr="00C9465D">
        <w:rPr>
          <w:sz w:val="16"/>
          <w:szCs w:val="16"/>
          <w:lang w:val="en-US"/>
        </w:rPr>
        <w:t xml:space="preserve"> </w:t>
      </w:r>
      <w:r w:rsidR="00177BA9" w:rsidRPr="00C9465D">
        <w:rPr>
          <w:sz w:val="16"/>
          <w:szCs w:val="16"/>
          <w:lang w:val="en-US"/>
        </w:rPr>
        <w:t>indicates that accessibility has four overlapping dimensions, one of which is</w:t>
      </w:r>
      <w:r w:rsidRPr="00C9465D">
        <w:rPr>
          <w:sz w:val="16"/>
          <w:szCs w:val="16"/>
          <w:lang w:val="en-US"/>
        </w:rPr>
        <w:t xml:space="preserve"> </w:t>
      </w:r>
      <w:r w:rsidR="00D12C0E" w:rsidRPr="00C9465D">
        <w:rPr>
          <w:sz w:val="16"/>
          <w:szCs w:val="16"/>
          <w:lang w:val="en-US"/>
        </w:rPr>
        <w:t>non-discrimination</w:t>
      </w:r>
      <w:r w:rsidRPr="00C9465D">
        <w:rPr>
          <w:sz w:val="16"/>
          <w:szCs w:val="16"/>
          <w:lang w:val="en-US"/>
        </w:rPr>
        <w:t>,</w:t>
      </w:r>
      <w:r w:rsidR="00177BA9" w:rsidRPr="00C9465D">
        <w:rPr>
          <w:sz w:val="16"/>
          <w:szCs w:val="16"/>
          <w:lang w:val="en-US"/>
        </w:rPr>
        <w:t xml:space="preserve"> which means that health facilities, goods and services must be accessible to all, especially the most vulnerable or marginalized sections of the population, in law and in fact, without discrimination on any of the prohibited ground</w:t>
      </w:r>
      <w:r w:rsidR="00312ED8" w:rsidRPr="00C9465D">
        <w:rPr>
          <w:sz w:val="16"/>
          <w:szCs w:val="16"/>
          <w:lang w:val="en-US"/>
        </w:rPr>
        <w:t>s</w:t>
      </w:r>
      <w:r w:rsidRPr="00C9465D">
        <w:rPr>
          <w:sz w:val="16"/>
          <w:szCs w:val="16"/>
          <w:lang w:val="en-US"/>
        </w:rPr>
        <w:t>.</w:t>
      </w:r>
    </w:p>
  </w:footnote>
  <w:footnote w:id="292">
    <w:p w14:paraId="2445CF7B" w14:textId="5ECECCDD" w:rsidR="00300482" w:rsidRPr="00C9465D" w:rsidRDefault="00300482" w:rsidP="00BD26CF">
      <w:pPr>
        <w:tabs>
          <w:tab w:val="left" w:pos="567"/>
        </w:tabs>
        <w:spacing w:after="120" w:line="240" w:lineRule="auto"/>
        <w:ind w:right="112"/>
        <w:jc w:val="both"/>
        <w:rPr>
          <w:rFonts w:ascii="Verdana" w:hAnsi="Verdana"/>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r>
      <w:r w:rsidR="00E2299F" w:rsidRPr="00C9465D">
        <w:rPr>
          <w:rFonts w:ascii="Verdana" w:hAnsi="Verdana"/>
          <w:i/>
          <w:sz w:val="16"/>
          <w:szCs w:val="16"/>
          <w:lang w:val="en-US"/>
        </w:rPr>
        <w:t>Cf.</w:t>
      </w:r>
      <w:r w:rsidRPr="00C9465D">
        <w:rPr>
          <w:rFonts w:ascii="Verdana" w:hAnsi="Verdana"/>
          <w:i/>
          <w:sz w:val="16"/>
          <w:szCs w:val="16"/>
          <w:lang w:val="en-US"/>
        </w:rPr>
        <w:t xml:space="preserve"> </w:t>
      </w:r>
      <w:r w:rsidR="00D8466F" w:rsidRPr="00C9465D">
        <w:rPr>
          <w:rFonts w:ascii="Verdana" w:hAnsi="Verdana"/>
          <w:i/>
          <w:sz w:val="16"/>
          <w:szCs w:val="16"/>
          <w:lang w:val="en-US"/>
        </w:rPr>
        <w:t xml:space="preserve">Case </w:t>
      </w:r>
      <w:r w:rsidR="00FA5261" w:rsidRPr="00C9465D">
        <w:rPr>
          <w:rFonts w:ascii="Verdana" w:hAnsi="Verdana"/>
          <w:i/>
          <w:sz w:val="16"/>
          <w:szCs w:val="16"/>
          <w:lang w:val="en-US"/>
        </w:rPr>
        <w:t>of the Workers of the Fireworks Factory of Santo</w:t>
      </w:r>
      <w:r w:rsidRPr="00C9465D">
        <w:rPr>
          <w:rFonts w:ascii="Verdana" w:hAnsi="Verdana"/>
          <w:i/>
          <w:sz w:val="16"/>
          <w:szCs w:val="16"/>
          <w:lang w:val="en-US"/>
        </w:rPr>
        <w:t xml:space="preserve"> Antônio de Jesus</w:t>
      </w:r>
      <w:r w:rsidR="00D750CC" w:rsidRPr="00C9465D">
        <w:rPr>
          <w:rFonts w:ascii="Verdana" w:hAnsi="Verdana"/>
          <w:i/>
          <w:sz w:val="16"/>
          <w:szCs w:val="16"/>
          <w:lang w:val="en-US"/>
        </w:rPr>
        <w:t xml:space="preserve"> and their families</w:t>
      </w:r>
      <w:r w:rsidRPr="00C9465D">
        <w:rPr>
          <w:rFonts w:ascii="Verdana" w:hAnsi="Verdana"/>
          <w:i/>
          <w:sz w:val="16"/>
          <w:szCs w:val="16"/>
          <w:lang w:val="en-US"/>
        </w:rPr>
        <w:t xml:space="preserve"> </w:t>
      </w:r>
      <w:r w:rsidR="00193CBB" w:rsidRPr="00C9465D">
        <w:rPr>
          <w:rFonts w:ascii="Verdana" w:hAnsi="Verdana"/>
          <w:i/>
          <w:sz w:val="16"/>
          <w:szCs w:val="16"/>
          <w:lang w:val="en-US"/>
        </w:rPr>
        <w:t>v.</w:t>
      </w:r>
      <w:r w:rsidRPr="00C9465D">
        <w:rPr>
          <w:rFonts w:ascii="Verdana" w:hAnsi="Verdana"/>
          <w:i/>
          <w:sz w:val="16"/>
          <w:szCs w:val="16"/>
          <w:lang w:val="en-US"/>
        </w:rPr>
        <w:t xml:space="preserve"> </w:t>
      </w:r>
      <w:r w:rsidR="00FA5261" w:rsidRPr="00C9465D">
        <w:rPr>
          <w:rFonts w:ascii="Verdana" w:hAnsi="Verdana"/>
          <w:i/>
          <w:sz w:val="16"/>
          <w:szCs w:val="16"/>
          <w:lang w:val="en-US"/>
        </w:rPr>
        <w:t>Brazil</w:t>
      </w:r>
      <w:r w:rsidRPr="00C9465D">
        <w:rPr>
          <w:rFonts w:ascii="Verdana" w:hAnsi="Verdana"/>
          <w:i/>
          <w:sz w:val="16"/>
          <w:szCs w:val="16"/>
          <w:lang w:val="en-US"/>
        </w:rPr>
        <w:t>, supra</w:t>
      </w:r>
      <w:r w:rsidRPr="00C9465D">
        <w:rPr>
          <w:rFonts w:ascii="Verdana" w:hAnsi="Verdana"/>
          <w:sz w:val="16"/>
          <w:szCs w:val="16"/>
          <w:lang w:val="en-US"/>
        </w:rPr>
        <w:t xml:space="preserve">, </w:t>
      </w:r>
      <w:r w:rsidR="00D8466F" w:rsidRPr="00C9465D">
        <w:rPr>
          <w:rFonts w:ascii="Verdana" w:hAnsi="Verdana"/>
          <w:sz w:val="16"/>
          <w:szCs w:val="16"/>
          <w:lang w:val="en-US"/>
        </w:rPr>
        <w:t>para.</w:t>
      </w:r>
      <w:r w:rsidRPr="00C9465D">
        <w:rPr>
          <w:rFonts w:ascii="Verdana" w:hAnsi="Verdana"/>
          <w:sz w:val="16"/>
          <w:szCs w:val="16"/>
          <w:lang w:val="en-US"/>
        </w:rPr>
        <w:t xml:space="preserve"> 199</w:t>
      </w:r>
      <w:r w:rsidRPr="00C9465D">
        <w:rPr>
          <w:rFonts w:ascii="Verdana" w:hAnsi="Verdana"/>
          <w:i/>
          <w:sz w:val="16"/>
          <w:szCs w:val="16"/>
          <w:lang w:val="en-US"/>
        </w:rPr>
        <w:t>.</w:t>
      </w:r>
    </w:p>
  </w:footnote>
  <w:footnote w:id="293">
    <w:p w14:paraId="6295017B" w14:textId="4E6795C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593C0F" w:rsidRPr="00C9465D">
        <w:rPr>
          <w:sz w:val="16"/>
          <w:szCs w:val="16"/>
          <w:lang w:val="en-US"/>
        </w:rPr>
        <w:t>CRPD</w:t>
      </w:r>
      <w:r w:rsidRPr="00C9465D">
        <w:rPr>
          <w:sz w:val="16"/>
          <w:szCs w:val="16"/>
          <w:lang w:val="en-US"/>
        </w:rPr>
        <w:t xml:space="preserve">, </w:t>
      </w:r>
      <w:r w:rsidR="00193CBB" w:rsidRPr="00C9465D">
        <w:rPr>
          <w:sz w:val="16"/>
          <w:szCs w:val="16"/>
          <w:lang w:val="en-US"/>
        </w:rPr>
        <w:t>Article</w:t>
      </w:r>
      <w:r w:rsidRPr="00C9465D">
        <w:rPr>
          <w:sz w:val="16"/>
          <w:szCs w:val="16"/>
          <w:lang w:val="en-US"/>
        </w:rPr>
        <w:t xml:space="preserve"> 25.</w:t>
      </w:r>
    </w:p>
  </w:footnote>
  <w:footnote w:id="294">
    <w:p w14:paraId="3B1D59C8" w14:textId="00315E72"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A340A" w:rsidRPr="00C9465D">
        <w:rPr>
          <w:sz w:val="16"/>
          <w:szCs w:val="16"/>
          <w:lang w:val="en-US"/>
        </w:rPr>
        <w:t>IACDIS</w:t>
      </w:r>
      <w:r w:rsidRPr="00C9465D">
        <w:rPr>
          <w:sz w:val="16"/>
          <w:szCs w:val="16"/>
          <w:lang w:val="en-US"/>
        </w:rPr>
        <w:t xml:space="preserve">, </w:t>
      </w:r>
      <w:r w:rsidR="00193CBB" w:rsidRPr="00C9465D">
        <w:rPr>
          <w:sz w:val="16"/>
          <w:szCs w:val="16"/>
          <w:lang w:val="en-US"/>
        </w:rPr>
        <w:t>Article</w:t>
      </w:r>
      <w:r w:rsidRPr="00C9465D">
        <w:rPr>
          <w:sz w:val="16"/>
          <w:szCs w:val="16"/>
          <w:lang w:val="en-US"/>
        </w:rPr>
        <w:t xml:space="preserve"> III.1.</w:t>
      </w:r>
    </w:p>
  </w:footnote>
  <w:footnote w:id="295">
    <w:p w14:paraId="7B3038EC" w14:textId="24D4F6C8"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077CF2" w:rsidRPr="00C9465D">
        <w:rPr>
          <w:sz w:val="16"/>
          <w:szCs w:val="16"/>
          <w:lang w:val="en-US"/>
        </w:rPr>
        <w:t>United Nations</w:t>
      </w:r>
      <w:r w:rsidRPr="00C9465D">
        <w:rPr>
          <w:sz w:val="16"/>
          <w:szCs w:val="16"/>
          <w:lang w:val="en-US"/>
        </w:rPr>
        <w:t xml:space="preserve"> </w:t>
      </w:r>
      <w:r w:rsidR="00532DEC" w:rsidRPr="00C9465D">
        <w:rPr>
          <w:bCs/>
          <w:sz w:val="16"/>
          <w:szCs w:val="16"/>
          <w:lang w:val="en-US"/>
        </w:rPr>
        <w:t>Committee on the Rights of Persons with Disabilities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No. 6: </w:t>
      </w:r>
      <w:r w:rsidR="008149CA" w:rsidRPr="00C9465D">
        <w:rPr>
          <w:sz w:val="16"/>
          <w:szCs w:val="16"/>
          <w:lang w:val="en-US"/>
        </w:rPr>
        <w:t>Equality and non-discrimination</w:t>
      </w:r>
      <w:r w:rsidRPr="00C9465D">
        <w:rPr>
          <w:sz w:val="16"/>
          <w:szCs w:val="16"/>
          <w:lang w:val="en-US"/>
        </w:rPr>
        <w:t xml:space="preserve">, </w:t>
      </w:r>
      <w:r w:rsidR="008149CA" w:rsidRPr="00C9465D">
        <w:rPr>
          <w:sz w:val="16"/>
          <w:szCs w:val="16"/>
          <w:lang w:val="en-US"/>
        </w:rPr>
        <w:t>April 26,</w:t>
      </w:r>
      <w:r w:rsidRPr="00C9465D">
        <w:rPr>
          <w:sz w:val="16"/>
          <w:szCs w:val="16"/>
          <w:lang w:val="en-US"/>
        </w:rPr>
        <w:t xml:space="preserve"> 2018, </w:t>
      </w:r>
      <w:r w:rsidR="00532DEC" w:rsidRPr="00C9465D">
        <w:rPr>
          <w:sz w:val="16"/>
          <w:szCs w:val="16"/>
          <w:lang w:val="en-US"/>
        </w:rPr>
        <w:t>UN Doc.</w:t>
      </w:r>
      <w:r w:rsidRPr="00C9465D">
        <w:rPr>
          <w:sz w:val="16"/>
          <w:szCs w:val="16"/>
          <w:lang w:val="en-US"/>
        </w:rPr>
        <w:t xml:space="preserve"> CRPD/C/GC/6,</w:t>
      </w:r>
      <w:r w:rsidRPr="00C9465D">
        <w:rPr>
          <w:rStyle w:val="Strong"/>
          <w:b w:val="0"/>
          <w:sz w:val="16"/>
          <w:szCs w:val="16"/>
          <w:lang w:val="en-US"/>
        </w:rPr>
        <w:t xml:space="preserve"> </w:t>
      </w:r>
      <w:r w:rsidR="00D8466F" w:rsidRPr="00C9465D">
        <w:rPr>
          <w:rStyle w:val="Strong"/>
          <w:b w:val="0"/>
          <w:sz w:val="16"/>
          <w:szCs w:val="16"/>
          <w:lang w:val="en-US"/>
        </w:rPr>
        <w:t>para.</w:t>
      </w:r>
      <w:r w:rsidRPr="00C9465D">
        <w:rPr>
          <w:rStyle w:val="Strong"/>
          <w:b w:val="0"/>
          <w:sz w:val="16"/>
          <w:szCs w:val="16"/>
          <w:lang w:val="en-US"/>
        </w:rPr>
        <w:t xml:space="preserve"> 23. </w:t>
      </w:r>
    </w:p>
  </w:footnote>
  <w:footnote w:id="296">
    <w:p w14:paraId="0404A588" w14:textId="01D01F48"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532DEC" w:rsidRPr="00C9465D">
        <w:rPr>
          <w:bCs/>
          <w:sz w:val="16"/>
          <w:szCs w:val="16"/>
          <w:lang w:val="en-US"/>
        </w:rPr>
        <w:t>Committee on the Rights of Persons with Disabilities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No. 6: </w:t>
      </w:r>
      <w:r w:rsidR="008149CA" w:rsidRPr="00C9465D">
        <w:rPr>
          <w:sz w:val="16"/>
          <w:szCs w:val="16"/>
          <w:lang w:val="en-US"/>
        </w:rPr>
        <w:t>Equality and non-discrimination</w:t>
      </w:r>
      <w:r w:rsidRPr="00C9465D">
        <w:rPr>
          <w:sz w:val="16"/>
          <w:szCs w:val="16"/>
          <w:lang w:val="en-US"/>
        </w:rPr>
        <w:t xml:space="preserve">, </w:t>
      </w:r>
      <w:r w:rsidR="008149CA" w:rsidRPr="00C9465D">
        <w:rPr>
          <w:sz w:val="16"/>
          <w:szCs w:val="16"/>
          <w:lang w:val="en-US"/>
        </w:rPr>
        <w:t>April 26,</w:t>
      </w:r>
      <w:r w:rsidRPr="00C9465D">
        <w:rPr>
          <w:sz w:val="16"/>
          <w:szCs w:val="16"/>
          <w:lang w:val="en-US"/>
        </w:rPr>
        <w:t xml:space="preserve"> 2018, </w:t>
      </w:r>
      <w:r w:rsidR="00532DEC" w:rsidRPr="00C9465D">
        <w:rPr>
          <w:sz w:val="16"/>
          <w:szCs w:val="16"/>
          <w:lang w:val="en-US"/>
        </w:rPr>
        <w:t>UN Doc.</w:t>
      </w:r>
      <w:r w:rsidRPr="00C9465D">
        <w:rPr>
          <w:sz w:val="16"/>
          <w:szCs w:val="16"/>
          <w:lang w:val="en-US"/>
        </w:rPr>
        <w:t xml:space="preserve"> CRPD/C/GC/6,</w:t>
      </w:r>
      <w:r w:rsidRPr="00C9465D">
        <w:rPr>
          <w:rStyle w:val="Strong"/>
          <w:b w:val="0"/>
          <w:sz w:val="16"/>
          <w:szCs w:val="16"/>
          <w:lang w:val="en-US"/>
        </w:rPr>
        <w:t xml:space="preserve"> </w:t>
      </w:r>
      <w:r w:rsidR="00D8466F" w:rsidRPr="00C9465D">
        <w:rPr>
          <w:rStyle w:val="Strong"/>
          <w:b w:val="0"/>
          <w:sz w:val="16"/>
          <w:szCs w:val="16"/>
          <w:lang w:val="en-US"/>
        </w:rPr>
        <w:t>para.</w:t>
      </w:r>
      <w:r w:rsidRPr="00C9465D">
        <w:rPr>
          <w:rStyle w:val="Strong"/>
          <w:b w:val="0"/>
          <w:sz w:val="16"/>
          <w:szCs w:val="16"/>
          <w:lang w:val="en-US"/>
        </w:rPr>
        <w:t xml:space="preserve"> 25.a.</w:t>
      </w:r>
    </w:p>
  </w:footnote>
  <w:footnote w:id="297">
    <w:p w14:paraId="540E6BE2" w14:textId="2626E0C8"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532DEC" w:rsidRPr="00C9465D">
        <w:rPr>
          <w:sz w:val="16"/>
          <w:szCs w:val="16"/>
          <w:lang w:val="en-US"/>
        </w:rPr>
        <w:t>Report of the United Nations Special Rapporteur on the rights of</w:t>
      </w:r>
      <w:r w:rsidRPr="00C9465D">
        <w:rPr>
          <w:sz w:val="16"/>
          <w:szCs w:val="16"/>
          <w:lang w:val="en-US"/>
        </w:rPr>
        <w:t xml:space="preserve"> </w:t>
      </w:r>
      <w:r w:rsidR="00D85850" w:rsidRPr="00C9465D">
        <w:rPr>
          <w:sz w:val="16"/>
          <w:szCs w:val="16"/>
          <w:lang w:val="en-US"/>
        </w:rPr>
        <w:t>persons with disabilities</w:t>
      </w:r>
      <w:r w:rsidRPr="00C9465D">
        <w:rPr>
          <w:sz w:val="16"/>
          <w:szCs w:val="16"/>
          <w:lang w:val="en-US"/>
        </w:rPr>
        <w:t xml:space="preserve">, </w:t>
      </w:r>
      <w:r w:rsidR="007173DB" w:rsidRPr="00C9465D">
        <w:rPr>
          <w:sz w:val="16"/>
          <w:szCs w:val="16"/>
          <w:lang w:val="en-US"/>
        </w:rPr>
        <w:t>December 20,</w:t>
      </w:r>
      <w:r w:rsidRPr="00C9465D">
        <w:rPr>
          <w:sz w:val="16"/>
          <w:szCs w:val="16"/>
          <w:lang w:val="en-US"/>
        </w:rPr>
        <w:t xml:space="preserve"> 2016, </w:t>
      </w:r>
      <w:r w:rsidR="00532DEC" w:rsidRPr="00C9465D">
        <w:rPr>
          <w:sz w:val="16"/>
          <w:szCs w:val="16"/>
          <w:lang w:val="en-US"/>
        </w:rPr>
        <w:t>UN Doc.</w:t>
      </w:r>
      <w:r w:rsidRPr="00C9465D">
        <w:rPr>
          <w:sz w:val="16"/>
          <w:szCs w:val="16"/>
          <w:lang w:val="en-US"/>
        </w:rPr>
        <w:t xml:space="preserve"> A/HRC/34/58, </w:t>
      </w:r>
      <w:r w:rsidR="00D8466F" w:rsidRPr="00C9465D">
        <w:rPr>
          <w:sz w:val="16"/>
          <w:szCs w:val="16"/>
          <w:lang w:val="en-US"/>
        </w:rPr>
        <w:t>para.</w:t>
      </w:r>
      <w:r w:rsidRPr="00C9465D">
        <w:rPr>
          <w:sz w:val="16"/>
          <w:szCs w:val="16"/>
          <w:lang w:val="en-US"/>
        </w:rPr>
        <w:t xml:space="preserve"> 32.</w:t>
      </w:r>
    </w:p>
  </w:footnote>
  <w:footnote w:id="298">
    <w:p w14:paraId="1096C1CA" w14:textId="1C17D777"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581AE7" w:rsidRPr="00C9465D">
        <w:rPr>
          <w:sz w:val="16"/>
          <w:szCs w:val="16"/>
          <w:lang w:val="en-US"/>
        </w:rPr>
        <w:t>Written version of the expert opinion of</w:t>
      </w:r>
      <w:r w:rsidRPr="00C9465D">
        <w:rPr>
          <w:sz w:val="16"/>
          <w:szCs w:val="16"/>
          <w:lang w:val="en-US"/>
        </w:rPr>
        <w:t xml:space="preserve"> Christian Courtis (</w:t>
      </w:r>
      <w:r w:rsidR="00153C9F" w:rsidRPr="00C9465D">
        <w:rPr>
          <w:sz w:val="16"/>
          <w:szCs w:val="16"/>
          <w:lang w:val="en-US"/>
        </w:rPr>
        <w:t>evidence file</w:t>
      </w:r>
      <w:r w:rsidRPr="00C9465D">
        <w:rPr>
          <w:sz w:val="16"/>
          <w:szCs w:val="16"/>
          <w:lang w:val="en-US"/>
        </w:rPr>
        <w:t>, folio 8485).</w:t>
      </w:r>
    </w:p>
  </w:footnote>
  <w:footnote w:id="299">
    <w:p w14:paraId="6342FE24" w14:textId="227E646D"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532DEC" w:rsidRPr="00C9465D">
        <w:rPr>
          <w:bCs/>
          <w:sz w:val="16"/>
          <w:szCs w:val="16"/>
          <w:lang w:val="en-US"/>
        </w:rPr>
        <w:t>Committee on the Rights of Persons with Disabilities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No. 6: </w:t>
      </w:r>
      <w:r w:rsidR="008149CA" w:rsidRPr="00C9465D">
        <w:rPr>
          <w:sz w:val="16"/>
          <w:szCs w:val="16"/>
          <w:lang w:val="en-US"/>
        </w:rPr>
        <w:t>Equality and non-discrimination</w:t>
      </w:r>
      <w:r w:rsidRPr="00C9465D">
        <w:rPr>
          <w:sz w:val="16"/>
          <w:szCs w:val="16"/>
          <w:lang w:val="en-US"/>
        </w:rPr>
        <w:t xml:space="preserve">, </w:t>
      </w:r>
      <w:r w:rsidR="008149CA" w:rsidRPr="00C9465D">
        <w:rPr>
          <w:sz w:val="16"/>
          <w:szCs w:val="16"/>
          <w:lang w:val="en-US"/>
        </w:rPr>
        <w:t>April 26,</w:t>
      </w:r>
      <w:r w:rsidRPr="00C9465D">
        <w:rPr>
          <w:sz w:val="16"/>
          <w:szCs w:val="16"/>
          <w:lang w:val="en-US"/>
        </w:rPr>
        <w:t xml:space="preserve"> 2018, </w:t>
      </w:r>
      <w:r w:rsidR="00532DEC" w:rsidRPr="00C9465D">
        <w:rPr>
          <w:sz w:val="16"/>
          <w:szCs w:val="16"/>
          <w:lang w:val="en-US"/>
        </w:rPr>
        <w:t>UN Doc.</w:t>
      </w:r>
      <w:r w:rsidRPr="00C9465D">
        <w:rPr>
          <w:sz w:val="16"/>
          <w:szCs w:val="16"/>
          <w:lang w:val="en-US"/>
        </w:rPr>
        <w:t xml:space="preserve"> CRPD/C/GC/6,</w:t>
      </w:r>
      <w:r w:rsidRPr="00C9465D">
        <w:rPr>
          <w:rStyle w:val="Strong"/>
          <w:b w:val="0"/>
          <w:sz w:val="16"/>
          <w:szCs w:val="16"/>
          <w:lang w:val="en-US"/>
        </w:rPr>
        <w:t xml:space="preserve"> </w:t>
      </w:r>
      <w:r w:rsidR="00D8466F" w:rsidRPr="00C9465D">
        <w:rPr>
          <w:rStyle w:val="Strong"/>
          <w:b w:val="0"/>
          <w:sz w:val="16"/>
          <w:szCs w:val="16"/>
          <w:lang w:val="en-US"/>
        </w:rPr>
        <w:t>paras.</w:t>
      </w:r>
      <w:r w:rsidRPr="00C9465D">
        <w:rPr>
          <w:rStyle w:val="Strong"/>
          <w:b w:val="0"/>
          <w:sz w:val="16"/>
          <w:szCs w:val="16"/>
          <w:lang w:val="en-US"/>
        </w:rPr>
        <w:t xml:space="preserve"> 30</w:t>
      </w:r>
      <w:r w:rsidR="00193CBB" w:rsidRPr="00C9465D">
        <w:rPr>
          <w:rStyle w:val="Strong"/>
          <w:b w:val="0"/>
          <w:sz w:val="16"/>
          <w:szCs w:val="16"/>
          <w:lang w:val="en-US"/>
        </w:rPr>
        <w:t xml:space="preserve"> and </w:t>
      </w:r>
      <w:r w:rsidRPr="00C9465D">
        <w:rPr>
          <w:rStyle w:val="Strong"/>
          <w:b w:val="0"/>
          <w:sz w:val="16"/>
          <w:szCs w:val="16"/>
          <w:lang w:val="en-US"/>
        </w:rPr>
        <w:t>47.</w:t>
      </w:r>
    </w:p>
  </w:footnote>
  <w:footnote w:id="300">
    <w:p w14:paraId="2D8357A4" w14:textId="208196D5"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532DEC" w:rsidRPr="00C9465D">
        <w:rPr>
          <w:sz w:val="16"/>
          <w:szCs w:val="16"/>
          <w:lang w:val="en-US"/>
        </w:rPr>
        <w:t>Committee on the Rights of Persons with Disabilities</w:t>
      </w:r>
      <w:r w:rsidRPr="00C9465D">
        <w:rPr>
          <w:sz w:val="16"/>
          <w:szCs w:val="16"/>
          <w:lang w:val="en-US"/>
        </w:rPr>
        <w:t xml:space="preserve">, </w:t>
      </w:r>
      <w:r w:rsidR="000A46E0" w:rsidRPr="00C9465D">
        <w:rPr>
          <w:sz w:val="16"/>
          <w:szCs w:val="16"/>
          <w:lang w:val="en-US"/>
        </w:rPr>
        <w:t xml:space="preserve">Concluding observations on the initial report of </w:t>
      </w:r>
      <w:r w:rsidRPr="00C9465D">
        <w:rPr>
          <w:sz w:val="16"/>
          <w:szCs w:val="16"/>
          <w:lang w:val="en-US"/>
        </w:rPr>
        <w:t xml:space="preserve">Ecuador, </w:t>
      </w:r>
      <w:r w:rsidR="000A46E0" w:rsidRPr="00C9465D">
        <w:rPr>
          <w:sz w:val="16"/>
          <w:szCs w:val="16"/>
          <w:lang w:val="en-US"/>
        </w:rPr>
        <w:t>October 27,</w:t>
      </w:r>
      <w:r w:rsidRPr="00C9465D">
        <w:rPr>
          <w:sz w:val="16"/>
          <w:szCs w:val="16"/>
          <w:lang w:val="en-US"/>
        </w:rPr>
        <w:t xml:space="preserve"> 2014, </w:t>
      </w:r>
      <w:r w:rsidR="00532DEC" w:rsidRPr="00C9465D">
        <w:rPr>
          <w:sz w:val="16"/>
          <w:szCs w:val="16"/>
          <w:lang w:val="en-US"/>
        </w:rPr>
        <w:t>UN Doc.</w:t>
      </w:r>
      <w:r w:rsidRPr="00C9465D">
        <w:rPr>
          <w:sz w:val="16"/>
          <w:szCs w:val="16"/>
          <w:lang w:val="en-US"/>
        </w:rPr>
        <w:t xml:space="preserve"> CRPD/C/ECU/CO/1, </w:t>
      </w:r>
      <w:r w:rsidR="00D8466F" w:rsidRPr="00C9465D">
        <w:rPr>
          <w:sz w:val="16"/>
          <w:szCs w:val="16"/>
          <w:lang w:val="en-US"/>
        </w:rPr>
        <w:t>para.</w:t>
      </w:r>
      <w:r w:rsidRPr="00C9465D">
        <w:rPr>
          <w:sz w:val="16"/>
          <w:szCs w:val="16"/>
          <w:lang w:val="en-US"/>
        </w:rPr>
        <w:t xml:space="preserve"> 24. </w:t>
      </w:r>
    </w:p>
  </w:footnote>
  <w:footnote w:id="301">
    <w:p w14:paraId="4E6695BD" w14:textId="5F21803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532DEC" w:rsidRPr="00C9465D">
        <w:rPr>
          <w:sz w:val="16"/>
          <w:szCs w:val="16"/>
          <w:lang w:val="en-US"/>
        </w:rPr>
        <w:t>Committee on the Rights of Persons with Disabilities</w:t>
      </w:r>
      <w:r w:rsidRPr="00C9465D">
        <w:rPr>
          <w:sz w:val="16"/>
          <w:szCs w:val="16"/>
          <w:lang w:val="en-US"/>
        </w:rPr>
        <w:t xml:space="preserve">, </w:t>
      </w:r>
      <w:r w:rsidR="000A46E0" w:rsidRPr="00C9465D">
        <w:rPr>
          <w:sz w:val="16"/>
          <w:szCs w:val="16"/>
          <w:lang w:val="en-US"/>
        </w:rPr>
        <w:t xml:space="preserve">Concluding observations on the combined second and third periodic reports of </w:t>
      </w:r>
      <w:r w:rsidRPr="00C9465D">
        <w:rPr>
          <w:sz w:val="16"/>
          <w:szCs w:val="16"/>
          <w:lang w:val="en-US"/>
        </w:rPr>
        <w:t xml:space="preserve">Ecuador, </w:t>
      </w:r>
      <w:r w:rsidR="000A46E0" w:rsidRPr="00C9465D">
        <w:rPr>
          <w:sz w:val="16"/>
          <w:szCs w:val="16"/>
          <w:lang w:val="en-US"/>
        </w:rPr>
        <w:t>October 21,</w:t>
      </w:r>
      <w:r w:rsidRPr="00C9465D">
        <w:rPr>
          <w:sz w:val="16"/>
          <w:szCs w:val="16"/>
          <w:lang w:val="en-US"/>
        </w:rPr>
        <w:t xml:space="preserve"> 2019, </w:t>
      </w:r>
      <w:r w:rsidR="00532DEC" w:rsidRPr="00C9465D">
        <w:rPr>
          <w:sz w:val="16"/>
          <w:szCs w:val="16"/>
          <w:lang w:val="en-US"/>
        </w:rPr>
        <w:t>UN Doc.</w:t>
      </w:r>
      <w:r w:rsidRPr="00C9465D">
        <w:rPr>
          <w:sz w:val="16"/>
          <w:szCs w:val="16"/>
          <w:lang w:val="en-US"/>
        </w:rPr>
        <w:t xml:space="preserve"> CRPD/C/ECU/CO/2-3, </w:t>
      </w:r>
      <w:r w:rsidR="00D8466F" w:rsidRPr="00C9465D">
        <w:rPr>
          <w:sz w:val="16"/>
          <w:szCs w:val="16"/>
          <w:lang w:val="en-US"/>
        </w:rPr>
        <w:t>para.</w:t>
      </w:r>
      <w:r w:rsidRPr="00C9465D">
        <w:rPr>
          <w:sz w:val="16"/>
          <w:szCs w:val="16"/>
          <w:lang w:val="en-US"/>
        </w:rPr>
        <w:t xml:space="preserve"> 26</w:t>
      </w:r>
      <w:r w:rsidR="0033742F" w:rsidRPr="00C9465D">
        <w:rPr>
          <w:sz w:val="16"/>
          <w:szCs w:val="16"/>
          <w:lang w:val="en-US"/>
        </w:rPr>
        <w:t>(</w:t>
      </w:r>
      <w:r w:rsidRPr="00C9465D">
        <w:rPr>
          <w:sz w:val="16"/>
          <w:szCs w:val="16"/>
          <w:lang w:val="en-US"/>
        </w:rPr>
        <w:t>b</w:t>
      </w:r>
      <w:r w:rsidR="0033742F" w:rsidRPr="00C9465D">
        <w:rPr>
          <w:sz w:val="16"/>
          <w:szCs w:val="16"/>
          <w:lang w:val="en-US"/>
        </w:rPr>
        <w:t>)</w:t>
      </w:r>
      <w:r w:rsidRPr="00C9465D">
        <w:rPr>
          <w:sz w:val="16"/>
          <w:szCs w:val="16"/>
          <w:lang w:val="en-US"/>
        </w:rPr>
        <w:t xml:space="preserve">.  </w:t>
      </w:r>
    </w:p>
  </w:footnote>
  <w:footnote w:id="302">
    <w:p w14:paraId="5C63029F" w14:textId="44190352"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33742F" w:rsidRPr="00C9465D">
        <w:rPr>
          <w:sz w:val="16"/>
          <w:szCs w:val="16"/>
          <w:lang w:val="en-US"/>
        </w:rPr>
        <w:t>Disabilities Act</w:t>
      </w:r>
      <w:r w:rsidRPr="00C9465D">
        <w:rPr>
          <w:sz w:val="16"/>
          <w:szCs w:val="16"/>
          <w:lang w:val="en-US"/>
        </w:rPr>
        <w:t xml:space="preserve"> </w:t>
      </w:r>
      <w:r w:rsidR="0033742F" w:rsidRPr="00C9465D">
        <w:rPr>
          <w:sz w:val="16"/>
          <w:szCs w:val="16"/>
          <w:lang w:val="en-US"/>
        </w:rPr>
        <w:t>of April 6,</w:t>
      </w:r>
      <w:r w:rsidRPr="00C9465D">
        <w:rPr>
          <w:sz w:val="16"/>
          <w:szCs w:val="16"/>
          <w:lang w:val="en-US"/>
        </w:rPr>
        <w:t xml:space="preserve"> 2001, </w:t>
      </w:r>
      <w:r w:rsidR="0033742F" w:rsidRPr="00C9465D">
        <w:rPr>
          <w:sz w:val="16"/>
          <w:szCs w:val="16"/>
          <w:lang w:val="en-US"/>
        </w:rPr>
        <w:t>a</w:t>
      </w:r>
      <w:r w:rsidR="00193CBB" w:rsidRPr="00C9465D">
        <w:rPr>
          <w:sz w:val="16"/>
          <w:szCs w:val="16"/>
          <w:lang w:val="en-US"/>
        </w:rPr>
        <w:t>rticle</w:t>
      </w:r>
      <w:r w:rsidRPr="00C9465D">
        <w:rPr>
          <w:sz w:val="16"/>
          <w:szCs w:val="16"/>
          <w:lang w:val="en-US"/>
        </w:rPr>
        <w:t xml:space="preserve"> 4 (</w:t>
      </w:r>
      <w:r w:rsidR="00153C9F" w:rsidRPr="00C9465D">
        <w:rPr>
          <w:sz w:val="16"/>
          <w:szCs w:val="16"/>
          <w:lang w:val="en-US"/>
        </w:rPr>
        <w:t>evidence file</w:t>
      </w:r>
      <w:r w:rsidRPr="00C9465D">
        <w:rPr>
          <w:sz w:val="16"/>
          <w:szCs w:val="16"/>
          <w:lang w:val="en-US"/>
        </w:rPr>
        <w:t>, folios 9100</w:t>
      </w:r>
      <w:r w:rsidR="00193CBB" w:rsidRPr="00C9465D">
        <w:rPr>
          <w:sz w:val="16"/>
          <w:szCs w:val="16"/>
          <w:lang w:val="en-US"/>
        </w:rPr>
        <w:t xml:space="preserve"> and </w:t>
      </w:r>
      <w:r w:rsidRPr="00C9465D">
        <w:rPr>
          <w:sz w:val="16"/>
          <w:szCs w:val="16"/>
          <w:lang w:val="en-US"/>
        </w:rPr>
        <w:t>9101).</w:t>
      </w:r>
    </w:p>
  </w:footnote>
  <w:footnote w:id="303">
    <w:p w14:paraId="03D4EE0F" w14:textId="4B5A1B9C"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193CBB" w:rsidRPr="00C9465D">
        <w:rPr>
          <w:sz w:val="16"/>
          <w:szCs w:val="16"/>
          <w:lang w:val="en-US"/>
        </w:rPr>
        <w:t>Article</w:t>
      </w:r>
      <w:r w:rsidRPr="00C9465D">
        <w:rPr>
          <w:sz w:val="16"/>
          <w:szCs w:val="16"/>
          <w:lang w:val="en-US"/>
        </w:rPr>
        <w:t xml:space="preserve"> 8</w:t>
      </w:r>
      <w:r w:rsidR="00193CBB" w:rsidRPr="00C9465D">
        <w:rPr>
          <w:sz w:val="16"/>
          <w:szCs w:val="16"/>
          <w:lang w:val="en-US"/>
        </w:rPr>
        <w:t xml:space="preserve"> of the Convention</w:t>
      </w:r>
      <w:r w:rsidRPr="00C9465D">
        <w:rPr>
          <w:sz w:val="16"/>
          <w:szCs w:val="16"/>
          <w:lang w:val="en-US"/>
        </w:rPr>
        <w:t>.</w:t>
      </w:r>
    </w:p>
  </w:footnote>
  <w:footnote w:id="304">
    <w:p w14:paraId="76CCD0B9" w14:textId="2D2C116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193CBB" w:rsidRPr="00C9465D">
        <w:rPr>
          <w:sz w:val="16"/>
          <w:szCs w:val="16"/>
          <w:lang w:val="en-US"/>
        </w:rPr>
        <w:t>Article</w:t>
      </w:r>
      <w:r w:rsidRPr="00C9465D">
        <w:rPr>
          <w:sz w:val="16"/>
          <w:szCs w:val="16"/>
          <w:lang w:val="en-US"/>
        </w:rPr>
        <w:t xml:space="preserve"> 25</w:t>
      </w:r>
      <w:r w:rsidR="00193CBB" w:rsidRPr="00C9465D">
        <w:rPr>
          <w:sz w:val="16"/>
          <w:szCs w:val="16"/>
          <w:lang w:val="en-US"/>
        </w:rPr>
        <w:t xml:space="preserve"> of the Convention</w:t>
      </w:r>
      <w:r w:rsidRPr="00C9465D">
        <w:rPr>
          <w:sz w:val="16"/>
          <w:szCs w:val="16"/>
          <w:lang w:val="en-US"/>
        </w:rPr>
        <w:t>.</w:t>
      </w:r>
    </w:p>
  </w:footnote>
  <w:footnote w:id="305">
    <w:p w14:paraId="5FB358B2" w14:textId="6ABBEC76" w:rsidR="00300482" w:rsidRPr="00C9465D" w:rsidRDefault="00300482" w:rsidP="00BD26CF">
      <w:pPr>
        <w:pStyle w:val="FootnoteText"/>
        <w:tabs>
          <w:tab w:val="left" w:pos="567"/>
        </w:tabs>
        <w:spacing w:after="120"/>
        <w:rPr>
          <w:i/>
          <w:sz w:val="16"/>
          <w:szCs w:val="16"/>
          <w:lang w:val="en-US"/>
        </w:rPr>
      </w:pPr>
      <w:r w:rsidRPr="00C9465D">
        <w:rPr>
          <w:rStyle w:val="FootnoteReference"/>
          <w:rFonts w:eastAsia="Calibri"/>
          <w:sz w:val="16"/>
          <w:szCs w:val="16"/>
          <w:lang w:val="en-US"/>
        </w:rPr>
        <w:footnoteRef/>
      </w:r>
      <w:r w:rsidRPr="00C9465D">
        <w:rPr>
          <w:sz w:val="16"/>
          <w:szCs w:val="16"/>
        </w:rPr>
        <w:t xml:space="preserve"> </w:t>
      </w:r>
      <w:r w:rsidRPr="00C9465D">
        <w:rPr>
          <w:sz w:val="16"/>
          <w:szCs w:val="16"/>
        </w:rPr>
        <w:tab/>
      </w:r>
      <w:r w:rsidR="00E2299F" w:rsidRPr="00C9465D">
        <w:rPr>
          <w:i/>
          <w:iCs/>
          <w:sz w:val="16"/>
          <w:szCs w:val="16"/>
        </w:rPr>
        <w:t>Cf.</w:t>
      </w:r>
      <w:r w:rsidRPr="00C9465D">
        <w:rPr>
          <w:i/>
          <w:iCs/>
          <w:sz w:val="16"/>
          <w:szCs w:val="16"/>
        </w:rPr>
        <w:t xml:space="preserve"> </w:t>
      </w:r>
      <w:r w:rsidR="00D8466F" w:rsidRPr="00C9465D">
        <w:rPr>
          <w:i/>
          <w:sz w:val="16"/>
          <w:szCs w:val="16"/>
        </w:rPr>
        <w:t>Case of</w:t>
      </w:r>
      <w:r w:rsidRPr="00C9465D">
        <w:rPr>
          <w:i/>
          <w:sz w:val="16"/>
          <w:szCs w:val="16"/>
        </w:rPr>
        <w:t xml:space="preserve"> Velásquez Rodríguez </w:t>
      </w:r>
      <w:r w:rsidR="00193CBB" w:rsidRPr="00C9465D">
        <w:rPr>
          <w:i/>
          <w:sz w:val="16"/>
          <w:szCs w:val="16"/>
        </w:rPr>
        <w:t>v.</w:t>
      </w:r>
      <w:r w:rsidRPr="00C9465D">
        <w:rPr>
          <w:i/>
          <w:sz w:val="16"/>
          <w:szCs w:val="16"/>
        </w:rPr>
        <w:t xml:space="preserve"> Honduras. </w:t>
      </w:r>
      <w:proofErr w:type="spellStart"/>
      <w:r w:rsidR="00532DEC" w:rsidRPr="00C9465D">
        <w:rPr>
          <w:i/>
          <w:sz w:val="16"/>
          <w:szCs w:val="16"/>
        </w:rPr>
        <w:t>Merits</w:t>
      </w:r>
      <w:proofErr w:type="spellEnd"/>
      <w:r w:rsidRPr="00C9465D">
        <w:rPr>
          <w:i/>
          <w:sz w:val="16"/>
          <w:szCs w:val="16"/>
        </w:rPr>
        <w:t>, supra</w:t>
      </w:r>
      <w:r w:rsidRPr="00C9465D">
        <w:rPr>
          <w:sz w:val="16"/>
          <w:szCs w:val="16"/>
        </w:rPr>
        <w:t xml:space="preserve">, </w:t>
      </w:r>
      <w:r w:rsidR="00D8466F" w:rsidRPr="00C9465D">
        <w:rPr>
          <w:sz w:val="16"/>
          <w:szCs w:val="16"/>
        </w:rPr>
        <w:t>para.</w:t>
      </w:r>
      <w:r w:rsidRPr="00C9465D">
        <w:rPr>
          <w:sz w:val="16"/>
          <w:szCs w:val="16"/>
        </w:rPr>
        <w:t xml:space="preserve"> 166,</w:t>
      </w:r>
      <w:r w:rsidR="00193CBB" w:rsidRPr="00C9465D">
        <w:rPr>
          <w:sz w:val="16"/>
          <w:szCs w:val="16"/>
        </w:rPr>
        <w:t xml:space="preserve"> and </w:t>
      </w:r>
      <w:r w:rsidR="00D8466F" w:rsidRPr="00C9465D">
        <w:rPr>
          <w:i/>
          <w:sz w:val="16"/>
          <w:szCs w:val="16"/>
        </w:rPr>
        <w:t>Case of</w:t>
      </w:r>
      <w:r w:rsidRPr="00C9465D">
        <w:rPr>
          <w:i/>
          <w:sz w:val="16"/>
          <w:szCs w:val="16"/>
        </w:rPr>
        <w:t xml:space="preserve"> Vásquez Durand</w:t>
      </w:r>
      <w:r w:rsidR="00193CBB" w:rsidRPr="00C9465D">
        <w:rPr>
          <w:i/>
          <w:sz w:val="16"/>
          <w:szCs w:val="16"/>
        </w:rPr>
        <w:t xml:space="preserve"> </w:t>
      </w:r>
      <w:r w:rsidR="00D8466F" w:rsidRPr="00C9465D">
        <w:rPr>
          <w:i/>
          <w:sz w:val="16"/>
          <w:szCs w:val="16"/>
        </w:rPr>
        <w:t>et al. v.</w:t>
      </w:r>
      <w:r w:rsidRPr="00C9465D">
        <w:rPr>
          <w:i/>
          <w:sz w:val="16"/>
          <w:szCs w:val="16"/>
        </w:rPr>
        <w:t xml:space="preserve"> Ecuador, supra</w:t>
      </w:r>
      <w:r w:rsidRPr="00C9465D">
        <w:rPr>
          <w:sz w:val="16"/>
          <w:szCs w:val="16"/>
        </w:rPr>
        <w:t xml:space="preserve">, </w:t>
      </w:r>
      <w:r w:rsidR="00D8466F" w:rsidRPr="00C9465D">
        <w:rPr>
          <w:sz w:val="16"/>
          <w:szCs w:val="16"/>
        </w:rPr>
        <w:t>para.</w:t>
      </w:r>
      <w:r w:rsidRPr="00C9465D">
        <w:rPr>
          <w:sz w:val="16"/>
          <w:szCs w:val="16"/>
        </w:rPr>
        <w:t xml:space="preserve"> </w:t>
      </w:r>
      <w:r w:rsidRPr="00C9465D">
        <w:rPr>
          <w:sz w:val="16"/>
          <w:szCs w:val="16"/>
          <w:lang w:val="en-US"/>
        </w:rPr>
        <w:t>141.</w:t>
      </w:r>
    </w:p>
  </w:footnote>
  <w:footnote w:id="306">
    <w:p w14:paraId="4C95C13B" w14:textId="1104C551"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27).</w:t>
      </w:r>
    </w:p>
  </w:footnote>
  <w:footnote w:id="307">
    <w:p w14:paraId="40D49894" w14:textId="406F725E"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4F5593" w:rsidRPr="00C9465D">
        <w:rPr>
          <w:sz w:val="16"/>
          <w:szCs w:val="16"/>
          <w:lang w:val="en-US"/>
        </w:rPr>
        <w:t>Record of the social worker’s search actions</w:t>
      </w:r>
      <w:r w:rsidRPr="00C9465D">
        <w:rPr>
          <w:sz w:val="16"/>
          <w:szCs w:val="16"/>
          <w:lang w:val="en-US"/>
        </w:rPr>
        <w:t xml:space="preserve"> (</w:t>
      </w:r>
      <w:r w:rsidR="00153C9F" w:rsidRPr="00C9465D">
        <w:rPr>
          <w:sz w:val="16"/>
          <w:szCs w:val="16"/>
          <w:lang w:val="en-US"/>
        </w:rPr>
        <w:t>evidence file</w:t>
      </w:r>
      <w:r w:rsidRPr="00C9465D">
        <w:rPr>
          <w:sz w:val="16"/>
          <w:szCs w:val="16"/>
          <w:lang w:val="en-US"/>
        </w:rPr>
        <w:t>, folio 7),</w:t>
      </w:r>
      <w:r w:rsidR="00193CBB" w:rsidRPr="00C9465D">
        <w:rPr>
          <w:sz w:val="16"/>
          <w:szCs w:val="16"/>
          <w:lang w:val="en-US"/>
        </w:rPr>
        <w:t xml:space="preserve"> and </w:t>
      </w:r>
      <w:r w:rsidRPr="00C9465D">
        <w:rPr>
          <w:sz w:val="16"/>
          <w:szCs w:val="16"/>
          <w:lang w:val="en-US"/>
        </w:rPr>
        <w:t>r</w:t>
      </w:r>
      <w:r w:rsidR="00F73EB7" w:rsidRPr="00C9465D">
        <w:rPr>
          <w:sz w:val="16"/>
          <w:szCs w:val="16"/>
          <w:lang w:val="en-US"/>
        </w:rPr>
        <w:t xml:space="preserve">ecord of the arrival time of the emergency service </w:t>
      </w:r>
      <w:r w:rsidRPr="00C9465D">
        <w:rPr>
          <w:sz w:val="16"/>
          <w:szCs w:val="16"/>
          <w:lang w:val="en-US"/>
        </w:rPr>
        <w:t>(</w:t>
      </w:r>
      <w:r w:rsidR="00153C9F" w:rsidRPr="00C9465D">
        <w:rPr>
          <w:sz w:val="16"/>
          <w:szCs w:val="16"/>
          <w:lang w:val="en-US"/>
        </w:rPr>
        <w:t>evidence file</w:t>
      </w:r>
      <w:r w:rsidRPr="00C9465D">
        <w:rPr>
          <w:sz w:val="16"/>
          <w:szCs w:val="16"/>
          <w:lang w:val="en-US"/>
        </w:rPr>
        <w:t>, folio 44).</w:t>
      </w:r>
    </w:p>
  </w:footnote>
  <w:footnote w:id="308">
    <w:p w14:paraId="23A7B2C8" w14:textId="034AD683"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folios 27</w:t>
      </w:r>
      <w:r w:rsidR="00193CBB" w:rsidRPr="00C9465D">
        <w:rPr>
          <w:sz w:val="16"/>
          <w:szCs w:val="16"/>
          <w:lang w:val="en-US"/>
        </w:rPr>
        <w:t xml:space="preserve"> and </w:t>
      </w:r>
      <w:r w:rsidRPr="00C9465D">
        <w:rPr>
          <w:sz w:val="16"/>
          <w:szCs w:val="16"/>
          <w:lang w:val="en-US"/>
        </w:rPr>
        <w:t>28).</w:t>
      </w:r>
    </w:p>
  </w:footnote>
  <w:footnote w:id="309">
    <w:p w14:paraId="0201C713" w14:textId="532CA8F7" w:rsidR="00300482" w:rsidRPr="00C9465D" w:rsidRDefault="00300482" w:rsidP="00BD26CF">
      <w:pPr>
        <w:pStyle w:val="FootnoteText"/>
        <w:tabs>
          <w:tab w:val="left" w:pos="567"/>
        </w:tabs>
        <w:spacing w:after="120"/>
        <w:rPr>
          <w:sz w:val="16"/>
          <w:szCs w:val="16"/>
          <w:lang w:val="en-US"/>
        </w:rPr>
      </w:pPr>
      <w:r w:rsidRPr="00C9465D">
        <w:rPr>
          <w:rStyle w:val="FootnoteReference"/>
          <w:rFonts w:eastAsia="Calibri"/>
          <w:sz w:val="16"/>
          <w:szCs w:val="16"/>
          <w:lang w:val="en-US"/>
        </w:rPr>
        <w:footnoteRef/>
      </w:r>
      <w:r w:rsidRPr="00C9465D">
        <w:rPr>
          <w:rStyle w:val="FootnoteReference"/>
          <w:rFonts w:eastAsia="Calibri"/>
          <w:sz w:val="16"/>
          <w:szCs w:val="16"/>
          <w:lang w:val="en-US"/>
        </w:rPr>
        <w:t xml:space="preserve"> </w:t>
      </w:r>
      <w:r w:rsidRPr="00C9465D">
        <w:rPr>
          <w:rFonts w:eastAsia="Calibri"/>
          <w:sz w:val="16"/>
          <w:szCs w:val="16"/>
          <w:lang w:val="en-US"/>
        </w:rPr>
        <w:tab/>
      </w:r>
      <w:r w:rsidR="000D1F57" w:rsidRPr="00C9465D">
        <w:rPr>
          <w:rStyle w:val="FootnoteReference"/>
          <w:rFonts w:eastAsia="Calibri"/>
          <w:sz w:val="16"/>
          <w:szCs w:val="16"/>
          <w:vertAlign w:val="baseline"/>
          <w:lang w:val="en-US"/>
        </w:rPr>
        <w:t>Rules and Regulations</w:t>
      </w:r>
      <w:r w:rsidRPr="00C9465D">
        <w:rPr>
          <w:rStyle w:val="FootnoteReference"/>
          <w:rFonts w:eastAsia="Calibri"/>
          <w:sz w:val="16"/>
          <w:szCs w:val="16"/>
          <w:vertAlign w:val="baseline"/>
          <w:lang w:val="en-US"/>
        </w:rPr>
        <w:t xml:space="preserve"> </w:t>
      </w:r>
      <w:r w:rsidR="006758E3" w:rsidRPr="00C9465D">
        <w:rPr>
          <w:rStyle w:val="FootnoteReference"/>
          <w:rFonts w:eastAsia="Calibri"/>
          <w:sz w:val="16"/>
          <w:szCs w:val="16"/>
          <w:vertAlign w:val="baseline"/>
          <w:lang w:val="en-US"/>
        </w:rPr>
        <w:t>of the Julio Endara</w:t>
      </w:r>
      <w:r w:rsidR="001F65A3" w:rsidRPr="00C9465D">
        <w:rPr>
          <w:rStyle w:val="FootnoteReference"/>
          <w:rFonts w:eastAsia="Calibri"/>
          <w:sz w:val="16"/>
          <w:szCs w:val="16"/>
          <w:vertAlign w:val="baseline"/>
          <w:lang w:val="en-US"/>
        </w:rPr>
        <w:t xml:space="preserve"> Hospital</w:t>
      </w:r>
      <w:r w:rsidRPr="00C9465D">
        <w:rPr>
          <w:rStyle w:val="FootnoteReference"/>
          <w:rFonts w:eastAsia="Calibri"/>
          <w:sz w:val="16"/>
          <w:szCs w:val="16"/>
          <w:vertAlign w:val="baseline"/>
          <w:lang w:val="en-US"/>
        </w:rPr>
        <w:t xml:space="preserve"> </w:t>
      </w:r>
      <w:r w:rsidR="00F73EB7" w:rsidRPr="00C9465D">
        <w:rPr>
          <w:rStyle w:val="FootnoteReference"/>
          <w:rFonts w:eastAsia="Calibri"/>
          <w:sz w:val="16"/>
          <w:szCs w:val="16"/>
          <w:vertAlign w:val="baseline"/>
          <w:lang w:val="en-US"/>
        </w:rPr>
        <w:t>a</w:t>
      </w:r>
      <w:r w:rsidR="00F73EB7" w:rsidRPr="00C9465D">
        <w:rPr>
          <w:rFonts w:eastAsia="Calibri"/>
          <w:sz w:val="16"/>
          <w:szCs w:val="16"/>
          <w:lang w:val="en-US"/>
        </w:rPr>
        <w:t>dopted in March</w:t>
      </w:r>
      <w:r w:rsidRPr="00C9465D">
        <w:rPr>
          <w:rStyle w:val="FootnoteReference"/>
          <w:rFonts w:eastAsia="Calibri"/>
          <w:sz w:val="16"/>
          <w:szCs w:val="16"/>
          <w:vertAlign w:val="baseline"/>
          <w:lang w:val="en-US"/>
        </w:rPr>
        <w:t xml:space="preserve"> 2004, </w:t>
      </w:r>
      <w:r w:rsidR="00F73EB7" w:rsidRPr="00C9465D">
        <w:rPr>
          <w:rStyle w:val="FootnoteReference"/>
          <w:rFonts w:eastAsia="Calibri"/>
          <w:sz w:val="16"/>
          <w:szCs w:val="16"/>
          <w:vertAlign w:val="baseline"/>
          <w:lang w:val="en-US"/>
        </w:rPr>
        <w:t>a</w:t>
      </w:r>
      <w:r w:rsidR="00193CBB" w:rsidRPr="00C9465D">
        <w:rPr>
          <w:rStyle w:val="FootnoteReference"/>
          <w:rFonts w:eastAsia="Calibri"/>
          <w:sz w:val="16"/>
          <w:szCs w:val="16"/>
          <w:vertAlign w:val="baseline"/>
          <w:lang w:val="en-US"/>
        </w:rPr>
        <w:t>rticle</w:t>
      </w:r>
      <w:r w:rsidRPr="00C9465D">
        <w:rPr>
          <w:rStyle w:val="FootnoteReference"/>
          <w:rFonts w:eastAsia="Calibri"/>
          <w:sz w:val="16"/>
          <w:szCs w:val="16"/>
          <w:vertAlign w:val="baseline"/>
          <w:lang w:val="en-US"/>
        </w:rPr>
        <w:t xml:space="preserve"> 25 (</w:t>
      </w:r>
      <w:r w:rsidR="00153C9F" w:rsidRPr="00C9465D">
        <w:rPr>
          <w:rStyle w:val="FootnoteReference"/>
          <w:rFonts w:eastAsia="Calibri"/>
          <w:sz w:val="16"/>
          <w:szCs w:val="16"/>
          <w:vertAlign w:val="baseline"/>
          <w:lang w:val="en-US"/>
        </w:rPr>
        <w:t>evidence file</w:t>
      </w:r>
      <w:r w:rsidRPr="00C9465D">
        <w:rPr>
          <w:rStyle w:val="FootnoteReference"/>
          <w:rFonts w:eastAsia="Calibri"/>
          <w:sz w:val="16"/>
          <w:szCs w:val="16"/>
          <w:vertAlign w:val="baseline"/>
          <w:lang w:val="en-US"/>
        </w:rPr>
        <w:t>, folio 8542).</w:t>
      </w:r>
    </w:p>
  </w:footnote>
  <w:footnote w:id="310">
    <w:p w14:paraId="45038618" w14:textId="24E4B3F3" w:rsidR="00300482" w:rsidRPr="00C9465D" w:rsidRDefault="00300482" w:rsidP="00BD26CF">
      <w:pPr>
        <w:pStyle w:val="FootnoteText"/>
        <w:tabs>
          <w:tab w:val="left" w:pos="567"/>
        </w:tabs>
        <w:spacing w:after="120"/>
        <w:rPr>
          <w:sz w:val="16"/>
          <w:szCs w:val="16"/>
          <w:lang w:val="en-US"/>
        </w:rPr>
      </w:pPr>
      <w:r w:rsidRPr="00C9465D">
        <w:rPr>
          <w:rStyle w:val="FootnoteReference"/>
          <w:rFonts w:eastAsiaTheme="majorEastAsia"/>
          <w:sz w:val="16"/>
          <w:szCs w:val="16"/>
          <w:lang w:val="en-US"/>
        </w:rPr>
        <w:footnoteRef/>
      </w:r>
      <w:r w:rsidRPr="00C9465D">
        <w:rPr>
          <w:sz w:val="16"/>
          <w:szCs w:val="16"/>
          <w:lang w:val="en-US"/>
        </w:rPr>
        <w:t xml:space="preserve"> </w:t>
      </w:r>
      <w:r w:rsidRPr="00C9465D">
        <w:rPr>
          <w:sz w:val="16"/>
          <w:szCs w:val="16"/>
          <w:lang w:val="en-US"/>
        </w:rPr>
        <w:tab/>
      </w:r>
      <w:r w:rsidR="001F65A3" w:rsidRPr="00C9465D">
        <w:rPr>
          <w:sz w:val="16"/>
          <w:szCs w:val="16"/>
          <w:lang w:val="en-US"/>
        </w:rPr>
        <w:t>Communication of the</w:t>
      </w:r>
      <w:r w:rsidRPr="00C9465D">
        <w:rPr>
          <w:sz w:val="16"/>
          <w:szCs w:val="16"/>
          <w:lang w:val="en-US"/>
        </w:rPr>
        <w:t xml:space="preserve"> </w:t>
      </w:r>
      <w:r w:rsidR="00B412B2" w:rsidRPr="00C9465D">
        <w:rPr>
          <w:sz w:val="16"/>
          <w:szCs w:val="16"/>
          <w:lang w:val="en-US"/>
        </w:rPr>
        <w:t xml:space="preserve">nursing auxiliary to the </w:t>
      </w:r>
      <w:r w:rsidRPr="00C9465D">
        <w:rPr>
          <w:sz w:val="16"/>
          <w:szCs w:val="16"/>
          <w:lang w:val="en-US"/>
        </w:rPr>
        <w:t xml:space="preserve">Director </w:t>
      </w:r>
      <w:r w:rsidR="00B412B2" w:rsidRPr="00C9465D">
        <w:rPr>
          <w:sz w:val="16"/>
          <w:szCs w:val="16"/>
          <w:lang w:val="en-US"/>
        </w:rPr>
        <w:t>of the</w:t>
      </w:r>
      <w:r w:rsidRPr="00C9465D">
        <w:rPr>
          <w:sz w:val="16"/>
          <w:szCs w:val="16"/>
          <w:lang w:val="en-US"/>
        </w:rPr>
        <w:t xml:space="preserve"> “Julio Endara” </w:t>
      </w:r>
      <w:r w:rsidR="00B412B2" w:rsidRPr="00C9465D">
        <w:rPr>
          <w:sz w:val="16"/>
          <w:szCs w:val="16"/>
          <w:lang w:val="en-US"/>
        </w:rPr>
        <w:t xml:space="preserve">Psychiatric Hospital </w:t>
      </w:r>
      <w:r w:rsidRPr="00C9465D">
        <w:rPr>
          <w:sz w:val="16"/>
          <w:szCs w:val="16"/>
          <w:lang w:val="en-US"/>
        </w:rPr>
        <w:t>(</w:t>
      </w:r>
      <w:r w:rsidR="00153C9F" w:rsidRPr="00C9465D">
        <w:rPr>
          <w:sz w:val="16"/>
          <w:szCs w:val="16"/>
          <w:lang w:val="en-US"/>
        </w:rPr>
        <w:t>evidence file</w:t>
      </w:r>
      <w:r w:rsidRPr="00C9465D">
        <w:rPr>
          <w:sz w:val="16"/>
          <w:szCs w:val="16"/>
          <w:lang w:val="en-US"/>
        </w:rPr>
        <w:t>, folio 40).</w:t>
      </w:r>
    </w:p>
  </w:footnote>
  <w:footnote w:id="311">
    <w:p w14:paraId="333C2B80" w14:textId="12598FC5" w:rsidR="00300482" w:rsidRPr="00C9465D" w:rsidRDefault="00300482" w:rsidP="00BD26CF">
      <w:pPr>
        <w:pStyle w:val="FootnoteText"/>
        <w:tabs>
          <w:tab w:val="left" w:pos="567"/>
        </w:tabs>
        <w:spacing w:after="120"/>
        <w:rPr>
          <w:sz w:val="16"/>
          <w:szCs w:val="16"/>
          <w:lang w:val="en-US"/>
        </w:rPr>
      </w:pPr>
      <w:r w:rsidRPr="00C9465D">
        <w:rPr>
          <w:rStyle w:val="FootnoteReference"/>
          <w:rFonts w:eastAsia="Calibri"/>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B712CD" w:rsidRPr="00C9465D">
        <w:rPr>
          <w:sz w:val="16"/>
          <w:szCs w:val="16"/>
          <w:lang w:val="en-US"/>
        </w:rPr>
        <w:t>Statement made by Zoila Chimbo during the public hearing held in this case</w:t>
      </w:r>
      <w:r w:rsidRPr="00C9465D">
        <w:rPr>
          <w:sz w:val="16"/>
          <w:szCs w:val="16"/>
          <w:lang w:val="en-US"/>
        </w:rPr>
        <w:t xml:space="preserve">. </w:t>
      </w:r>
    </w:p>
  </w:footnote>
  <w:footnote w:id="312">
    <w:p w14:paraId="6CCD8F7B" w14:textId="5CD2FA9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1F65A3" w:rsidRPr="00C9465D">
        <w:rPr>
          <w:sz w:val="16"/>
          <w:szCs w:val="16"/>
          <w:lang w:val="en-US"/>
        </w:rPr>
        <w:t xml:space="preserve">Communication </w:t>
      </w:r>
      <w:r w:rsidR="00B412B2" w:rsidRPr="00C9465D">
        <w:rPr>
          <w:sz w:val="16"/>
          <w:szCs w:val="16"/>
          <w:lang w:val="en-US"/>
        </w:rPr>
        <w:t>of the nursing auxiliary to the Director of the “Julio Endara” Psychiatric Hospital</w:t>
      </w:r>
      <w:r w:rsidRPr="00C9465D">
        <w:rPr>
          <w:sz w:val="16"/>
          <w:szCs w:val="16"/>
          <w:lang w:val="en-US"/>
        </w:rPr>
        <w:t xml:space="preserve"> (</w:t>
      </w:r>
      <w:r w:rsidR="00153C9F" w:rsidRPr="00C9465D">
        <w:rPr>
          <w:sz w:val="16"/>
          <w:szCs w:val="16"/>
          <w:lang w:val="en-US"/>
        </w:rPr>
        <w:t>evidence file</w:t>
      </w:r>
      <w:r w:rsidRPr="00C9465D">
        <w:rPr>
          <w:sz w:val="16"/>
          <w:szCs w:val="16"/>
          <w:lang w:val="en-US"/>
        </w:rPr>
        <w:t>, folio 40).</w:t>
      </w:r>
    </w:p>
  </w:footnote>
  <w:footnote w:id="313">
    <w:p w14:paraId="7B15ACA4" w14:textId="464193E1"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4F5593" w:rsidRPr="00C9465D">
        <w:rPr>
          <w:sz w:val="16"/>
          <w:szCs w:val="16"/>
          <w:lang w:val="en-US"/>
        </w:rPr>
        <w:t>Record of the social worker’s search actions</w:t>
      </w:r>
      <w:r w:rsidRPr="00C9465D">
        <w:rPr>
          <w:sz w:val="16"/>
          <w:szCs w:val="16"/>
          <w:lang w:val="en-US"/>
        </w:rPr>
        <w:t xml:space="preserve"> (</w:t>
      </w:r>
      <w:r w:rsidR="00153C9F" w:rsidRPr="00C9465D">
        <w:rPr>
          <w:sz w:val="16"/>
          <w:szCs w:val="16"/>
          <w:lang w:val="en-US"/>
        </w:rPr>
        <w:t>evidence file</w:t>
      </w:r>
      <w:r w:rsidRPr="00C9465D">
        <w:rPr>
          <w:sz w:val="16"/>
          <w:szCs w:val="16"/>
          <w:lang w:val="en-US"/>
        </w:rPr>
        <w:t xml:space="preserve">, folio 7); </w:t>
      </w:r>
      <w:r w:rsidR="00B412B2" w:rsidRPr="00C9465D">
        <w:rPr>
          <w:sz w:val="16"/>
          <w:szCs w:val="16"/>
          <w:lang w:val="en-US"/>
        </w:rPr>
        <w:t xml:space="preserve">Record of distress calls reported by the </w:t>
      </w:r>
      <w:r w:rsidR="004F5593" w:rsidRPr="00C9465D">
        <w:rPr>
          <w:sz w:val="16"/>
          <w:szCs w:val="16"/>
          <w:lang w:val="en-US"/>
        </w:rPr>
        <w:t>National Police</w:t>
      </w:r>
      <w:r w:rsidR="00B412B2" w:rsidRPr="00C9465D">
        <w:rPr>
          <w:sz w:val="16"/>
          <w:szCs w:val="16"/>
          <w:lang w:val="en-US"/>
        </w:rPr>
        <w:t xml:space="preserve"> </w:t>
      </w:r>
      <w:r w:rsidRPr="00C9465D">
        <w:rPr>
          <w:sz w:val="16"/>
          <w:szCs w:val="16"/>
          <w:lang w:val="en-US"/>
        </w:rPr>
        <w:t>(</w:t>
      </w:r>
      <w:r w:rsidR="00153C9F" w:rsidRPr="00C9465D">
        <w:rPr>
          <w:sz w:val="16"/>
          <w:szCs w:val="16"/>
          <w:lang w:val="en-US"/>
        </w:rPr>
        <w:t>evidence file</w:t>
      </w:r>
      <w:r w:rsidRPr="00C9465D">
        <w:rPr>
          <w:sz w:val="16"/>
          <w:szCs w:val="16"/>
          <w:lang w:val="en-US"/>
        </w:rPr>
        <w:t>, folio 42),</w:t>
      </w:r>
      <w:r w:rsidR="00193CBB" w:rsidRPr="00C9465D">
        <w:rPr>
          <w:sz w:val="16"/>
          <w:szCs w:val="16"/>
          <w:lang w:val="en-US"/>
        </w:rPr>
        <w:t xml:space="preserve"> and </w:t>
      </w:r>
      <w:r w:rsidR="004F5593" w:rsidRPr="00C9465D">
        <w:rPr>
          <w:sz w:val="16"/>
          <w:szCs w:val="16"/>
          <w:lang w:val="en-US"/>
        </w:rPr>
        <w:t>National Police phone call management system</w:t>
      </w:r>
      <w:r w:rsidRPr="00C9465D">
        <w:rPr>
          <w:sz w:val="16"/>
          <w:szCs w:val="16"/>
          <w:lang w:val="en-US"/>
        </w:rPr>
        <w:t>(</w:t>
      </w:r>
      <w:r w:rsidR="00153C9F" w:rsidRPr="00C9465D">
        <w:rPr>
          <w:sz w:val="16"/>
          <w:szCs w:val="16"/>
          <w:lang w:val="en-US"/>
        </w:rPr>
        <w:t>evidence file</w:t>
      </w:r>
      <w:r w:rsidRPr="00C9465D">
        <w:rPr>
          <w:sz w:val="16"/>
          <w:szCs w:val="16"/>
          <w:lang w:val="en-US"/>
        </w:rPr>
        <w:t>, folio 43).</w:t>
      </w:r>
    </w:p>
  </w:footnote>
  <w:footnote w:id="314">
    <w:p w14:paraId="098D14F4" w14:textId="7E3BDA4A"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4F5593" w:rsidRPr="00C9465D">
        <w:rPr>
          <w:sz w:val="16"/>
          <w:szCs w:val="16"/>
          <w:lang w:val="en-US"/>
        </w:rPr>
        <w:t>Record of the social worker’s search actions</w:t>
      </w:r>
      <w:r w:rsidRPr="00C9465D">
        <w:rPr>
          <w:sz w:val="16"/>
          <w:szCs w:val="16"/>
          <w:lang w:val="en-US"/>
        </w:rPr>
        <w:t xml:space="preserve"> (</w:t>
      </w:r>
      <w:r w:rsidR="00153C9F" w:rsidRPr="00C9465D">
        <w:rPr>
          <w:sz w:val="16"/>
          <w:szCs w:val="16"/>
          <w:lang w:val="en-US"/>
        </w:rPr>
        <w:t>evidence file</w:t>
      </w:r>
      <w:r w:rsidRPr="00C9465D">
        <w:rPr>
          <w:sz w:val="16"/>
          <w:szCs w:val="16"/>
          <w:lang w:val="en-US"/>
        </w:rPr>
        <w:t>, folio 7),</w:t>
      </w:r>
      <w:r w:rsidR="00193CBB" w:rsidRPr="00C9465D">
        <w:rPr>
          <w:sz w:val="16"/>
          <w:szCs w:val="16"/>
          <w:lang w:val="en-US"/>
        </w:rPr>
        <w:t xml:space="preserve"> and</w:t>
      </w:r>
      <w:r w:rsidR="00B412B2" w:rsidRPr="00C9465D">
        <w:rPr>
          <w:sz w:val="16"/>
          <w:szCs w:val="16"/>
          <w:lang w:val="en-US"/>
        </w:rPr>
        <w:t xml:space="preserve"> Record of the arrival time of the </w:t>
      </w:r>
      <w:r w:rsidR="00193CBB" w:rsidRPr="00C9465D">
        <w:rPr>
          <w:sz w:val="16"/>
          <w:szCs w:val="16"/>
          <w:lang w:val="en-US"/>
        </w:rPr>
        <w:t xml:space="preserve"> </w:t>
      </w:r>
      <w:r w:rsidR="00B412B2" w:rsidRPr="00C9465D">
        <w:rPr>
          <w:sz w:val="16"/>
          <w:szCs w:val="16"/>
          <w:lang w:val="en-US"/>
        </w:rPr>
        <w:t xml:space="preserve">emergency service </w:t>
      </w:r>
      <w:r w:rsidRPr="00C9465D">
        <w:rPr>
          <w:sz w:val="16"/>
          <w:szCs w:val="16"/>
          <w:lang w:val="en-US"/>
        </w:rPr>
        <w:t>(</w:t>
      </w:r>
      <w:r w:rsidR="00153C9F" w:rsidRPr="00C9465D">
        <w:rPr>
          <w:sz w:val="16"/>
          <w:szCs w:val="16"/>
          <w:lang w:val="en-US"/>
        </w:rPr>
        <w:t>evidence file</w:t>
      </w:r>
      <w:r w:rsidRPr="00C9465D">
        <w:rPr>
          <w:sz w:val="16"/>
          <w:szCs w:val="16"/>
          <w:lang w:val="en-US"/>
        </w:rPr>
        <w:t>, folio 44).</w:t>
      </w:r>
    </w:p>
  </w:footnote>
  <w:footnote w:id="315">
    <w:p w14:paraId="58587A90" w14:textId="46A14757"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6056FD" w:rsidRPr="00C9465D">
        <w:rPr>
          <w:sz w:val="16"/>
          <w:szCs w:val="16"/>
          <w:lang w:val="en-US"/>
        </w:rPr>
        <w:t>Hospitalization authorization form</w:t>
      </w:r>
      <w:r w:rsidRPr="00C9465D">
        <w:rPr>
          <w:sz w:val="16"/>
          <w:szCs w:val="16"/>
          <w:lang w:val="en-US"/>
        </w:rPr>
        <w:t xml:space="preserve"> (</w:t>
      </w:r>
      <w:r w:rsidR="00153C9F" w:rsidRPr="00C9465D">
        <w:rPr>
          <w:sz w:val="16"/>
          <w:szCs w:val="16"/>
          <w:lang w:val="en-US"/>
        </w:rPr>
        <w:t>evidence file</w:t>
      </w:r>
      <w:r w:rsidRPr="00C9465D">
        <w:rPr>
          <w:sz w:val="16"/>
          <w:szCs w:val="16"/>
          <w:lang w:val="en-US"/>
        </w:rPr>
        <w:t>, folio 145).</w:t>
      </w:r>
    </w:p>
  </w:footnote>
  <w:footnote w:id="316">
    <w:p w14:paraId="38EBBE8A" w14:textId="4249038F"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2C5740" w:rsidRPr="00C9465D">
        <w:rPr>
          <w:sz w:val="16"/>
          <w:szCs w:val="16"/>
          <w:lang w:val="en-US"/>
        </w:rPr>
        <w:t>Sworn statement of</w:t>
      </w:r>
      <w:r w:rsidRPr="00C9465D">
        <w:rPr>
          <w:sz w:val="16"/>
          <w:szCs w:val="16"/>
          <w:lang w:val="en-US"/>
        </w:rPr>
        <w:t xml:space="preserve"> Zoila Chimbo Jarro </w:t>
      </w:r>
      <w:r w:rsidR="002C5740" w:rsidRPr="00C9465D">
        <w:rPr>
          <w:sz w:val="16"/>
          <w:szCs w:val="16"/>
          <w:lang w:val="en-US"/>
        </w:rPr>
        <w:t>on September 27,</w:t>
      </w:r>
      <w:r w:rsidRPr="00C9465D">
        <w:rPr>
          <w:sz w:val="16"/>
          <w:szCs w:val="16"/>
          <w:lang w:val="en-US"/>
        </w:rPr>
        <w:t xml:space="preserve"> 2005 (</w:t>
      </w:r>
      <w:r w:rsidR="00153C9F" w:rsidRPr="00C9465D">
        <w:rPr>
          <w:sz w:val="16"/>
          <w:szCs w:val="16"/>
          <w:lang w:val="en-US"/>
        </w:rPr>
        <w:t>evidence file</w:t>
      </w:r>
      <w:r w:rsidRPr="00C9465D">
        <w:rPr>
          <w:sz w:val="16"/>
          <w:szCs w:val="16"/>
          <w:lang w:val="en-US"/>
        </w:rPr>
        <w:t>, folio 27).</w:t>
      </w:r>
    </w:p>
  </w:footnote>
  <w:footnote w:id="317">
    <w:p w14:paraId="2DB0CEDE" w14:textId="3ACAE23A"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B412B2" w:rsidRPr="00C9465D">
        <w:rPr>
          <w:sz w:val="16"/>
          <w:szCs w:val="16"/>
          <w:lang w:val="en-US"/>
        </w:rPr>
        <w:t xml:space="preserve">Written version of the expert opinion of </w:t>
      </w:r>
      <w:r w:rsidRPr="00C9465D">
        <w:rPr>
          <w:sz w:val="16"/>
          <w:szCs w:val="16"/>
          <w:lang w:val="en-US"/>
        </w:rPr>
        <w:t xml:space="preserve">Christian Courtis </w:t>
      </w:r>
      <w:r w:rsidR="00B412B2" w:rsidRPr="00C9465D">
        <w:rPr>
          <w:sz w:val="16"/>
          <w:szCs w:val="16"/>
          <w:lang w:val="en-US"/>
        </w:rPr>
        <w:t>provided during the public hearing in this case</w:t>
      </w:r>
      <w:r w:rsidRPr="00C9465D">
        <w:rPr>
          <w:sz w:val="16"/>
          <w:szCs w:val="16"/>
          <w:lang w:val="en-US"/>
        </w:rPr>
        <w:t xml:space="preserve"> (</w:t>
      </w:r>
      <w:r w:rsidR="00153C9F" w:rsidRPr="00C9465D">
        <w:rPr>
          <w:sz w:val="16"/>
          <w:szCs w:val="16"/>
          <w:lang w:val="en-US"/>
        </w:rPr>
        <w:t>evidence file</w:t>
      </w:r>
      <w:r w:rsidRPr="00C9465D">
        <w:rPr>
          <w:sz w:val="16"/>
          <w:szCs w:val="16"/>
          <w:lang w:val="en-US"/>
        </w:rPr>
        <w:t>, folio 8506).</w:t>
      </w:r>
    </w:p>
  </w:footnote>
  <w:footnote w:id="318">
    <w:p w14:paraId="26E00D1C" w14:textId="7B3D8C16" w:rsidR="00300482" w:rsidRPr="00C9465D" w:rsidRDefault="00300482" w:rsidP="00BD26CF">
      <w:pPr>
        <w:pStyle w:val="FootnoteText"/>
        <w:tabs>
          <w:tab w:val="left" w:pos="567"/>
        </w:tabs>
        <w:spacing w:after="120"/>
        <w:rPr>
          <w:color w:val="00B050"/>
          <w:sz w:val="16"/>
          <w:szCs w:val="16"/>
          <w:lang w:val="en-US"/>
        </w:rPr>
      </w:pPr>
      <w:r w:rsidRPr="00C9465D">
        <w:rPr>
          <w:rStyle w:val="FootnoteReference"/>
          <w:rFonts w:eastAsia="Calibri"/>
          <w:sz w:val="16"/>
          <w:szCs w:val="16"/>
          <w:lang w:val="en-US"/>
        </w:rPr>
        <w:footnoteRef/>
      </w:r>
      <w:r w:rsidRPr="00C9465D">
        <w:rPr>
          <w:sz w:val="16"/>
          <w:szCs w:val="16"/>
        </w:rPr>
        <w:t xml:space="preserve"> </w:t>
      </w:r>
      <w:r w:rsidRPr="00C9465D">
        <w:rPr>
          <w:sz w:val="16"/>
          <w:szCs w:val="16"/>
        </w:rPr>
        <w:tab/>
      </w:r>
      <w:r w:rsidR="00E2299F" w:rsidRPr="00C9465D">
        <w:rPr>
          <w:i/>
          <w:sz w:val="16"/>
          <w:szCs w:val="16"/>
        </w:rPr>
        <w:t>Cf.</w:t>
      </w:r>
      <w:r w:rsidRPr="00C9465D">
        <w:rPr>
          <w:i/>
          <w:sz w:val="16"/>
          <w:szCs w:val="16"/>
        </w:rPr>
        <w:t xml:space="preserve"> </w:t>
      </w:r>
      <w:r w:rsidR="00D8466F" w:rsidRPr="00C9465D">
        <w:rPr>
          <w:i/>
          <w:sz w:val="16"/>
          <w:szCs w:val="16"/>
        </w:rPr>
        <w:t>Case of</w:t>
      </w:r>
      <w:r w:rsidRPr="00C9465D">
        <w:rPr>
          <w:i/>
          <w:sz w:val="16"/>
          <w:szCs w:val="16"/>
        </w:rPr>
        <w:t xml:space="preserve"> Velásquez Rodríguez </w:t>
      </w:r>
      <w:r w:rsidR="00193CBB" w:rsidRPr="00C9465D">
        <w:rPr>
          <w:i/>
          <w:sz w:val="16"/>
          <w:szCs w:val="16"/>
        </w:rPr>
        <w:t>v.</w:t>
      </w:r>
      <w:r w:rsidRPr="00C9465D">
        <w:rPr>
          <w:i/>
          <w:sz w:val="16"/>
          <w:szCs w:val="16"/>
        </w:rPr>
        <w:t xml:space="preserve"> Honduras. </w:t>
      </w:r>
      <w:r w:rsidR="00532DEC" w:rsidRPr="00C9465D">
        <w:rPr>
          <w:i/>
          <w:sz w:val="16"/>
          <w:szCs w:val="16"/>
          <w:lang w:val="en-US"/>
        </w:rPr>
        <w:t>Merits</w:t>
      </w:r>
      <w:r w:rsidRPr="00C9465D">
        <w:rPr>
          <w:i/>
          <w:sz w:val="16"/>
          <w:szCs w:val="16"/>
          <w:lang w:val="en-US"/>
        </w:rPr>
        <w:t>,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174,</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Terrones Silva</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w:t>
      </w:r>
      <w:r w:rsidR="001902D2" w:rsidRPr="00C9465D">
        <w:rPr>
          <w:i/>
          <w:sz w:val="16"/>
          <w:szCs w:val="16"/>
          <w:lang w:val="en-US"/>
        </w:rPr>
        <w:t>Peru</w:t>
      </w:r>
      <w:r w:rsidRPr="00C9465D">
        <w:rPr>
          <w:i/>
          <w:sz w:val="16"/>
          <w:szCs w:val="16"/>
          <w:lang w:val="en-US"/>
        </w:rPr>
        <w:t xml:space="preserve">. </w:t>
      </w:r>
      <w:r w:rsidR="00D8466F" w:rsidRPr="00C9465D">
        <w:rPr>
          <w:i/>
          <w:sz w:val="16"/>
          <w:szCs w:val="16"/>
          <w:lang w:val="en-US"/>
        </w:rPr>
        <w:t>Preliminary objections, merits</w:t>
      </w:r>
      <w:r w:rsidR="00193CBB" w:rsidRPr="00C9465D">
        <w:rPr>
          <w:i/>
          <w:sz w:val="16"/>
          <w:szCs w:val="16"/>
          <w:lang w:val="en-US"/>
        </w:rPr>
        <w:t>, reparations and costs</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E336A5" w:rsidRPr="00C9465D">
        <w:rPr>
          <w:sz w:val="16"/>
          <w:szCs w:val="16"/>
          <w:lang w:val="en-US"/>
        </w:rPr>
        <w:t>September 26,</w:t>
      </w:r>
      <w:r w:rsidRPr="00C9465D">
        <w:rPr>
          <w:sz w:val="16"/>
          <w:szCs w:val="16"/>
          <w:lang w:val="en-US"/>
        </w:rPr>
        <w:t xml:space="preserve"> 2018. </w:t>
      </w:r>
      <w:r w:rsidR="00E2299F" w:rsidRPr="00C9465D">
        <w:rPr>
          <w:sz w:val="16"/>
          <w:szCs w:val="16"/>
          <w:lang w:val="en-US"/>
        </w:rPr>
        <w:t xml:space="preserve">Series </w:t>
      </w:r>
      <w:r w:rsidRPr="00C9465D">
        <w:rPr>
          <w:sz w:val="16"/>
          <w:szCs w:val="16"/>
          <w:lang w:val="en-US"/>
        </w:rPr>
        <w:t xml:space="preserve">C No. 360, </w:t>
      </w:r>
      <w:r w:rsidR="00D8466F" w:rsidRPr="00C9465D">
        <w:rPr>
          <w:sz w:val="16"/>
          <w:szCs w:val="16"/>
          <w:lang w:val="en-US"/>
        </w:rPr>
        <w:t>para.</w:t>
      </w:r>
      <w:r w:rsidRPr="00C9465D">
        <w:rPr>
          <w:sz w:val="16"/>
          <w:szCs w:val="16"/>
          <w:lang w:val="en-US"/>
        </w:rPr>
        <w:t xml:space="preserve"> 203.</w:t>
      </w:r>
    </w:p>
  </w:footnote>
  <w:footnote w:id="319">
    <w:p w14:paraId="7C63B593" w14:textId="4C4A4186" w:rsidR="00300482" w:rsidRPr="00C9465D" w:rsidRDefault="00300482" w:rsidP="00BD26CF">
      <w:pPr>
        <w:pStyle w:val="FootnoteText"/>
        <w:tabs>
          <w:tab w:val="left" w:pos="567"/>
        </w:tabs>
        <w:spacing w:after="120"/>
        <w:rPr>
          <w:sz w:val="16"/>
          <w:szCs w:val="16"/>
        </w:rPr>
      </w:pPr>
      <w:r w:rsidRPr="00C9465D">
        <w:rPr>
          <w:rStyle w:val="FootnoteReference"/>
          <w:rFonts w:eastAsia="Calibri"/>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Tiu Tojin </w:t>
      </w:r>
      <w:r w:rsidR="00193CBB" w:rsidRPr="00C9465D">
        <w:rPr>
          <w:i/>
          <w:sz w:val="16"/>
          <w:szCs w:val="16"/>
          <w:lang w:val="en-US"/>
        </w:rPr>
        <w:t>v.</w:t>
      </w:r>
      <w:r w:rsidRPr="00C9465D">
        <w:rPr>
          <w:i/>
          <w:sz w:val="16"/>
          <w:szCs w:val="16"/>
          <w:lang w:val="en-US"/>
        </w:rPr>
        <w:t xml:space="preserve"> Guatemala. </w:t>
      </w:r>
      <w:r w:rsidR="00193CBB" w:rsidRPr="00C9465D">
        <w:rPr>
          <w:i/>
          <w:sz w:val="16"/>
          <w:szCs w:val="16"/>
          <w:lang w:val="en-US"/>
        </w:rPr>
        <w:t>Merits, reparations and costs</w:t>
      </w:r>
      <w:r w:rsidRPr="00C9465D">
        <w:rPr>
          <w:i/>
          <w:sz w:val="16"/>
          <w:szCs w:val="16"/>
          <w:lang w:val="en-US"/>
        </w:rPr>
        <w:t>.</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E336A5" w:rsidRPr="00C9465D">
        <w:rPr>
          <w:sz w:val="16"/>
          <w:szCs w:val="16"/>
          <w:lang w:val="en-US"/>
        </w:rPr>
        <w:t>November 26,</w:t>
      </w:r>
      <w:r w:rsidRPr="00C9465D">
        <w:rPr>
          <w:sz w:val="16"/>
          <w:szCs w:val="16"/>
          <w:lang w:val="en-US"/>
        </w:rPr>
        <w:t xml:space="preserve"> 2008. </w:t>
      </w:r>
      <w:r w:rsidR="00E2299F" w:rsidRPr="00C9465D">
        <w:rPr>
          <w:sz w:val="16"/>
          <w:szCs w:val="16"/>
        </w:rPr>
        <w:t xml:space="preserve">Series </w:t>
      </w:r>
      <w:r w:rsidRPr="00C9465D">
        <w:rPr>
          <w:sz w:val="16"/>
          <w:szCs w:val="16"/>
        </w:rPr>
        <w:t xml:space="preserve">C No. 253, </w:t>
      </w:r>
      <w:r w:rsidR="00D8466F" w:rsidRPr="00C9465D">
        <w:rPr>
          <w:sz w:val="16"/>
          <w:szCs w:val="16"/>
        </w:rPr>
        <w:t>para.</w:t>
      </w:r>
      <w:r w:rsidRPr="00C9465D">
        <w:rPr>
          <w:sz w:val="16"/>
          <w:szCs w:val="16"/>
        </w:rPr>
        <w:t xml:space="preserve"> 327,</w:t>
      </w:r>
      <w:r w:rsidR="00193CBB" w:rsidRPr="00C9465D">
        <w:rPr>
          <w:sz w:val="16"/>
          <w:szCs w:val="16"/>
        </w:rPr>
        <w:t xml:space="preserve"> and </w:t>
      </w:r>
      <w:r w:rsidR="00D8466F" w:rsidRPr="00C9465D">
        <w:rPr>
          <w:i/>
          <w:sz w:val="16"/>
          <w:szCs w:val="16"/>
        </w:rPr>
        <w:t>Case of</w:t>
      </w:r>
      <w:r w:rsidRPr="00C9465D">
        <w:rPr>
          <w:i/>
          <w:sz w:val="16"/>
          <w:szCs w:val="16"/>
        </w:rPr>
        <w:t xml:space="preserve"> </w:t>
      </w:r>
      <w:proofErr w:type="spellStart"/>
      <w:r w:rsidRPr="00C9465D">
        <w:rPr>
          <w:i/>
          <w:sz w:val="16"/>
          <w:szCs w:val="16"/>
        </w:rPr>
        <w:t>Munárriz</w:t>
      </w:r>
      <w:proofErr w:type="spellEnd"/>
      <w:r w:rsidRPr="00C9465D">
        <w:rPr>
          <w:i/>
          <w:sz w:val="16"/>
          <w:szCs w:val="16"/>
        </w:rPr>
        <w:t xml:space="preserve"> Escobar</w:t>
      </w:r>
      <w:r w:rsidR="00193CBB" w:rsidRPr="00C9465D">
        <w:rPr>
          <w:i/>
          <w:sz w:val="16"/>
          <w:szCs w:val="16"/>
        </w:rPr>
        <w:t xml:space="preserve"> </w:t>
      </w:r>
      <w:r w:rsidR="00D8466F" w:rsidRPr="00C9465D">
        <w:rPr>
          <w:i/>
          <w:sz w:val="16"/>
          <w:szCs w:val="16"/>
        </w:rPr>
        <w:t>et al. v.</w:t>
      </w:r>
      <w:r w:rsidRPr="00C9465D">
        <w:rPr>
          <w:i/>
          <w:sz w:val="16"/>
          <w:szCs w:val="16"/>
        </w:rPr>
        <w:t xml:space="preserve"> </w:t>
      </w:r>
      <w:proofErr w:type="spellStart"/>
      <w:r w:rsidR="001902D2" w:rsidRPr="00C9465D">
        <w:rPr>
          <w:i/>
          <w:sz w:val="16"/>
          <w:szCs w:val="16"/>
        </w:rPr>
        <w:t>Peru</w:t>
      </w:r>
      <w:proofErr w:type="spellEnd"/>
      <w:r w:rsidRPr="00C9465D">
        <w:rPr>
          <w:i/>
          <w:sz w:val="16"/>
          <w:szCs w:val="16"/>
        </w:rPr>
        <w:t>, supra</w:t>
      </w:r>
      <w:r w:rsidRPr="00C9465D">
        <w:rPr>
          <w:sz w:val="16"/>
          <w:szCs w:val="16"/>
        </w:rPr>
        <w:t xml:space="preserve">, </w:t>
      </w:r>
      <w:r w:rsidR="00D8466F" w:rsidRPr="00C9465D">
        <w:rPr>
          <w:sz w:val="16"/>
          <w:szCs w:val="16"/>
        </w:rPr>
        <w:t>para.</w:t>
      </w:r>
      <w:r w:rsidRPr="00C9465D">
        <w:rPr>
          <w:sz w:val="16"/>
          <w:szCs w:val="16"/>
        </w:rPr>
        <w:t xml:space="preserve"> 97</w:t>
      </w:r>
      <w:r w:rsidRPr="00C9465D">
        <w:rPr>
          <w:i/>
          <w:sz w:val="16"/>
          <w:szCs w:val="16"/>
        </w:rPr>
        <w:t>.</w:t>
      </w:r>
    </w:p>
  </w:footnote>
  <w:footnote w:id="320">
    <w:p w14:paraId="1839B068" w14:textId="2623E724" w:rsidR="00300482" w:rsidRPr="00C9465D" w:rsidRDefault="00300482" w:rsidP="00BD26CF">
      <w:pPr>
        <w:tabs>
          <w:tab w:val="left" w:pos="567"/>
        </w:tabs>
        <w:autoSpaceDE w:val="0"/>
        <w:autoSpaceDN w:val="0"/>
        <w:adjustRightInd w:val="0"/>
        <w:spacing w:after="120" w:line="240" w:lineRule="auto"/>
        <w:jc w:val="both"/>
        <w:rPr>
          <w:rFonts w:ascii="Verdana" w:hAnsi="Verdana"/>
          <w:i/>
          <w:iCs/>
          <w:spacing w:val="-4"/>
          <w:sz w:val="16"/>
          <w:szCs w:val="16"/>
        </w:rPr>
      </w:pPr>
      <w:r w:rsidRPr="00C9465D">
        <w:rPr>
          <w:rStyle w:val="FootnoteReference"/>
          <w:rFonts w:ascii="Verdana" w:eastAsia="Calibri" w:hAnsi="Verdana"/>
          <w:spacing w:val="-4"/>
          <w:sz w:val="16"/>
          <w:szCs w:val="16"/>
          <w:lang w:val="en-US"/>
        </w:rPr>
        <w:footnoteRef/>
      </w:r>
      <w:r w:rsidRPr="00C9465D">
        <w:rPr>
          <w:rFonts w:ascii="Verdana" w:hAnsi="Verdana"/>
          <w:spacing w:val="-4"/>
          <w:sz w:val="16"/>
          <w:szCs w:val="16"/>
        </w:rPr>
        <w:t xml:space="preserve"> </w:t>
      </w:r>
      <w:r w:rsidRPr="00C9465D">
        <w:rPr>
          <w:rFonts w:ascii="Verdana" w:hAnsi="Verdana"/>
          <w:spacing w:val="-4"/>
          <w:sz w:val="16"/>
          <w:szCs w:val="16"/>
        </w:rPr>
        <w:tab/>
      </w:r>
      <w:r w:rsidR="00E2299F" w:rsidRPr="00C9465D">
        <w:rPr>
          <w:rFonts w:ascii="Verdana" w:hAnsi="Verdana"/>
          <w:i/>
          <w:spacing w:val="-4"/>
          <w:sz w:val="16"/>
          <w:szCs w:val="16"/>
        </w:rPr>
        <w:t>Cf.</w:t>
      </w:r>
      <w:r w:rsidRPr="00C9465D">
        <w:rPr>
          <w:rFonts w:ascii="Verdana" w:hAnsi="Verdana"/>
          <w:spacing w:val="-4"/>
          <w:sz w:val="16"/>
          <w:szCs w:val="16"/>
        </w:rPr>
        <w:t xml:space="preserve"> </w:t>
      </w:r>
      <w:r w:rsidR="00D8466F" w:rsidRPr="00C9465D">
        <w:rPr>
          <w:rFonts w:ascii="Verdana" w:hAnsi="Verdana"/>
          <w:i/>
          <w:sz w:val="16"/>
          <w:szCs w:val="16"/>
        </w:rPr>
        <w:t>Case of</w:t>
      </w:r>
      <w:r w:rsidRPr="00C9465D">
        <w:rPr>
          <w:rFonts w:ascii="Verdana" w:hAnsi="Verdana"/>
          <w:i/>
          <w:sz w:val="16"/>
          <w:szCs w:val="16"/>
        </w:rPr>
        <w:t xml:space="preserve"> Velásquez Rodríguez </w:t>
      </w:r>
      <w:r w:rsidR="00193CBB" w:rsidRPr="00C9465D">
        <w:rPr>
          <w:rFonts w:ascii="Verdana" w:hAnsi="Verdana"/>
          <w:i/>
          <w:sz w:val="16"/>
          <w:szCs w:val="16"/>
        </w:rPr>
        <w:t>v.</w:t>
      </w:r>
      <w:r w:rsidRPr="00C9465D">
        <w:rPr>
          <w:rFonts w:ascii="Verdana" w:hAnsi="Verdana"/>
          <w:i/>
          <w:sz w:val="16"/>
          <w:szCs w:val="16"/>
        </w:rPr>
        <w:t xml:space="preserve"> Honduras. </w:t>
      </w:r>
      <w:proofErr w:type="spellStart"/>
      <w:r w:rsidR="00532DEC" w:rsidRPr="00C9465D">
        <w:rPr>
          <w:rFonts w:ascii="Verdana" w:hAnsi="Verdana"/>
          <w:i/>
          <w:sz w:val="16"/>
          <w:szCs w:val="16"/>
        </w:rPr>
        <w:t>Merits</w:t>
      </w:r>
      <w:proofErr w:type="spellEnd"/>
      <w:r w:rsidRPr="00C9465D">
        <w:rPr>
          <w:rFonts w:ascii="Verdana" w:hAnsi="Verdana"/>
          <w:i/>
          <w:sz w:val="16"/>
          <w:szCs w:val="16"/>
        </w:rPr>
        <w:t>, supra</w:t>
      </w:r>
      <w:r w:rsidRPr="00C9465D">
        <w:rPr>
          <w:rFonts w:ascii="Verdana" w:hAnsi="Verdana"/>
          <w:i/>
          <w:spacing w:val="-4"/>
          <w:sz w:val="16"/>
          <w:szCs w:val="16"/>
        </w:rPr>
        <w:t xml:space="preserve">, </w:t>
      </w:r>
      <w:r w:rsidR="00D8466F" w:rsidRPr="00C9465D">
        <w:rPr>
          <w:rFonts w:ascii="Verdana" w:hAnsi="Verdana" w:cs="GillSans-Light"/>
          <w:spacing w:val="-4"/>
          <w:sz w:val="16"/>
          <w:szCs w:val="16"/>
        </w:rPr>
        <w:t>para.</w:t>
      </w:r>
      <w:r w:rsidRPr="00C9465D">
        <w:rPr>
          <w:rFonts w:ascii="Verdana" w:hAnsi="Verdana" w:cs="GillSans-Light"/>
          <w:spacing w:val="-4"/>
          <w:sz w:val="16"/>
          <w:szCs w:val="16"/>
        </w:rPr>
        <w:t xml:space="preserve"> 177,</w:t>
      </w:r>
      <w:r w:rsidR="00193CBB" w:rsidRPr="00C9465D">
        <w:rPr>
          <w:rFonts w:ascii="Verdana" w:hAnsi="Verdana" w:cs="GillSans-Light"/>
          <w:spacing w:val="-4"/>
          <w:sz w:val="16"/>
          <w:szCs w:val="16"/>
        </w:rPr>
        <w:t xml:space="preserve"> and </w:t>
      </w:r>
      <w:r w:rsidR="00D8466F" w:rsidRPr="00C9465D">
        <w:rPr>
          <w:rFonts w:ascii="Verdana" w:hAnsi="Verdana"/>
          <w:i/>
          <w:sz w:val="16"/>
          <w:szCs w:val="16"/>
        </w:rPr>
        <w:t>Case of</w:t>
      </w:r>
      <w:r w:rsidRPr="00C9465D">
        <w:rPr>
          <w:rFonts w:ascii="Verdana" w:hAnsi="Verdana"/>
          <w:i/>
          <w:sz w:val="16"/>
          <w:szCs w:val="16"/>
        </w:rPr>
        <w:t xml:space="preserve"> </w:t>
      </w:r>
      <w:proofErr w:type="spellStart"/>
      <w:r w:rsidRPr="00C9465D">
        <w:rPr>
          <w:rFonts w:ascii="Verdana" w:hAnsi="Verdana"/>
          <w:i/>
          <w:sz w:val="16"/>
          <w:szCs w:val="16"/>
        </w:rPr>
        <w:t>Munárriz</w:t>
      </w:r>
      <w:proofErr w:type="spellEnd"/>
      <w:r w:rsidRPr="00C9465D">
        <w:rPr>
          <w:rFonts w:ascii="Verdana" w:hAnsi="Verdana"/>
          <w:i/>
          <w:sz w:val="16"/>
          <w:szCs w:val="16"/>
        </w:rPr>
        <w:t xml:space="preserve"> Escobar</w:t>
      </w:r>
      <w:r w:rsidR="00193CBB" w:rsidRPr="00C9465D">
        <w:rPr>
          <w:rFonts w:ascii="Verdana" w:hAnsi="Verdana"/>
          <w:i/>
          <w:sz w:val="16"/>
          <w:szCs w:val="16"/>
        </w:rPr>
        <w:t xml:space="preserve"> </w:t>
      </w:r>
      <w:r w:rsidR="00D8466F" w:rsidRPr="00C9465D">
        <w:rPr>
          <w:rFonts w:ascii="Verdana" w:hAnsi="Verdana"/>
          <w:i/>
          <w:sz w:val="16"/>
          <w:szCs w:val="16"/>
        </w:rPr>
        <w:t>et al. v.</w:t>
      </w:r>
      <w:r w:rsidRPr="00C9465D">
        <w:rPr>
          <w:rFonts w:ascii="Verdana" w:hAnsi="Verdana"/>
          <w:i/>
          <w:sz w:val="16"/>
          <w:szCs w:val="16"/>
        </w:rPr>
        <w:t xml:space="preserve"> </w:t>
      </w:r>
      <w:proofErr w:type="spellStart"/>
      <w:r w:rsidR="001902D2" w:rsidRPr="00C9465D">
        <w:rPr>
          <w:rFonts w:ascii="Verdana" w:hAnsi="Verdana"/>
          <w:i/>
          <w:sz w:val="16"/>
          <w:szCs w:val="16"/>
        </w:rPr>
        <w:t>Peru</w:t>
      </w:r>
      <w:proofErr w:type="spellEnd"/>
      <w:r w:rsidRPr="00C9465D">
        <w:rPr>
          <w:rFonts w:ascii="Verdana" w:hAnsi="Verdana"/>
          <w:i/>
          <w:sz w:val="16"/>
          <w:szCs w:val="16"/>
        </w:rPr>
        <w:t>, supra</w:t>
      </w:r>
      <w:r w:rsidRPr="00C9465D">
        <w:rPr>
          <w:rFonts w:ascii="Verdana" w:hAnsi="Verdana"/>
          <w:sz w:val="16"/>
          <w:szCs w:val="16"/>
        </w:rPr>
        <w:t xml:space="preserve">, </w:t>
      </w:r>
      <w:r w:rsidR="00D8466F" w:rsidRPr="00C9465D">
        <w:rPr>
          <w:rFonts w:ascii="Verdana" w:hAnsi="Verdana"/>
          <w:sz w:val="16"/>
          <w:szCs w:val="16"/>
        </w:rPr>
        <w:t>para.</w:t>
      </w:r>
      <w:r w:rsidRPr="00C9465D">
        <w:rPr>
          <w:rFonts w:ascii="Verdana" w:hAnsi="Verdana"/>
          <w:sz w:val="16"/>
          <w:szCs w:val="16"/>
        </w:rPr>
        <w:t xml:space="preserve"> 98.</w:t>
      </w:r>
    </w:p>
  </w:footnote>
  <w:footnote w:id="321">
    <w:p w14:paraId="78313DC0" w14:textId="1393BB2C" w:rsidR="00300482" w:rsidRPr="00C9465D" w:rsidRDefault="00300482" w:rsidP="00BD26CF">
      <w:pPr>
        <w:tabs>
          <w:tab w:val="left" w:pos="567"/>
        </w:tabs>
        <w:autoSpaceDE w:val="0"/>
        <w:autoSpaceDN w:val="0"/>
        <w:adjustRightInd w:val="0"/>
        <w:spacing w:after="120" w:line="240" w:lineRule="auto"/>
        <w:jc w:val="both"/>
        <w:rPr>
          <w:rFonts w:ascii="Verdana" w:hAnsi="Verdana"/>
          <w:i/>
          <w:iCs/>
          <w:spacing w:val="-4"/>
          <w:sz w:val="16"/>
          <w:szCs w:val="16"/>
          <w:lang w:val="en-US"/>
        </w:rPr>
      </w:pPr>
      <w:r w:rsidRPr="00C9465D">
        <w:rPr>
          <w:rStyle w:val="FootnoteReference"/>
          <w:rFonts w:ascii="Verdana" w:eastAsia="Calibri" w:hAnsi="Verdana"/>
          <w:spacing w:val="-4"/>
          <w:sz w:val="16"/>
          <w:szCs w:val="16"/>
          <w:lang w:val="en-US"/>
        </w:rPr>
        <w:footnoteRef/>
      </w:r>
      <w:r w:rsidRPr="00C9465D">
        <w:rPr>
          <w:rFonts w:ascii="Verdana" w:hAnsi="Verdana"/>
          <w:spacing w:val="-4"/>
          <w:sz w:val="16"/>
          <w:szCs w:val="16"/>
        </w:rPr>
        <w:t xml:space="preserve"> </w:t>
      </w:r>
      <w:r w:rsidRPr="00C9465D">
        <w:rPr>
          <w:rFonts w:ascii="Verdana" w:hAnsi="Verdana"/>
          <w:spacing w:val="-4"/>
          <w:sz w:val="16"/>
          <w:szCs w:val="16"/>
        </w:rPr>
        <w:tab/>
      </w:r>
      <w:r w:rsidR="00E2299F" w:rsidRPr="00C9465D">
        <w:rPr>
          <w:rFonts w:ascii="Verdana" w:hAnsi="Verdana"/>
          <w:i/>
          <w:iCs/>
          <w:spacing w:val="-4"/>
          <w:sz w:val="16"/>
          <w:szCs w:val="16"/>
        </w:rPr>
        <w:t>Cf.</w:t>
      </w:r>
      <w:r w:rsidRPr="00C9465D">
        <w:rPr>
          <w:rFonts w:ascii="Verdana" w:hAnsi="Verdana"/>
          <w:bCs/>
          <w:i/>
          <w:spacing w:val="-4"/>
          <w:sz w:val="16"/>
          <w:szCs w:val="16"/>
        </w:rPr>
        <w:t xml:space="preserve"> </w:t>
      </w:r>
      <w:r w:rsidR="00D8466F" w:rsidRPr="00C9465D">
        <w:rPr>
          <w:rFonts w:ascii="Verdana" w:hAnsi="Verdana"/>
          <w:i/>
          <w:spacing w:val="-4"/>
          <w:sz w:val="16"/>
          <w:szCs w:val="16"/>
        </w:rPr>
        <w:t xml:space="preserve">Case </w:t>
      </w:r>
      <w:r w:rsidR="006758E3" w:rsidRPr="00C9465D">
        <w:rPr>
          <w:rFonts w:ascii="Verdana" w:hAnsi="Verdana"/>
          <w:i/>
          <w:spacing w:val="-4"/>
          <w:sz w:val="16"/>
          <w:szCs w:val="16"/>
        </w:rPr>
        <w:t xml:space="preserve">of the </w:t>
      </w:r>
      <w:r w:rsidR="00E336A5" w:rsidRPr="00C9465D">
        <w:rPr>
          <w:rFonts w:ascii="Verdana" w:hAnsi="Verdana"/>
          <w:i/>
          <w:spacing w:val="-4"/>
          <w:sz w:val="16"/>
          <w:szCs w:val="16"/>
        </w:rPr>
        <w:t>Pueblo Bello</w:t>
      </w:r>
      <w:r w:rsidR="006758E3" w:rsidRPr="00C9465D">
        <w:rPr>
          <w:rFonts w:ascii="Verdana" w:hAnsi="Verdana"/>
          <w:i/>
          <w:spacing w:val="-4"/>
          <w:sz w:val="16"/>
          <w:szCs w:val="16"/>
        </w:rPr>
        <w:t xml:space="preserve"> </w:t>
      </w:r>
      <w:proofErr w:type="spellStart"/>
      <w:r w:rsidR="006758E3" w:rsidRPr="00C9465D">
        <w:rPr>
          <w:rFonts w:ascii="Verdana" w:hAnsi="Verdana"/>
          <w:i/>
          <w:spacing w:val="-4"/>
          <w:sz w:val="16"/>
          <w:szCs w:val="16"/>
        </w:rPr>
        <w:t>Massacre</w:t>
      </w:r>
      <w:proofErr w:type="spellEnd"/>
      <w:r w:rsidRPr="00C9465D">
        <w:rPr>
          <w:rFonts w:ascii="Verdana" w:hAnsi="Verdana"/>
          <w:i/>
          <w:spacing w:val="-4"/>
          <w:sz w:val="16"/>
          <w:szCs w:val="16"/>
        </w:rPr>
        <w:t xml:space="preserve"> </w:t>
      </w:r>
      <w:r w:rsidR="00193CBB" w:rsidRPr="00C9465D">
        <w:rPr>
          <w:rFonts w:ascii="Verdana" w:hAnsi="Verdana"/>
          <w:i/>
          <w:spacing w:val="-4"/>
          <w:sz w:val="16"/>
          <w:szCs w:val="16"/>
        </w:rPr>
        <w:t>v.</w:t>
      </w:r>
      <w:r w:rsidRPr="00C9465D">
        <w:rPr>
          <w:rFonts w:ascii="Verdana" w:hAnsi="Verdana"/>
          <w:i/>
          <w:spacing w:val="-4"/>
          <w:sz w:val="16"/>
          <w:szCs w:val="16"/>
        </w:rPr>
        <w:t xml:space="preserve"> Colombia</w:t>
      </w:r>
      <w:r w:rsidRPr="00C9465D">
        <w:rPr>
          <w:rFonts w:ascii="Verdana" w:hAnsi="Verdana"/>
          <w:spacing w:val="-4"/>
          <w:sz w:val="16"/>
          <w:szCs w:val="16"/>
        </w:rPr>
        <w:t xml:space="preserve">, </w:t>
      </w:r>
      <w:r w:rsidRPr="00C9465D">
        <w:rPr>
          <w:rFonts w:ascii="Verdana" w:hAnsi="Verdana"/>
          <w:i/>
          <w:spacing w:val="-4"/>
          <w:sz w:val="16"/>
          <w:szCs w:val="16"/>
        </w:rPr>
        <w:t>supra</w:t>
      </w:r>
      <w:r w:rsidRPr="00C9465D">
        <w:rPr>
          <w:rFonts w:ascii="Verdana" w:hAnsi="Verdana"/>
          <w:spacing w:val="-4"/>
          <w:sz w:val="16"/>
          <w:szCs w:val="16"/>
        </w:rPr>
        <w:t xml:space="preserve">, </w:t>
      </w:r>
      <w:r w:rsidR="00D8466F" w:rsidRPr="00C9465D">
        <w:rPr>
          <w:rFonts w:ascii="Verdana" w:hAnsi="Verdana"/>
          <w:spacing w:val="-4"/>
          <w:sz w:val="16"/>
          <w:szCs w:val="16"/>
        </w:rPr>
        <w:t>para.</w:t>
      </w:r>
      <w:r w:rsidRPr="00C9465D">
        <w:rPr>
          <w:rFonts w:ascii="Verdana" w:hAnsi="Verdana"/>
          <w:spacing w:val="-4"/>
          <w:sz w:val="16"/>
          <w:szCs w:val="16"/>
        </w:rPr>
        <w:t xml:space="preserve"> 145,</w:t>
      </w:r>
      <w:r w:rsidR="00193CBB" w:rsidRPr="00C9465D">
        <w:rPr>
          <w:rFonts w:ascii="Verdana" w:hAnsi="Verdana"/>
          <w:spacing w:val="-4"/>
          <w:sz w:val="16"/>
          <w:szCs w:val="16"/>
        </w:rPr>
        <w:t xml:space="preserve"> and </w:t>
      </w:r>
      <w:r w:rsidR="00D8466F" w:rsidRPr="00C9465D">
        <w:rPr>
          <w:rFonts w:ascii="Verdana" w:hAnsi="Verdana"/>
          <w:i/>
          <w:sz w:val="16"/>
          <w:szCs w:val="16"/>
        </w:rPr>
        <w:t>Case of</w:t>
      </w:r>
      <w:r w:rsidRPr="00C9465D">
        <w:rPr>
          <w:rFonts w:ascii="Verdana" w:hAnsi="Verdana"/>
          <w:i/>
          <w:sz w:val="16"/>
          <w:szCs w:val="16"/>
        </w:rPr>
        <w:t xml:space="preserve"> </w:t>
      </w:r>
      <w:proofErr w:type="spellStart"/>
      <w:r w:rsidRPr="00C9465D">
        <w:rPr>
          <w:rFonts w:ascii="Verdana" w:hAnsi="Verdana"/>
          <w:i/>
          <w:sz w:val="16"/>
          <w:szCs w:val="16"/>
        </w:rPr>
        <w:t>Munárriz</w:t>
      </w:r>
      <w:proofErr w:type="spellEnd"/>
      <w:r w:rsidRPr="00C9465D">
        <w:rPr>
          <w:rFonts w:ascii="Verdana" w:hAnsi="Verdana"/>
          <w:i/>
          <w:sz w:val="16"/>
          <w:szCs w:val="16"/>
        </w:rPr>
        <w:t xml:space="preserve"> Escobar</w:t>
      </w:r>
      <w:r w:rsidR="00193CBB" w:rsidRPr="00C9465D">
        <w:rPr>
          <w:rFonts w:ascii="Verdana" w:hAnsi="Verdana"/>
          <w:i/>
          <w:sz w:val="16"/>
          <w:szCs w:val="16"/>
        </w:rPr>
        <w:t xml:space="preserve"> </w:t>
      </w:r>
      <w:r w:rsidR="00D8466F" w:rsidRPr="00C9465D">
        <w:rPr>
          <w:rFonts w:ascii="Verdana" w:hAnsi="Verdana"/>
          <w:i/>
          <w:sz w:val="16"/>
          <w:szCs w:val="16"/>
        </w:rPr>
        <w:t>et al. v.</w:t>
      </w:r>
      <w:r w:rsidRPr="00C9465D">
        <w:rPr>
          <w:rFonts w:ascii="Verdana" w:hAnsi="Verdana"/>
          <w:i/>
          <w:sz w:val="16"/>
          <w:szCs w:val="16"/>
        </w:rPr>
        <w:t xml:space="preserve"> </w:t>
      </w:r>
      <w:proofErr w:type="spellStart"/>
      <w:r w:rsidR="001902D2" w:rsidRPr="00C9465D">
        <w:rPr>
          <w:rFonts w:ascii="Verdana" w:hAnsi="Verdana"/>
          <w:i/>
          <w:sz w:val="16"/>
          <w:szCs w:val="16"/>
        </w:rPr>
        <w:t>Peru</w:t>
      </w:r>
      <w:proofErr w:type="spellEnd"/>
      <w:r w:rsidRPr="00C9465D">
        <w:rPr>
          <w:rFonts w:ascii="Verdana" w:hAnsi="Verdana"/>
          <w:i/>
          <w:sz w:val="16"/>
          <w:szCs w:val="16"/>
        </w:rPr>
        <w:t>, supra</w:t>
      </w:r>
      <w:r w:rsidRPr="00C9465D">
        <w:rPr>
          <w:rFonts w:ascii="Verdana" w:hAnsi="Verdana"/>
          <w:sz w:val="16"/>
          <w:szCs w:val="16"/>
        </w:rPr>
        <w:t xml:space="preserve">, </w:t>
      </w:r>
      <w:r w:rsidR="00D8466F" w:rsidRPr="00C9465D">
        <w:rPr>
          <w:rFonts w:ascii="Verdana" w:hAnsi="Verdana"/>
          <w:sz w:val="16"/>
          <w:szCs w:val="16"/>
        </w:rPr>
        <w:t>para.</w:t>
      </w:r>
      <w:r w:rsidRPr="00C9465D">
        <w:rPr>
          <w:rFonts w:ascii="Verdana" w:hAnsi="Verdana"/>
          <w:sz w:val="16"/>
          <w:szCs w:val="16"/>
        </w:rPr>
        <w:t xml:space="preserve"> </w:t>
      </w:r>
      <w:r w:rsidRPr="00C9465D">
        <w:rPr>
          <w:rFonts w:ascii="Verdana" w:hAnsi="Verdana"/>
          <w:sz w:val="16"/>
          <w:szCs w:val="16"/>
          <w:lang w:val="en-US"/>
        </w:rPr>
        <w:t>98.</w:t>
      </w:r>
    </w:p>
  </w:footnote>
  <w:footnote w:id="322">
    <w:p w14:paraId="141AE2E4" w14:textId="7A677515" w:rsidR="00300482" w:rsidRPr="00C9465D" w:rsidRDefault="00300482" w:rsidP="00BD26CF">
      <w:pPr>
        <w:tabs>
          <w:tab w:val="left" w:pos="567"/>
        </w:tabs>
        <w:autoSpaceDE w:val="0"/>
        <w:autoSpaceDN w:val="0"/>
        <w:adjustRightInd w:val="0"/>
        <w:spacing w:after="120" w:line="240" w:lineRule="auto"/>
        <w:jc w:val="both"/>
        <w:rPr>
          <w:rFonts w:ascii="Verdana" w:hAnsi="Verdana"/>
          <w:i/>
          <w:iCs/>
          <w:spacing w:val="-4"/>
          <w:sz w:val="16"/>
          <w:szCs w:val="16"/>
          <w:lang w:val="en-US"/>
        </w:rPr>
      </w:pPr>
      <w:r w:rsidRPr="00C9465D">
        <w:rPr>
          <w:rStyle w:val="FootnoteReference"/>
          <w:rFonts w:ascii="Verdana" w:eastAsia="Calibri" w:hAnsi="Verdana"/>
          <w:spacing w:val="-4"/>
          <w:sz w:val="16"/>
          <w:szCs w:val="16"/>
          <w:lang w:val="en-US"/>
        </w:rPr>
        <w:footnoteRef/>
      </w:r>
      <w:r w:rsidRPr="00C9465D">
        <w:rPr>
          <w:rFonts w:ascii="Verdana" w:hAnsi="Verdana"/>
          <w:spacing w:val="-4"/>
          <w:sz w:val="16"/>
          <w:szCs w:val="16"/>
          <w:lang w:val="en-US"/>
        </w:rPr>
        <w:t xml:space="preserve"> </w:t>
      </w:r>
      <w:r w:rsidRPr="00C9465D">
        <w:rPr>
          <w:rFonts w:ascii="Verdana" w:hAnsi="Verdana"/>
          <w:spacing w:val="-4"/>
          <w:sz w:val="16"/>
          <w:szCs w:val="16"/>
          <w:lang w:val="en-US"/>
        </w:rPr>
        <w:tab/>
      </w:r>
      <w:r w:rsidR="00E2299F" w:rsidRPr="00C9465D">
        <w:rPr>
          <w:rFonts w:ascii="Verdana" w:hAnsi="Verdana"/>
          <w:i/>
          <w:spacing w:val="-4"/>
          <w:sz w:val="16"/>
          <w:szCs w:val="16"/>
          <w:lang w:val="en-US"/>
        </w:rPr>
        <w:t>Cf.</w:t>
      </w:r>
      <w:r w:rsidRPr="00C9465D">
        <w:rPr>
          <w:rFonts w:ascii="Verdana" w:hAnsi="Verdana"/>
          <w:i/>
          <w:spacing w:val="-4"/>
          <w:sz w:val="16"/>
          <w:szCs w:val="16"/>
          <w:lang w:val="en-US"/>
        </w:rPr>
        <w:t xml:space="preserve"> </w:t>
      </w:r>
      <w:r w:rsidR="00D8466F" w:rsidRPr="00C9465D">
        <w:rPr>
          <w:rFonts w:ascii="Verdana" w:hAnsi="Verdana"/>
          <w:i/>
          <w:spacing w:val="-4"/>
          <w:sz w:val="16"/>
          <w:szCs w:val="16"/>
          <w:lang w:val="en-US"/>
        </w:rPr>
        <w:t>Case of</w:t>
      </w:r>
      <w:r w:rsidRPr="00C9465D">
        <w:rPr>
          <w:rFonts w:ascii="Verdana" w:hAnsi="Verdana"/>
          <w:i/>
          <w:spacing w:val="-4"/>
          <w:sz w:val="16"/>
          <w:szCs w:val="16"/>
          <w:lang w:val="en-US"/>
        </w:rPr>
        <w:t xml:space="preserve"> Myrna Mack Chang </w:t>
      </w:r>
      <w:r w:rsidR="00193CBB" w:rsidRPr="00C9465D">
        <w:rPr>
          <w:rFonts w:ascii="Verdana" w:hAnsi="Verdana"/>
          <w:i/>
          <w:spacing w:val="-4"/>
          <w:sz w:val="16"/>
          <w:szCs w:val="16"/>
          <w:lang w:val="en-US"/>
        </w:rPr>
        <w:t>v.</w:t>
      </w:r>
      <w:r w:rsidRPr="00C9465D">
        <w:rPr>
          <w:rFonts w:ascii="Verdana" w:hAnsi="Verdana"/>
          <w:i/>
          <w:spacing w:val="-4"/>
          <w:sz w:val="16"/>
          <w:szCs w:val="16"/>
          <w:lang w:val="en-US"/>
        </w:rPr>
        <w:t xml:space="preserve"> Guatemala. </w:t>
      </w:r>
      <w:r w:rsidR="00193CBB" w:rsidRPr="00C9465D">
        <w:rPr>
          <w:rFonts w:ascii="Verdana" w:hAnsi="Verdana"/>
          <w:i/>
          <w:spacing w:val="-4"/>
          <w:sz w:val="16"/>
          <w:szCs w:val="16"/>
          <w:lang w:val="en-US"/>
        </w:rPr>
        <w:t>Merits, reparations and costs</w:t>
      </w:r>
      <w:r w:rsidRPr="00C9465D">
        <w:rPr>
          <w:rFonts w:ascii="Verdana" w:hAnsi="Verdana"/>
          <w:spacing w:val="-4"/>
          <w:sz w:val="16"/>
          <w:szCs w:val="16"/>
          <w:lang w:val="en-US"/>
        </w:rPr>
        <w:t xml:space="preserve">. </w:t>
      </w:r>
      <w:r w:rsidR="00D8466F" w:rsidRPr="00C9465D">
        <w:rPr>
          <w:rFonts w:ascii="Verdana" w:hAnsi="Verdana"/>
          <w:spacing w:val="-4"/>
          <w:sz w:val="16"/>
          <w:szCs w:val="16"/>
          <w:lang w:val="en-US"/>
        </w:rPr>
        <w:t>Judgment of</w:t>
      </w:r>
      <w:r w:rsidRPr="00C9465D">
        <w:rPr>
          <w:rFonts w:ascii="Verdana" w:hAnsi="Verdana"/>
          <w:spacing w:val="-4"/>
          <w:sz w:val="16"/>
          <w:szCs w:val="16"/>
          <w:lang w:val="en-US"/>
        </w:rPr>
        <w:t xml:space="preserve"> </w:t>
      </w:r>
      <w:r w:rsidR="00E336A5" w:rsidRPr="00C9465D">
        <w:rPr>
          <w:rFonts w:ascii="Verdana" w:hAnsi="Verdana"/>
          <w:spacing w:val="-4"/>
          <w:sz w:val="16"/>
          <w:szCs w:val="16"/>
          <w:lang w:val="en-US"/>
        </w:rPr>
        <w:t>November 25,</w:t>
      </w:r>
      <w:r w:rsidRPr="00C9465D">
        <w:rPr>
          <w:rFonts w:ascii="Verdana" w:hAnsi="Verdana"/>
          <w:spacing w:val="-4"/>
          <w:sz w:val="16"/>
          <w:szCs w:val="16"/>
          <w:lang w:val="en-US"/>
        </w:rPr>
        <w:t xml:space="preserve"> 2003. </w:t>
      </w:r>
      <w:r w:rsidR="00E2299F" w:rsidRPr="00C9465D">
        <w:rPr>
          <w:rFonts w:ascii="Verdana" w:hAnsi="Verdana"/>
          <w:spacing w:val="-4"/>
          <w:sz w:val="16"/>
          <w:szCs w:val="16"/>
          <w:lang w:val="en-US"/>
        </w:rPr>
        <w:t xml:space="preserve">Series </w:t>
      </w:r>
      <w:r w:rsidRPr="00C9465D">
        <w:rPr>
          <w:rFonts w:ascii="Verdana" w:hAnsi="Verdana"/>
          <w:spacing w:val="-4"/>
          <w:sz w:val="16"/>
          <w:szCs w:val="16"/>
          <w:lang w:val="en-US"/>
        </w:rPr>
        <w:t xml:space="preserve">C No. 101, </w:t>
      </w:r>
      <w:r w:rsidR="00D8466F" w:rsidRPr="00C9465D">
        <w:rPr>
          <w:rFonts w:ascii="Verdana" w:hAnsi="Verdana"/>
          <w:spacing w:val="-4"/>
          <w:sz w:val="16"/>
          <w:szCs w:val="16"/>
          <w:lang w:val="en-US"/>
        </w:rPr>
        <w:t>para.</w:t>
      </w:r>
      <w:r w:rsidRPr="00C9465D">
        <w:rPr>
          <w:rFonts w:ascii="Verdana" w:hAnsi="Verdana"/>
          <w:spacing w:val="-4"/>
          <w:sz w:val="16"/>
          <w:szCs w:val="16"/>
          <w:lang w:val="en-US"/>
        </w:rPr>
        <w:t xml:space="preserve"> 156,</w:t>
      </w:r>
      <w:r w:rsidR="00193CBB" w:rsidRPr="00C9465D">
        <w:rPr>
          <w:rFonts w:ascii="Verdana" w:hAnsi="Verdana"/>
          <w:spacing w:val="-4"/>
          <w:sz w:val="16"/>
          <w:szCs w:val="16"/>
          <w:lang w:val="en-US"/>
        </w:rPr>
        <w:t xml:space="preserve"> and </w:t>
      </w:r>
      <w:r w:rsidR="00D8466F" w:rsidRPr="00C9465D">
        <w:rPr>
          <w:rFonts w:ascii="Verdana" w:hAnsi="Verdana"/>
          <w:i/>
          <w:sz w:val="16"/>
          <w:szCs w:val="16"/>
          <w:lang w:val="en-US"/>
        </w:rPr>
        <w:t>Case of</w:t>
      </w:r>
      <w:r w:rsidRPr="00C9465D">
        <w:rPr>
          <w:rFonts w:ascii="Verdana" w:hAnsi="Verdana"/>
          <w:i/>
          <w:sz w:val="16"/>
          <w:szCs w:val="16"/>
          <w:lang w:val="en-US"/>
        </w:rPr>
        <w:t xml:space="preserve"> Munárriz Escobar</w:t>
      </w:r>
      <w:r w:rsidR="00193CBB" w:rsidRPr="00C9465D">
        <w:rPr>
          <w:rFonts w:ascii="Verdana" w:hAnsi="Verdana"/>
          <w:i/>
          <w:sz w:val="16"/>
          <w:szCs w:val="16"/>
          <w:lang w:val="en-US"/>
        </w:rPr>
        <w:t xml:space="preserve"> </w:t>
      </w:r>
      <w:r w:rsidR="00D8466F" w:rsidRPr="00C9465D">
        <w:rPr>
          <w:rFonts w:ascii="Verdana" w:hAnsi="Verdana"/>
          <w:i/>
          <w:sz w:val="16"/>
          <w:szCs w:val="16"/>
          <w:lang w:val="en-US"/>
        </w:rPr>
        <w:t>et al. v.</w:t>
      </w:r>
      <w:r w:rsidRPr="00C9465D">
        <w:rPr>
          <w:rFonts w:ascii="Verdana" w:hAnsi="Verdana"/>
          <w:i/>
          <w:sz w:val="16"/>
          <w:szCs w:val="16"/>
          <w:lang w:val="en-US"/>
        </w:rPr>
        <w:t xml:space="preserve"> </w:t>
      </w:r>
      <w:r w:rsidR="001902D2" w:rsidRPr="00C9465D">
        <w:rPr>
          <w:rFonts w:ascii="Verdana" w:hAnsi="Verdana"/>
          <w:i/>
          <w:sz w:val="16"/>
          <w:szCs w:val="16"/>
          <w:lang w:val="en-US"/>
        </w:rPr>
        <w:t>Peru</w:t>
      </w:r>
      <w:r w:rsidRPr="00C9465D">
        <w:rPr>
          <w:rFonts w:ascii="Verdana" w:hAnsi="Verdana"/>
          <w:i/>
          <w:sz w:val="16"/>
          <w:szCs w:val="16"/>
          <w:lang w:val="en-US"/>
        </w:rPr>
        <w:t>, supra</w:t>
      </w:r>
      <w:r w:rsidRPr="00C9465D">
        <w:rPr>
          <w:rFonts w:ascii="Verdana" w:hAnsi="Verdana"/>
          <w:sz w:val="16"/>
          <w:szCs w:val="16"/>
          <w:lang w:val="en-US"/>
        </w:rPr>
        <w:t xml:space="preserve">, </w:t>
      </w:r>
      <w:r w:rsidR="00D8466F" w:rsidRPr="00C9465D">
        <w:rPr>
          <w:rFonts w:ascii="Verdana" w:hAnsi="Verdana"/>
          <w:sz w:val="16"/>
          <w:szCs w:val="16"/>
          <w:lang w:val="en-US"/>
        </w:rPr>
        <w:t>para.</w:t>
      </w:r>
      <w:r w:rsidRPr="00C9465D">
        <w:rPr>
          <w:rFonts w:ascii="Verdana" w:hAnsi="Verdana"/>
          <w:sz w:val="16"/>
          <w:szCs w:val="16"/>
          <w:lang w:val="en-US"/>
        </w:rPr>
        <w:t xml:space="preserve"> 98.</w:t>
      </w:r>
    </w:p>
  </w:footnote>
  <w:footnote w:id="323">
    <w:p w14:paraId="667F0D48" w14:textId="2C1F53CD" w:rsidR="00300482" w:rsidRPr="00C9465D" w:rsidRDefault="00300482" w:rsidP="00BD26CF">
      <w:pPr>
        <w:tabs>
          <w:tab w:val="left" w:pos="567"/>
        </w:tabs>
        <w:autoSpaceDE w:val="0"/>
        <w:autoSpaceDN w:val="0"/>
        <w:adjustRightInd w:val="0"/>
        <w:spacing w:after="120" w:line="240" w:lineRule="auto"/>
        <w:jc w:val="both"/>
        <w:rPr>
          <w:rFonts w:ascii="Verdana" w:hAnsi="Verdana"/>
          <w:i/>
          <w:iCs/>
          <w:spacing w:val="-4"/>
          <w:sz w:val="16"/>
          <w:szCs w:val="16"/>
          <w:lang w:val="en-US"/>
        </w:rPr>
      </w:pPr>
      <w:r w:rsidRPr="00C9465D">
        <w:rPr>
          <w:rStyle w:val="FootnoteReference"/>
          <w:rFonts w:ascii="Verdana" w:eastAsia="Calibri" w:hAnsi="Verdana"/>
          <w:spacing w:val="-4"/>
          <w:sz w:val="16"/>
          <w:szCs w:val="16"/>
          <w:lang w:val="en-US"/>
        </w:rPr>
        <w:footnoteRef/>
      </w:r>
      <w:r w:rsidRPr="00C9465D">
        <w:rPr>
          <w:rFonts w:ascii="Verdana" w:hAnsi="Verdana"/>
          <w:spacing w:val="-4"/>
          <w:sz w:val="16"/>
          <w:szCs w:val="16"/>
          <w:lang w:val="en-US"/>
        </w:rPr>
        <w:t xml:space="preserve"> </w:t>
      </w:r>
      <w:r w:rsidRPr="00C9465D">
        <w:rPr>
          <w:rFonts w:ascii="Verdana" w:hAnsi="Verdana"/>
          <w:spacing w:val="-4"/>
          <w:sz w:val="16"/>
          <w:szCs w:val="16"/>
          <w:lang w:val="en-US"/>
        </w:rPr>
        <w:tab/>
      </w:r>
      <w:r w:rsidR="00E2299F" w:rsidRPr="00C9465D">
        <w:rPr>
          <w:rFonts w:ascii="Verdana" w:hAnsi="Verdana"/>
          <w:i/>
          <w:iCs/>
          <w:spacing w:val="-4"/>
          <w:sz w:val="16"/>
          <w:szCs w:val="16"/>
          <w:lang w:val="en-US"/>
        </w:rPr>
        <w:t>Cf.</w:t>
      </w:r>
      <w:r w:rsidRPr="00C9465D">
        <w:rPr>
          <w:rFonts w:ascii="Verdana" w:hAnsi="Verdana"/>
          <w:i/>
          <w:iCs/>
          <w:spacing w:val="-4"/>
          <w:sz w:val="16"/>
          <w:szCs w:val="16"/>
          <w:lang w:val="en-US"/>
        </w:rPr>
        <w:t xml:space="preserve"> </w:t>
      </w:r>
      <w:r w:rsidR="00D8466F" w:rsidRPr="00C9465D">
        <w:rPr>
          <w:rFonts w:ascii="Verdana" w:hAnsi="Verdana"/>
          <w:i/>
          <w:spacing w:val="-4"/>
          <w:sz w:val="16"/>
          <w:szCs w:val="16"/>
          <w:lang w:val="en-US"/>
        </w:rPr>
        <w:t>Case of</w:t>
      </w:r>
      <w:r w:rsidRPr="00C9465D">
        <w:rPr>
          <w:rFonts w:ascii="Verdana" w:hAnsi="Verdana"/>
          <w:i/>
          <w:spacing w:val="-4"/>
          <w:sz w:val="16"/>
          <w:szCs w:val="16"/>
          <w:lang w:val="en-US"/>
        </w:rPr>
        <w:t xml:space="preserve"> Goiburú</w:t>
      </w:r>
      <w:r w:rsidR="00193CBB" w:rsidRPr="00C9465D">
        <w:rPr>
          <w:rFonts w:ascii="Verdana" w:hAnsi="Verdana"/>
          <w:i/>
          <w:spacing w:val="-4"/>
          <w:sz w:val="16"/>
          <w:szCs w:val="16"/>
          <w:lang w:val="en-US"/>
        </w:rPr>
        <w:t xml:space="preserve"> </w:t>
      </w:r>
      <w:r w:rsidR="00D8466F" w:rsidRPr="00C9465D">
        <w:rPr>
          <w:rFonts w:ascii="Verdana" w:hAnsi="Verdana"/>
          <w:i/>
          <w:spacing w:val="-4"/>
          <w:sz w:val="16"/>
          <w:szCs w:val="16"/>
          <w:lang w:val="en-US"/>
        </w:rPr>
        <w:t>et al. v.</w:t>
      </w:r>
      <w:r w:rsidRPr="00C9465D">
        <w:rPr>
          <w:rFonts w:ascii="Verdana" w:hAnsi="Verdana"/>
          <w:i/>
          <w:spacing w:val="-4"/>
          <w:sz w:val="16"/>
          <w:szCs w:val="16"/>
          <w:lang w:val="en-US"/>
        </w:rPr>
        <w:t xml:space="preserve"> Paraguay. </w:t>
      </w:r>
      <w:r w:rsidR="00193CBB" w:rsidRPr="00C9465D">
        <w:rPr>
          <w:rFonts w:ascii="Verdana" w:hAnsi="Verdana"/>
          <w:i/>
          <w:spacing w:val="-4"/>
          <w:sz w:val="16"/>
          <w:szCs w:val="16"/>
          <w:lang w:val="en-US"/>
        </w:rPr>
        <w:t>Merits, reparations and costs</w:t>
      </w:r>
      <w:r w:rsidRPr="00C9465D">
        <w:rPr>
          <w:rFonts w:ascii="Verdana" w:hAnsi="Verdana"/>
          <w:i/>
          <w:spacing w:val="-4"/>
          <w:sz w:val="16"/>
          <w:szCs w:val="16"/>
          <w:lang w:val="en-US"/>
        </w:rPr>
        <w:t>.</w:t>
      </w:r>
      <w:r w:rsidRPr="00C9465D">
        <w:rPr>
          <w:rFonts w:ascii="Verdana" w:hAnsi="Verdana"/>
          <w:spacing w:val="-4"/>
          <w:sz w:val="16"/>
          <w:szCs w:val="16"/>
          <w:lang w:val="en-US"/>
        </w:rPr>
        <w:t xml:space="preserve"> </w:t>
      </w:r>
      <w:r w:rsidR="00D8466F" w:rsidRPr="00C9465D">
        <w:rPr>
          <w:rFonts w:ascii="Verdana" w:hAnsi="Verdana"/>
          <w:spacing w:val="-4"/>
          <w:sz w:val="16"/>
          <w:szCs w:val="16"/>
          <w:lang w:val="en-US"/>
        </w:rPr>
        <w:t>Judgment of</w:t>
      </w:r>
      <w:r w:rsidRPr="00C9465D">
        <w:rPr>
          <w:rFonts w:ascii="Verdana" w:hAnsi="Verdana"/>
          <w:spacing w:val="-4"/>
          <w:sz w:val="16"/>
          <w:szCs w:val="16"/>
          <w:lang w:val="en-US"/>
        </w:rPr>
        <w:t xml:space="preserve"> </w:t>
      </w:r>
      <w:r w:rsidR="001902D2" w:rsidRPr="00C9465D">
        <w:rPr>
          <w:rFonts w:ascii="Verdana" w:hAnsi="Verdana"/>
          <w:spacing w:val="-4"/>
          <w:sz w:val="16"/>
          <w:szCs w:val="16"/>
          <w:lang w:val="en-US"/>
        </w:rPr>
        <w:t>September 22,</w:t>
      </w:r>
      <w:r w:rsidRPr="00C9465D">
        <w:rPr>
          <w:rFonts w:ascii="Verdana" w:hAnsi="Verdana"/>
          <w:spacing w:val="-4"/>
          <w:sz w:val="16"/>
          <w:szCs w:val="16"/>
          <w:lang w:val="en-US"/>
        </w:rPr>
        <w:t xml:space="preserve"> 2006. </w:t>
      </w:r>
      <w:r w:rsidR="00E2299F" w:rsidRPr="00C9465D">
        <w:rPr>
          <w:rFonts w:ascii="Verdana" w:hAnsi="Verdana"/>
          <w:spacing w:val="-4"/>
          <w:sz w:val="16"/>
          <w:szCs w:val="16"/>
          <w:lang w:val="en-US"/>
        </w:rPr>
        <w:t xml:space="preserve">Series </w:t>
      </w:r>
      <w:r w:rsidRPr="00C9465D">
        <w:rPr>
          <w:rFonts w:ascii="Verdana" w:hAnsi="Verdana"/>
          <w:spacing w:val="-4"/>
          <w:sz w:val="16"/>
          <w:szCs w:val="16"/>
          <w:lang w:val="en-US"/>
        </w:rPr>
        <w:t xml:space="preserve">C No. 153, </w:t>
      </w:r>
      <w:r w:rsidR="00D8466F" w:rsidRPr="00C9465D">
        <w:rPr>
          <w:rFonts w:ascii="Verdana" w:hAnsi="Verdana"/>
          <w:spacing w:val="-4"/>
          <w:sz w:val="16"/>
          <w:szCs w:val="16"/>
          <w:lang w:val="en-US"/>
        </w:rPr>
        <w:t>para.</w:t>
      </w:r>
      <w:r w:rsidRPr="00C9465D">
        <w:rPr>
          <w:rFonts w:ascii="Verdana" w:hAnsi="Verdana"/>
          <w:spacing w:val="-4"/>
          <w:sz w:val="16"/>
          <w:szCs w:val="16"/>
          <w:lang w:val="en-US"/>
        </w:rPr>
        <w:t xml:space="preserve"> 131,</w:t>
      </w:r>
      <w:r w:rsidR="00193CBB" w:rsidRPr="00C9465D">
        <w:rPr>
          <w:rFonts w:ascii="Verdana" w:hAnsi="Verdana"/>
          <w:spacing w:val="-4"/>
          <w:sz w:val="16"/>
          <w:szCs w:val="16"/>
          <w:lang w:val="en-US"/>
        </w:rPr>
        <w:t xml:space="preserve"> and </w:t>
      </w:r>
      <w:r w:rsidR="00D8466F" w:rsidRPr="00C9465D">
        <w:rPr>
          <w:rFonts w:ascii="Verdana" w:hAnsi="Verdana"/>
          <w:i/>
          <w:sz w:val="16"/>
          <w:szCs w:val="16"/>
          <w:lang w:val="en-US"/>
        </w:rPr>
        <w:t xml:space="preserve">Case </w:t>
      </w:r>
      <w:r w:rsidR="00FA5261" w:rsidRPr="00C9465D">
        <w:rPr>
          <w:rFonts w:ascii="Verdana" w:hAnsi="Verdana"/>
          <w:i/>
          <w:sz w:val="16"/>
          <w:szCs w:val="16"/>
          <w:lang w:val="en-US"/>
        </w:rPr>
        <w:t>of the Workers of the Fireworks Factory of Santo</w:t>
      </w:r>
      <w:r w:rsidRPr="00C9465D">
        <w:rPr>
          <w:rFonts w:ascii="Verdana" w:hAnsi="Verdana"/>
          <w:i/>
          <w:sz w:val="16"/>
          <w:szCs w:val="16"/>
          <w:lang w:val="en-US"/>
        </w:rPr>
        <w:t xml:space="preserve"> Antônio de Jesus</w:t>
      </w:r>
      <w:r w:rsidR="00D750CC" w:rsidRPr="00C9465D">
        <w:rPr>
          <w:rFonts w:ascii="Verdana" w:hAnsi="Verdana"/>
          <w:i/>
          <w:sz w:val="16"/>
          <w:szCs w:val="16"/>
          <w:lang w:val="en-US"/>
        </w:rPr>
        <w:t xml:space="preserve"> and their families</w:t>
      </w:r>
      <w:r w:rsidRPr="00C9465D">
        <w:rPr>
          <w:rFonts w:ascii="Verdana" w:hAnsi="Verdana"/>
          <w:i/>
          <w:sz w:val="16"/>
          <w:szCs w:val="16"/>
          <w:lang w:val="en-US"/>
        </w:rPr>
        <w:t xml:space="preserve"> </w:t>
      </w:r>
      <w:r w:rsidR="00193CBB" w:rsidRPr="00C9465D">
        <w:rPr>
          <w:rFonts w:ascii="Verdana" w:hAnsi="Verdana"/>
          <w:i/>
          <w:sz w:val="16"/>
          <w:szCs w:val="16"/>
          <w:lang w:val="en-US"/>
        </w:rPr>
        <w:t>v.</w:t>
      </w:r>
      <w:r w:rsidRPr="00C9465D">
        <w:rPr>
          <w:rFonts w:ascii="Verdana" w:hAnsi="Verdana"/>
          <w:i/>
          <w:sz w:val="16"/>
          <w:szCs w:val="16"/>
          <w:lang w:val="en-US"/>
        </w:rPr>
        <w:t xml:space="preserve"> </w:t>
      </w:r>
      <w:r w:rsidR="00FA5261" w:rsidRPr="00C9465D">
        <w:rPr>
          <w:rFonts w:ascii="Verdana" w:hAnsi="Verdana"/>
          <w:i/>
          <w:sz w:val="16"/>
          <w:szCs w:val="16"/>
          <w:lang w:val="en-US"/>
        </w:rPr>
        <w:t>Brazil</w:t>
      </w:r>
      <w:r w:rsidRPr="00C9465D">
        <w:rPr>
          <w:rFonts w:ascii="Verdana" w:hAnsi="Verdana"/>
          <w:i/>
          <w:sz w:val="16"/>
          <w:szCs w:val="16"/>
          <w:lang w:val="en-US"/>
        </w:rPr>
        <w:t>, supra</w:t>
      </w:r>
      <w:r w:rsidRPr="00C9465D">
        <w:rPr>
          <w:rFonts w:ascii="Verdana" w:hAnsi="Verdana"/>
          <w:sz w:val="16"/>
          <w:szCs w:val="16"/>
          <w:lang w:val="en-US"/>
        </w:rPr>
        <w:t xml:space="preserve">, </w:t>
      </w:r>
      <w:r w:rsidR="00D8466F" w:rsidRPr="00C9465D">
        <w:rPr>
          <w:rFonts w:ascii="Verdana" w:hAnsi="Verdana"/>
          <w:sz w:val="16"/>
          <w:szCs w:val="16"/>
          <w:lang w:val="en-US"/>
        </w:rPr>
        <w:t>para.</w:t>
      </w:r>
      <w:r w:rsidRPr="00C9465D">
        <w:rPr>
          <w:rFonts w:ascii="Verdana" w:hAnsi="Verdana"/>
          <w:sz w:val="16"/>
          <w:szCs w:val="16"/>
          <w:lang w:val="en-US"/>
        </w:rPr>
        <w:t xml:space="preserve"> 220.</w:t>
      </w:r>
    </w:p>
  </w:footnote>
  <w:footnote w:id="324">
    <w:p w14:paraId="0F84621E" w14:textId="6C31FE52" w:rsidR="00300482" w:rsidRPr="00C9465D" w:rsidRDefault="00300482" w:rsidP="00BD26CF">
      <w:pPr>
        <w:pStyle w:val="FootnoteText"/>
        <w:tabs>
          <w:tab w:val="left" w:pos="567"/>
        </w:tabs>
        <w:spacing w:after="120"/>
        <w:rPr>
          <w:sz w:val="16"/>
          <w:szCs w:val="16"/>
        </w:rPr>
      </w:pPr>
      <w:r w:rsidRPr="00C9465D">
        <w:rPr>
          <w:rStyle w:val="FootnoteReference"/>
          <w:rFonts w:eastAsiaTheme="majorEastAsia"/>
          <w:sz w:val="16"/>
          <w:szCs w:val="16"/>
          <w:lang w:val="en-US"/>
        </w:rPr>
        <w:footnoteRef/>
      </w:r>
      <w:r w:rsidRPr="00C9465D">
        <w:rPr>
          <w:sz w:val="16"/>
          <w:szCs w:val="16"/>
          <w:lang w:val="en-US"/>
        </w:rPr>
        <w:t xml:space="preserve"> </w:t>
      </w:r>
      <w:r w:rsidRPr="00C9465D">
        <w:rPr>
          <w:sz w:val="16"/>
          <w:szCs w:val="16"/>
          <w:lang w:val="en-US"/>
        </w:rPr>
        <w:tab/>
      </w:r>
      <w:r w:rsidR="00E2299F" w:rsidRPr="00C9465D">
        <w:rPr>
          <w:i/>
          <w:iCs/>
          <w:sz w:val="16"/>
          <w:szCs w:val="16"/>
          <w:lang w:val="en-US"/>
        </w:rPr>
        <w:t>Cf.</w:t>
      </w:r>
      <w:r w:rsidRPr="00C9465D">
        <w:rPr>
          <w:i/>
          <w:iCs/>
          <w:sz w:val="16"/>
          <w:szCs w:val="16"/>
          <w:lang w:val="en-US"/>
        </w:rPr>
        <w:t xml:space="preserve"> </w:t>
      </w:r>
      <w:r w:rsidR="00D8466F" w:rsidRPr="00C9465D">
        <w:rPr>
          <w:i/>
          <w:iCs/>
          <w:sz w:val="16"/>
          <w:szCs w:val="16"/>
          <w:lang w:val="en-US"/>
        </w:rPr>
        <w:t>Case of</w:t>
      </w:r>
      <w:r w:rsidRPr="00C9465D">
        <w:rPr>
          <w:i/>
          <w:iCs/>
          <w:sz w:val="16"/>
          <w:szCs w:val="16"/>
          <w:lang w:val="en-US"/>
        </w:rPr>
        <w:t xml:space="preserve"> </w:t>
      </w:r>
      <w:r w:rsidR="00E336A5" w:rsidRPr="00C9465D">
        <w:rPr>
          <w:i/>
          <w:iCs/>
          <w:sz w:val="16"/>
          <w:szCs w:val="16"/>
          <w:lang w:val="en-US"/>
        </w:rPr>
        <w:t>the</w:t>
      </w:r>
      <w:r w:rsidRPr="00C9465D">
        <w:rPr>
          <w:i/>
          <w:iCs/>
          <w:sz w:val="16"/>
          <w:szCs w:val="16"/>
          <w:lang w:val="en-US"/>
        </w:rPr>
        <w:t xml:space="preserve"> Serrano Cruz</w:t>
      </w:r>
      <w:r w:rsidR="00E336A5" w:rsidRPr="00C9465D">
        <w:rPr>
          <w:i/>
          <w:iCs/>
          <w:sz w:val="16"/>
          <w:szCs w:val="16"/>
          <w:lang w:val="en-US"/>
        </w:rPr>
        <w:t xml:space="preserve"> Sisters</w:t>
      </w:r>
      <w:r w:rsidRPr="00C9465D">
        <w:rPr>
          <w:i/>
          <w:iCs/>
          <w:sz w:val="16"/>
          <w:szCs w:val="16"/>
          <w:lang w:val="en-US"/>
        </w:rPr>
        <w:t xml:space="preserve"> </w:t>
      </w:r>
      <w:r w:rsidR="00193CBB" w:rsidRPr="00C9465D">
        <w:rPr>
          <w:i/>
          <w:iCs/>
          <w:sz w:val="16"/>
          <w:szCs w:val="16"/>
          <w:lang w:val="en-US"/>
        </w:rPr>
        <w:t>v.</w:t>
      </w:r>
      <w:r w:rsidRPr="00C9465D">
        <w:rPr>
          <w:i/>
          <w:iCs/>
          <w:sz w:val="16"/>
          <w:szCs w:val="16"/>
          <w:lang w:val="en-US"/>
        </w:rPr>
        <w:t xml:space="preserve"> El Salvador. </w:t>
      </w:r>
      <w:r w:rsidR="00193CBB" w:rsidRPr="00C9465D">
        <w:rPr>
          <w:i/>
          <w:iCs/>
          <w:sz w:val="16"/>
          <w:szCs w:val="16"/>
          <w:lang w:val="en-US"/>
        </w:rPr>
        <w:t>Merits, reparations and costs</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E336A5" w:rsidRPr="00C9465D">
        <w:rPr>
          <w:sz w:val="16"/>
          <w:szCs w:val="16"/>
          <w:lang w:val="en-US"/>
        </w:rPr>
        <w:t>March 1,</w:t>
      </w:r>
      <w:r w:rsidRPr="00C9465D">
        <w:rPr>
          <w:sz w:val="16"/>
          <w:szCs w:val="16"/>
          <w:lang w:val="en-US"/>
        </w:rPr>
        <w:t xml:space="preserve"> 2005. </w:t>
      </w:r>
      <w:r w:rsidR="00E2299F" w:rsidRPr="00C9465D">
        <w:rPr>
          <w:sz w:val="16"/>
          <w:szCs w:val="16"/>
          <w:lang w:val="en-US"/>
        </w:rPr>
        <w:t xml:space="preserve">Series </w:t>
      </w:r>
      <w:r w:rsidRPr="00C9465D">
        <w:rPr>
          <w:sz w:val="16"/>
          <w:szCs w:val="16"/>
          <w:lang w:val="en-US"/>
        </w:rPr>
        <w:t xml:space="preserve">C No. 120, </w:t>
      </w:r>
      <w:r w:rsidR="00D8466F" w:rsidRPr="00C9465D">
        <w:rPr>
          <w:sz w:val="16"/>
          <w:szCs w:val="16"/>
          <w:lang w:val="en-US"/>
        </w:rPr>
        <w:t>paras.</w:t>
      </w:r>
      <w:r w:rsidRPr="00C9465D">
        <w:rPr>
          <w:sz w:val="16"/>
          <w:szCs w:val="16"/>
          <w:lang w:val="en-US"/>
        </w:rPr>
        <w:t xml:space="preserve"> 88</w:t>
      </w:r>
      <w:r w:rsidR="00193CBB" w:rsidRPr="00C9465D">
        <w:rPr>
          <w:sz w:val="16"/>
          <w:szCs w:val="16"/>
          <w:lang w:val="en-US"/>
        </w:rPr>
        <w:t xml:space="preserve"> and </w:t>
      </w:r>
      <w:r w:rsidRPr="00C9465D">
        <w:rPr>
          <w:sz w:val="16"/>
          <w:szCs w:val="16"/>
          <w:lang w:val="en-US"/>
        </w:rPr>
        <w:t>105,</w:t>
      </w:r>
      <w:r w:rsidR="00193CBB" w:rsidRPr="00C9465D">
        <w:rPr>
          <w:sz w:val="16"/>
          <w:szCs w:val="16"/>
          <w:lang w:val="en-US"/>
        </w:rPr>
        <w:t xml:space="preserve"> and </w:t>
      </w:r>
      <w:r w:rsidR="00D8466F" w:rsidRPr="00C9465D">
        <w:rPr>
          <w:i/>
          <w:iCs/>
          <w:sz w:val="16"/>
          <w:szCs w:val="16"/>
          <w:lang w:val="en-US"/>
        </w:rPr>
        <w:t>Case of</w:t>
      </w:r>
      <w:r w:rsidRPr="00C9465D">
        <w:rPr>
          <w:i/>
          <w:iCs/>
          <w:sz w:val="16"/>
          <w:szCs w:val="16"/>
          <w:lang w:val="en-US"/>
        </w:rPr>
        <w:t xml:space="preserve"> Azul Rojas Marín</w:t>
      </w:r>
      <w:r w:rsidR="00193CBB" w:rsidRPr="00C9465D">
        <w:rPr>
          <w:i/>
          <w:iCs/>
          <w:sz w:val="16"/>
          <w:szCs w:val="16"/>
          <w:lang w:val="en-US"/>
        </w:rPr>
        <w:t xml:space="preserve"> </w:t>
      </w:r>
      <w:r w:rsidR="00E336A5" w:rsidRPr="00C9465D">
        <w:rPr>
          <w:i/>
          <w:iCs/>
          <w:sz w:val="16"/>
          <w:szCs w:val="16"/>
          <w:lang w:val="en-US"/>
        </w:rPr>
        <w:t>et al.</w:t>
      </w:r>
      <w:r w:rsidRPr="00C9465D">
        <w:rPr>
          <w:i/>
          <w:iCs/>
          <w:sz w:val="16"/>
          <w:szCs w:val="16"/>
          <w:lang w:val="en-US"/>
        </w:rPr>
        <w:t xml:space="preserve"> </w:t>
      </w:r>
      <w:r w:rsidR="00193CBB" w:rsidRPr="00C9465D">
        <w:rPr>
          <w:i/>
          <w:iCs/>
          <w:sz w:val="16"/>
          <w:szCs w:val="16"/>
          <w:lang w:val="en-US"/>
        </w:rPr>
        <w:t>v.</w:t>
      </w:r>
      <w:r w:rsidRPr="00C9465D">
        <w:rPr>
          <w:i/>
          <w:iCs/>
          <w:sz w:val="16"/>
          <w:szCs w:val="16"/>
          <w:lang w:val="en-US"/>
        </w:rPr>
        <w:t xml:space="preserve"> </w:t>
      </w:r>
      <w:r w:rsidR="001902D2" w:rsidRPr="00C9465D">
        <w:rPr>
          <w:i/>
          <w:iCs/>
          <w:sz w:val="16"/>
          <w:szCs w:val="16"/>
          <w:lang w:val="en-US"/>
        </w:rPr>
        <w:t>Peru</w:t>
      </w:r>
      <w:r w:rsidRPr="00C9465D">
        <w:rPr>
          <w:i/>
          <w:iCs/>
          <w:sz w:val="16"/>
          <w:szCs w:val="16"/>
          <w:lang w:val="en-US"/>
        </w:rPr>
        <w:t>, supra</w:t>
      </w:r>
      <w:r w:rsidRPr="00C9465D">
        <w:rPr>
          <w:iCs/>
          <w:sz w:val="16"/>
          <w:szCs w:val="16"/>
          <w:lang w:val="en-US"/>
        </w:rPr>
        <w:t xml:space="preserve">, </w:t>
      </w:r>
      <w:r w:rsidR="00D8466F" w:rsidRPr="00C9465D">
        <w:rPr>
          <w:iCs/>
          <w:sz w:val="16"/>
          <w:szCs w:val="16"/>
          <w:lang w:val="en-US"/>
        </w:rPr>
        <w:t>para.</w:t>
      </w:r>
      <w:r w:rsidRPr="00C9465D">
        <w:rPr>
          <w:iCs/>
          <w:sz w:val="16"/>
          <w:szCs w:val="16"/>
          <w:lang w:val="en-US"/>
        </w:rPr>
        <w:t xml:space="preserve"> </w:t>
      </w:r>
      <w:r w:rsidRPr="00C9465D">
        <w:rPr>
          <w:iCs/>
          <w:sz w:val="16"/>
          <w:szCs w:val="16"/>
        </w:rPr>
        <w:t>194.</w:t>
      </w:r>
    </w:p>
  </w:footnote>
  <w:footnote w:id="325">
    <w:p w14:paraId="64B4D2AB" w14:textId="4388A649" w:rsidR="00300482" w:rsidRPr="00C9465D" w:rsidRDefault="00300482" w:rsidP="00BD26CF">
      <w:pPr>
        <w:pStyle w:val="FootnoteText"/>
        <w:tabs>
          <w:tab w:val="left" w:pos="567"/>
        </w:tabs>
        <w:spacing w:after="120"/>
        <w:rPr>
          <w:sz w:val="16"/>
          <w:szCs w:val="16"/>
          <w:lang w:val="en-US"/>
        </w:rPr>
      </w:pPr>
      <w:r w:rsidRPr="00C9465D">
        <w:rPr>
          <w:rStyle w:val="FootnoteReference"/>
          <w:rFonts w:eastAsiaTheme="majorEastAsia"/>
          <w:sz w:val="16"/>
          <w:szCs w:val="16"/>
          <w:lang w:val="en-US"/>
        </w:rPr>
        <w:footnoteRef/>
      </w:r>
      <w:r w:rsidRPr="00C9465D">
        <w:rPr>
          <w:sz w:val="16"/>
          <w:szCs w:val="16"/>
        </w:rPr>
        <w:t xml:space="preserve"> </w:t>
      </w:r>
      <w:r w:rsidRPr="00C9465D">
        <w:rPr>
          <w:sz w:val="16"/>
          <w:szCs w:val="16"/>
        </w:rPr>
        <w:tab/>
      </w:r>
      <w:r w:rsidR="00E2299F" w:rsidRPr="00C9465D">
        <w:rPr>
          <w:i/>
          <w:iCs/>
          <w:sz w:val="16"/>
          <w:szCs w:val="16"/>
        </w:rPr>
        <w:t>Cf.</w:t>
      </w:r>
      <w:r w:rsidRPr="00C9465D">
        <w:rPr>
          <w:i/>
          <w:iCs/>
          <w:sz w:val="16"/>
          <w:szCs w:val="16"/>
        </w:rPr>
        <w:t xml:space="preserve"> </w:t>
      </w:r>
      <w:r w:rsidR="00D8466F" w:rsidRPr="00C9465D">
        <w:rPr>
          <w:i/>
          <w:iCs/>
          <w:sz w:val="16"/>
          <w:szCs w:val="16"/>
        </w:rPr>
        <w:t>Case of</w:t>
      </w:r>
      <w:r w:rsidRPr="00C9465D">
        <w:rPr>
          <w:i/>
          <w:iCs/>
          <w:sz w:val="16"/>
          <w:szCs w:val="16"/>
        </w:rPr>
        <w:t xml:space="preserve"> Juan Humberto Sánchez </w:t>
      </w:r>
      <w:r w:rsidR="00193CBB" w:rsidRPr="00C9465D">
        <w:rPr>
          <w:i/>
          <w:iCs/>
          <w:sz w:val="16"/>
          <w:szCs w:val="16"/>
        </w:rPr>
        <w:t>v.</w:t>
      </w:r>
      <w:r w:rsidRPr="00C9465D">
        <w:rPr>
          <w:i/>
          <w:iCs/>
          <w:sz w:val="16"/>
          <w:szCs w:val="16"/>
        </w:rPr>
        <w:t xml:space="preserve"> Honduras, supra</w:t>
      </w:r>
      <w:r w:rsidRPr="00C9465D">
        <w:rPr>
          <w:sz w:val="16"/>
          <w:szCs w:val="16"/>
        </w:rPr>
        <w:t xml:space="preserve">, </w:t>
      </w:r>
      <w:r w:rsidR="00D8466F" w:rsidRPr="00C9465D">
        <w:rPr>
          <w:sz w:val="16"/>
          <w:szCs w:val="16"/>
        </w:rPr>
        <w:t>para.</w:t>
      </w:r>
      <w:r w:rsidRPr="00C9465D">
        <w:rPr>
          <w:sz w:val="16"/>
          <w:szCs w:val="16"/>
        </w:rPr>
        <w:t xml:space="preserve"> 128,</w:t>
      </w:r>
      <w:r w:rsidR="00193CBB" w:rsidRPr="00C9465D">
        <w:rPr>
          <w:sz w:val="16"/>
          <w:szCs w:val="16"/>
        </w:rPr>
        <w:t xml:space="preserve"> and </w:t>
      </w:r>
      <w:r w:rsidR="00D8466F" w:rsidRPr="00C9465D">
        <w:rPr>
          <w:i/>
          <w:iCs/>
          <w:sz w:val="16"/>
          <w:szCs w:val="16"/>
        </w:rPr>
        <w:t>Case of</w:t>
      </w:r>
      <w:r w:rsidRPr="00C9465D">
        <w:rPr>
          <w:i/>
          <w:iCs/>
          <w:sz w:val="16"/>
          <w:szCs w:val="16"/>
        </w:rPr>
        <w:t xml:space="preserve"> Azul Rojas Marín</w:t>
      </w:r>
      <w:r w:rsidR="00193CBB" w:rsidRPr="00C9465D">
        <w:rPr>
          <w:i/>
          <w:iCs/>
          <w:sz w:val="16"/>
          <w:szCs w:val="16"/>
        </w:rPr>
        <w:t xml:space="preserve"> </w:t>
      </w:r>
      <w:r w:rsidR="00E336A5" w:rsidRPr="00C9465D">
        <w:rPr>
          <w:i/>
          <w:iCs/>
          <w:sz w:val="16"/>
          <w:szCs w:val="16"/>
        </w:rPr>
        <w:t>et al.</w:t>
      </w:r>
      <w:r w:rsidRPr="00C9465D">
        <w:rPr>
          <w:i/>
          <w:iCs/>
          <w:sz w:val="16"/>
          <w:szCs w:val="16"/>
        </w:rPr>
        <w:t xml:space="preserve"> </w:t>
      </w:r>
      <w:r w:rsidR="00193CBB" w:rsidRPr="00C9465D">
        <w:rPr>
          <w:i/>
          <w:iCs/>
          <w:sz w:val="16"/>
          <w:szCs w:val="16"/>
        </w:rPr>
        <w:t>v.</w:t>
      </w:r>
      <w:r w:rsidRPr="00C9465D">
        <w:rPr>
          <w:i/>
          <w:iCs/>
          <w:sz w:val="16"/>
          <w:szCs w:val="16"/>
        </w:rPr>
        <w:t xml:space="preserve"> </w:t>
      </w:r>
      <w:proofErr w:type="spellStart"/>
      <w:r w:rsidR="001902D2" w:rsidRPr="00C9465D">
        <w:rPr>
          <w:i/>
          <w:iCs/>
          <w:sz w:val="16"/>
          <w:szCs w:val="16"/>
        </w:rPr>
        <w:t>Peru</w:t>
      </w:r>
      <w:proofErr w:type="spellEnd"/>
      <w:r w:rsidRPr="00C9465D">
        <w:rPr>
          <w:i/>
          <w:iCs/>
          <w:sz w:val="16"/>
          <w:szCs w:val="16"/>
        </w:rPr>
        <w:t>, supra</w:t>
      </w:r>
      <w:r w:rsidRPr="00C9465D">
        <w:rPr>
          <w:iCs/>
          <w:sz w:val="16"/>
          <w:szCs w:val="16"/>
        </w:rPr>
        <w:t xml:space="preserve">, </w:t>
      </w:r>
      <w:r w:rsidR="00D8466F" w:rsidRPr="00C9465D">
        <w:rPr>
          <w:iCs/>
          <w:sz w:val="16"/>
          <w:szCs w:val="16"/>
        </w:rPr>
        <w:t>para.</w:t>
      </w:r>
      <w:r w:rsidRPr="00C9465D">
        <w:rPr>
          <w:iCs/>
          <w:sz w:val="16"/>
          <w:szCs w:val="16"/>
        </w:rPr>
        <w:t xml:space="preserve"> </w:t>
      </w:r>
      <w:r w:rsidRPr="00C9465D">
        <w:rPr>
          <w:iCs/>
          <w:sz w:val="16"/>
          <w:szCs w:val="16"/>
          <w:lang w:val="en-US"/>
        </w:rPr>
        <w:t>194.</w:t>
      </w:r>
    </w:p>
  </w:footnote>
  <w:footnote w:id="326">
    <w:p w14:paraId="7C3F3C08" w14:textId="3C3803BD" w:rsidR="00300482" w:rsidRPr="00C9465D" w:rsidRDefault="00300482" w:rsidP="00BD26CF">
      <w:pPr>
        <w:pStyle w:val="FootnoteText"/>
        <w:tabs>
          <w:tab w:val="left" w:pos="567"/>
        </w:tabs>
        <w:spacing w:after="120"/>
        <w:rPr>
          <w:rStyle w:val="FootnoteReference"/>
          <w:rFonts w:eastAsiaTheme="majorEastAsia"/>
          <w:sz w:val="16"/>
          <w:szCs w:val="16"/>
          <w:lang w:val="en-US"/>
        </w:rPr>
      </w:pPr>
      <w:r w:rsidRPr="00C9465D">
        <w:rPr>
          <w:rStyle w:val="FootnoteReference"/>
          <w:rFonts w:eastAsiaTheme="majorEastAsia"/>
          <w:sz w:val="16"/>
          <w:szCs w:val="16"/>
          <w:lang w:val="en-US"/>
        </w:rPr>
        <w:footnoteRef/>
      </w:r>
      <w:r w:rsidRPr="00C9465D">
        <w:rPr>
          <w:rStyle w:val="FootnoteReference"/>
          <w:rFonts w:eastAsiaTheme="majorEastAsia"/>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766510" w:rsidRPr="00C9465D">
        <w:rPr>
          <w:sz w:val="16"/>
          <w:szCs w:val="16"/>
          <w:lang w:val="en-US"/>
        </w:rPr>
        <w:t>Record of search of the site of the facts</w:t>
      </w:r>
      <w:r w:rsidRPr="00C9465D">
        <w:rPr>
          <w:sz w:val="16"/>
          <w:szCs w:val="16"/>
          <w:lang w:val="en-US"/>
        </w:rPr>
        <w:t xml:space="preserve">, </w:t>
      </w:r>
      <w:r w:rsidR="00766510" w:rsidRPr="00C9465D">
        <w:rPr>
          <w:sz w:val="16"/>
          <w:szCs w:val="16"/>
          <w:lang w:val="en-US"/>
        </w:rPr>
        <w:t>of February 17,</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2421).</w:t>
      </w:r>
    </w:p>
  </w:footnote>
  <w:footnote w:id="327">
    <w:p w14:paraId="01AC85F7" w14:textId="5FA3BE12" w:rsidR="00300482" w:rsidRPr="00C9465D" w:rsidRDefault="00300482" w:rsidP="00BD26CF">
      <w:pPr>
        <w:pStyle w:val="FootnoteText"/>
        <w:tabs>
          <w:tab w:val="left" w:pos="567"/>
          <w:tab w:val="left" w:pos="720"/>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834FCC" w:rsidRPr="00C9465D">
        <w:rPr>
          <w:sz w:val="16"/>
          <w:szCs w:val="16"/>
          <w:lang w:val="en-US"/>
        </w:rPr>
        <w:t>Article</w:t>
      </w:r>
      <w:r w:rsidRPr="00C9465D">
        <w:rPr>
          <w:sz w:val="16"/>
          <w:szCs w:val="16"/>
          <w:lang w:val="en-US"/>
        </w:rPr>
        <w:t xml:space="preserve"> 7</w:t>
      </w:r>
      <w:r w:rsidR="00721A86" w:rsidRPr="00C9465D">
        <w:rPr>
          <w:sz w:val="16"/>
          <w:szCs w:val="16"/>
          <w:lang w:val="en-US"/>
        </w:rPr>
        <w:t>(</w:t>
      </w:r>
      <w:r w:rsidRPr="00C9465D">
        <w:rPr>
          <w:sz w:val="16"/>
          <w:szCs w:val="16"/>
          <w:lang w:val="en-US"/>
        </w:rPr>
        <w:t>6</w:t>
      </w:r>
      <w:r w:rsidR="00721A86" w:rsidRPr="00C9465D">
        <w:rPr>
          <w:sz w:val="16"/>
          <w:szCs w:val="16"/>
          <w:lang w:val="en-US"/>
        </w:rPr>
        <w:t>)</w:t>
      </w:r>
      <w:r w:rsidR="00193CBB" w:rsidRPr="00C9465D">
        <w:rPr>
          <w:sz w:val="16"/>
          <w:szCs w:val="16"/>
          <w:lang w:val="en-US"/>
        </w:rPr>
        <w:t xml:space="preserve"> of the Convention</w:t>
      </w:r>
      <w:r w:rsidRPr="00C9465D">
        <w:rPr>
          <w:sz w:val="16"/>
          <w:szCs w:val="16"/>
          <w:lang w:val="en-US"/>
        </w:rPr>
        <w:t xml:space="preserve"> </w:t>
      </w:r>
      <w:r w:rsidR="00260D95" w:rsidRPr="00C9465D">
        <w:rPr>
          <w:sz w:val="16"/>
          <w:szCs w:val="16"/>
          <w:lang w:val="en-US"/>
        </w:rPr>
        <w:t>establishes</w:t>
      </w:r>
      <w:r w:rsidRPr="00C9465D">
        <w:rPr>
          <w:sz w:val="16"/>
          <w:szCs w:val="16"/>
          <w:lang w:val="en-US"/>
        </w:rPr>
        <w:t xml:space="preserve"> </w:t>
      </w:r>
      <w:r w:rsidR="00721A86" w:rsidRPr="00C9465D">
        <w:rPr>
          <w:sz w:val="16"/>
          <w:szCs w:val="16"/>
          <w:lang w:val="en-US"/>
        </w:rPr>
        <w:t>that</w:t>
      </w:r>
      <w:r w:rsidRPr="00C9465D">
        <w:rPr>
          <w:sz w:val="16"/>
          <w:szCs w:val="16"/>
          <w:lang w:val="en-US"/>
        </w:rPr>
        <w:t>: “[</w:t>
      </w:r>
      <w:r w:rsidR="00721A86" w:rsidRPr="00C9465D">
        <w:rPr>
          <w:sz w:val="16"/>
          <w:szCs w:val="16"/>
          <w:lang w:val="en-US"/>
        </w:rPr>
        <w:t>a</w:t>
      </w:r>
      <w:r w:rsidRPr="00C9465D">
        <w:rPr>
          <w:sz w:val="16"/>
          <w:szCs w:val="16"/>
          <w:lang w:val="en-US"/>
        </w:rPr>
        <w:t>]</w:t>
      </w:r>
      <w:r w:rsidR="00721A86" w:rsidRPr="00C9465D">
        <w:rPr>
          <w:spacing w:val="-3"/>
          <w:sz w:val="16"/>
          <w:szCs w:val="16"/>
          <w:lang w:val="en-US"/>
        </w:rPr>
        <w:t>nyone who is deprived of his liberty shall be entitled to recourse to a competent court, in order that the court may decide without delay on the lawfulness of his arrest or detention and order his release if the arrest or detention is unlawful.  In States Parties whose laws provide that anyone who believes himself to be threatened with deprivation of his liberty is entitled to recourse to a competent court in order that it may decide on the lawfulness of such threat, this remedy may not be restricted or abolished.  The interested party or another person in his behalf is entitled to seek these remedies.</w:t>
      </w:r>
      <w:r w:rsidRPr="00C9465D">
        <w:rPr>
          <w:sz w:val="16"/>
          <w:szCs w:val="16"/>
          <w:lang w:val="en-US"/>
        </w:rPr>
        <w:t>”</w:t>
      </w:r>
    </w:p>
  </w:footnote>
  <w:footnote w:id="328">
    <w:p w14:paraId="529BFA7E" w14:textId="451B1B75" w:rsidR="00300482" w:rsidRPr="00C9465D" w:rsidRDefault="00300482" w:rsidP="00BD26CF">
      <w:pPr>
        <w:tabs>
          <w:tab w:val="left" w:pos="567"/>
        </w:tabs>
        <w:spacing w:after="120"/>
        <w:jc w:val="both"/>
        <w:rPr>
          <w:rFonts w:ascii="Verdana" w:eastAsia="Times New Roman" w:hAnsi="Verdana" w:cs="Times New Roman"/>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r>
      <w:r w:rsidR="00E2299F" w:rsidRPr="00C9465D">
        <w:rPr>
          <w:rFonts w:ascii="Verdana" w:hAnsi="Verdana"/>
          <w:i/>
          <w:sz w:val="16"/>
          <w:szCs w:val="16"/>
          <w:lang w:val="en-US"/>
        </w:rPr>
        <w:t>Cf.</w:t>
      </w:r>
      <w:r w:rsidRPr="00C9465D">
        <w:rPr>
          <w:rFonts w:ascii="Verdana" w:hAnsi="Verdana"/>
          <w:i/>
          <w:sz w:val="16"/>
          <w:szCs w:val="16"/>
          <w:lang w:val="en-US"/>
        </w:rPr>
        <w:t xml:space="preserve"> </w:t>
      </w:r>
      <w:hyperlink r:id="rId15" w:history="1">
        <w:r w:rsidR="00721A86" w:rsidRPr="00C9465D">
          <w:rPr>
            <w:rFonts w:ascii="Verdana" w:eastAsia="Times New Roman" w:hAnsi="Verdana" w:cs="Times New Roman"/>
            <w:i/>
            <w:sz w:val="16"/>
            <w:szCs w:val="16"/>
            <w:lang w:val="en-US"/>
          </w:rPr>
          <w:t>Habeas corpus in Emergency Situations (Arts. 27.2, 25.1 and 7.6 American Convention on Human Rights)</w:t>
        </w:r>
      </w:hyperlink>
      <w:r w:rsidR="00721A86" w:rsidRPr="00C9465D">
        <w:rPr>
          <w:rFonts w:ascii="Verdana" w:eastAsia="Times New Roman" w:hAnsi="Verdana" w:cs="Times New Roman"/>
          <w:i/>
          <w:sz w:val="16"/>
          <w:szCs w:val="16"/>
          <w:lang w:val="en-US"/>
        </w:rPr>
        <w:t xml:space="preserve">, </w:t>
      </w:r>
      <w:r w:rsidR="00721A86" w:rsidRPr="00C9465D">
        <w:rPr>
          <w:rFonts w:ascii="Verdana" w:eastAsia="Times New Roman" w:hAnsi="Verdana" w:cs="Times New Roman"/>
          <w:sz w:val="16"/>
          <w:szCs w:val="16"/>
          <w:lang w:val="en-US"/>
        </w:rPr>
        <w:t>Advisory Opinion OC-8/87, January 30, 1987. Series A No. 8</w:t>
      </w:r>
      <w:r w:rsidRPr="00C9465D">
        <w:rPr>
          <w:rFonts w:ascii="Verdana" w:hAnsi="Verdana"/>
          <w:color w:val="000000"/>
          <w:sz w:val="16"/>
          <w:szCs w:val="16"/>
          <w:lang w:val="en-US"/>
        </w:rPr>
        <w:t xml:space="preserve">, </w:t>
      </w:r>
      <w:r w:rsidR="00D8466F" w:rsidRPr="00C9465D">
        <w:rPr>
          <w:rFonts w:ascii="Verdana" w:hAnsi="Verdana"/>
          <w:color w:val="000000"/>
          <w:sz w:val="16"/>
          <w:szCs w:val="16"/>
          <w:lang w:val="en-US"/>
        </w:rPr>
        <w:t>paras.</w:t>
      </w:r>
      <w:r w:rsidRPr="00C9465D">
        <w:rPr>
          <w:rFonts w:ascii="Verdana" w:hAnsi="Verdana"/>
          <w:color w:val="000000"/>
          <w:sz w:val="16"/>
          <w:szCs w:val="16"/>
          <w:lang w:val="en-US"/>
        </w:rPr>
        <w:t xml:space="preserve"> 33</w:t>
      </w:r>
      <w:r w:rsidR="00193CBB" w:rsidRPr="00C9465D">
        <w:rPr>
          <w:rFonts w:ascii="Verdana" w:hAnsi="Verdana"/>
          <w:color w:val="000000"/>
          <w:sz w:val="16"/>
          <w:szCs w:val="16"/>
          <w:lang w:val="en-US"/>
        </w:rPr>
        <w:t xml:space="preserve"> and </w:t>
      </w:r>
      <w:r w:rsidRPr="00C9465D">
        <w:rPr>
          <w:rFonts w:ascii="Verdana" w:hAnsi="Verdana"/>
          <w:color w:val="000000"/>
          <w:sz w:val="16"/>
          <w:szCs w:val="16"/>
          <w:lang w:val="en-US"/>
        </w:rPr>
        <w:t>34,</w:t>
      </w:r>
      <w:r w:rsidR="00193CBB" w:rsidRPr="00C9465D">
        <w:rPr>
          <w:rFonts w:ascii="Verdana" w:hAnsi="Verdana"/>
          <w:color w:val="000000"/>
          <w:sz w:val="16"/>
          <w:szCs w:val="16"/>
          <w:lang w:val="en-US"/>
        </w:rPr>
        <w:t xml:space="preserve"> and </w:t>
      </w:r>
      <w:r w:rsidR="00D8466F" w:rsidRPr="00C9465D">
        <w:rPr>
          <w:rFonts w:ascii="Verdana" w:hAnsi="Verdana"/>
          <w:bCs/>
          <w:i/>
          <w:sz w:val="16"/>
          <w:szCs w:val="16"/>
          <w:lang w:val="en-US"/>
        </w:rPr>
        <w:t>Case of</w:t>
      </w:r>
      <w:r w:rsidRPr="00C9465D">
        <w:rPr>
          <w:rFonts w:ascii="Verdana" w:hAnsi="Verdana"/>
          <w:bCs/>
          <w:i/>
          <w:sz w:val="16"/>
          <w:szCs w:val="16"/>
          <w:lang w:val="en-US"/>
        </w:rPr>
        <w:t xml:space="preserve"> Galindo Cárdenas</w:t>
      </w:r>
      <w:r w:rsidR="00193CBB" w:rsidRPr="00C9465D">
        <w:rPr>
          <w:rFonts w:ascii="Verdana" w:hAnsi="Verdana"/>
          <w:bCs/>
          <w:i/>
          <w:sz w:val="16"/>
          <w:szCs w:val="16"/>
          <w:lang w:val="en-US"/>
        </w:rPr>
        <w:t xml:space="preserve"> </w:t>
      </w:r>
      <w:r w:rsidR="00D8466F" w:rsidRPr="00C9465D">
        <w:rPr>
          <w:rFonts w:ascii="Verdana" w:hAnsi="Verdana"/>
          <w:bCs/>
          <w:i/>
          <w:sz w:val="16"/>
          <w:szCs w:val="16"/>
          <w:lang w:val="en-US"/>
        </w:rPr>
        <w:t>et al. v.</w:t>
      </w:r>
      <w:r w:rsidRPr="00C9465D">
        <w:rPr>
          <w:rFonts w:ascii="Verdana" w:hAnsi="Verdana"/>
          <w:bCs/>
          <w:i/>
          <w:sz w:val="16"/>
          <w:szCs w:val="16"/>
          <w:lang w:val="en-US"/>
        </w:rPr>
        <w:t xml:space="preserve"> </w:t>
      </w:r>
      <w:r w:rsidR="001902D2" w:rsidRPr="00C9465D">
        <w:rPr>
          <w:rFonts w:ascii="Verdana" w:hAnsi="Verdana"/>
          <w:bCs/>
          <w:i/>
          <w:sz w:val="16"/>
          <w:szCs w:val="16"/>
          <w:lang w:val="en-US"/>
        </w:rPr>
        <w:t>Peru</w:t>
      </w:r>
      <w:r w:rsidRPr="00C9465D">
        <w:rPr>
          <w:rFonts w:ascii="Verdana" w:hAnsi="Verdana"/>
          <w:bCs/>
          <w:i/>
          <w:sz w:val="16"/>
          <w:szCs w:val="16"/>
          <w:lang w:val="en-US"/>
        </w:rPr>
        <w:t xml:space="preserve">. </w:t>
      </w:r>
      <w:r w:rsidR="00D8466F" w:rsidRPr="00C9465D">
        <w:rPr>
          <w:rFonts w:ascii="Verdana" w:hAnsi="Verdana"/>
          <w:bCs/>
          <w:i/>
          <w:sz w:val="16"/>
          <w:szCs w:val="16"/>
          <w:lang w:val="en-US"/>
        </w:rPr>
        <w:t>Preliminary objections, merits</w:t>
      </w:r>
      <w:r w:rsidR="00193CBB" w:rsidRPr="00C9465D">
        <w:rPr>
          <w:rFonts w:ascii="Verdana" w:hAnsi="Verdana"/>
          <w:bCs/>
          <w:i/>
          <w:sz w:val="16"/>
          <w:szCs w:val="16"/>
          <w:lang w:val="en-US"/>
        </w:rPr>
        <w:t>, reparations and costs</w:t>
      </w:r>
      <w:r w:rsidRPr="00C9465D">
        <w:rPr>
          <w:rFonts w:ascii="Verdana" w:hAnsi="Verdana"/>
          <w:bCs/>
          <w:i/>
          <w:sz w:val="16"/>
          <w:szCs w:val="16"/>
          <w:lang w:val="en-US"/>
        </w:rPr>
        <w:t>.</w:t>
      </w:r>
      <w:r w:rsidRPr="00C9465D">
        <w:rPr>
          <w:rFonts w:ascii="Verdana" w:hAnsi="Verdana"/>
          <w:bCs/>
          <w:sz w:val="16"/>
          <w:szCs w:val="16"/>
          <w:lang w:val="en-US"/>
        </w:rPr>
        <w:t xml:space="preserve"> </w:t>
      </w:r>
      <w:r w:rsidR="00D8466F" w:rsidRPr="00C9465D">
        <w:rPr>
          <w:rFonts w:ascii="Verdana" w:hAnsi="Verdana"/>
          <w:bCs/>
          <w:sz w:val="16"/>
          <w:szCs w:val="16"/>
          <w:lang w:val="en-US"/>
        </w:rPr>
        <w:t>Judgment of</w:t>
      </w:r>
      <w:r w:rsidRPr="00C9465D">
        <w:rPr>
          <w:rFonts w:ascii="Verdana" w:hAnsi="Verdana"/>
          <w:bCs/>
          <w:sz w:val="16"/>
          <w:szCs w:val="16"/>
          <w:lang w:val="en-US"/>
        </w:rPr>
        <w:t xml:space="preserve"> </w:t>
      </w:r>
      <w:r w:rsidR="00721A86" w:rsidRPr="00C9465D">
        <w:rPr>
          <w:rFonts w:ascii="Verdana" w:hAnsi="Verdana"/>
          <w:bCs/>
          <w:sz w:val="16"/>
          <w:szCs w:val="16"/>
          <w:lang w:val="en-US"/>
        </w:rPr>
        <w:t>October 2,</w:t>
      </w:r>
      <w:r w:rsidRPr="00C9465D">
        <w:rPr>
          <w:rFonts w:ascii="Verdana" w:hAnsi="Verdana"/>
          <w:bCs/>
          <w:sz w:val="16"/>
          <w:szCs w:val="16"/>
          <w:lang w:val="en-US"/>
        </w:rPr>
        <w:t xml:space="preserve"> 2015. </w:t>
      </w:r>
      <w:r w:rsidR="00E2299F" w:rsidRPr="00C9465D">
        <w:rPr>
          <w:rFonts w:ascii="Verdana" w:hAnsi="Verdana"/>
          <w:bCs/>
          <w:sz w:val="16"/>
          <w:szCs w:val="16"/>
          <w:lang w:val="en-US"/>
        </w:rPr>
        <w:t xml:space="preserve">Series </w:t>
      </w:r>
      <w:r w:rsidRPr="00C9465D">
        <w:rPr>
          <w:rFonts w:ascii="Verdana" w:hAnsi="Verdana"/>
          <w:bCs/>
          <w:sz w:val="16"/>
          <w:szCs w:val="16"/>
          <w:lang w:val="en-US"/>
        </w:rPr>
        <w:t xml:space="preserve">C No. 301, </w:t>
      </w:r>
      <w:r w:rsidR="00D8466F" w:rsidRPr="00C9465D">
        <w:rPr>
          <w:rFonts w:ascii="Verdana" w:hAnsi="Verdana"/>
          <w:bCs/>
          <w:sz w:val="16"/>
          <w:szCs w:val="16"/>
          <w:lang w:val="en-US"/>
        </w:rPr>
        <w:t>para.</w:t>
      </w:r>
      <w:r w:rsidRPr="00C9465D">
        <w:rPr>
          <w:rFonts w:ascii="Verdana" w:hAnsi="Verdana"/>
          <w:bCs/>
          <w:sz w:val="16"/>
          <w:szCs w:val="16"/>
          <w:lang w:val="en-US"/>
        </w:rPr>
        <w:t xml:space="preserve"> 44.</w:t>
      </w:r>
    </w:p>
  </w:footnote>
  <w:footnote w:id="329">
    <w:p w14:paraId="44E5A298" w14:textId="0357184C" w:rsidR="00300482" w:rsidRPr="00C9465D" w:rsidRDefault="00300482" w:rsidP="00BD26CF">
      <w:pPr>
        <w:tabs>
          <w:tab w:val="left" w:pos="567"/>
          <w:tab w:val="left" w:pos="720"/>
        </w:tabs>
        <w:spacing w:after="120" w:line="240" w:lineRule="auto"/>
        <w:jc w:val="both"/>
        <w:rPr>
          <w:rFonts w:ascii="Verdana" w:hAnsi="Verdana"/>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r>
      <w:r w:rsidR="00E2299F" w:rsidRPr="00C9465D">
        <w:rPr>
          <w:rFonts w:ascii="Verdana" w:hAnsi="Verdana"/>
          <w:i/>
          <w:sz w:val="16"/>
          <w:szCs w:val="16"/>
          <w:lang w:val="en-US"/>
        </w:rPr>
        <w:t>Cf.</w:t>
      </w:r>
      <w:r w:rsidRPr="00C9465D">
        <w:rPr>
          <w:rFonts w:ascii="Verdana" w:hAnsi="Verdana"/>
          <w:bCs/>
          <w:i/>
          <w:color w:val="000000"/>
          <w:sz w:val="16"/>
          <w:szCs w:val="16"/>
          <w:lang w:val="en-US"/>
        </w:rPr>
        <w:t xml:space="preserve"> </w:t>
      </w:r>
      <w:r w:rsidR="00C8741F" w:rsidRPr="00C9465D">
        <w:rPr>
          <w:rFonts w:ascii="Verdana" w:hAnsi="Verdana"/>
          <w:bCs/>
          <w:color w:val="000000"/>
          <w:sz w:val="16"/>
          <w:szCs w:val="16"/>
          <w:lang w:val="en-US"/>
        </w:rPr>
        <w:t>Advisory Opinion</w:t>
      </w:r>
      <w:r w:rsidRPr="00C9465D">
        <w:rPr>
          <w:rFonts w:ascii="Verdana" w:hAnsi="Verdana"/>
          <w:bCs/>
          <w:color w:val="000000"/>
          <w:sz w:val="16"/>
          <w:szCs w:val="16"/>
          <w:lang w:val="en-US"/>
        </w:rPr>
        <w:t xml:space="preserve"> OC-8/87, </w:t>
      </w:r>
      <w:r w:rsidRPr="00C9465D">
        <w:rPr>
          <w:rFonts w:ascii="Verdana" w:hAnsi="Verdana"/>
          <w:bCs/>
          <w:i/>
          <w:color w:val="000000"/>
          <w:sz w:val="16"/>
          <w:szCs w:val="16"/>
          <w:lang w:val="en-US"/>
        </w:rPr>
        <w:t>supra</w:t>
      </w:r>
      <w:r w:rsidRPr="00C9465D">
        <w:rPr>
          <w:rFonts w:ascii="Verdana" w:hAnsi="Verdana"/>
          <w:color w:val="000000"/>
          <w:sz w:val="16"/>
          <w:szCs w:val="16"/>
          <w:lang w:val="en-US"/>
        </w:rPr>
        <w:t xml:space="preserve">, </w:t>
      </w:r>
      <w:r w:rsidR="00D8466F" w:rsidRPr="00C9465D">
        <w:rPr>
          <w:rFonts w:ascii="Verdana" w:hAnsi="Verdana"/>
          <w:color w:val="000000"/>
          <w:sz w:val="16"/>
          <w:szCs w:val="16"/>
          <w:lang w:val="en-US"/>
        </w:rPr>
        <w:t>para.</w:t>
      </w:r>
      <w:r w:rsidRPr="00C9465D">
        <w:rPr>
          <w:rFonts w:ascii="Verdana" w:hAnsi="Verdana"/>
          <w:color w:val="000000"/>
          <w:sz w:val="16"/>
          <w:szCs w:val="16"/>
          <w:lang w:val="en-US"/>
        </w:rPr>
        <w:t xml:space="preserve"> 35,</w:t>
      </w:r>
      <w:r w:rsidR="00193CBB" w:rsidRPr="00C9465D">
        <w:rPr>
          <w:rFonts w:ascii="Verdana" w:hAnsi="Verdana"/>
          <w:color w:val="000000"/>
          <w:sz w:val="16"/>
          <w:szCs w:val="16"/>
          <w:lang w:val="en-US"/>
        </w:rPr>
        <w:t xml:space="preserve"> and </w:t>
      </w:r>
      <w:r w:rsidR="00D8466F" w:rsidRPr="00C9465D">
        <w:rPr>
          <w:rFonts w:ascii="Verdana" w:hAnsi="Verdana"/>
          <w:bCs/>
          <w:i/>
          <w:sz w:val="16"/>
          <w:szCs w:val="16"/>
          <w:lang w:val="en-US"/>
        </w:rPr>
        <w:t>Case of</w:t>
      </w:r>
      <w:r w:rsidRPr="00C9465D">
        <w:rPr>
          <w:rFonts w:ascii="Verdana" w:hAnsi="Verdana"/>
          <w:bCs/>
          <w:i/>
          <w:sz w:val="16"/>
          <w:szCs w:val="16"/>
          <w:lang w:val="en-US"/>
        </w:rPr>
        <w:t xml:space="preserve"> Gutiérrez Hernández</w:t>
      </w:r>
      <w:r w:rsidR="00193CBB" w:rsidRPr="00C9465D">
        <w:rPr>
          <w:rFonts w:ascii="Verdana" w:hAnsi="Verdana"/>
          <w:bCs/>
          <w:i/>
          <w:sz w:val="16"/>
          <w:szCs w:val="16"/>
          <w:lang w:val="en-US"/>
        </w:rPr>
        <w:t xml:space="preserve"> </w:t>
      </w:r>
      <w:r w:rsidR="00D8466F" w:rsidRPr="00C9465D">
        <w:rPr>
          <w:rFonts w:ascii="Verdana" w:hAnsi="Verdana"/>
          <w:bCs/>
          <w:i/>
          <w:sz w:val="16"/>
          <w:szCs w:val="16"/>
          <w:lang w:val="en-US"/>
        </w:rPr>
        <w:t>et al. v.</w:t>
      </w:r>
      <w:r w:rsidRPr="00C9465D">
        <w:rPr>
          <w:rFonts w:ascii="Verdana" w:hAnsi="Verdana"/>
          <w:bCs/>
          <w:i/>
          <w:sz w:val="16"/>
          <w:szCs w:val="16"/>
          <w:lang w:val="en-US"/>
        </w:rPr>
        <w:t xml:space="preserve"> Guatemala. </w:t>
      </w:r>
      <w:r w:rsidR="00D8466F" w:rsidRPr="00C9465D">
        <w:rPr>
          <w:rFonts w:ascii="Verdana" w:hAnsi="Verdana"/>
          <w:bCs/>
          <w:i/>
          <w:sz w:val="16"/>
          <w:szCs w:val="16"/>
          <w:lang w:val="en-US"/>
        </w:rPr>
        <w:t>Preliminary objections, merits</w:t>
      </w:r>
      <w:r w:rsidR="00193CBB" w:rsidRPr="00C9465D">
        <w:rPr>
          <w:rFonts w:ascii="Verdana" w:hAnsi="Verdana"/>
          <w:bCs/>
          <w:i/>
          <w:sz w:val="16"/>
          <w:szCs w:val="16"/>
          <w:lang w:val="en-US"/>
        </w:rPr>
        <w:t>, reparations and costs</w:t>
      </w:r>
      <w:r w:rsidRPr="00C9465D">
        <w:rPr>
          <w:rFonts w:ascii="Verdana" w:hAnsi="Verdana"/>
          <w:bCs/>
          <w:i/>
          <w:sz w:val="16"/>
          <w:szCs w:val="16"/>
          <w:lang w:val="en-US"/>
        </w:rPr>
        <w:t xml:space="preserve">. </w:t>
      </w:r>
      <w:r w:rsidR="00D8466F" w:rsidRPr="00C9465D">
        <w:rPr>
          <w:rFonts w:ascii="Verdana" w:hAnsi="Verdana"/>
          <w:bCs/>
          <w:sz w:val="16"/>
          <w:szCs w:val="16"/>
          <w:lang w:val="en-US"/>
        </w:rPr>
        <w:t>Judgment of</w:t>
      </w:r>
      <w:r w:rsidRPr="00C9465D">
        <w:rPr>
          <w:rFonts w:ascii="Verdana" w:hAnsi="Verdana"/>
          <w:bCs/>
          <w:sz w:val="16"/>
          <w:szCs w:val="16"/>
          <w:lang w:val="en-US"/>
        </w:rPr>
        <w:t xml:space="preserve"> </w:t>
      </w:r>
      <w:r w:rsidR="00721A86" w:rsidRPr="00C9465D">
        <w:rPr>
          <w:rFonts w:ascii="Verdana" w:hAnsi="Verdana"/>
          <w:bCs/>
          <w:sz w:val="16"/>
          <w:szCs w:val="16"/>
          <w:lang w:val="en-US"/>
        </w:rPr>
        <w:t>August 24,</w:t>
      </w:r>
      <w:r w:rsidRPr="00C9465D">
        <w:rPr>
          <w:rFonts w:ascii="Verdana" w:hAnsi="Verdana"/>
          <w:bCs/>
          <w:sz w:val="16"/>
          <w:szCs w:val="16"/>
          <w:lang w:val="en-US"/>
        </w:rPr>
        <w:t xml:space="preserve"> 2017. </w:t>
      </w:r>
      <w:r w:rsidR="00E2299F" w:rsidRPr="00C9465D">
        <w:rPr>
          <w:rFonts w:ascii="Verdana" w:hAnsi="Verdana"/>
          <w:bCs/>
          <w:sz w:val="16"/>
          <w:szCs w:val="16"/>
          <w:lang w:val="en-US"/>
        </w:rPr>
        <w:t xml:space="preserve">Series </w:t>
      </w:r>
      <w:r w:rsidRPr="00C9465D">
        <w:rPr>
          <w:rFonts w:ascii="Verdana" w:hAnsi="Verdana"/>
          <w:bCs/>
          <w:sz w:val="16"/>
          <w:szCs w:val="16"/>
          <w:lang w:val="en-US"/>
        </w:rPr>
        <w:t xml:space="preserve">C No. 339, </w:t>
      </w:r>
      <w:r w:rsidR="00D8466F" w:rsidRPr="00C9465D">
        <w:rPr>
          <w:rFonts w:ascii="Verdana" w:hAnsi="Verdana"/>
          <w:bCs/>
          <w:sz w:val="16"/>
          <w:szCs w:val="16"/>
          <w:lang w:val="en-US"/>
        </w:rPr>
        <w:t>para.</w:t>
      </w:r>
      <w:r w:rsidRPr="00C9465D">
        <w:rPr>
          <w:rFonts w:ascii="Verdana" w:hAnsi="Verdana"/>
          <w:bCs/>
          <w:sz w:val="16"/>
          <w:szCs w:val="16"/>
          <w:lang w:val="en-US"/>
        </w:rPr>
        <w:t xml:space="preserve"> 187.</w:t>
      </w:r>
    </w:p>
  </w:footnote>
  <w:footnote w:id="330">
    <w:p w14:paraId="389B8480" w14:textId="15375042" w:rsidR="00300482" w:rsidRPr="00C9465D" w:rsidRDefault="00300482" w:rsidP="00BD26CF">
      <w:pPr>
        <w:tabs>
          <w:tab w:val="left" w:pos="567"/>
          <w:tab w:val="left" w:pos="720"/>
        </w:tabs>
        <w:spacing w:after="120" w:line="240" w:lineRule="auto"/>
        <w:jc w:val="both"/>
        <w:rPr>
          <w:rFonts w:ascii="Verdana" w:hAnsi="Verdana"/>
          <w:i/>
          <w:sz w:val="16"/>
          <w:szCs w:val="16"/>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r>
      <w:r w:rsidR="00E2299F" w:rsidRPr="00C9465D">
        <w:rPr>
          <w:rFonts w:ascii="Verdana" w:hAnsi="Verdana"/>
          <w:i/>
          <w:sz w:val="16"/>
          <w:szCs w:val="16"/>
          <w:lang w:val="en-US"/>
        </w:rPr>
        <w:t>Cf.</w:t>
      </w:r>
      <w:r w:rsidRPr="00C9465D">
        <w:rPr>
          <w:rFonts w:ascii="Verdana" w:hAnsi="Verdana"/>
          <w:i/>
          <w:sz w:val="16"/>
          <w:szCs w:val="16"/>
          <w:lang w:val="en-US"/>
        </w:rPr>
        <w:t xml:space="preserve"> </w:t>
      </w:r>
      <w:r w:rsidR="00D8466F" w:rsidRPr="00C9465D">
        <w:rPr>
          <w:rFonts w:ascii="Verdana" w:hAnsi="Verdana"/>
          <w:i/>
          <w:sz w:val="16"/>
          <w:szCs w:val="16"/>
          <w:lang w:val="en-US"/>
        </w:rPr>
        <w:t>Case of</w:t>
      </w:r>
      <w:r w:rsidRPr="00C9465D">
        <w:rPr>
          <w:rFonts w:ascii="Verdana" w:hAnsi="Verdana"/>
          <w:i/>
          <w:sz w:val="16"/>
          <w:szCs w:val="16"/>
          <w:lang w:val="en-US"/>
        </w:rPr>
        <w:t xml:space="preserve"> Vélez Loor </w:t>
      </w:r>
      <w:r w:rsidR="00193CBB" w:rsidRPr="00C9465D">
        <w:rPr>
          <w:rFonts w:ascii="Verdana" w:hAnsi="Verdana"/>
          <w:i/>
          <w:sz w:val="16"/>
          <w:szCs w:val="16"/>
          <w:lang w:val="en-US"/>
        </w:rPr>
        <w:t>v.</w:t>
      </w:r>
      <w:r w:rsidRPr="00C9465D">
        <w:rPr>
          <w:rFonts w:ascii="Verdana" w:hAnsi="Verdana"/>
          <w:i/>
          <w:sz w:val="16"/>
          <w:szCs w:val="16"/>
          <w:lang w:val="en-US"/>
        </w:rPr>
        <w:t xml:space="preserve"> </w:t>
      </w:r>
      <w:r w:rsidR="00721A86" w:rsidRPr="00C9465D">
        <w:rPr>
          <w:rFonts w:ascii="Verdana" w:hAnsi="Verdana"/>
          <w:i/>
          <w:sz w:val="16"/>
          <w:szCs w:val="16"/>
          <w:lang w:val="en-US"/>
        </w:rPr>
        <w:t>Panama</w:t>
      </w:r>
      <w:r w:rsidRPr="00C9465D">
        <w:rPr>
          <w:rFonts w:ascii="Verdana" w:hAnsi="Verdana"/>
          <w:i/>
          <w:sz w:val="16"/>
          <w:szCs w:val="16"/>
          <w:lang w:val="en-US"/>
        </w:rPr>
        <w:t xml:space="preserve">. </w:t>
      </w:r>
      <w:r w:rsidR="00D8466F" w:rsidRPr="00C9465D">
        <w:rPr>
          <w:rFonts w:ascii="Verdana" w:hAnsi="Verdana"/>
          <w:i/>
          <w:sz w:val="16"/>
          <w:szCs w:val="16"/>
          <w:lang w:val="en-US"/>
        </w:rPr>
        <w:t>Preliminary objections, merits</w:t>
      </w:r>
      <w:r w:rsidR="00193CBB" w:rsidRPr="00C9465D">
        <w:rPr>
          <w:rFonts w:ascii="Verdana" w:hAnsi="Verdana"/>
          <w:i/>
          <w:sz w:val="16"/>
          <w:szCs w:val="16"/>
          <w:lang w:val="en-US"/>
        </w:rPr>
        <w:t>, reparations and costs</w:t>
      </w:r>
      <w:r w:rsidRPr="00C9465D">
        <w:rPr>
          <w:rFonts w:ascii="Verdana" w:hAnsi="Verdana"/>
          <w:i/>
          <w:sz w:val="16"/>
          <w:szCs w:val="16"/>
          <w:lang w:val="en-US"/>
        </w:rPr>
        <w:t xml:space="preserve">. </w:t>
      </w:r>
      <w:r w:rsidR="00D8466F" w:rsidRPr="00C9465D">
        <w:rPr>
          <w:rFonts w:ascii="Verdana" w:hAnsi="Verdana"/>
          <w:sz w:val="16"/>
          <w:szCs w:val="16"/>
          <w:lang w:val="en-US"/>
        </w:rPr>
        <w:t>Judgment of</w:t>
      </w:r>
      <w:r w:rsidRPr="00C9465D">
        <w:rPr>
          <w:rFonts w:ascii="Verdana" w:hAnsi="Verdana"/>
          <w:sz w:val="16"/>
          <w:szCs w:val="16"/>
          <w:lang w:val="en-US"/>
        </w:rPr>
        <w:t xml:space="preserve"> </w:t>
      </w:r>
      <w:r w:rsidR="00721A86" w:rsidRPr="00C9465D">
        <w:rPr>
          <w:rFonts w:ascii="Verdana" w:hAnsi="Verdana"/>
          <w:sz w:val="16"/>
          <w:szCs w:val="16"/>
          <w:lang w:val="en-US"/>
        </w:rPr>
        <w:t xml:space="preserve">November </w:t>
      </w:r>
      <w:r w:rsidRPr="00C9465D">
        <w:rPr>
          <w:rFonts w:ascii="Verdana" w:hAnsi="Verdana"/>
          <w:sz w:val="16"/>
          <w:szCs w:val="16"/>
          <w:lang w:val="en-US"/>
        </w:rPr>
        <w:t>23</w:t>
      </w:r>
      <w:r w:rsidR="00721A86" w:rsidRPr="00C9465D">
        <w:rPr>
          <w:rFonts w:ascii="Verdana" w:hAnsi="Verdana"/>
          <w:sz w:val="16"/>
          <w:szCs w:val="16"/>
          <w:lang w:val="en-US"/>
        </w:rPr>
        <w:t xml:space="preserve">, </w:t>
      </w:r>
      <w:r w:rsidRPr="00C9465D">
        <w:rPr>
          <w:rFonts w:ascii="Verdana" w:hAnsi="Verdana"/>
          <w:sz w:val="16"/>
          <w:szCs w:val="16"/>
          <w:lang w:val="en-US"/>
        </w:rPr>
        <w:t xml:space="preserve">2010. </w:t>
      </w:r>
      <w:r w:rsidR="00E2299F" w:rsidRPr="00C9465D">
        <w:rPr>
          <w:rFonts w:ascii="Verdana" w:hAnsi="Verdana"/>
          <w:sz w:val="16"/>
          <w:szCs w:val="16"/>
          <w:lang w:val="en-US"/>
        </w:rPr>
        <w:t xml:space="preserve">Series </w:t>
      </w:r>
      <w:r w:rsidRPr="00C9465D">
        <w:rPr>
          <w:rFonts w:ascii="Verdana" w:hAnsi="Verdana"/>
          <w:sz w:val="16"/>
          <w:szCs w:val="16"/>
          <w:lang w:val="en-US"/>
        </w:rPr>
        <w:t xml:space="preserve">C No. 218, </w:t>
      </w:r>
      <w:r w:rsidR="00D8466F" w:rsidRPr="00C9465D">
        <w:rPr>
          <w:rFonts w:ascii="Verdana" w:hAnsi="Verdana"/>
          <w:color w:val="000000"/>
          <w:sz w:val="16"/>
          <w:szCs w:val="16"/>
          <w:lang w:val="en-US"/>
        </w:rPr>
        <w:t>para.</w:t>
      </w:r>
      <w:r w:rsidRPr="00C9465D">
        <w:rPr>
          <w:rFonts w:ascii="Verdana" w:hAnsi="Verdana"/>
          <w:color w:val="000000"/>
          <w:sz w:val="16"/>
          <w:szCs w:val="16"/>
          <w:lang w:val="en-US"/>
        </w:rPr>
        <w:t xml:space="preserve"> 129,</w:t>
      </w:r>
      <w:r w:rsidR="00193CBB" w:rsidRPr="00C9465D">
        <w:rPr>
          <w:rFonts w:ascii="Verdana" w:hAnsi="Verdana"/>
          <w:color w:val="000000"/>
          <w:sz w:val="16"/>
          <w:szCs w:val="16"/>
          <w:lang w:val="en-US"/>
        </w:rPr>
        <w:t xml:space="preserve"> and </w:t>
      </w:r>
      <w:r w:rsidR="00D8466F" w:rsidRPr="00C9465D">
        <w:rPr>
          <w:rFonts w:ascii="Verdana" w:hAnsi="Verdana"/>
          <w:bCs/>
          <w:i/>
          <w:sz w:val="16"/>
          <w:szCs w:val="16"/>
          <w:lang w:val="en-US"/>
        </w:rPr>
        <w:t>Case of</w:t>
      </w:r>
      <w:r w:rsidRPr="00C9465D">
        <w:rPr>
          <w:rFonts w:ascii="Verdana" w:hAnsi="Verdana"/>
          <w:bCs/>
          <w:i/>
          <w:sz w:val="16"/>
          <w:szCs w:val="16"/>
          <w:lang w:val="en-US"/>
        </w:rPr>
        <w:t xml:space="preserve"> Gutiérrez Hernández</w:t>
      </w:r>
      <w:r w:rsidR="00193CBB" w:rsidRPr="00C9465D">
        <w:rPr>
          <w:rFonts w:ascii="Verdana" w:hAnsi="Verdana"/>
          <w:bCs/>
          <w:i/>
          <w:sz w:val="16"/>
          <w:szCs w:val="16"/>
          <w:lang w:val="en-US"/>
        </w:rPr>
        <w:t xml:space="preserve"> </w:t>
      </w:r>
      <w:r w:rsidR="00D8466F" w:rsidRPr="00C9465D">
        <w:rPr>
          <w:rFonts w:ascii="Verdana" w:hAnsi="Verdana"/>
          <w:bCs/>
          <w:i/>
          <w:sz w:val="16"/>
          <w:szCs w:val="16"/>
          <w:lang w:val="en-US"/>
        </w:rPr>
        <w:t>et al. v.</w:t>
      </w:r>
      <w:r w:rsidRPr="00C9465D">
        <w:rPr>
          <w:rFonts w:ascii="Verdana" w:hAnsi="Verdana"/>
          <w:bCs/>
          <w:i/>
          <w:sz w:val="16"/>
          <w:szCs w:val="16"/>
          <w:lang w:val="en-US"/>
        </w:rPr>
        <w:t xml:space="preserve"> Guatemala, supra</w:t>
      </w:r>
      <w:r w:rsidRPr="00C9465D">
        <w:rPr>
          <w:rFonts w:ascii="Verdana" w:hAnsi="Verdana"/>
          <w:bCs/>
          <w:sz w:val="16"/>
          <w:szCs w:val="16"/>
          <w:lang w:val="en-US"/>
        </w:rPr>
        <w:t xml:space="preserve">, </w:t>
      </w:r>
      <w:r w:rsidR="00D8466F" w:rsidRPr="00C9465D">
        <w:rPr>
          <w:rFonts w:ascii="Verdana" w:hAnsi="Verdana"/>
          <w:bCs/>
          <w:sz w:val="16"/>
          <w:szCs w:val="16"/>
          <w:lang w:val="en-US"/>
        </w:rPr>
        <w:t>para.</w:t>
      </w:r>
      <w:r w:rsidRPr="00C9465D">
        <w:rPr>
          <w:rFonts w:ascii="Verdana" w:hAnsi="Verdana"/>
          <w:bCs/>
          <w:sz w:val="16"/>
          <w:szCs w:val="16"/>
          <w:lang w:val="en-US"/>
        </w:rPr>
        <w:t xml:space="preserve"> </w:t>
      </w:r>
      <w:r w:rsidRPr="00C9465D">
        <w:rPr>
          <w:rFonts w:ascii="Verdana" w:hAnsi="Verdana"/>
          <w:bCs/>
          <w:sz w:val="16"/>
          <w:szCs w:val="16"/>
        </w:rPr>
        <w:t>187.</w:t>
      </w:r>
    </w:p>
  </w:footnote>
  <w:footnote w:id="331">
    <w:p w14:paraId="4136EFD4" w14:textId="24F718B9" w:rsidR="00300482" w:rsidRPr="00C9465D" w:rsidRDefault="00300482" w:rsidP="00BD26CF">
      <w:pPr>
        <w:pStyle w:val="FootnoteText"/>
        <w:tabs>
          <w:tab w:val="left" w:pos="567"/>
          <w:tab w:val="left" w:pos="720"/>
        </w:tabs>
        <w:spacing w:after="120"/>
        <w:rPr>
          <w:sz w:val="16"/>
          <w:szCs w:val="16"/>
        </w:rPr>
      </w:pPr>
      <w:r w:rsidRPr="00C9465D">
        <w:rPr>
          <w:rStyle w:val="FootnoteReference"/>
          <w:sz w:val="16"/>
          <w:szCs w:val="16"/>
          <w:lang w:val="en-US"/>
        </w:rPr>
        <w:footnoteRef/>
      </w:r>
      <w:r w:rsidRPr="00C9465D">
        <w:rPr>
          <w:sz w:val="16"/>
          <w:szCs w:val="16"/>
        </w:rPr>
        <w:t xml:space="preserve"> </w:t>
      </w:r>
      <w:r w:rsidRPr="00C9465D">
        <w:rPr>
          <w:sz w:val="16"/>
          <w:szCs w:val="16"/>
        </w:rPr>
        <w:tab/>
      </w:r>
      <w:r w:rsidR="00E2299F" w:rsidRPr="00C9465D">
        <w:rPr>
          <w:i/>
          <w:sz w:val="16"/>
          <w:szCs w:val="16"/>
        </w:rPr>
        <w:t>Cf.</w:t>
      </w:r>
      <w:r w:rsidRPr="00C9465D">
        <w:rPr>
          <w:i/>
          <w:sz w:val="16"/>
          <w:szCs w:val="16"/>
        </w:rPr>
        <w:t xml:space="preserve"> </w:t>
      </w:r>
      <w:r w:rsidR="00D8466F" w:rsidRPr="00C9465D">
        <w:rPr>
          <w:i/>
          <w:sz w:val="16"/>
          <w:szCs w:val="16"/>
        </w:rPr>
        <w:t>Case of</w:t>
      </w:r>
      <w:r w:rsidRPr="00C9465D">
        <w:rPr>
          <w:i/>
          <w:sz w:val="16"/>
          <w:szCs w:val="16"/>
        </w:rPr>
        <w:t xml:space="preserve"> </w:t>
      </w:r>
      <w:proofErr w:type="spellStart"/>
      <w:r w:rsidRPr="00C9465D">
        <w:rPr>
          <w:i/>
          <w:sz w:val="16"/>
          <w:szCs w:val="16"/>
        </w:rPr>
        <w:t>Anzualdo</w:t>
      </w:r>
      <w:proofErr w:type="spellEnd"/>
      <w:r w:rsidRPr="00C9465D">
        <w:rPr>
          <w:i/>
          <w:sz w:val="16"/>
          <w:szCs w:val="16"/>
        </w:rPr>
        <w:t xml:space="preserve"> Castro </w:t>
      </w:r>
      <w:r w:rsidR="00193CBB" w:rsidRPr="00C9465D">
        <w:rPr>
          <w:i/>
          <w:sz w:val="16"/>
          <w:szCs w:val="16"/>
        </w:rPr>
        <w:t>v.</w:t>
      </w:r>
      <w:r w:rsidRPr="00C9465D">
        <w:rPr>
          <w:i/>
          <w:sz w:val="16"/>
          <w:szCs w:val="16"/>
        </w:rPr>
        <w:t xml:space="preserve"> </w:t>
      </w:r>
      <w:proofErr w:type="spellStart"/>
      <w:r w:rsidR="001902D2" w:rsidRPr="00C9465D">
        <w:rPr>
          <w:i/>
          <w:sz w:val="16"/>
          <w:szCs w:val="16"/>
        </w:rPr>
        <w:t>Peru</w:t>
      </w:r>
      <w:proofErr w:type="spellEnd"/>
      <w:r w:rsidRPr="00C9465D">
        <w:rPr>
          <w:i/>
          <w:sz w:val="16"/>
          <w:szCs w:val="16"/>
        </w:rPr>
        <w:t>, supra</w:t>
      </w:r>
      <w:r w:rsidRPr="00C9465D">
        <w:rPr>
          <w:sz w:val="16"/>
          <w:szCs w:val="16"/>
        </w:rPr>
        <w:t xml:space="preserve">, </w:t>
      </w:r>
      <w:r w:rsidR="00D8466F" w:rsidRPr="00C9465D">
        <w:rPr>
          <w:sz w:val="16"/>
          <w:szCs w:val="16"/>
        </w:rPr>
        <w:t>para.</w:t>
      </w:r>
      <w:r w:rsidRPr="00C9465D">
        <w:rPr>
          <w:sz w:val="16"/>
          <w:szCs w:val="16"/>
        </w:rPr>
        <w:t xml:space="preserve"> 77; </w:t>
      </w:r>
      <w:r w:rsidR="00D8466F" w:rsidRPr="00C9465D">
        <w:rPr>
          <w:i/>
          <w:sz w:val="16"/>
          <w:szCs w:val="16"/>
        </w:rPr>
        <w:t>Case of</w:t>
      </w:r>
      <w:r w:rsidRPr="00C9465D">
        <w:rPr>
          <w:i/>
          <w:sz w:val="16"/>
          <w:szCs w:val="16"/>
        </w:rPr>
        <w:t xml:space="preserve"> Vélez Loor </w:t>
      </w:r>
      <w:r w:rsidR="00193CBB" w:rsidRPr="00C9465D">
        <w:rPr>
          <w:i/>
          <w:sz w:val="16"/>
          <w:szCs w:val="16"/>
        </w:rPr>
        <w:t>v.</w:t>
      </w:r>
      <w:r w:rsidRPr="00C9465D">
        <w:rPr>
          <w:i/>
          <w:sz w:val="16"/>
          <w:szCs w:val="16"/>
        </w:rPr>
        <w:t xml:space="preserve"> </w:t>
      </w:r>
      <w:proofErr w:type="spellStart"/>
      <w:r w:rsidR="00721A86" w:rsidRPr="00C9465D">
        <w:rPr>
          <w:i/>
          <w:sz w:val="16"/>
          <w:szCs w:val="16"/>
        </w:rPr>
        <w:t>Panama</w:t>
      </w:r>
      <w:proofErr w:type="spellEnd"/>
      <w:r w:rsidRPr="00C9465D">
        <w:rPr>
          <w:i/>
          <w:sz w:val="16"/>
          <w:szCs w:val="16"/>
        </w:rPr>
        <w:t>, supra</w:t>
      </w:r>
      <w:r w:rsidRPr="00C9465D">
        <w:rPr>
          <w:sz w:val="16"/>
          <w:szCs w:val="16"/>
        </w:rPr>
        <w:t xml:space="preserve">, </w:t>
      </w:r>
      <w:r w:rsidR="00D8466F" w:rsidRPr="00C9465D">
        <w:rPr>
          <w:sz w:val="16"/>
          <w:szCs w:val="16"/>
        </w:rPr>
        <w:t>para.</w:t>
      </w:r>
      <w:r w:rsidRPr="00C9465D">
        <w:rPr>
          <w:sz w:val="16"/>
          <w:szCs w:val="16"/>
        </w:rPr>
        <w:t xml:space="preserve"> </w:t>
      </w:r>
      <w:r w:rsidRPr="00C9465D">
        <w:rPr>
          <w:sz w:val="16"/>
          <w:szCs w:val="16"/>
          <w:lang w:val="en-US"/>
        </w:rPr>
        <w:t>123,</w:t>
      </w:r>
      <w:r w:rsidR="00193CBB" w:rsidRPr="00C9465D">
        <w:rPr>
          <w:sz w:val="16"/>
          <w:szCs w:val="16"/>
          <w:lang w:val="en-US"/>
        </w:rPr>
        <w:t xml:space="preserve"> and </w:t>
      </w:r>
      <w:r w:rsidR="00D8466F" w:rsidRPr="00C9465D">
        <w:rPr>
          <w:bCs/>
          <w:i/>
          <w:sz w:val="16"/>
          <w:szCs w:val="16"/>
          <w:lang w:val="en-US"/>
        </w:rPr>
        <w:t>Case of</w:t>
      </w:r>
      <w:r w:rsidRPr="00C9465D">
        <w:rPr>
          <w:bCs/>
          <w:i/>
          <w:sz w:val="16"/>
          <w:szCs w:val="16"/>
          <w:lang w:val="en-US"/>
        </w:rPr>
        <w:t xml:space="preserve"> Rodríguez Revolorio</w:t>
      </w:r>
      <w:r w:rsidR="00193CBB" w:rsidRPr="00C9465D">
        <w:rPr>
          <w:bCs/>
          <w:i/>
          <w:sz w:val="16"/>
          <w:szCs w:val="16"/>
          <w:lang w:val="en-US"/>
        </w:rPr>
        <w:t xml:space="preserve"> </w:t>
      </w:r>
      <w:r w:rsidR="00D8466F" w:rsidRPr="00C9465D">
        <w:rPr>
          <w:bCs/>
          <w:i/>
          <w:sz w:val="16"/>
          <w:szCs w:val="16"/>
          <w:lang w:val="en-US"/>
        </w:rPr>
        <w:t>et al. v.</w:t>
      </w:r>
      <w:r w:rsidRPr="00C9465D">
        <w:rPr>
          <w:bCs/>
          <w:i/>
          <w:sz w:val="16"/>
          <w:szCs w:val="16"/>
          <w:lang w:val="en-US"/>
        </w:rPr>
        <w:t xml:space="preserve"> Guatemala. </w:t>
      </w:r>
      <w:r w:rsidR="00D8466F" w:rsidRPr="00C9465D">
        <w:rPr>
          <w:bCs/>
          <w:i/>
          <w:sz w:val="16"/>
          <w:szCs w:val="16"/>
          <w:lang w:val="en-US"/>
        </w:rPr>
        <w:t>Preliminary objection, merits</w:t>
      </w:r>
      <w:r w:rsidR="00193CBB" w:rsidRPr="00C9465D">
        <w:rPr>
          <w:bCs/>
          <w:i/>
          <w:sz w:val="16"/>
          <w:szCs w:val="16"/>
          <w:lang w:val="en-US"/>
        </w:rPr>
        <w:t>, reparations and costs</w:t>
      </w:r>
      <w:r w:rsidRPr="00C9465D">
        <w:rPr>
          <w:bCs/>
          <w:i/>
          <w:sz w:val="16"/>
          <w:szCs w:val="16"/>
          <w:lang w:val="en-US"/>
        </w:rPr>
        <w:t xml:space="preserve">. </w:t>
      </w:r>
      <w:proofErr w:type="spellStart"/>
      <w:r w:rsidR="00D8466F" w:rsidRPr="00C9465D">
        <w:rPr>
          <w:bCs/>
          <w:sz w:val="16"/>
          <w:szCs w:val="16"/>
        </w:rPr>
        <w:t>Judgment</w:t>
      </w:r>
      <w:proofErr w:type="spellEnd"/>
      <w:r w:rsidR="00D8466F" w:rsidRPr="00C9465D">
        <w:rPr>
          <w:bCs/>
          <w:sz w:val="16"/>
          <w:szCs w:val="16"/>
        </w:rPr>
        <w:t xml:space="preserve"> of</w:t>
      </w:r>
      <w:r w:rsidRPr="00C9465D">
        <w:rPr>
          <w:bCs/>
          <w:sz w:val="16"/>
          <w:szCs w:val="16"/>
        </w:rPr>
        <w:t xml:space="preserve"> </w:t>
      </w:r>
      <w:proofErr w:type="spellStart"/>
      <w:r w:rsidR="00721A86" w:rsidRPr="00C9465D">
        <w:rPr>
          <w:bCs/>
          <w:sz w:val="16"/>
          <w:szCs w:val="16"/>
        </w:rPr>
        <w:t>October</w:t>
      </w:r>
      <w:proofErr w:type="spellEnd"/>
      <w:r w:rsidR="00721A86" w:rsidRPr="00C9465D">
        <w:rPr>
          <w:bCs/>
          <w:sz w:val="16"/>
          <w:szCs w:val="16"/>
        </w:rPr>
        <w:t xml:space="preserve"> 14,</w:t>
      </w:r>
      <w:r w:rsidRPr="00C9465D">
        <w:rPr>
          <w:bCs/>
          <w:sz w:val="16"/>
          <w:szCs w:val="16"/>
        </w:rPr>
        <w:t xml:space="preserve"> 2019. </w:t>
      </w:r>
      <w:r w:rsidR="00E2299F" w:rsidRPr="00C9465D">
        <w:rPr>
          <w:bCs/>
          <w:sz w:val="16"/>
          <w:szCs w:val="16"/>
        </w:rPr>
        <w:t xml:space="preserve">Series </w:t>
      </w:r>
      <w:r w:rsidRPr="00C9465D">
        <w:rPr>
          <w:bCs/>
          <w:sz w:val="16"/>
          <w:szCs w:val="16"/>
        </w:rPr>
        <w:t xml:space="preserve">C No. 387, </w:t>
      </w:r>
      <w:r w:rsidR="00D8466F" w:rsidRPr="00C9465D">
        <w:rPr>
          <w:bCs/>
          <w:sz w:val="16"/>
          <w:szCs w:val="16"/>
        </w:rPr>
        <w:t>para.</w:t>
      </w:r>
      <w:r w:rsidRPr="00C9465D">
        <w:rPr>
          <w:bCs/>
          <w:sz w:val="16"/>
          <w:szCs w:val="16"/>
        </w:rPr>
        <w:t xml:space="preserve"> 135</w:t>
      </w:r>
      <w:r w:rsidRPr="00C9465D">
        <w:rPr>
          <w:bCs/>
          <w:i/>
          <w:sz w:val="16"/>
          <w:szCs w:val="16"/>
        </w:rPr>
        <w:t>.</w:t>
      </w:r>
    </w:p>
  </w:footnote>
  <w:footnote w:id="332">
    <w:p w14:paraId="739B5CDF" w14:textId="076735B0" w:rsidR="00300482" w:rsidRPr="00C9465D" w:rsidRDefault="00300482" w:rsidP="00BD26CF">
      <w:pPr>
        <w:tabs>
          <w:tab w:val="left" w:pos="567"/>
        </w:tabs>
        <w:spacing w:after="120" w:line="240" w:lineRule="auto"/>
        <w:jc w:val="both"/>
        <w:rPr>
          <w:rFonts w:ascii="Verdana" w:hAnsi="Verdana"/>
          <w:b/>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rPr>
        <w:t xml:space="preserve"> </w:t>
      </w:r>
      <w:r w:rsidRPr="00C9465D">
        <w:rPr>
          <w:rFonts w:ascii="Verdana" w:hAnsi="Verdana"/>
          <w:sz w:val="16"/>
          <w:szCs w:val="16"/>
        </w:rPr>
        <w:tab/>
      </w:r>
      <w:r w:rsidR="00E2299F" w:rsidRPr="00C9465D">
        <w:rPr>
          <w:rFonts w:ascii="Verdana" w:hAnsi="Verdana"/>
          <w:i/>
          <w:sz w:val="16"/>
          <w:szCs w:val="16"/>
        </w:rPr>
        <w:t>Cf.</w:t>
      </w:r>
      <w:r w:rsidRPr="00C9465D">
        <w:rPr>
          <w:rFonts w:ascii="Verdana" w:hAnsi="Verdana"/>
          <w:b/>
          <w:sz w:val="16"/>
          <w:szCs w:val="16"/>
        </w:rPr>
        <w:t xml:space="preserve"> </w:t>
      </w:r>
      <w:r w:rsidR="00D8466F" w:rsidRPr="00C9465D">
        <w:rPr>
          <w:rFonts w:ascii="Verdana" w:hAnsi="Verdana"/>
          <w:i/>
          <w:sz w:val="16"/>
          <w:szCs w:val="16"/>
        </w:rPr>
        <w:t>Case of</w:t>
      </w:r>
      <w:r w:rsidRPr="00C9465D">
        <w:rPr>
          <w:rFonts w:ascii="Verdana" w:hAnsi="Verdana"/>
          <w:i/>
          <w:sz w:val="16"/>
          <w:szCs w:val="16"/>
        </w:rPr>
        <w:t xml:space="preserve"> Velásquez Rodríguez </w:t>
      </w:r>
      <w:r w:rsidR="00193CBB" w:rsidRPr="00C9465D">
        <w:rPr>
          <w:rFonts w:ascii="Verdana" w:hAnsi="Verdana"/>
          <w:i/>
          <w:sz w:val="16"/>
          <w:szCs w:val="16"/>
        </w:rPr>
        <w:t>v.</w:t>
      </w:r>
      <w:r w:rsidRPr="00C9465D">
        <w:rPr>
          <w:rFonts w:ascii="Verdana" w:hAnsi="Verdana"/>
          <w:i/>
          <w:sz w:val="16"/>
          <w:szCs w:val="16"/>
        </w:rPr>
        <w:t xml:space="preserve"> Honduras</w:t>
      </w:r>
      <w:r w:rsidRPr="00C9465D">
        <w:rPr>
          <w:rFonts w:ascii="Verdana" w:hAnsi="Verdana"/>
          <w:sz w:val="16"/>
          <w:szCs w:val="16"/>
        </w:rPr>
        <w:t xml:space="preserve">. </w:t>
      </w:r>
      <w:proofErr w:type="spellStart"/>
      <w:r w:rsidR="00532DEC" w:rsidRPr="00C9465D">
        <w:rPr>
          <w:rFonts w:ascii="Verdana" w:hAnsi="Verdana"/>
          <w:i/>
          <w:sz w:val="16"/>
          <w:szCs w:val="16"/>
        </w:rPr>
        <w:t>Merits</w:t>
      </w:r>
      <w:proofErr w:type="spellEnd"/>
      <w:r w:rsidRPr="00C9465D">
        <w:rPr>
          <w:rFonts w:ascii="Verdana" w:hAnsi="Verdana"/>
          <w:sz w:val="16"/>
          <w:szCs w:val="16"/>
        </w:rPr>
        <w:t xml:space="preserve">, </w:t>
      </w:r>
      <w:r w:rsidRPr="00C9465D">
        <w:rPr>
          <w:rFonts w:ascii="Verdana" w:hAnsi="Verdana"/>
          <w:i/>
          <w:sz w:val="16"/>
          <w:szCs w:val="16"/>
        </w:rPr>
        <w:t>supra</w:t>
      </w:r>
      <w:r w:rsidRPr="00C9465D">
        <w:rPr>
          <w:rFonts w:ascii="Verdana" w:hAnsi="Verdana"/>
          <w:sz w:val="16"/>
          <w:szCs w:val="16"/>
        </w:rPr>
        <w:t xml:space="preserve">, </w:t>
      </w:r>
      <w:r w:rsidR="00D8466F" w:rsidRPr="00C9465D">
        <w:rPr>
          <w:rFonts w:ascii="Verdana" w:hAnsi="Verdana"/>
          <w:sz w:val="16"/>
          <w:szCs w:val="16"/>
        </w:rPr>
        <w:t>para.</w:t>
      </w:r>
      <w:r w:rsidRPr="00C9465D">
        <w:rPr>
          <w:rFonts w:ascii="Verdana" w:hAnsi="Verdana"/>
          <w:sz w:val="16"/>
          <w:szCs w:val="16"/>
        </w:rPr>
        <w:t xml:space="preserve"> </w:t>
      </w:r>
      <w:r w:rsidRPr="00C9465D">
        <w:rPr>
          <w:rFonts w:ascii="Verdana" w:hAnsi="Verdana"/>
          <w:sz w:val="16"/>
          <w:szCs w:val="16"/>
          <w:lang w:val="en-US"/>
        </w:rPr>
        <w:t>163,</w:t>
      </w:r>
      <w:r w:rsidR="00193CBB" w:rsidRPr="00C9465D">
        <w:rPr>
          <w:rFonts w:ascii="Verdana" w:hAnsi="Verdana"/>
          <w:sz w:val="16"/>
          <w:szCs w:val="16"/>
          <w:lang w:val="en-US"/>
        </w:rPr>
        <w:t xml:space="preserve"> and </w:t>
      </w:r>
      <w:r w:rsidR="00D8466F" w:rsidRPr="00C9465D">
        <w:rPr>
          <w:rStyle w:val="Strong"/>
          <w:rFonts w:ascii="Verdana" w:hAnsi="Verdana"/>
          <w:b w:val="0"/>
          <w:i/>
          <w:sz w:val="16"/>
          <w:szCs w:val="16"/>
          <w:lang w:val="en-US"/>
        </w:rPr>
        <w:t>Case of</w:t>
      </w:r>
      <w:r w:rsidRPr="00C9465D">
        <w:rPr>
          <w:rStyle w:val="Strong"/>
          <w:rFonts w:ascii="Verdana" w:hAnsi="Verdana"/>
          <w:b w:val="0"/>
          <w:i/>
          <w:sz w:val="16"/>
          <w:szCs w:val="16"/>
          <w:lang w:val="en-US"/>
        </w:rPr>
        <w:t xml:space="preserve"> Hernández </w:t>
      </w:r>
      <w:r w:rsidR="00193CBB" w:rsidRPr="00C9465D">
        <w:rPr>
          <w:rStyle w:val="Strong"/>
          <w:rFonts w:ascii="Verdana" w:hAnsi="Verdana"/>
          <w:b w:val="0"/>
          <w:i/>
          <w:sz w:val="16"/>
          <w:szCs w:val="16"/>
          <w:lang w:val="en-US"/>
        </w:rPr>
        <w:t>v.</w:t>
      </w:r>
      <w:r w:rsidRPr="00C9465D">
        <w:rPr>
          <w:rStyle w:val="Strong"/>
          <w:rFonts w:ascii="Verdana" w:hAnsi="Verdana"/>
          <w:b w:val="0"/>
          <w:i/>
          <w:sz w:val="16"/>
          <w:szCs w:val="16"/>
          <w:lang w:val="en-US"/>
        </w:rPr>
        <w:t xml:space="preserve"> Argentina, supra</w:t>
      </w:r>
      <w:r w:rsidRPr="00C9465D">
        <w:rPr>
          <w:rStyle w:val="Strong"/>
          <w:rFonts w:ascii="Verdana" w:hAnsi="Verdana"/>
          <w:b w:val="0"/>
          <w:sz w:val="16"/>
          <w:szCs w:val="16"/>
          <w:lang w:val="en-US"/>
        </w:rPr>
        <w:t xml:space="preserve">, </w:t>
      </w:r>
      <w:r w:rsidR="00D8466F" w:rsidRPr="00C9465D">
        <w:rPr>
          <w:rStyle w:val="Strong"/>
          <w:rFonts w:ascii="Verdana" w:hAnsi="Verdana"/>
          <w:b w:val="0"/>
          <w:sz w:val="16"/>
          <w:szCs w:val="16"/>
          <w:lang w:val="en-US"/>
        </w:rPr>
        <w:t>para.</w:t>
      </w:r>
      <w:r w:rsidRPr="00C9465D">
        <w:rPr>
          <w:rFonts w:ascii="Verdana" w:hAnsi="Verdana"/>
          <w:bCs/>
          <w:sz w:val="16"/>
          <w:szCs w:val="16"/>
          <w:lang w:val="en-US"/>
        </w:rPr>
        <w:t xml:space="preserve"> 54.</w:t>
      </w:r>
    </w:p>
  </w:footnote>
  <w:footnote w:id="333">
    <w:p w14:paraId="7A0DC6AB" w14:textId="624CFB40"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b/>
          <w:sz w:val="16"/>
          <w:szCs w:val="16"/>
          <w:lang w:val="en-US"/>
        </w:rPr>
        <w:t xml:space="preserve"> </w:t>
      </w:r>
      <w:r w:rsidR="00D8466F" w:rsidRPr="00C9465D">
        <w:rPr>
          <w:i/>
          <w:sz w:val="16"/>
          <w:szCs w:val="16"/>
          <w:lang w:val="en-US"/>
        </w:rPr>
        <w:t>Case of</w:t>
      </w:r>
      <w:r w:rsidRPr="00C9465D">
        <w:rPr>
          <w:i/>
          <w:sz w:val="16"/>
          <w:szCs w:val="16"/>
          <w:lang w:val="en-US"/>
        </w:rPr>
        <w:t xml:space="preserve"> Cesti Hurtado </w:t>
      </w:r>
      <w:r w:rsidR="00193CBB" w:rsidRPr="00C9465D">
        <w:rPr>
          <w:i/>
          <w:sz w:val="16"/>
          <w:szCs w:val="16"/>
          <w:lang w:val="en-US"/>
        </w:rPr>
        <w:t>v.</w:t>
      </w:r>
      <w:r w:rsidRPr="00C9465D">
        <w:rPr>
          <w:i/>
          <w:sz w:val="16"/>
          <w:szCs w:val="16"/>
          <w:lang w:val="en-US"/>
        </w:rPr>
        <w:t xml:space="preserve"> </w:t>
      </w:r>
      <w:r w:rsidR="001902D2" w:rsidRPr="00C9465D">
        <w:rPr>
          <w:i/>
          <w:sz w:val="16"/>
          <w:szCs w:val="16"/>
          <w:lang w:val="en-US"/>
        </w:rPr>
        <w:t>Peru</w:t>
      </w:r>
      <w:r w:rsidRPr="00C9465D">
        <w:rPr>
          <w:i/>
          <w:sz w:val="16"/>
          <w:szCs w:val="16"/>
          <w:lang w:val="en-US"/>
        </w:rPr>
        <w:t xml:space="preserve">. </w:t>
      </w:r>
      <w:r w:rsidR="00532DEC" w:rsidRPr="00C9465D">
        <w:rPr>
          <w:i/>
          <w:sz w:val="16"/>
          <w:szCs w:val="16"/>
          <w:lang w:val="en-US"/>
        </w:rPr>
        <w:t>Merits</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721A86" w:rsidRPr="00C9465D">
        <w:rPr>
          <w:sz w:val="16"/>
          <w:szCs w:val="16"/>
          <w:lang w:val="en-US"/>
        </w:rPr>
        <w:t xml:space="preserve">September 29, </w:t>
      </w:r>
      <w:r w:rsidRPr="00C9465D">
        <w:rPr>
          <w:sz w:val="16"/>
          <w:szCs w:val="16"/>
          <w:lang w:val="en-US"/>
        </w:rPr>
        <w:t xml:space="preserve">1999. </w:t>
      </w:r>
      <w:r w:rsidR="00E2299F" w:rsidRPr="00C9465D">
        <w:rPr>
          <w:sz w:val="16"/>
          <w:szCs w:val="16"/>
          <w:lang w:val="en-US"/>
        </w:rPr>
        <w:t xml:space="preserve">Series </w:t>
      </w:r>
      <w:r w:rsidRPr="00C9465D">
        <w:rPr>
          <w:sz w:val="16"/>
          <w:szCs w:val="16"/>
          <w:lang w:val="en-US"/>
        </w:rPr>
        <w:t xml:space="preserve">C No. 56, </w:t>
      </w:r>
      <w:r w:rsidR="00D8466F" w:rsidRPr="00C9465D">
        <w:rPr>
          <w:sz w:val="16"/>
          <w:szCs w:val="16"/>
          <w:lang w:val="en-US"/>
        </w:rPr>
        <w:t>para.</w:t>
      </w:r>
      <w:r w:rsidRPr="00C9465D">
        <w:rPr>
          <w:sz w:val="16"/>
          <w:szCs w:val="16"/>
          <w:lang w:val="en-US"/>
        </w:rPr>
        <w:t xml:space="preserve"> 133,</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Acevedo Jaramillo</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w:t>
      </w:r>
      <w:r w:rsidR="001902D2" w:rsidRPr="00C9465D">
        <w:rPr>
          <w:i/>
          <w:sz w:val="16"/>
          <w:szCs w:val="16"/>
          <w:lang w:val="en-US"/>
        </w:rPr>
        <w:t>Peru</w:t>
      </w:r>
      <w:r w:rsidRPr="00C9465D">
        <w:rPr>
          <w:i/>
          <w:sz w:val="16"/>
          <w:szCs w:val="16"/>
          <w:lang w:val="en-US"/>
        </w:rPr>
        <w:t xml:space="preserve">. </w:t>
      </w:r>
      <w:r w:rsidR="00D8466F" w:rsidRPr="00C9465D">
        <w:rPr>
          <w:i/>
          <w:sz w:val="16"/>
          <w:szCs w:val="16"/>
          <w:lang w:val="en-US"/>
        </w:rPr>
        <w:t>Preliminary objections, merits</w:t>
      </w:r>
      <w:r w:rsidR="00193CBB" w:rsidRPr="00C9465D">
        <w:rPr>
          <w:i/>
          <w:sz w:val="16"/>
          <w:szCs w:val="16"/>
          <w:lang w:val="en-US"/>
        </w:rPr>
        <w:t>, reparations and costs</w:t>
      </w:r>
      <w:r w:rsidRPr="00C9465D">
        <w:rPr>
          <w:i/>
          <w:sz w:val="16"/>
          <w:szCs w:val="16"/>
          <w:lang w:val="en-US"/>
        </w:rPr>
        <w:t>.</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721A86" w:rsidRPr="00C9465D">
        <w:rPr>
          <w:sz w:val="16"/>
          <w:szCs w:val="16"/>
          <w:lang w:val="en-US"/>
        </w:rPr>
        <w:t xml:space="preserve">February </w:t>
      </w:r>
      <w:r w:rsidRPr="00C9465D">
        <w:rPr>
          <w:sz w:val="16"/>
          <w:szCs w:val="16"/>
          <w:lang w:val="en-US"/>
        </w:rPr>
        <w:t>7</w:t>
      </w:r>
      <w:r w:rsidR="00721A86" w:rsidRPr="00C9465D">
        <w:rPr>
          <w:sz w:val="16"/>
          <w:szCs w:val="16"/>
          <w:lang w:val="en-US"/>
        </w:rPr>
        <w:t xml:space="preserve">, </w:t>
      </w:r>
      <w:r w:rsidRPr="00C9465D">
        <w:rPr>
          <w:sz w:val="16"/>
          <w:szCs w:val="16"/>
          <w:lang w:val="en-US"/>
        </w:rPr>
        <w:t xml:space="preserve">2006. </w:t>
      </w:r>
      <w:r w:rsidR="00E2299F" w:rsidRPr="00C9465D">
        <w:rPr>
          <w:sz w:val="16"/>
          <w:szCs w:val="16"/>
          <w:lang w:val="en-US"/>
        </w:rPr>
        <w:t xml:space="preserve">Series </w:t>
      </w:r>
      <w:r w:rsidRPr="00C9465D">
        <w:rPr>
          <w:sz w:val="16"/>
          <w:szCs w:val="16"/>
          <w:lang w:val="en-US"/>
        </w:rPr>
        <w:t xml:space="preserve">C No. 144, </w:t>
      </w:r>
      <w:r w:rsidR="00D8466F" w:rsidRPr="00C9465D">
        <w:rPr>
          <w:sz w:val="16"/>
          <w:szCs w:val="16"/>
          <w:lang w:val="en-US"/>
        </w:rPr>
        <w:t>para.</w:t>
      </w:r>
      <w:r w:rsidRPr="00C9465D">
        <w:rPr>
          <w:sz w:val="16"/>
          <w:szCs w:val="16"/>
          <w:lang w:val="en-US"/>
        </w:rPr>
        <w:t xml:space="preserve"> 218.</w:t>
      </w:r>
    </w:p>
  </w:footnote>
  <w:footnote w:id="334">
    <w:p w14:paraId="77FC7562" w14:textId="77584857" w:rsidR="00300482" w:rsidRPr="00C9465D" w:rsidRDefault="00300482" w:rsidP="00BD26CF">
      <w:pPr>
        <w:tabs>
          <w:tab w:val="left" w:pos="567"/>
        </w:tabs>
        <w:spacing w:after="120" w:line="240" w:lineRule="auto"/>
        <w:jc w:val="both"/>
        <w:rPr>
          <w:rFonts w:ascii="Verdana" w:hAnsi="Verdana"/>
          <w:sz w:val="16"/>
          <w:szCs w:val="16"/>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r>
      <w:r w:rsidR="00E2299F" w:rsidRPr="00C9465D">
        <w:rPr>
          <w:rFonts w:ascii="Verdana" w:hAnsi="Verdana"/>
          <w:i/>
          <w:sz w:val="16"/>
          <w:szCs w:val="16"/>
          <w:lang w:val="en-US"/>
        </w:rPr>
        <w:t>Cf.</w:t>
      </w:r>
      <w:r w:rsidRPr="00C9465D">
        <w:rPr>
          <w:rFonts w:ascii="Verdana" w:hAnsi="Verdana"/>
          <w:sz w:val="16"/>
          <w:szCs w:val="16"/>
          <w:lang w:val="en-US"/>
        </w:rPr>
        <w:t xml:space="preserve"> </w:t>
      </w:r>
      <w:r w:rsidR="00D8466F" w:rsidRPr="00C9465D">
        <w:rPr>
          <w:rFonts w:ascii="Verdana" w:hAnsi="Verdana"/>
          <w:bCs/>
          <w:i/>
          <w:color w:val="000000"/>
          <w:sz w:val="16"/>
          <w:szCs w:val="16"/>
          <w:lang w:val="en-US"/>
        </w:rPr>
        <w:t>Case of</w:t>
      </w:r>
      <w:r w:rsidRPr="00C9465D">
        <w:rPr>
          <w:rFonts w:ascii="Verdana" w:hAnsi="Verdana"/>
          <w:bCs/>
          <w:i/>
          <w:color w:val="000000"/>
          <w:sz w:val="16"/>
          <w:szCs w:val="16"/>
          <w:lang w:val="en-US"/>
        </w:rPr>
        <w:t xml:space="preserve"> Velásquez Rodríguez </w:t>
      </w:r>
      <w:r w:rsidR="00193CBB" w:rsidRPr="00C9465D">
        <w:rPr>
          <w:rFonts w:ascii="Verdana" w:hAnsi="Verdana"/>
          <w:bCs/>
          <w:i/>
          <w:color w:val="000000"/>
          <w:sz w:val="16"/>
          <w:szCs w:val="16"/>
          <w:lang w:val="en-US"/>
        </w:rPr>
        <w:t>v.</w:t>
      </w:r>
      <w:r w:rsidRPr="00C9465D">
        <w:rPr>
          <w:rFonts w:ascii="Verdana" w:hAnsi="Verdana"/>
          <w:bCs/>
          <w:i/>
          <w:color w:val="000000"/>
          <w:sz w:val="16"/>
          <w:szCs w:val="16"/>
          <w:lang w:val="en-US"/>
        </w:rPr>
        <w:t xml:space="preserve"> Honduras.</w:t>
      </w:r>
      <w:r w:rsidRPr="00C9465D">
        <w:rPr>
          <w:rFonts w:ascii="Verdana" w:hAnsi="Verdana"/>
          <w:b/>
          <w:bCs/>
          <w:color w:val="000000"/>
          <w:sz w:val="16"/>
          <w:szCs w:val="16"/>
          <w:lang w:val="en-US"/>
        </w:rPr>
        <w:t xml:space="preserve"> </w:t>
      </w:r>
      <w:r w:rsidR="00532DEC" w:rsidRPr="00C9465D">
        <w:rPr>
          <w:rFonts w:ascii="Verdana" w:hAnsi="Verdana"/>
          <w:i/>
          <w:color w:val="000000"/>
          <w:sz w:val="16"/>
          <w:szCs w:val="16"/>
          <w:lang w:val="en-US"/>
        </w:rPr>
        <w:t>Merits</w:t>
      </w:r>
      <w:r w:rsidRPr="00C9465D">
        <w:rPr>
          <w:rFonts w:ascii="Verdana" w:hAnsi="Verdana"/>
          <w:i/>
          <w:color w:val="000000"/>
          <w:sz w:val="16"/>
          <w:szCs w:val="16"/>
          <w:lang w:val="en-US"/>
        </w:rPr>
        <w:t>, supra</w:t>
      </w:r>
      <w:r w:rsidRPr="00C9465D">
        <w:rPr>
          <w:rFonts w:ascii="Verdana" w:hAnsi="Verdana"/>
          <w:bCs/>
          <w:sz w:val="16"/>
          <w:szCs w:val="16"/>
          <w:lang w:val="en-US" w:bidi="en-US"/>
        </w:rPr>
        <w:t xml:space="preserve">, </w:t>
      </w:r>
      <w:r w:rsidR="00D8466F" w:rsidRPr="00C9465D">
        <w:rPr>
          <w:rFonts w:ascii="Verdana" w:hAnsi="Verdana"/>
          <w:bCs/>
          <w:sz w:val="16"/>
          <w:szCs w:val="16"/>
          <w:lang w:val="en-US" w:bidi="en-US"/>
        </w:rPr>
        <w:t>paras.</w:t>
      </w:r>
      <w:r w:rsidRPr="00C9465D">
        <w:rPr>
          <w:rFonts w:ascii="Verdana" w:hAnsi="Verdana"/>
          <w:bCs/>
          <w:sz w:val="16"/>
          <w:szCs w:val="16"/>
          <w:lang w:val="en-US" w:bidi="en-US"/>
        </w:rPr>
        <w:t xml:space="preserve"> 63, 64</w:t>
      </w:r>
      <w:r w:rsidR="00193CBB" w:rsidRPr="00C9465D">
        <w:rPr>
          <w:rFonts w:ascii="Verdana" w:hAnsi="Verdana"/>
          <w:bCs/>
          <w:sz w:val="16"/>
          <w:szCs w:val="16"/>
          <w:lang w:val="en-US" w:bidi="en-US"/>
        </w:rPr>
        <w:t xml:space="preserve"> and </w:t>
      </w:r>
      <w:r w:rsidRPr="00C9465D">
        <w:rPr>
          <w:rFonts w:ascii="Verdana" w:hAnsi="Verdana"/>
          <w:bCs/>
          <w:sz w:val="16"/>
          <w:szCs w:val="16"/>
          <w:lang w:val="en-US" w:bidi="en-US"/>
        </w:rPr>
        <w:t>66</w:t>
      </w:r>
      <w:r w:rsidRPr="00C9465D">
        <w:rPr>
          <w:rFonts w:ascii="Verdana" w:hAnsi="Verdana"/>
          <w:sz w:val="16"/>
          <w:szCs w:val="16"/>
          <w:lang w:val="en-US"/>
        </w:rPr>
        <w:t>,</w:t>
      </w:r>
      <w:r w:rsidR="00193CBB" w:rsidRPr="00C9465D">
        <w:rPr>
          <w:rFonts w:ascii="Verdana" w:hAnsi="Verdana"/>
          <w:sz w:val="16"/>
          <w:szCs w:val="16"/>
          <w:lang w:val="en-US"/>
        </w:rPr>
        <w:t xml:space="preserve"> and </w:t>
      </w:r>
      <w:r w:rsidR="00D8466F" w:rsidRPr="00C9465D">
        <w:rPr>
          <w:rStyle w:val="Strong"/>
          <w:rFonts w:ascii="Verdana" w:hAnsi="Verdana"/>
          <w:b w:val="0"/>
          <w:i/>
          <w:sz w:val="16"/>
          <w:szCs w:val="16"/>
          <w:lang w:val="en-US"/>
        </w:rPr>
        <w:t>Case of</w:t>
      </w:r>
      <w:r w:rsidRPr="00C9465D">
        <w:rPr>
          <w:rStyle w:val="Strong"/>
          <w:rFonts w:ascii="Verdana" w:hAnsi="Verdana"/>
          <w:b w:val="0"/>
          <w:i/>
          <w:sz w:val="16"/>
          <w:szCs w:val="16"/>
          <w:lang w:val="en-US"/>
        </w:rPr>
        <w:t xml:space="preserve"> Hernández </w:t>
      </w:r>
      <w:r w:rsidR="00193CBB" w:rsidRPr="00C9465D">
        <w:rPr>
          <w:rStyle w:val="Strong"/>
          <w:rFonts w:ascii="Verdana" w:hAnsi="Verdana"/>
          <w:b w:val="0"/>
          <w:i/>
          <w:sz w:val="16"/>
          <w:szCs w:val="16"/>
          <w:lang w:val="en-US"/>
        </w:rPr>
        <w:t>v.</w:t>
      </w:r>
      <w:r w:rsidRPr="00C9465D">
        <w:rPr>
          <w:rStyle w:val="Strong"/>
          <w:rFonts w:ascii="Verdana" w:hAnsi="Verdana"/>
          <w:b w:val="0"/>
          <w:i/>
          <w:sz w:val="16"/>
          <w:szCs w:val="16"/>
          <w:lang w:val="en-US"/>
        </w:rPr>
        <w:t xml:space="preserve"> Argentina, supra</w:t>
      </w:r>
      <w:r w:rsidRPr="00C9465D">
        <w:rPr>
          <w:rStyle w:val="Strong"/>
          <w:rFonts w:ascii="Verdana" w:hAnsi="Verdana"/>
          <w:b w:val="0"/>
          <w:sz w:val="16"/>
          <w:szCs w:val="16"/>
          <w:lang w:val="en-US"/>
        </w:rPr>
        <w:t xml:space="preserve">, </w:t>
      </w:r>
      <w:r w:rsidR="00D8466F" w:rsidRPr="00C9465D">
        <w:rPr>
          <w:rFonts w:ascii="Verdana" w:hAnsi="Verdana"/>
          <w:bCs/>
          <w:sz w:val="16"/>
          <w:szCs w:val="16"/>
          <w:lang w:val="en-US"/>
        </w:rPr>
        <w:t>para.</w:t>
      </w:r>
      <w:r w:rsidRPr="00C9465D">
        <w:rPr>
          <w:rFonts w:ascii="Verdana" w:hAnsi="Verdana"/>
          <w:bCs/>
          <w:sz w:val="16"/>
          <w:szCs w:val="16"/>
          <w:lang w:val="en-US"/>
        </w:rPr>
        <w:t xml:space="preserve"> </w:t>
      </w:r>
      <w:r w:rsidRPr="00C9465D">
        <w:rPr>
          <w:rFonts w:ascii="Verdana" w:hAnsi="Verdana"/>
          <w:bCs/>
          <w:sz w:val="16"/>
          <w:szCs w:val="16"/>
        </w:rPr>
        <w:t>121.</w:t>
      </w:r>
    </w:p>
  </w:footnote>
  <w:footnote w:id="335">
    <w:p w14:paraId="2B303035" w14:textId="699AED84" w:rsidR="00300482" w:rsidRPr="00C9465D" w:rsidRDefault="00300482" w:rsidP="00BD26CF">
      <w:pPr>
        <w:tabs>
          <w:tab w:val="left" w:pos="567"/>
        </w:tabs>
        <w:spacing w:after="120" w:line="240" w:lineRule="auto"/>
        <w:jc w:val="both"/>
        <w:rPr>
          <w:rFonts w:ascii="Verdana" w:hAnsi="Verdana"/>
          <w:sz w:val="16"/>
          <w:szCs w:val="16"/>
        </w:rPr>
      </w:pPr>
      <w:r w:rsidRPr="00C9465D">
        <w:rPr>
          <w:rStyle w:val="FootnoteReference"/>
          <w:rFonts w:ascii="Verdana" w:hAnsi="Verdana"/>
          <w:sz w:val="16"/>
          <w:szCs w:val="16"/>
          <w:lang w:val="en-US"/>
        </w:rPr>
        <w:footnoteRef/>
      </w:r>
      <w:r w:rsidRPr="00C9465D">
        <w:rPr>
          <w:rFonts w:ascii="Verdana" w:hAnsi="Verdana"/>
          <w:sz w:val="16"/>
          <w:szCs w:val="16"/>
        </w:rPr>
        <w:t xml:space="preserve"> </w:t>
      </w:r>
      <w:r w:rsidRPr="00C9465D">
        <w:rPr>
          <w:rFonts w:ascii="Verdana" w:hAnsi="Verdana"/>
          <w:sz w:val="16"/>
          <w:szCs w:val="16"/>
        </w:rPr>
        <w:tab/>
      </w:r>
      <w:r w:rsidR="00E2299F" w:rsidRPr="00C9465D">
        <w:rPr>
          <w:rFonts w:ascii="Verdana" w:hAnsi="Verdana"/>
          <w:i/>
          <w:sz w:val="16"/>
          <w:szCs w:val="16"/>
        </w:rPr>
        <w:t>Cf.</w:t>
      </w:r>
      <w:r w:rsidRPr="00C9465D">
        <w:rPr>
          <w:rFonts w:ascii="Verdana" w:hAnsi="Verdana"/>
          <w:sz w:val="16"/>
          <w:szCs w:val="16"/>
        </w:rPr>
        <w:t xml:space="preserve"> </w:t>
      </w:r>
      <w:r w:rsidR="00D8466F" w:rsidRPr="00C9465D">
        <w:rPr>
          <w:rFonts w:ascii="Verdana" w:hAnsi="Verdana"/>
          <w:bCs/>
          <w:i/>
          <w:color w:val="000000"/>
          <w:sz w:val="16"/>
          <w:szCs w:val="16"/>
        </w:rPr>
        <w:t>Case of</w:t>
      </w:r>
      <w:r w:rsidRPr="00C9465D">
        <w:rPr>
          <w:rFonts w:ascii="Verdana" w:hAnsi="Verdana"/>
          <w:bCs/>
          <w:i/>
          <w:color w:val="000000"/>
          <w:sz w:val="16"/>
          <w:szCs w:val="16"/>
        </w:rPr>
        <w:t xml:space="preserve"> Velásquez Rodríguez </w:t>
      </w:r>
      <w:r w:rsidR="00193CBB" w:rsidRPr="00C9465D">
        <w:rPr>
          <w:rFonts w:ascii="Verdana" w:hAnsi="Verdana"/>
          <w:bCs/>
          <w:i/>
          <w:color w:val="000000"/>
          <w:sz w:val="16"/>
          <w:szCs w:val="16"/>
        </w:rPr>
        <w:t>v.</w:t>
      </w:r>
      <w:r w:rsidRPr="00C9465D">
        <w:rPr>
          <w:rFonts w:ascii="Verdana" w:hAnsi="Verdana"/>
          <w:bCs/>
          <w:i/>
          <w:color w:val="000000"/>
          <w:sz w:val="16"/>
          <w:szCs w:val="16"/>
        </w:rPr>
        <w:t xml:space="preserve"> Honduras.</w:t>
      </w:r>
      <w:r w:rsidRPr="00C9465D">
        <w:rPr>
          <w:rFonts w:ascii="Verdana" w:hAnsi="Verdana"/>
          <w:b/>
          <w:bCs/>
          <w:color w:val="000000"/>
          <w:sz w:val="16"/>
          <w:szCs w:val="16"/>
        </w:rPr>
        <w:t xml:space="preserve"> </w:t>
      </w:r>
      <w:proofErr w:type="spellStart"/>
      <w:r w:rsidR="00532DEC" w:rsidRPr="00C9465D">
        <w:rPr>
          <w:rFonts w:ascii="Verdana" w:hAnsi="Verdana"/>
          <w:i/>
          <w:color w:val="000000"/>
          <w:sz w:val="16"/>
          <w:szCs w:val="16"/>
        </w:rPr>
        <w:t>Merits</w:t>
      </w:r>
      <w:proofErr w:type="spellEnd"/>
      <w:r w:rsidRPr="00C9465D">
        <w:rPr>
          <w:rFonts w:ascii="Verdana" w:hAnsi="Verdana"/>
          <w:i/>
          <w:color w:val="000000"/>
          <w:sz w:val="16"/>
          <w:szCs w:val="16"/>
        </w:rPr>
        <w:t>, supra</w:t>
      </w:r>
      <w:r w:rsidRPr="00C9465D">
        <w:rPr>
          <w:rFonts w:ascii="Verdana" w:hAnsi="Verdana"/>
          <w:bCs/>
          <w:sz w:val="16"/>
          <w:szCs w:val="16"/>
          <w:lang w:bidi="en-US"/>
        </w:rPr>
        <w:t xml:space="preserve">, </w:t>
      </w:r>
      <w:r w:rsidR="00D8466F" w:rsidRPr="00C9465D">
        <w:rPr>
          <w:rFonts w:ascii="Verdana" w:hAnsi="Verdana"/>
          <w:bCs/>
          <w:sz w:val="16"/>
          <w:szCs w:val="16"/>
          <w:lang w:bidi="en-US"/>
        </w:rPr>
        <w:t>para.</w:t>
      </w:r>
      <w:r w:rsidRPr="00C9465D">
        <w:rPr>
          <w:rFonts w:ascii="Verdana" w:hAnsi="Verdana"/>
          <w:bCs/>
          <w:sz w:val="16"/>
          <w:szCs w:val="16"/>
          <w:lang w:bidi="en-US"/>
        </w:rPr>
        <w:t xml:space="preserve"> 64,</w:t>
      </w:r>
      <w:r w:rsidR="00193CBB" w:rsidRPr="00C9465D">
        <w:rPr>
          <w:rFonts w:ascii="Verdana" w:hAnsi="Verdana"/>
          <w:bCs/>
          <w:sz w:val="16"/>
          <w:szCs w:val="16"/>
          <w:lang w:bidi="en-US"/>
        </w:rPr>
        <w:t xml:space="preserve"> and </w:t>
      </w:r>
      <w:r w:rsidR="00D8466F" w:rsidRPr="00C9465D">
        <w:rPr>
          <w:rStyle w:val="Strong"/>
          <w:rFonts w:ascii="Verdana" w:hAnsi="Verdana"/>
          <w:b w:val="0"/>
          <w:i/>
          <w:sz w:val="16"/>
          <w:szCs w:val="16"/>
        </w:rPr>
        <w:t>Case of</w:t>
      </w:r>
      <w:r w:rsidRPr="00C9465D">
        <w:rPr>
          <w:rStyle w:val="Strong"/>
          <w:rFonts w:ascii="Verdana" w:hAnsi="Verdana"/>
          <w:b w:val="0"/>
          <w:i/>
          <w:sz w:val="16"/>
          <w:szCs w:val="16"/>
        </w:rPr>
        <w:t xml:space="preserve"> Hernández </w:t>
      </w:r>
      <w:r w:rsidR="00193CBB" w:rsidRPr="00C9465D">
        <w:rPr>
          <w:rStyle w:val="Strong"/>
          <w:rFonts w:ascii="Verdana" w:hAnsi="Verdana"/>
          <w:b w:val="0"/>
          <w:i/>
          <w:sz w:val="16"/>
          <w:szCs w:val="16"/>
        </w:rPr>
        <w:t>v.</w:t>
      </w:r>
      <w:r w:rsidRPr="00C9465D">
        <w:rPr>
          <w:rStyle w:val="Strong"/>
          <w:rFonts w:ascii="Verdana" w:hAnsi="Verdana"/>
          <w:b w:val="0"/>
          <w:i/>
          <w:sz w:val="16"/>
          <w:szCs w:val="16"/>
        </w:rPr>
        <w:t xml:space="preserve"> Argentina, supra</w:t>
      </w:r>
      <w:r w:rsidRPr="00C9465D">
        <w:rPr>
          <w:rStyle w:val="Strong"/>
          <w:rFonts w:ascii="Verdana" w:hAnsi="Verdana"/>
          <w:b w:val="0"/>
          <w:sz w:val="16"/>
          <w:szCs w:val="16"/>
        </w:rPr>
        <w:t xml:space="preserve">, </w:t>
      </w:r>
      <w:r w:rsidR="00D8466F" w:rsidRPr="00C9465D">
        <w:rPr>
          <w:rFonts w:ascii="Verdana" w:hAnsi="Verdana"/>
          <w:bCs/>
          <w:sz w:val="16"/>
          <w:szCs w:val="16"/>
        </w:rPr>
        <w:t>para.</w:t>
      </w:r>
      <w:r w:rsidRPr="00C9465D">
        <w:rPr>
          <w:rFonts w:ascii="Verdana" w:hAnsi="Verdana"/>
          <w:bCs/>
          <w:sz w:val="16"/>
          <w:szCs w:val="16"/>
        </w:rPr>
        <w:t xml:space="preserve"> 121.</w:t>
      </w:r>
    </w:p>
  </w:footnote>
  <w:footnote w:id="336">
    <w:p w14:paraId="72B6219D" w14:textId="5AD575E0" w:rsidR="00300482" w:rsidRPr="00C9465D" w:rsidRDefault="00300482" w:rsidP="00BD26CF">
      <w:pPr>
        <w:tabs>
          <w:tab w:val="left" w:pos="567"/>
          <w:tab w:val="left" w:pos="720"/>
        </w:tabs>
        <w:spacing w:after="120" w:line="240" w:lineRule="auto"/>
        <w:jc w:val="both"/>
        <w:rPr>
          <w:rFonts w:ascii="Verdana" w:hAnsi="Verdana"/>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rPr>
        <w:t xml:space="preserve"> </w:t>
      </w:r>
      <w:r w:rsidRPr="00C9465D">
        <w:rPr>
          <w:rFonts w:ascii="Verdana" w:hAnsi="Verdana"/>
          <w:sz w:val="16"/>
          <w:szCs w:val="16"/>
        </w:rPr>
        <w:tab/>
      </w:r>
      <w:r w:rsidR="00E2299F" w:rsidRPr="00C9465D">
        <w:rPr>
          <w:rFonts w:ascii="Verdana" w:hAnsi="Verdana"/>
          <w:i/>
          <w:sz w:val="16"/>
          <w:szCs w:val="16"/>
        </w:rPr>
        <w:t>Cf.</w:t>
      </w:r>
      <w:r w:rsidRPr="00C9465D">
        <w:rPr>
          <w:rFonts w:ascii="Verdana" w:hAnsi="Verdana"/>
          <w:sz w:val="16"/>
          <w:szCs w:val="16"/>
        </w:rPr>
        <w:t xml:space="preserve"> </w:t>
      </w:r>
      <w:proofErr w:type="spellStart"/>
      <w:r w:rsidR="00C8741F" w:rsidRPr="00C9465D">
        <w:rPr>
          <w:rFonts w:ascii="Verdana" w:hAnsi="Verdana"/>
          <w:bCs/>
          <w:color w:val="000000"/>
          <w:sz w:val="16"/>
          <w:szCs w:val="16"/>
        </w:rPr>
        <w:t>Advisory</w:t>
      </w:r>
      <w:proofErr w:type="spellEnd"/>
      <w:r w:rsidR="00C8741F" w:rsidRPr="00C9465D">
        <w:rPr>
          <w:rFonts w:ascii="Verdana" w:hAnsi="Verdana"/>
          <w:bCs/>
          <w:color w:val="000000"/>
          <w:sz w:val="16"/>
          <w:szCs w:val="16"/>
        </w:rPr>
        <w:t xml:space="preserve"> </w:t>
      </w:r>
      <w:proofErr w:type="spellStart"/>
      <w:r w:rsidR="00C8741F" w:rsidRPr="00C9465D">
        <w:rPr>
          <w:rFonts w:ascii="Verdana" w:hAnsi="Verdana"/>
          <w:bCs/>
          <w:color w:val="000000"/>
          <w:sz w:val="16"/>
          <w:szCs w:val="16"/>
        </w:rPr>
        <w:t>Opinion</w:t>
      </w:r>
      <w:proofErr w:type="spellEnd"/>
      <w:r w:rsidRPr="00C9465D">
        <w:rPr>
          <w:rFonts w:ascii="Verdana" w:hAnsi="Verdana"/>
          <w:bCs/>
          <w:color w:val="000000"/>
          <w:sz w:val="16"/>
          <w:szCs w:val="16"/>
        </w:rPr>
        <w:t xml:space="preserve"> OC-8/87, </w:t>
      </w:r>
      <w:r w:rsidRPr="00C9465D">
        <w:rPr>
          <w:rFonts w:ascii="Verdana" w:hAnsi="Verdana"/>
          <w:bCs/>
          <w:i/>
          <w:color w:val="000000"/>
          <w:sz w:val="16"/>
          <w:szCs w:val="16"/>
        </w:rPr>
        <w:t>supra,</w:t>
      </w:r>
      <w:r w:rsidRPr="00C9465D">
        <w:rPr>
          <w:rFonts w:ascii="Verdana" w:hAnsi="Verdana"/>
          <w:bCs/>
          <w:color w:val="000000"/>
          <w:sz w:val="16"/>
          <w:szCs w:val="16"/>
        </w:rPr>
        <w:t xml:space="preserve"> </w:t>
      </w:r>
      <w:r w:rsidR="00D8466F" w:rsidRPr="00C9465D">
        <w:rPr>
          <w:rFonts w:ascii="Verdana" w:hAnsi="Verdana"/>
          <w:color w:val="000000"/>
          <w:sz w:val="16"/>
          <w:szCs w:val="16"/>
        </w:rPr>
        <w:t>para.</w:t>
      </w:r>
      <w:r w:rsidRPr="00C9465D">
        <w:rPr>
          <w:rFonts w:ascii="Verdana" w:hAnsi="Verdana"/>
          <w:color w:val="000000"/>
          <w:sz w:val="16"/>
          <w:szCs w:val="16"/>
        </w:rPr>
        <w:t xml:space="preserve"> 35,</w:t>
      </w:r>
      <w:r w:rsidR="00193CBB" w:rsidRPr="00C9465D">
        <w:rPr>
          <w:rFonts w:ascii="Verdana" w:hAnsi="Verdana"/>
          <w:color w:val="000000"/>
          <w:sz w:val="16"/>
          <w:szCs w:val="16"/>
        </w:rPr>
        <w:t xml:space="preserve"> and </w:t>
      </w:r>
      <w:r w:rsidR="00D8466F" w:rsidRPr="00C9465D">
        <w:rPr>
          <w:rFonts w:ascii="Verdana" w:hAnsi="Verdana"/>
          <w:bCs/>
          <w:i/>
          <w:sz w:val="16"/>
          <w:szCs w:val="16"/>
        </w:rPr>
        <w:t>Case of</w:t>
      </w:r>
      <w:r w:rsidRPr="00C9465D">
        <w:rPr>
          <w:rFonts w:ascii="Verdana" w:hAnsi="Verdana"/>
          <w:bCs/>
          <w:i/>
          <w:sz w:val="16"/>
          <w:szCs w:val="16"/>
        </w:rPr>
        <w:t xml:space="preserve"> Gutiérrez Hernández</w:t>
      </w:r>
      <w:r w:rsidR="00193CBB" w:rsidRPr="00C9465D">
        <w:rPr>
          <w:rFonts w:ascii="Verdana" w:hAnsi="Verdana"/>
          <w:bCs/>
          <w:i/>
          <w:sz w:val="16"/>
          <w:szCs w:val="16"/>
        </w:rPr>
        <w:t xml:space="preserve"> </w:t>
      </w:r>
      <w:r w:rsidR="00D8466F" w:rsidRPr="00C9465D">
        <w:rPr>
          <w:rFonts w:ascii="Verdana" w:hAnsi="Verdana"/>
          <w:bCs/>
          <w:i/>
          <w:sz w:val="16"/>
          <w:szCs w:val="16"/>
        </w:rPr>
        <w:t>et al. v.</w:t>
      </w:r>
      <w:r w:rsidRPr="00C9465D">
        <w:rPr>
          <w:rFonts w:ascii="Verdana" w:hAnsi="Verdana"/>
          <w:bCs/>
          <w:i/>
          <w:sz w:val="16"/>
          <w:szCs w:val="16"/>
        </w:rPr>
        <w:t xml:space="preserve"> Guatemala, supra</w:t>
      </w:r>
      <w:r w:rsidRPr="00C9465D">
        <w:rPr>
          <w:rFonts w:ascii="Verdana" w:hAnsi="Verdana"/>
          <w:bCs/>
          <w:sz w:val="16"/>
          <w:szCs w:val="16"/>
        </w:rPr>
        <w:t xml:space="preserve">, </w:t>
      </w:r>
      <w:r w:rsidR="00D8466F" w:rsidRPr="00C9465D">
        <w:rPr>
          <w:rFonts w:ascii="Verdana" w:hAnsi="Verdana"/>
          <w:bCs/>
          <w:sz w:val="16"/>
          <w:szCs w:val="16"/>
        </w:rPr>
        <w:t>para.</w:t>
      </w:r>
      <w:r w:rsidRPr="00C9465D">
        <w:rPr>
          <w:rFonts w:ascii="Verdana" w:hAnsi="Verdana"/>
          <w:bCs/>
          <w:sz w:val="16"/>
          <w:szCs w:val="16"/>
        </w:rPr>
        <w:t xml:space="preserve"> </w:t>
      </w:r>
      <w:r w:rsidRPr="00C9465D">
        <w:rPr>
          <w:rFonts w:ascii="Verdana" w:hAnsi="Verdana"/>
          <w:bCs/>
          <w:sz w:val="16"/>
          <w:szCs w:val="16"/>
          <w:lang w:val="en-US"/>
        </w:rPr>
        <w:t>187.</w:t>
      </w:r>
    </w:p>
  </w:footnote>
  <w:footnote w:id="337">
    <w:p w14:paraId="1E45D8F6" w14:textId="60432185" w:rsidR="00300482" w:rsidRPr="00C9465D" w:rsidRDefault="00300482" w:rsidP="00BD26CF">
      <w:pPr>
        <w:pStyle w:val="FootnoteText"/>
        <w:tabs>
          <w:tab w:val="left" w:pos="567"/>
        </w:tabs>
        <w:spacing w:after="120"/>
        <w:rPr>
          <w:sz w:val="16"/>
          <w:szCs w:val="16"/>
          <w:lang w:val="en-US"/>
        </w:rPr>
      </w:pPr>
      <w:r w:rsidRPr="00C9465D">
        <w:rPr>
          <w:rStyle w:val="FootnoteReference"/>
          <w:rFonts w:eastAsiaTheme="majorEastAsia"/>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721A86" w:rsidRPr="00C9465D">
        <w:rPr>
          <w:sz w:val="16"/>
          <w:szCs w:val="16"/>
          <w:lang w:val="en-US"/>
        </w:rPr>
        <w:t xml:space="preserve">Application for </w:t>
      </w:r>
      <w:r w:rsidR="00721A86" w:rsidRPr="00C9465D">
        <w:rPr>
          <w:i/>
          <w:sz w:val="16"/>
          <w:szCs w:val="16"/>
          <w:lang w:val="en-US"/>
        </w:rPr>
        <w:t>habeas corpus</w:t>
      </w:r>
      <w:r w:rsidR="00721A86" w:rsidRPr="00C9465D">
        <w:rPr>
          <w:sz w:val="16"/>
          <w:szCs w:val="16"/>
          <w:lang w:val="en-US"/>
        </w:rPr>
        <w:t xml:space="preserve"> filed by </w:t>
      </w:r>
      <w:r w:rsidRPr="00C9465D">
        <w:rPr>
          <w:sz w:val="16"/>
          <w:szCs w:val="16"/>
          <w:lang w:val="en-US"/>
        </w:rPr>
        <w:t xml:space="preserve">INREDH </w:t>
      </w:r>
      <w:r w:rsidR="00721A86" w:rsidRPr="00C9465D">
        <w:rPr>
          <w:sz w:val="16"/>
          <w:szCs w:val="16"/>
          <w:lang w:val="en-US"/>
        </w:rPr>
        <w:t xml:space="preserve">before the Mayor of the </w:t>
      </w:r>
      <w:r w:rsidR="001F65A3" w:rsidRPr="00C9465D">
        <w:rPr>
          <w:sz w:val="16"/>
          <w:szCs w:val="16"/>
          <w:lang w:val="en-US"/>
        </w:rPr>
        <w:t>Metropolitan District</w:t>
      </w:r>
      <w:r w:rsidRPr="00C9465D">
        <w:rPr>
          <w:sz w:val="16"/>
          <w:szCs w:val="16"/>
          <w:lang w:val="en-US"/>
        </w:rPr>
        <w:t xml:space="preserve"> </w:t>
      </w:r>
      <w:r w:rsidR="001F65A3" w:rsidRPr="00C9465D">
        <w:rPr>
          <w:sz w:val="16"/>
          <w:szCs w:val="16"/>
          <w:lang w:val="en-US"/>
        </w:rPr>
        <w:t>of Quito</w:t>
      </w:r>
      <w:r w:rsidRPr="00C9465D">
        <w:rPr>
          <w:sz w:val="16"/>
          <w:szCs w:val="16"/>
          <w:lang w:val="en-US"/>
        </w:rPr>
        <w:t xml:space="preserve"> (</w:t>
      </w:r>
      <w:r w:rsidR="00153C9F" w:rsidRPr="00C9465D">
        <w:rPr>
          <w:sz w:val="16"/>
          <w:szCs w:val="16"/>
          <w:lang w:val="en-US"/>
        </w:rPr>
        <w:t>evidence file</w:t>
      </w:r>
      <w:r w:rsidRPr="00C9465D">
        <w:rPr>
          <w:sz w:val="16"/>
          <w:szCs w:val="16"/>
          <w:lang w:val="en-US"/>
        </w:rPr>
        <w:t>, folios 3214).</w:t>
      </w:r>
    </w:p>
  </w:footnote>
  <w:footnote w:id="338">
    <w:p w14:paraId="78A129E2" w14:textId="039E4FFF" w:rsidR="00300482" w:rsidRPr="00C9465D" w:rsidRDefault="00300482" w:rsidP="00BD26CF">
      <w:pPr>
        <w:pStyle w:val="FootnoteText"/>
        <w:tabs>
          <w:tab w:val="left" w:pos="567"/>
        </w:tabs>
        <w:spacing w:after="120"/>
        <w:rPr>
          <w:sz w:val="16"/>
          <w:szCs w:val="16"/>
          <w:lang w:val="en-US"/>
        </w:rPr>
      </w:pPr>
      <w:r w:rsidRPr="00C9465D">
        <w:rPr>
          <w:rStyle w:val="FootnoteReference"/>
          <w:rFonts w:eastAsiaTheme="majorEastAsia"/>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6A3DAB" w:rsidRPr="00C9465D">
        <w:rPr>
          <w:sz w:val="16"/>
          <w:szCs w:val="16"/>
          <w:lang w:val="en-US"/>
        </w:rPr>
        <w:t>Decision</w:t>
      </w:r>
      <w:r w:rsidRPr="00C9465D">
        <w:rPr>
          <w:sz w:val="16"/>
          <w:szCs w:val="16"/>
          <w:lang w:val="en-US"/>
        </w:rPr>
        <w:t xml:space="preserve"> </w:t>
      </w:r>
      <w:r w:rsidR="001F65A3" w:rsidRPr="00C9465D">
        <w:rPr>
          <w:sz w:val="16"/>
          <w:szCs w:val="16"/>
          <w:lang w:val="en-US"/>
        </w:rPr>
        <w:t xml:space="preserve">of the </w:t>
      </w:r>
      <w:r w:rsidR="00246532" w:rsidRPr="00C9465D">
        <w:rPr>
          <w:sz w:val="16"/>
          <w:szCs w:val="16"/>
          <w:lang w:val="en-US"/>
        </w:rPr>
        <w:t>m</w:t>
      </w:r>
      <w:r w:rsidR="001F65A3" w:rsidRPr="00C9465D">
        <w:rPr>
          <w:sz w:val="16"/>
          <w:szCs w:val="16"/>
          <w:lang w:val="en-US"/>
        </w:rPr>
        <w:t>etropolitan Mayor of</w:t>
      </w:r>
      <w:r w:rsidRPr="00C9465D">
        <w:rPr>
          <w:sz w:val="16"/>
          <w:szCs w:val="16"/>
          <w:lang w:val="en-US"/>
        </w:rPr>
        <w:t xml:space="preserve"> Quito </w:t>
      </w:r>
      <w:r w:rsidR="00721A86" w:rsidRPr="00C9465D">
        <w:rPr>
          <w:sz w:val="16"/>
          <w:szCs w:val="16"/>
          <w:lang w:val="en-US"/>
        </w:rPr>
        <w:t>of December 14,</w:t>
      </w:r>
      <w:r w:rsidRPr="00C9465D">
        <w:rPr>
          <w:sz w:val="16"/>
          <w:szCs w:val="16"/>
          <w:lang w:val="en-US"/>
        </w:rPr>
        <w:t xml:space="preserve"> 2004 (</w:t>
      </w:r>
      <w:r w:rsidR="00153C9F" w:rsidRPr="00C9465D">
        <w:rPr>
          <w:sz w:val="16"/>
          <w:szCs w:val="16"/>
          <w:lang w:val="en-US"/>
        </w:rPr>
        <w:t>evidence file</w:t>
      </w:r>
      <w:r w:rsidRPr="00C9465D">
        <w:rPr>
          <w:sz w:val="16"/>
          <w:szCs w:val="16"/>
          <w:lang w:val="en-US"/>
        </w:rPr>
        <w:t>, folio 3217).</w:t>
      </w:r>
    </w:p>
  </w:footnote>
  <w:footnote w:id="339">
    <w:p w14:paraId="59D0BF1B" w14:textId="5EDD4F2A" w:rsidR="00300482" w:rsidRPr="00C9465D" w:rsidRDefault="00300482" w:rsidP="00BD26CF">
      <w:pPr>
        <w:pStyle w:val="FootnoteText"/>
        <w:tabs>
          <w:tab w:val="left" w:pos="567"/>
        </w:tabs>
        <w:spacing w:after="120"/>
        <w:rPr>
          <w:sz w:val="16"/>
          <w:szCs w:val="16"/>
          <w:lang w:val="en-US"/>
        </w:rPr>
      </w:pPr>
      <w:r w:rsidRPr="00C9465D">
        <w:rPr>
          <w:rStyle w:val="FootnoteReference"/>
          <w:rFonts w:eastAsiaTheme="majorEastAsia"/>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6A3DAB" w:rsidRPr="00C9465D">
        <w:rPr>
          <w:sz w:val="16"/>
          <w:szCs w:val="16"/>
          <w:lang w:val="en-US"/>
        </w:rPr>
        <w:t>Decision</w:t>
      </w:r>
      <w:r w:rsidRPr="00C9465D">
        <w:rPr>
          <w:sz w:val="16"/>
          <w:szCs w:val="16"/>
          <w:lang w:val="en-US"/>
        </w:rPr>
        <w:t xml:space="preserve"> </w:t>
      </w:r>
      <w:r w:rsidR="00194B20" w:rsidRPr="00C9465D">
        <w:rPr>
          <w:sz w:val="16"/>
          <w:szCs w:val="16"/>
          <w:lang w:val="en-US"/>
        </w:rPr>
        <w:t xml:space="preserve">of the Third Chamber of the </w:t>
      </w:r>
      <w:r w:rsidR="001A4FA7" w:rsidRPr="00C9465D">
        <w:rPr>
          <w:sz w:val="16"/>
          <w:szCs w:val="16"/>
          <w:lang w:val="en-US"/>
        </w:rPr>
        <w:t>Constitutional Court</w:t>
      </w:r>
      <w:r w:rsidRPr="00C9465D">
        <w:rPr>
          <w:sz w:val="16"/>
          <w:szCs w:val="16"/>
          <w:lang w:val="en-US"/>
        </w:rPr>
        <w:t xml:space="preserve"> </w:t>
      </w:r>
      <w:r w:rsidR="001F65A3" w:rsidRPr="00C9465D">
        <w:rPr>
          <w:sz w:val="16"/>
          <w:szCs w:val="16"/>
          <w:lang w:val="en-US"/>
        </w:rPr>
        <w:t>of July 6,</w:t>
      </w:r>
      <w:r w:rsidRPr="00C9465D">
        <w:rPr>
          <w:sz w:val="16"/>
          <w:szCs w:val="16"/>
          <w:lang w:val="en-US"/>
        </w:rPr>
        <w:t xml:space="preserve"> 2006 (</w:t>
      </w:r>
      <w:r w:rsidR="00153C9F" w:rsidRPr="00C9465D">
        <w:rPr>
          <w:sz w:val="16"/>
          <w:szCs w:val="16"/>
          <w:lang w:val="en-US"/>
        </w:rPr>
        <w:t>evidence file</w:t>
      </w:r>
      <w:r w:rsidRPr="00C9465D">
        <w:rPr>
          <w:sz w:val="16"/>
          <w:szCs w:val="16"/>
          <w:lang w:val="en-US"/>
        </w:rPr>
        <w:t xml:space="preserve">, folio 1810). </w:t>
      </w:r>
    </w:p>
  </w:footnote>
  <w:footnote w:id="340">
    <w:p w14:paraId="5C57F6CD" w14:textId="1C255FE4" w:rsidR="00300482" w:rsidRPr="00C9465D" w:rsidRDefault="00300482" w:rsidP="00BD26CF">
      <w:pPr>
        <w:pStyle w:val="FootnoteText"/>
        <w:tabs>
          <w:tab w:val="left" w:pos="567"/>
        </w:tabs>
        <w:spacing w:after="120"/>
        <w:rPr>
          <w:sz w:val="16"/>
          <w:szCs w:val="16"/>
          <w:lang w:val="en-US"/>
        </w:rPr>
      </w:pPr>
      <w:r w:rsidRPr="00C9465D">
        <w:rPr>
          <w:rStyle w:val="FootnoteReference"/>
          <w:rFonts w:eastAsiaTheme="majorEastAsia"/>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6A3DAB" w:rsidRPr="00C9465D">
        <w:rPr>
          <w:sz w:val="16"/>
          <w:szCs w:val="16"/>
          <w:lang w:val="en-US"/>
        </w:rPr>
        <w:t>Decision</w:t>
      </w:r>
      <w:r w:rsidRPr="00C9465D">
        <w:rPr>
          <w:sz w:val="16"/>
          <w:szCs w:val="16"/>
          <w:lang w:val="en-US"/>
        </w:rPr>
        <w:t xml:space="preserve"> </w:t>
      </w:r>
      <w:r w:rsidR="00194B20" w:rsidRPr="00C9465D">
        <w:rPr>
          <w:sz w:val="16"/>
          <w:szCs w:val="16"/>
          <w:lang w:val="en-US"/>
        </w:rPr>
        <w:t xml:space="preserve">of the Third Chamber of the </w:t>
      </w:r>
      <w:r w:rsidR="001A4FA7" w:rsidRPr="00C9465D">
        <w:rPr>
          <w:sz w:val="16"/>
          <w:szCs w:val="16"/>
          <w:lang w:val="en-US"/>
        </w:rPr>
        <w:t>Constitutional Court</w:t>
      </w:r>
      <w:r w:rsidRPr="00C9465D">
        <w:rPr>
          <w:sz w:val="16"/>
          <w:szCs w:val="16"/>
          <w:lang w:val="en-US"/>
        </w:rPr>
        <w:t xml:space="preserve"> </w:t>
      </w:r>
      <w:r w:rsidR="001F65A3" w:rsidRPr="00C9465D">
        <w:rPr>
          <w:sz w:val="16"/>
          <w:szCs w:val="16"/>
          <w:lang w:val="en-US"/>
        </w:rPr>
        <w:t>of July 6,</w:t>
      </w:r>
      <w:r w:rsidRPr="00C9465D">
        <w:rPr>
          <w:sz w:val="16"/>
          <w:szCs w:val="16"/>
          <w:lang w:val="en-US"/>
        </w:rPr>
        <w:t xml:space="preserve"> 2006 (</w:t>
      </w:r>
      <w:r w:rsidR="00153C9F" w:rsidRPr="00C9465D">
        <w:rPr>
          <w:sz w:val="16"/>
          <w:szCs w:val="16"/>
          <w:lang w:val="en-US"/>
        </w:rPr>
        <w:t>evidence file</w:t>
      </w:r>
      <w:r w:rsidRPr="00C9465D">
        <w:rPr>
          <w:sz w:val="16"/>
          <w:szCs w:val="16"/>
          <w:lang w:val="en-US"/>
        </w:rPr>
        <w:t>, folio 1810).</w:t>
      </w:r>
    </w:p>
  </w:footnote>
  <w:footnote w:id="341">
    <w:p w14:paraId="35A4072A" w14:textId="01D2BBE8" w:rsidR="00300482" w:rsidRPr="00C9465D" w:rsidRDefault="00300482" w:rsidP="00BD26CF">
      <w:pPr>
        <w:pStyle w:val="FootnoteText"/>
        <w:tabs>
          <w:tab w:val="left" w:pos="567"/>
        </w:tabs>
        <w:spacing w:after="120"/>
        <w:rPr>
          <w:sz w:val="16"/>
          <w:szCs w:val="16"/>
          <w:lang w:val="en-US"/>
        </w:rPr>
      </w:pPr>
      <w:r w:rsidRPr="00C9465D">
        <w:rPr>
          <w:rStyle w:val="FootnoteReference"/>
          <w:rFonts w:eastAsiaTheme="majorEastAsia"/>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6A3DAB" w:rsidRPr="00C9465D">
        <w:rPr>
          <w:sz w:val="16"/>
          <w:szCs w:val="16"/>
          <w:lang w:val="en-US"/>
        </w:rPr>
        <w:t>Decision</w:t>
      </w:r>
      <w:r w:rsidRPr="00C9465D">
        <w:rPr>
          <w:sz w:val="16"/>
          <w:szCs w:val="16"/>
          <w:lang w:val="en-US"/>
        </w:rPr>
        <w:t xml:space="preserve"> </w:t>
      </w:r>
      <w:r w:rsidR="00194B20" w:rsidRPr="00C9465D">
        <w:rPr>
          <w:sz w:val="16"/>
          <w:szCs w:val="16"/>
          <w:lang w:val="en-US"/>
        </w:rPr>
        <w:t xml:space="preserve">of the Third Chamber of the </w:t>
      </w:r>
      <w:r w:rsidR="001A4FA7" w:rsidRPr="00C9465D">
        <w:rPr>
          <w:sz w:val="16"/>
          <w:szCs w:val="16"/>
          <w:lang w:val="en-US"/>
        </w:rPr>
        <w:t>Constitutional Court</w:t>
      </w:r>
      <w:r w:rsidRPr="00C9465D">
        <w:rPr>
          <w:sz w:val="16"/>
          <w:szCs w:val="16"/>
          <w:lang w:val="en-US"/>
        </w:rPr>
        <w:t xml:space="preserve"> </w:t>
      </w:r>
      <w:r w:rsidR="001F65A3" w:rsidRPr="00C9465D">
        <w:rPr>
          <w:sz w:val="16"/>
          <w:szCs w:val="16"/>
          <w:lang w:val="en-US"/>
        </w:rPr>
        <w:t>of July 6,</w:t>
      </w:r>
      <w:r w:rsidRPr="00C9465D">
        <w:rPr>
          <w:sz w:val="16"/>
          <w:szCs w:val="16"/>
          <w:lang w:val="en-US"/>
        </w:rPr>
        <w:t xml:space="preserve"> 2006 (</w:t>
      </w:r>
      <w:r w:rsidR="00153C9F" w:rsidRPr="00C9465D">
        <w:rPr>
          <w:sz w:val="16"/>
          <w:szCs w:val="16"/>
          <w:lang w:val="en-US"/>
        </w:rPr>
        <w:t>evidence file</w:t>
      </w:r>
      <w:r w:rsidRPr="00C9465D">
        <w:rPr>
          <w:sz w:val="16"/>
          <w:szCs w:val="16"/>
          <w:lang w:val="en-US"/>
        </w:rPr>
        <w:t>, folio 1815).</w:t>
      </w:r>
    </w:p>
  </w:footnote>
  <w:footnote w:id="342">
    <w:p w14:paraId="70B3B74A" w14:textId="10F196FF" w:rsidR="00300482" w:rsidRPr="00C9465D" w:rsidRDefault="00300482" w:rsidP="00BD26CF">
      <w:pPr>
        <w:pStyle w:val="FootnoteText"/>
        <w:tabs>
          <w:tab w:val="left" w:pos="567"/>
        </w:tabs>
        <w:spacing w:after="120"/>
        <w:rPr>
          <w:sz w:val="16"/>
          <w:szCs w:val="16"/>
          <w:lang w:val="en-US"/>
        </w:rPr>
      </w:pPr>
      <w:r w:rsidRPr="00C9465D">
        <w:rPr>
          <w:rStyle w:val="FootnoteReference"/>
          <w:rFonts w:eastAsiaTheme="majorEastAsia"/>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6A3DAB" w:rsidRPr="00C9465D">
        <w:rPr>
          <w:sz w:val="16"/>
          <w:szCs w:val="16"/>
          <w:lang w:val="en-US"/>
        </w:rPr>
        <w:t>Decision</w:t>
      </w:r>
      <w:r w:rsidRPr="00C9465D">
        <w:rPr>
          <w:sz w:val="16"/>
          <w:szCs w:val="16"/>
          <w:lang w:val="en-US"/>
        </w:rPr>
        <w:t xml:space="preserve"> </w:t>
      </w:r>
      <w:r w:rsidR="00194B20" w:rsidRPr="00C9465D">
        <w:rPr>
          <w:sz w:val="16"/>
          <w:szCs w:val="16"/>
          <w:lang w:val="en-US"/>
        </w:rPr>
        <w:t xml:space="preserve">of the Third Chamber of the </w:t>
      </w:r>
      <w:r w:rsidR="001A4FA7" w:rsidRPr="00C9465D">
        <w:rPr>
          <w:sz w:val="16"/>
          <w:szCs w:val="16"/>
          <w:lang w:val="en-US"/>
        </w:rPr>
        <w:t>Constitutional Court</w:t>
      </w:r>
      <w:r w:rsidRPr="00C9465D">
        <w:rPr>
          <w:sz w:val="16"/>
          <w:szCs w:val="16"/>
          <w:lang w:val="en-US"/>
        </w:rPr>
        <w:t xml:space="preserve"> </w:t>
      </w:r>
      <w:r w:rsidR="001F65A3" w:rsidRPr="00C9465D">
        <w:rPr>
          <w:sz w:val="16"/>
          <w:szCs w:val="16"/>
          <w:lang w:val="en-US"/>
        </w:rPr>
        <w:t>of July 6,</w:t>
      </w:r>
      <w:r w:rsidRPr="00C9465D">
        <w:rPr>
          <w:sz w:val="16"/>
          <w:szCs w:val="16"/>
          <w:lang w:val="en-US"/>
        </w:rPr>
        <w:t xml:space="preserve"> 2006 (</w:t>
      </w:r>
      <w:r w:rsidR="00153C9F" w:rsidRPr="00C9465D">
        <w:rPr>
          <w:sz w:val="16"/>
          <w:szCs w:val="16"/>
          <w:lang w:val="en-US"/>
        </w:rPr>
        <w:t>evidence file</w:t>
      </w:r>
      <w:r w:rsidRPr="00C9465D">
        <w:rPr>
          <w:sz w:val="16"/>
          <w:szCs w:val="16"/>
          <w:lang w:val="en-US"/>
        </w:rPr>
        <w:t>, folio 1812).</w:t>
      </w:r>
    </w:p>
  </w:footnote>
  <w:footnote w:id="343">
    <w:p w14:paraId="398B7457" w14:textId="1EE3B44C" w:rsidR="00300482" w:rsidRPr="00C9465D" w:rsidRDefault="00300482" w:rsidP="00BD26CF">
      <w:pPr>
        <w:pStyle w:val="FootnoteText"/>
        <w:tabs>
          <w:tab w:val="left" w:pos="567"/>
        </w:tabs>
        <w:spacing w:after="120"/>
        <w:rPr>
          <w:sz w:val="16"/>
          <w:szCs w:val="16"/>
          <w:lang w:val="en-US"/>
        </w:rPr>
      </w:pPr>
      <w:r w:rsidRPr="00C9465D">
        <w:rPr>
          <w:rStyle w:val="FootnoteReference"/>
          <w:rFonts w:eastAsiaTheme="majorEastAsia"/>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6A3DAB" w:rsidRPr="00C9465D">
        <w:rPr>
          <w:sz w:val="16"/>
          <w:szCs w:val="16"/>
          <w:lang w:val="en-US"/>
        </w:rPr>
        <w:t>Decision</w:t>
      </w:r>
      <w:r w:rsidRPr="00C9465D">
        <w:rPr>
          <w:sz w:val="16"/>
          <w:szCs w:val="16"/>
          <w:lang w:val="en-US"/>
        </w:rPr>
        <w:t xml:space="preserve"> </w:t>
      </w:r>
      <w:r w:rsidR="00194B20" w:rsidRPr="00C9465D">
        <w:rPr>
          <w:sz w:val="16"/>
          <w:szCs w:val="16"/>
          <w:lang w:val="en-US"/>
        </w:rPr>
        <w:t xml:space="preserve">of the Third Chamber of the </w:t>
      </w:r>
      <w:r w:rsidR="001A4FA7" w:rsidRPr="00C9465D">
        <w:rPr>
          <w:sz w:val="16"/>
          <w:szCs w:val="16"/>
          <w:lang w:val="en-US"/>
        </w:rPr>
        <w:t>Constitutional Court</w:t>
      </w:r>
      <w:r w:rsidRPr="00C9465D">
        <w:rPr>
          <w:sz w:val="16"/>
          <w:szCs w:val="16"/>
          <w:lang w:val="en-US"/>
        </w:rPr>
        <w:t xml:space="preserve"> </w:t>
      </w:r>
      <w:r w:rsidR="001F65A3" w:rsidRPr="00C9465D">
        <w:rPr>
          <w:sz w:val="16"/>
          <w:szCs w:val="16"/>
          <w:lang w:val="en-US"/>
        </w:rPr>
        <w:t>of July 6,</w:t>
      </w:r>
      <w:r w:rsidRPr="00C9465D">
        <w:rPr>
          <w:sz w:val="16"/>
          <w:szCs w:val="16"/>
          <w:lang w:val="en-US"/>
        </w:rPr>
        <w:t xml:space="preserve"> 2006 (</w:t>
      </w:r>
      <w:r w:rsidR="00153C9F" w:rsidRPr="00C9465D">
        <w:rPr>
          <w:sz w:val="16"/>
          <w:szCs w:val="16"/>
          <w:lang w:val="en-US"/>
        </w:rPr>
        <w:t>evidence file</w:t>
      </w:r>
      <w:r w:rsidRPr="00C9465D">
        <w:rPr>
          <w:sz w:val="16"/>
          <w:szCs w:val="16"/>
          <w:lang w:val="en-US"/>
        </w:rPr>
        <w:t>, folio 1812).</w:t>
      </w:r>
    </w:p>
  </w:footnote>
  <w:footnote w:id="344">
    <w:p w14:paraId="6489E776" w14:textId="264A7F1D"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eastAsia="es-MX"/>
        </w:rPr>
        <w:t>Case of</w:t>
      </w:r>
      <w:r w:rsidRPr="00C9465D">
        <w:rPr>
          <w:i/>
          <w:sz w:val="16"/>
          <w:szCs w:val="16"/>
          <w:lang w:val="en-US" w:eastAsia="es-MX"/>
        </w:rPr>
        <w:t xml:space="preserve"> Gelman </w:t>
      </w:r>
      <w:r w:rsidR="00193CBB" w:rsidRPr="00C9465D">
        <w:rPr>
          <w:i/>
          <w:sz w:val="16"/>
          <w:szCs w:val="16"/>
          <w:lang w:val="en-US" w:eastAsia="es-MX"/>
        </w:rPr>
        <w:t>v.</w:t>
      </w:r>
      <w:r w:rsidRPr="00C9465D">
        <w:rPr>
          <w:i/>
          <w:sz w:val="16"/>
          <w:szCs w:val="16"/>
          <w:lang w:val="en-US" w:eastAsia="es-MX"/>
        </w:rPr>
        <w:t xml:space="preserve"> Uruguay. </w:t>
      </w:r>
      <w:r w:rsidR="00532DEC" w:rsidRPr="00C9465D">
        <w:rPr>
          <w:i/>
          <w:sz w:val="16"/>
          <w:szCs w:val="16"/>
          <w:lang w:val="en-US" w:eastAsia="es-MX"/>
        </w:rPr>
        <w:t>Merits</w:t>
      </w:r>
      <w:r w:rsidR="00193CBB" w:rsidRPr="00C9465D">
        <w:rPr>
          <w:i/>
          <w:sz w:val="16"/>
          <w:szCs w:val="16"/>
          <w:lang w:val="en-US" w:eastAsia="es-MX"/>
        </w:rPr>
        <w:t xml:space="preserve"> and </w:t>
      </w:r>
      <w:r w:rsidR="00CA35CD" w:rsidRPr="00C9465D">
        <w:rPr>
          <w:i/>
          <w:sz w:val="16"/>
          <w:szCs w:val="16"/>
          <w:lang w:val="en-US" w:eastAsia="es-MX"/>
        </w:rPr>
        <w:t>reparations</w:t>
      </w:r>
      <w:r w:rsidRPr="00C9465D">
        <w:rPr>
          <w:i/>
          <w:sz w:val="16"/>
          <w:szCs w:val="16"/>
          <w:lang w:val="en-US" w:eastAsia="es-MX"/>
        </w:rPr>
        <w:t>.</w:t>
      </w:r>
      <w:r w:rsidRPr="00C9465D">
        <w:rPr>
          <w:b/>
          <w:i/>
          <w:sz w:val="16"/>
          <w:szCs w:val="16"/>
          <w:lang w:val="en-US" w:eastAsia="es-MX"/>
        </w:rPr>
        <w:t xml:space="preserve"> </w:t>
      </w:r>
      <w:r w:rsidR="00D8466F" w:rsidRPr="00C9465D">
        <w:rPr>
          <w:sz w:val="16"/>
          <w:szCs w:val="16"/>
          <w:lang w:val="en-US" w:eastAsia="es-MX"/>
        </w:rPr>
        <w:t>Judgment of</w:t>
      </w:r>
      <w:r w:rsidRPr="00C9465D">
        <w:rPr>
          <w:sz w:val="16"/>
          <w:szCs w:val="16"/>
          <w:lang w:val="en-US" w:eastAsia="es-MX"/>
        </w:rPr>
        <w:t xml:space="preserve"> </w:t>
      </w:r>
      <w:r w:rsidR="00CA35CD" w:rsidRPr="00C9465D">
        <w:rPr>
          <w:sz w:val="16"/>
          <w:szCs w:val="16"/>
          <w:lang w:val="en-US" w:eastAsia="es-MX"/>
        </w:rPr>
        <w:t>February 24,</w:t>
      </w:r>
      <w:r w:rsidRPr="00C9465D">
        <w:rPr>
          <w:sz w:val="16"/>
          <w:szCs w:val="16"/>
          <w:lang w:val="en-US" w:eastAsia="es-MX"/>
        </w:rPr>
        <w:t xml:space="preserve"> 2011. </w:t>
      </w:r>
      <w:r w:rsidR="00E2299F" w:rsidRPr="00C9465D">
        <w:rPr>
          <w:sz w:val="16"/>
          <w:szCs w:val="16"/>
          <w:lang w:val="en-US" w:eastAsia="es-MX"/>
        </w:rPr>
        <w:t xml:space="preserve">Series </w:t>
      </w:r>
      <w:r w:rsidRPr="00C9465D">
        <w:rPr>
          <w:sz w:val="16"/>
          <w:szCs w:val="16"/>
          <w:lang w:val="en-US" w:eastAsia="es-MX"/>
        </w:rPr>
        <w:t xml:space="preserve">C No. 221, </w:t>
      </w:r>
      <w:r w:rsidR="00D8466F" w:rsidRPr="00C9465D">
        <w:rPr>
          <w:sz w:val="16"/>
          <w:szCs w:val="16"/>
          <w:lang w:val="en-US" w:eastAsia="es-MX"/>
        </w:rPr>
        <w:t>para.</w:t>
      </w:r>
      <w:r w:rsidRPr="00C9465D">
        <w:rPr>
          <w:sz w:val="16"/>
          <w:szCs w:val="16"/>
          <w:lang w:val="en-US" w:eastAsia="es-MX"/>
        </w:rPr>
        <w:t xml:space="preserve"> </w:t>
      </w:r>
      <w:r w:rsidRPr="00C9465D">
        <w:rPr>
          <w:sz w:val="16"/>
          <w:szCs w:val="16"/>
          <w:lang w:val="en-US"/>
        </w:rPr>
        <w:t>239,</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Fernández Prieto</w:t>
      </w:r>
      <w:r w:rsidR="00193CBB" w:rsidRPr="00C9465D">
        <w:rPr>
          <w:i/>
          <w:sz w:val="16"/>
          <w:szCs w:val="16"/>
          <w:lang w:val="en-US"/>
        </w:rPr>
        <w:t xml:space="preserve"> and </w:t>
      </w:r>
      <w:r w:rsidRPr="00C9465D">
        <w:rPr>
          <w:i/>
          <w:sz w:val="16"/>
          <w:szCs w:val="16"/>
          <w:lang w:val="en-US"/>
        </w:rPr>
        <w:t xml:space="preserve">Tumbeiro </w:t>
      </w:r>
      <w:r w:rsidR="00193CBB" w:rsidRPr="00C9465D">
        <w:rPr>
          <w:i/>
          <w:sz w:val="16"/>
          <w:szCs w:val="16"/>
          <w:lang w:val="en-US"/>
        </w:rPr>
        <w:t>v.</w:t>
      </w:r>
      <w:r w:rsidRPr="00C9465D">
        <w:rPr>
          <w:i/>
          <w:sz w:val="16"/>
          <w:szCs w:val="16"/>
          <w:lang w:val="en-US"/>
        </w:rPr>
        <w:t xml:space="preserve"> Argentina. </w:t>
      </w:r>
      <w:r w:rsidR="00532DEC" w:rsidRPr="00C9465D">
        <w:rPr>
          <w:i/>
          <w:sz w:val="16"/>
          <w:szCs w:val="16"/>
          <w:lang w:val="en-US"/>
        </w:rPr>
        <w:t>Merits</w:t>
      </w:r>
      <w:r w:rsidR="00193CBB" w:rsidRPr="00C9465D">
        <w:rPr>
          <w:i/>
          <w:sz w:val="16"/>
          <w:szCs w:val="16"/>
          <w:lang w:val="en-US"/>
        </w:rPr>
        <w:t xml:space="preserve"> and </w:t>
      </w:r>
      <w:r w:rsidR="00CA35CD" w:rsidRPr="00C9465D">
        <w:rPr>
          <w:i/>
          <w:sz w:val="16"/>
          <w:szCs w:val="16"/>
          <w:lang w:val="en-US"/>
        </w:rPr>
        <w:t>reparations</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CA35CD" w:rsidRPr="00C9465D">
        <w:rPr>
          <w:sz w:val="16"/>
          <w:szCs w:val="16"/>
          <w:lang w:val="en-US"/>
        </w:rPr>
        <w:t xml:space="preserve">September 1, </w:t>
      </w:r>
      <w:r w:rsidRPr="00C9465D">
        <w:rPr>
          <w:sz w:val="16"/>
          <w:szCs w:val="16"/>
          <w:lang w:val="en-US"/>
        </w:rPr>
        <w:t xml:space="preserve">2020. </w:t>
      </w:r>
      <w:r w:rsidR="00E2299F" w:rsidRPr="00C9465D">
        <w:rPr>
          <w:sz w:val="16"/>
          <w:szCs w:val="16"/>
          <w:lang w:val="en-US"/>
        </w:rPr>
        <w:t xml:space="preserve">Series </w:t>
      </w:r>
      <w:r w:rsidRPr="00C9465D">
        <w:rPr>
          <w:sz w:val="16"/>
          <w:szCs w:val="16"/>
          <w:lang w:val="en-US"/>
        </w:rPr>
        <w:t xml:space="preserve">C No. 411, </w:t>
      </w:r>
      <w:r w:rsidR="00D8466F" w:rsidRPr="00C9465D">
        <w:rPr>
          <w:sz w:val="16"/>
          <w:szCs w:val="16"/>
          <w:lang w:val="en-US"/>
        </w:rPr>
        <w:t>para.</w:t>
      </w:r>
      <w:r w:rsidRPr="00C9465D">
        <w:rPr>
          <w:sz w:val="16"/>
          <w:szCs w:val="16"/>
          <w:lang w:val="en-US"/>
        </w:rPr>
        <w:t xml:space="preserve"> 185.</w:t>
      </w:r>
    </w:p>
  </w:footnote>
  <w:footnote w:id="345">
    <w:p w14:paraId="769C22D3" w14:textId="366F1B6A"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6808B7" w:rsidRPr="00C9465D">
        <w:rPr>
          <w:sz w:val="16"/>
          <w:szCs w:val="16"/>
          <w:lang w:val="en-US"/>
        </w:rPr>
        <w:t>Pichincha 18th Criminal Court</w:t>
      </w:r>
      <w:r w:rsidRPr="00C9465D">
        <w:rPr>
          <w:sz w:val="16"/>
          <w:szCs w:val="16"/>
          <w:lang w:val="en-US"/>
        </w:rPr>
        <w:t xml:space="preserve">. </w:t>
      </w:r>
      <w:r w:rsidR="006A3DAB" w:rsidRPr="00C9465D">
        <w:rPr>
          <w:sz w:val="16"/>
          <w:szCs w:val="16"/>
          <w:lang w:val="en-US"/>
        </w:rPr>
        <w:t>Decision</w:t>
      </w:r>
      <w:r w:rsidRPr="00C9465D">
        <w:rPr>
          <w:sz w:val="16"/>
          <w:szCs w:val="16"/>
          <w:lang w:val="en-US"/>
        </w:rPr>
        <w:t xml:space="preserve"> </w:t>
      </w:r>
      <w:r w:rsidR="00CA35CD" w:rsidRPr="00C9465D">
        <w:rPr>
          <w:sz w:val="16"/>
          <w:szCs w:val="16"/>
          <w:lang w:val="en-US"/>
        </w:rPr>
        <w:t>of July 19,</w:t>
      </w:r>
      <w:r w:rsidRPr="00C9465D">
        <w:rPr>
          <w:sz w:val="16"/>
          <w:szCs w:val="16"/>
          <w:lang w:val="en-US"/>
        </w:rPr>
        <w:t xml:space="preserve"> 2006 (</w:t>
      </w:r>
      <w:r w:rsidR="00153C9F" w:rsidRPr="00C9465D">
        <w:rPr>
          <w:sz w:val="16"/>
          <w:szCs w:val="16"/>
          <w:lang w:val="en-US"/>
        </w:rPr>
        <w:t>evidence file</w:t>
      </w:r>
      <w:r w:rsidRPr="00C9465D">
        <w:rPr>
          <w:sz w:val="16"/>
          <w:szCs w:val="16"/>
          <w:lang w:val="en-US"/>
        </w:rPr>
        <w:t>, folio 7261).</w:t>
      </w:r>
    </w:p>
  </w:footnote>
  <w:footnote w:id="346">
    <w:p w14:paraId="75B1C176" w14:textId="6DA36C55"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CA35CD" w:rsidRPr="00C9465D">
        <w:rPr>
          <w:sz w:val="16"/>
          <w:szCs w:val="16"/>
          <w:lang w:val="en-US"/>
        </w:rPr>
        <w:t>Communication</w:t>
      </w:r>
      <w:r w:rsidR="00092D8C" w:rsidRPr="00C9465D">
        <w:rPr>
          <w:sz w:val="16"/>
          <w:szCs w:val="16"/>
          <w:lang w:val="en-US"/>
        </w:rPr>
        <w:t xml:space="preserve"> of the </w:t>
      </w:r>
      <w:r w:rsidR="001F65A3" w:rsidRPr="00C9465D">
        <w:rPr>
          <w:sz w:val="16"/>
          <w:szCs w:val="16"/>
          <w:lang w:val="en-US"/>
        </w:rPr>
        <w:t>Homicide Brigade</w:t>
      </w:r>
      <w:r w:rsidRPr="00C9465D">
        <w:rPr>
          <w:sz w:val="16"/>
          <w:szCs w:val="16"/>
          <w:lang w:val="en-US"/>
        </w:rPr>
        <w:t xml:space="preserve"> </w:t>
      </w:r>
      <w:r w:rsidR="001F65A3" w:rsidRPr="00C9465D">
        <w:rPr>
          <w:sz w:val="16"/>
          <w:szCs w:val="16"/>
          <w:lang w:val="en-US"/>
        </w:rPr>
        <w:t>of the Pichincha Judicial Police</w:t>
      </w:r>
      <w:r w:rsidRPr="00C9465D">
        <w:rPr>
          <w:sz w:val="16"/>
          <w:szCs w:val="16"/>
          <w:lang w:val="en-US"/>
        </w:rPr>
        <w:t xml:space="preserve"> </w:t>
      </w:r>
      <w:r w:rsidR="00CA35CD" w:rsidRPr="00C9465D">
        <w:rPr>
          <w:sz w:val="16"/>
          <w:szCs w:val="16"/>
          <w:lang w:val="en-US"/>
        </w:rPr>
        <w:t>of November 27,</w:t>
      </w:r>
      <w:r w:rsidRPr="00C9465D">
        <w:rPr>
          <w:sz w:val="16"/>
          <w:szCs w:val="16"/>
          <w:lang w:val="en-US"/>
        </w:rPr>
        <w:t xml:space="preserve"> 2009 (</w:t>
      </w:r>
      <w:r w:rsidR="00153C9F" w:rsidRPr="00C9465D">
        <w:rPr>
          <w:sz w:val="16"/>
          <w:szCs w:val="16"/>
          <w:lang w:val="en-US"/>
        </w:rPr>
        <w:t>evidence file</w:t>
      </w:r>
      <w:r w:rsidRPr="00C9465D">
        <w:rPr>
          <w:sz w:val="16"/>
          <w:szCs w:val="16"/>
          <w:lang w:val="en-US"/>
        </w:rPr>
        <w:t>, folio 1778).</w:t>
      </w:r>
    </w:p>
  </w:footnote>
  <w:footnote w:id="347">
    <w:p w14:paraId="1F8D17F6" w14:textId="31E6F6D9" w:rsidR="00300482" w:rsidRPr="00C9465D" w:rsidRDefault="00300482" w:rsidP="00BD26CF">
      <w:pPr>
        <w:pStyle w:val="FootnoteText"/>
        <w:tabs>
          <w:tab w:val="left" w:pos="567"/>
        </w:tabs>
        <w:spacing w:after="120"/>
        <w:rPr>
          <w:sz w:val="16"/>
          <w:szCs w:val="16"/>
          <w:lang w:val="en-US"/>
        </w:rPr>
      </w:pPr>
      <w:r w:rsidRPr="00C9465D">
        <w:rPr>
          <w:rStyle w:val="FootnoteReference"/>
          <w:rFonts w:eastAsiaTheme="majorEastAsia"/>
          <w:sz w:val="16"/>
          <w:szCs w:val="16"/>
          <w:lang w:val="en-US"/>
        </w:rPr>
        <w:footnoteRef/>
      </w:r>
      <w:r w:rsidRPr="00C9465D">
        <w:rPr>
          <w:sz w:val="16"/>
          <w:szCs w:val="16"/>
        </w:rPr>
        <w:t xml:space="preserve"> </w:t>
      </w:r>
      <w:r w:rsidRPr="00C9465D">
        <w:rPr>
          <w:sz w:val="16"/>
          <w:szCs w:val="16"/>
        </w:rPr>
        <w:tab/>
      </w:r>
      <w:r w:rsidR="00E2299F" w:rsidRPr="00C9465D">
        <w:rPr>
          <w:i/>
          <w:sz w:val="16"/>
          <w:szCs w:val="16"/>
        </w:rPr>
        <w:t>Cf.</w:t>
      </w:r>
      <w:r w:rsidRPr="00C9465D">
        <w:rPr>
          <w:i/>
          <w:sz w:val="16"/>
          <w:szCs w:val="16"/>
        </w:rPr>
        <w:t xml:space="preserve"> </w:t>
      </w:r>
      <w:r w:rsidR="00D8466F" w:rsidRPr="00C9465D">
        <w:rPr>
          <w:i/>
          <w:sz w:val="16"/>
          <w:szCs w:val="16"/>
        </w:rPr>
        <w:t>Case of</w:t>
      </w:r>
      <w:r w:rsidRPr="00C9465D">
        <w:rPr>
          <w:i/>
          <w:sz w:val="16"/>
          <w:szCs w:val="16"/>
        </w:rPr>
        <w:t xml:space="preserve"> Acevedo Jaramillo</w:t>
      </w:r>
      <w:r w:rsidR="00193CBB" w:rsidRPr="00C9465D">
        <w:rPr>
          <w:i/>
          <w:sz w:val="16"/>
          <w:szCs w:val="16"/>
        </w:rPr>
        <w:t xml:space="preserve"> </w:t>
      </w:r>
      <w:r w:rsidR="00D8466F" w:rsidRPr="00C9465D">
        <w:rPr>
          <w:i/>
          <w:sz w:val="16"/>
          <w:szCs w:val="16"/>
        </w:rPr>
        <w:t>et al. v.</w:t>
      </w:r>
      <w:r w:rsidRPr="00C9465D">
        <w:rPr>
          <w:i/>
          <w:sz w:val="16"/>
          <w:szCs w:val="16"/>
        </w:rPr>
        <w:t xml:space="preserve"> </w:t>
      </w:r>
      <w:proofErr w:type="spellStart"/>
      <w:r w:rsidR="001902D2" w:rsidRPr="00C9465D">
        <w:rPr>
          <w:i/>
          <w:sz w:val="16"/>
          <w:szCs w:val="16"/>
        </w:rPr>
        <w:t>Peru</w:t>
      </w:r>
      <w:proofErr w:type="spellEnd"/>
      <w:r w:rsidRPr="00C9465D">
        <w:rPr>
          <w:i/>
          <w:sz w:val="16"/>
          <w:szCs w:val="16"/>
        </w:rPr>
        <w:t>, supra,</w:t>
      </w:r>
      <w:r w:rsidRPr="00C9465D">
        <w:rPr>
          <w:sz w:val="16"/>
          <w:szCs w:val="16"/>
        </w:rPr>
        <w:t xml:space="preserve"> </w:t>
      </w:r>
      <w:r w:rsidR="00D8466F" w:rsidRPr="00C9465D">
        <w:rPr>
          <w:sz w:val="16"/>
          <w:szCs w:val="16"/>
        </w:rPr>
        <w:t>para.</w:t>
      </w:r>
      <w:r w:rsidRPr="00C9465D">
        <w:rPr>
          <w:sz w:val="16"/>
          <w:szCs w:val="16"/>
        </w:rPr>
        <w:t xml:space="preserve"> </w:t>
      </w:r>
      <w:r w:rsidRPr="00C9465D">
        <w:rPr>
          <w:sz w:val="16"/>
          <w:szCs w:val="16"/>
          <w:lang w:val="en-US"/>
        </w:rPr>
        <w:t>219.</w:t>
      </w:r>
    </w:p>
  </w:footnote>
  <w:footnote w:id="348">
    <w:p w14:paraId="6BFBC1C8" w14:textId="6F7A8578" w:rsidR="00300482" w:rsidRPr="00C9465D" w:rsidRDefault="00300482" w:rsidP="00BD26CF">
      <w:pPr>
        <w:pStyle w:val="FootnoteText"/>
        <w:tabs>
          <w:tab w:val="left" w:pos="567"/>
        </w:tabs>
        <w:spacing w:after="120"/>
        <w:rPr>
          <w:sz w:val="16"/>
          <w:szCs w:val="16"/>
          <w:lang w:val="en-US"/>
        </w:rPr>
      </w:pPr>
      <w:r w:rsidRPr="00C9465D">
        <w:rPr>
          <w:sz w:val="16"/>
          <w:szCs w:val="16"/>
          <w:vertAlign w:val="superscript"/>
          <w:lang w:val="en-US"/>
        </w:rPr>
        <w:footnoteRef/>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Radilla Pacheco </w:t>
      </w:r>
      <w:r w:rsidR="00193CBB" w:rsidRPr="00C9465D">
        <w:rPr>
          <w:i/>
          <w:sz w:val="16"/>
          <w:szCs w:val="16"/>
          <w:lang w:val="en-US"/>
        </w:rPr>
        <w:t>v.</w:t>
      </w:r>
      <w:r w:rsidRPr="00C9465D">
        <w:rPr>
          <w:i/>
          <w:sz w:val="16"/>
          <w:szCs w:val="16"/>
          <w:lang w:val="en-US"/>
        </w:rPr>
        <w:t xml:space="preserve"> México. </w:t>
      </w:r>
      <w:r w:rsidR="00D8466F" w:rsidRPr="00C9465D">
        <w:rPr>
          <w:i/>
          <w:sz w:val="16"/>
          <w:szCs w:val="16"/>
          <w:lang w:val="en-US"/>
        </w:rPr>
        <w:t>Preliminary objections, merits</w:t>
      </w:r>
      <w:r w:rsidR="00193CBB" w:rsidRPr="00C9465D">
        <w:rPr>
          <w:i/>
          <w:sz w:val="16"/>
          <w:szCs w:val="16"/>
          <w:lang w:val="en-US"/>
        </w:rPr>
        <w:t>, reparations and costs</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CA35CD" w:rsidRPr="00C9465D">
        <w:rPr>
          <w:sz w:val="16"/>
          <w:szCs w:val="16"/>
          <w:lang w:val="en-US"/>
        </w:rPr>
        <w:t>November 23,</w:t>
      </w:r>
      <w:r w:rsidRPr="00C9465D">
        <w:rPr>
          <w:sz w:val="16"/>
          <w:szCs w:val="16"/>
          <w:lang w:val="en-US"/>
        </w:rPr>
        <w:t xml:space="preserve"> 2009. </w:t>
      </w:r>
      <w:r w:rsidR="00E2299F" w:rsidRPr="00C9465D">
        <w:rPr>
          <w:sz w:val="16"/>
          <w:szCs w:val="16"/>
          <w:lang w:val="en-US"/>
        </w:rPr>
        <w:t xml:space="preserve">Series </w:t>
      </w:r>
      <w:r w:rsidRPr="00C9465D">
        <w:rPr>
          <w:sz w:val="16"/>
          <w:szCs w:val="16"/>
          <w:lang w:val="en-US"/>
        </w:rPr>
        <w:t xml:space="preserve">C No. 209, </w:t>
      </w:r>
      <w:r w:rsidR="00D8466F" w:rsidRPr="00C9465D">
        <w:rPr>
          <w:sz w:val="16"/>
          <w:szCs w:val="16"/>
          <w:lang w:val="en-US"/>
        </w:rPr>
        <w:t>para.</w:t>
      </w:r>
      <w:r w:rsidRPr="00C9465D">
        <w:rPr>
          <w:sz w:val="16"/>
          <w:szCs w:val="16"/>
          <w:lang w:val="en-US"/>
        </w:rPr>
        <w:t xml:space="preserve"> 191</w:t>
      </w:r>
      <w:r w:rsidRPr="00C9465D">
        <w:rPr>
          <w:color w:val="000000"/>
          <w:sz w:val="16"/>
          <w:szCs w:val="16"/>
          <w:lang w:val="en-US"/>
        </w:rPr>
        <w:t>,</w:t>
      </w:r>
      <w:r w:rsidR="00193CBB" w:rsidRPr="00C9465D">
        <w:rPr>
          <w:color w:val="000000"/>
          <w:sz w:val="16"/>
          <w:szCs w:val="16"/>
          <w:lang w:val="en-US"/>
        </w:rPr>
        <w:t xml:space="preserve"> and </w:t>
      </w:r>
      <w:r w:rsidR="00D8466F" w:rsidRPr="00C9465D">
        <w:rPr>
          <w:i/>
          <w:sz w:val="16"/>
          <w:szCs w:val="16"/>
          <w:lang w:val="en-US"/>
        </w:rPr>
        <w:t>Case of</w:t>
      </w:r>
      <w:r w:rsidRPr="00C9465D">
        <w:rPr>
          <w:i/>
          <w:sz w:val="16"/>
          <w:szCs w:val="16"/>
          <w:lang w:val="en-US"/>
        </w:rPr>
        <w:t xml:space="preserve"> Guzmán Albarracín</w:t>
      </w:r>
      <w:r w:rsidR="00193CBB" w:rsidRPr="00C9465D">
        <w:rPr>
          <w:i/>
          <w:sz w:val="16"/>
          <w:szCs w:val="16"/>
          <w:lang w:val="en-US"/>
        </w:rPr>
        <w:t xml:space="preserve"> </w:t>
      </w:r>
      <w:r w:rsidR="00CA35CD" w:rsidRPr="00C9465D">
        <w:rPr>
          <w:i/>
          <w:sz w:val="16"/>
          <w:szCs w:val="16"/>
          <w:lang w:val="en-US"/>
        </w:rPr>
        <w:t>et al.</w:t>
      </w:r>
      <w:r w:rsidRPr="00C9465D">
        <w:rPr>
          <w:i/>
          <w:sz w:val="16"/>
          <w:szCs w:val="16"/>
          <w:lang w:val="en-US"/>
        </w:rPr>
        <w:t xml:space="preserve"> </w:t>
      </w:r>
      <w:r w:rsidR="00193CBB" w:rsidRPr="00C9465D">
        <w:rPr>
          <w:i/>
          <w:sz w:val="16"/>
          <w:szCs w:val="16"/>
          <w:lang w:val="en-US"/>
        </w:rPr>
        <w:t>v.</w:t>
      </w:r>
      <w:r w:rsidRPr="00C9465D">
        <w:rPr>
          <w:i/>
          <w:sz w:val="16"/>
          <w:szCs w:val="16"/>
          <w:lang w:val="en-US"/>
        </w:rPr>
        <w:t xml:space="preserve"> Ecuador. </w:t>
      </w:r>
      <w:r w:rsidR="00193CBB" w:rsidRPr="00C9465D">
        <w:rPr>
          <w:i/>
          <w:sz w:val="16"/>
          <w:szCs w:val="16"/>
          <w:lang w:val="en-US"/>
        </w:rPr>
        <w:t>Merits, reparations and costs</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CA35CD" w:rsidRPr="00C9465D">
        <w:rPr>
          <w:sz w:val="16"/>
          <w:szCs w:val="16"/>
          <w:lang w:val="en-US"/>
        </w:rPr>
        <w:t xml:space="preserve">June 24, </w:t>
      </w:r>
      <w:r w:rsidRPr="00C9465D">
        <w:rPr>
          <w:sz w:val="16"/>
          <w:szCs w:val="16"/>
          <w:lang w:val="en-US"/>
        </w:rPr>
        <w:t xml:space="preserve">2020. </w:t>
      </w:r>
      <w:r w:rsidR="00E2299F" w:rsidRPr="00C9465D">
        <w:rPr>
          <w:sz w:val="16"/>
          <w:szCs w:val="16"/>
          <w:lang w:val="en-US"/>
        </w:rPr>
        <w:t xml:space="preserve">Series </w:t>
      </w:r>
      <w:r w:rsidRPr="00C9465D">
        <w:rPr>
          <w:sz w:val="16"/>
          <w:szCs w:val="16"/>
          <w:lang w:val="en-US"/>
        </w:rPr>
        <w:t xml:space="preserve">C No. 405, </w:t>
      </w:r>
      <w:r w:rsidR="00D8466F" w:rsidRPr="00C9465D">
        <w:rPr>
          <w:sz w:val="16"/>
          <w:szCs w:val="16"/>
          <w:lang w:val="en-US"/>
        </w:rPr>
        <w:t>para.</w:t>
      </w:r>
      <w:r w:rsidRPr="00C9465D">
        <w:rPr>
          <w:sz w:val="16"/>
          <w:szCs w:val="16"/>
          <w:lang w:val="en-US"/>
        </w:rPr>
        <w:t xml:space="preserve"> 180.</w:t>
      </w:r>
    </w:p>
  </w:footnote>
  <w:footnote w:id="349">
    <w:p w14:paraId="3445F38B" w14:textId="34129BE1" w:rsidR="00300482" w:rsidRPr="00C9465D" w:rsidRDefault="00300482" w:rsidP="00BD26CF">
      <w:pPr>
        <w:pStyle w:val="FootnoteText"/>
        <w:tabs>
          <w:tab w:val="left" w:pos="567"/>
        </w:tabs>
        <w:spacing w:after="120"/>
        <w:rPr>
          <w:sz w:val="16"/>
          <w:szCs w:val="16"/>
          <w:lang w:val="en-US"/>
        </w:rPr>
      </w:pPr>
      <w:r w:rsidRPr="00C9465D">
        <w:rPr>
          <w:rStyle w:val="FootnoteReference"/>
          <w:rFonts w:eastAsia="Calibri"/>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Suárez Rosero </w:t>
      </w:r>
      <w:r w:rsidR="00193CBB" w:rsidRPr="00C9465D">
        <w:rPr>
          <w:i/>
          <w:sz w:val="16"/>
          <w:szCs w:val="16"/>
          <w:lang w:val="en-US"/>
        </w:rPr>
        <w:t>v.</w:t>
      </w:r>
      <w:r w:rsidRPr="00C9465D">
        <w:rPr>
          <w:i/>
          <w:sz w:val="16"/>
          <w:szCs w:val="16"/>
          <w:lang w:val="en-US"/>
        </w:rPr>
        <w:t xml:space="preserve"> Ecuador. </w:t>
      </w:r>
      <w:r w:rsidR="00532DEC" w:rsidRPr="00C9465D">
        <w:rPr>
          <w:i/>
          <w:sz w:val="16"/>
          <w:szCs w:val="16"/>
          <w:lang w:val="en-US"/>
        </w:rPr>
        <w:t>Merits</w:t>
      </w:r>
      <w:r w:rsidRPr="00C9465D">
        <w:rPr>
          <w:sz w:val="16"/>
          <w:szCs w:val="16"/>
          <w:lang w:val="en-US"/>
        </w:rPr>
        <w:t xml:space="preserve">. </w:t>
      </w:r>
      <w:r w:rsidR="00D8466F" w:rsidRPr="00C9465D">
        <w:rPr>
          <w:sz w:val="16"/>
          <w:szCs w:val="16"/>
          <w:lang w:val="en-US"/>
        </w:rPr>
        <w:t>Judgment of</w:t>
      </w:r>
      <w:r w:rsidR="00153C9F" w:rsidRPr="00C9465D">
        <w:rPr>
          <w:sz w:val="16"/>
          <w:szCs w:val="16"/>
          <w:lang w:val="en-US"/>
        </w:rPr>
        <w:t xml:space="preserve"> November </w:t>
      </w:r>
      <w:r w:rsidR="00CA35CD" w:rsidRPr="00C9465D">
        <w:rPr>
          <w:sz w:val="16"/>
          <w:szCs w:val="16"/>
          <w:lang w:val="en-US"/>
        </w:rPr>
        <w:t>1</w:t>
      </w:r>
      <w:r w:rsidR="00153C9F" w:rsidRPr="00C9465D">
        <w:rPr>
          <w:sz w:val="16"/>
          <w:szCs w:val="16"/>
          <w:lang w:val="en-US"/>
        </w:rPr>
        <w:t>2,</w:t>
      </w:r>
      <w:r w:rsidRPr="00C9465D">
        <w:rPr>
          <w:sz w:val="16"/>
          <w:szCs w:val="16"/>
          <w:lang w:val="en-US"/>
        </w:rPr>
        <w:t xml:space="preserve"> 1997. </w:t>
      </w:r>
      <w:r w:rsidR="00E2299F" w:rsidRPr="00C9465D">
        <w:rPr>
          <w:sz w:val="16"/>
          <w:szCs w:val="16"/>
          <w:lang w:val="en-US"/>
        </w:rPr>
        <w:t xml:space="preserve">Series </w:t>
      </w:r>
      <w:r w:rsidRPr="00C9465D">
        <w:rPr>
          <w:sz w:val="16"/>
          <w:szCs w:val="16"/>
          <w:lang w:val="en-US"/>
        </w:rPr>
        <w:t xml:space="preserve">C No. 35, </w:t>
      </w:r>
      <w:r w:rsidR="00D8466F" w:rsidRPr="00C9465D">
        <w:rPr>
          <w:sz w:val="16"/>
          <w:szCs w:val="16"/>
          <w:lang w:val="en-US"/>
        </w:rPr>
        <w:t>para.</w:t>
      </w:r>
      <w:r w:rsidRPr="00C9465D">
        <w:rPr>
          <w:sz w:val="16"/>
          <w:szCs w:val="16"/>
          <w:lang w:val="en-US"/>
        </w:rPr>
        <w:t xml:space="preserve"> 71,</w:t>
      </w:r>
      <w:r w:rsidR="00193CBB" w:rsidRPr="00C9465D">
        <w:rPr>
          <w:sz w:val="16"/>
          <w:szCs w:val="16"/>
          <w:lang w:val="en-US"/>
        </w:rPr>
        <w:t xml:space="preserve"> and </w:t>
      </w:r>
      <w:r w:rsidR="00D8466F" w:rsidRPr="00C9465D">
        <w:rPr>
          <w:i/>
          <w:sz w:val="16"/>
          <w:szCs w:val="16"/>
          <w:lang w:val="en-US"/>
        </w:rPr>
        <w:t xml:space="preserve">Case </w:t>
      </w:r>
      <w:r w:rsidR="00FA5261" w:rsidRPr="00C9465D">
        <w:rPr>
          <w:i/>
          <w:sz w:val="16"/>
          <w:szCs w:val="16"/>
          <w:lang w:val="en-US"/>
        </w:rPr>
        <w:t>of the Workers of the Fireworks Factory of Santo</w:t>
      </w:r>
      <w:r w:rsidRPr="00C9465D">
        <w:rPr>
          <w:i/>
          <w:sz w:val="16"/>
          <w:szCs w:val="16"/>
          <w:lang w:val="en-US"/>
        </w:rPr>
        <w:t xml:space="preserve"> Antônio de Jesus</w:t>
      </w:r>
      <w:r w:rsidR="00D750CC" w:rsidRPr="00C9465D">
        <w:rPr>
          <w:i/>
          <w:sz w:val="16"/>
          <w:szCs w:val="16"/>
          <w:lang w:val="en-US"/>
        </w:rPr>
        <w:t xml:space="preserve"> and their families</w:t>
      </w:r>
      <w:r w:rsidRPr="00C9465D">
        <w:rPr>
          <w:i/>
          <w:sz w:val="16"/>
          <w:szCs w:val="16"/>
          <w:lang w:val="en-US"/>
        </w:rPr>
        <w:t xml:space="preserve"> </w:t>
      </w:r>
      <w:r w:rsidR="00193CBB" w:rsidRPr="00C9465D">
        <w:rPr>
          <w:i/>
          <w:sz w:val="16"/>
          <w:szCs w:val="16"/>
          <w:lang w:val="en-US"/>
        </w:rPr>
        <w:t>v.</w:t>
      </w:r>
      <w:r w:rsidRPr="00C9465D">
        <w:rPr>
          <w:i/>
          <w:sz w:val="16"/>
          <w:szCs w:val="16"/>
          <w:lang w:val="en-US"/>
        </w:rPr>
        <w:t xml:space="preserve"> </w:t>
      </w:r>
      <w:r w:rsidR="00FA5261" w:rsidRPr="00C9465D">
        <w:rPr>
          <w:i/>
          <w:sz w:val="16"/>
          <w:szCs w:val="16"/>
          <w:lang w:val="en-US"/>
        </w:rPr>
        <w:t>Brazil</w:t>
      </w:r>
      <w:r w:rsidRPr="00C9465D">
        <w:rPr>
          <w:i/>
          <w:sz w:val="16"/>
          <w:szCs w:val="16"/>
          <w:lang w:val="en-US"/>
        </w:rPr>
        <w:t>,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222.</w:t>
      </w:r>
    </w:p>
  </w:footnote>
  <w:footnote w:id="350">
    <w:p w14:paraId="7A9CE5E6" w14:textId="57D2066B" w:rsidR="00300482" w:rsidRPr="00C9465D" w:rsidRDefault="00300482" w:rsidP="00BD26CF">
      <w:pPr>
        <w:pStyle w:val="FootnoteText"/>
        <w:tabs>
          <w:tab w:val="left" w:pos="567"/>
        </w:tabs>
        <w:spacing w:after="120"/>
        <w:rPr>
          <w:b/>
          <w:sz w:val="16"/>
          <w:szCs w:val="16"/>
          <w:lang w:val="en-US"/>
        </w:rPr>
      </w:pPr>
      <w:r w:rsidRPr="00C9465D">
        <w:rPr>
          <w:rStyle w:val="FootnoteReference"/>
          <w:rFonts w:eastAsia="Times"/>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b/>
          <w:sz w:val="16"/>
          <w:szCs w:val="16"/>
          <w:lang w:val="en-US"/>
        </w:rPr>
        <w:t xml:space="preserve"> </w:t>
      </w:r>
      <w:r w:rsidR="00D8466F" w:rsidRPr="00C9465D">
        <w:rPr>
          <w:i/>
          <w:sz w:val="16"/>
          <w:szCs w:val="16"/>
          <w:lang w:val="en-US"/>
        </w:rPr>
        <w:t>Case of</w:t>
      </w:r>
      <w:r w:rsidRPr="00C9465D">
        <w:rPr>
          <w:i/>
          <w:sz w:val="16"/>
          <w:szCs w:val="16"/>
          <w:lang w:val="en-US"/>
        </w:rPr>
        <w:t xml:space="preserve"> Hilaire, Constantine</w:t>
      </w:r>
      <w:r w:rsidR="00193CBB" w:rsidRPr="00C9465D">
        <w:rPr>
          <w:i/>
          <w:sz w:val="16"/>
          <w:szCs w:val="16"/>
          <w:lang w:val="en-US"/>
        </w:rPr>
        <w:t xml:space="preserve"> and </w:t>
      </w:r>
      <w:r w:rsidRPr="00C9465D">
        <w:rPr>
          <w:i/>
          <w:sz w:val="16"/>
          <w:szCs w:val="16"/>
          <w:lang w:val="en-US"/>
        </w:rPr>
        <w:t>Benjamin</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Trinidad</w:t>
      </w:r>
      <w:r w:rsidR="00193CBB" w:rsidRPr="00C9465D">
        <w:rPr>
          <w:i/>
          <w:sz w:val="16"/>
          <w:szCs w:val="16"/>
          <w:lang w:val="en-US"/>
        </w:rPr>
        <w:t xml:space="preserve"> and </w:t>
      </w:r>
      <w:r w:rsidRPr="00C9465D">
        <w:rPr>
          <w:i/>
          <w:sz w:val="16"/>
          <w:szCs w:val="16"/>
          <w:lang w:val="en-US"/>
        </w:rPr>
        <w:t>Tobago,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145,</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Colindres Schonenberg </w:t>
      </w:r>
      <w:r w:rsidR="00193CBB" w:rsidRPr="00C9465D">
        <w:rPr>
          <w:i/>
          <w:sz w:val="16"/>
          <w:szCs w:val="16"/>
          <w:lang w:val="en-US"/>
        </w:rPr>
        <w:t>v.</w:t>
      </w:r>
      <w:r w:rsidRPr="00C9465D">
        <w:rPr>
          <w:i/>
          <w:sz w:val="16"/>
          <w:szCs w:val="16"/>
          <w:lang w:val="en-US"/>
        </w:rPr>
        <w:t xml:space="preserve"> El Salvador. </w:t>
      </w:r>
      <w:r w:rsidR="00193CBB" w:rsidRPr="00C9465D">
        <w:rPr>
          <w:i/>
          <w:sz w:val="16"/>
          <w:szCs w:val="16"/>
          <w:lang w:val="en-US"/>
        </w:rPr>
        <w:t>Merits, reparations and costs</w:t>
      </w:r>
      <w:r w:rsidRPr="00C9465D">
        <w:rPr>
          <w:i/>
          <w:sz w:val="16"/>
          <w:szCs w:val="16"/>
          <w:lang w:val="en-US"/>
        </w:rPr>
        <w:t>.</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CA35CD" w:rsidRPr="00C9465D">
        <w:rPr>
          <w:sz w:val="16"/>
          <w:szCs w:val="16"/>
          <w:lang w:val="en-US"/>
        </w:rPr>
        <w:t xml:space="preserve">February 4, </w:t>
      </w:r>
      <w:r w:rsidRPr="00C9465D">
        <w:rPr>
          <w:sz w:val="16"/>
          <w:szCs w:val="16"/>
          <w:lang w:val="en-US"/>
        </w:rPr>
        <w:t xml:space="preserve">2019. </w:t>
      </w:r>
      <w:r w:rsidR="00E2299F" w:rsidRPr="00C9465D">
        <w:rPr>
          <w:sz w:val="16"/>
          <w:szCs w:val="16"/>
          <w:lang w:val="en-US"/>
        </w:rPr>
        <w:t xml:space="preserve">Series </w:t>
      </w:r>
      <w:r w:rsidRPr="00C9465D">
        <w:rPr>
          <w:sz w:val="16"/>
          <w:szCs w:val="16"/>
          <w:lang w:val="en-US"/>
        </w:rPr>
        <w:t xml:space="preserve">C No. 373, </w:t>
      </w:r>
      <w:r w:rsidR="00D8466F" w:rsidRPr="00C9465D">
        <w:rPr>
          <w:sz w:val="16"/>
          <w:szCs w:val="16"/>
          <w:lang w:val="en-US"/>
        </w:rPr>
        <w:t>para.</w:t>
      </w:r>
      <w:r w:rsidRPr="00C9465D">
        <w:rPr>
          <w:sz w:val="16"/>
          <w:szCs w:val="16"/>
          <w:lang w:val="en-US"/>
        </w:rPr>
        <w:t xml:space="preserve"> 115.</w:t>
      </w:r>
    </w:p>
  </w:footnote>
  <w:footnote w:id="351">
    <w:p w14:paraId="6A9709F5" w14:textId="0ADFE2FC"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6A3DAB" w:rsidRPr="00C9465D">
        <w:rPr>
          <w:sz w:val="16"/>
          <w:szCs w:val="16"/>
          <w:lang w:val="en-US"/>
        </w:rPr>
        <w:t>Decision</w:t>
      </w:r>
      <w:r w:rsidRPr="00C9465D">
        <w:rPr>
          <w:sz w:val="16"/>
          <w:szCs w:val="16"/>
          <w:lang w:val="en-US"/>
        </w:rPr>
        <w:t xml:space="preserve"> </w:t>
      </w:r>
      <w:r w:rsidR="001056D1" w:rsidRPr="00C9465D">
        <w:rPr>
          <w:sz w:val="16"/>
          <w:szCs w:val="16"/>
          <w:lang w:val="en-US"/>
        </w:rPr>
        <w:t xml:space="preserve">of the </w:t>
      </w:r>
      <w:r w:rsidR="00194B20" w:rsidRPr="00C9465D">
        <w:rPr>
          <w:sz w:val="16"/>
          <w:szCs w:val="16"/>
          <w:lang w:val="en-US"/>
        </w:rPr>
        <w:t>Pichincha District Prosecutor</w:t>
      </w:r>
      <w:r w:rsidRPr="00C9465D">
        <w:rPr>
          <w:sz w:val="16"/>
          <w:szCs w:val="16"/>
          <w:lang w:val="en-US"/>
        </w:rPr>
        <w:t xml:space="preserve"> </w:t>
      </w:r>
      <w:r w:rsidR="001056D1" w:rsidRPr="00C9465D">
        <w:rPr>
          <w:sz w:val="16"/>
          <w:szCs w:val="16"/>
          <w:lang w:val="en-US"/>
        </w:rPr>
        <w:t>of July 13,</w:t>
      </w:r>
      <w:r w:rsidRPr="00C9465D">
        <w:rPr>
          <w:sz w:val="16"/>
          <w:szCs w:val="16"/>
          <w:lang w:val="en-US"/>
        </w:rPr>
        <w:t xml:space="preserve"> 2006 (</w:t>
      </w:r>
      <w:r w:rsidR="00153C9F" w:rsidRPr="00C9465D">
        <w:rPr>
          <w:sz w:val="16"/>
          <w:szCs w:val="16"/>
          <w:lang w:val="en-US"/>
        </w:rPr>
        <w:t>evidence file</w:t>
      </w:r>
      <w:r w:rsidRPr="00C9465D">
        <w:rPr>
          <w:sz w:val="16"/>
          <w:szCs w:val="16"/>
          <w:lang w:val="en-US"/>
        </w:rPr>
        <w:t>, folio 7260).</w:t>
      </w:r>
    </w:p>
  </w:footnote>
  <w:footnote w:id="352">
    <w:p w14:paraId="7162AC95" w14:textId="21E06840" w:rsidR="00300482" w:rsidRPr="00C9465D" w:rsidRDefault="00300482" w:rsidP="00BD26CF">
      <w:pPr>
        <w:pStyle w:val="FootnoteText"/>
        <w:tabs>
          <w:tab w:val="left" w:pos="567"/>
        </w:tabs>
        <w:spacing w:after="120"/>
        <w:rPr>
          <w:i/>
          <w:sz w:val="16"/>
          <w:szCs w:val="16"/>
          <w:lang w:val="en-US"/>
        </w:rPr>
      </w:pPr>
      <w:r w:rsidRPr="00C9465D">
        <w:rPr>
          <w:rStyle w:val="FootnoteReference"/>
          <w:rFonts w:eastAsia="Calibri"/>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D8466F" w:rsidRPr="00C9465D">
        <w:rPr>
          <w:i/>
          <w:sz w:val="16"/>
          <w:szCs w:val="16"/>
          <w:lang w:val="en-US"/>
        </w:rPr>
        <w:t>Case of</w:t>
      </w:r>
      <w:r w:rsidRPr="00C9465D">
        <w:rPr>
          <w:i/>
          <w:sz w:val="16"/>
          <w:szCs w:val="16"/>
          <w:lang w:val="en-US"/>
        </w:rPr>
        <w:t xml:space="preserve"> Trujillo Oroza </w:t>
      </w:r>
      <w:r w:rsidR="00193CBB" w:rsidRPr="00C9465D">
        <w:rPr>
          <w:i/>
          <w:sz w:val="16"/>
          <w:szCs w:val="16"/>
          <w:lang w:val="en-US"/>
        </w:rPr>
        <w:t>v.</w:t>
      </w:r>
      <w:r w:rsidRPr="00C9465D">
        <w:rPr>
          <w:i/>
          <w:sz w:val="16"/>
          <w:szCs w:val="16"/>
          <w:lang w:val="en-US"/>
        </w:rPr>
        <w:t xml:space="preserve"> Bolivia. </w:t>
      </w:r>
      <w:r w:rsidR="001056D1" w:rsidRPr="00C9465D">
        <w:rPr>
          <w:i/>
          <w:sz w:val="16"/>
          <w:szCs w:val="16"/>
          <w:lang w:val="en-US"/>
        </w:rPr>
        <w:t>Reparations and costs</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1056D1" w:rsidRPr="00C9465D">
        <w:rPr>
          <w:sz w:val="16"/>
          <w:szCs w:val="16"/>
          <w:lang w:val="en-US"/>
        </w:rPr>
        <w:t>February 27,</w:t>
      </w:r>
      <w:r w:rsidRPr="00C9465D">
        <w:rPr>
          <w:sz w:val="16"/>
          <w:szCs w:val="16"/>
          <w:lang w:val="en-US"/>
        </w:rPr>
        <w:t xml:space="preserve"> 2002</w:t>
      </w:r>
      <w:r w:rsidRPr="00C9465D">
        <w:rPr>
          <w:i/>
          <w:sz w:val="16"/>
          <w:szCs w:val="16"/>
          <w:lang w:val="en-US"/>
        </w:rPr>
        <w:t xml:space="preserve">. </w:t>
      </w:r>
      <w:r w:rsidR="00E2299F" w:rsidRPr="00C9465D">
        <w:rPr>
          <w:sz w:val="16"/>
          <w:szCs w:val="16"/>
          <w:lang w:val="en-US"/>
        </w:rPr>
        <w:t xml:space="preserve">Series </w:t>
      </w:r>
      <w:r w:rsidRPr="00C9465D">
        <w:rPr>
          <w:sz w:val="16"/>
          <w:szCs w:val="16"/>
          <w:lang w:val="en-US"/>
        </w:rPr>
        <w:t xml:space="preserve">C No. 92, </w:t>
      </w:r>
      <w:r w:rsidR="00D8466F" w:rsidRPr="00C9465D">
        <w:rPr>
          <w:sz w:val="16"/>
          <w:szCs w:val="16"/>
          <w:lang w:val="en-US"/>
        </w:rPr>
        <w:t>para.</w:t>
      </w:r>
      <w:r w:rsidRPr="00C9465D">
        <w:rPr>
          <w:sz w:val="16"/>
          <w:szCs w:val="16"/>
          <w:lang w:val="en-US"/>
        </w:rPr>
        <w:t xml:space="preserve"> 100,</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Isaza Uribe</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Colombia,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159.</w:t>
      </w:r>
    </w:p>
  </w:footnote>
  <w:footnote w:id="353">
    <w:p w14:paraId="7183C5D7" w14:textId="358EA318" w:rsidR="00300482" w:rsidRPr="00C9465D" w:rsidRDefault="00300482" w:rsidP="00BD26CF">
      <w:pPr>
        <w:pStyle w:val="FootnoteText"/>
        <w:tabs>
          <w:tab w:val="left" w:pos="567"/>
        </w:tabs>
        <w:spacing w:after="120"/>
        <w:rPr>
          <w:b/>
          <w:color w:val="FF0000"/>
          <w:sz w:val="16"/>
          <w:szCs w:val="16"/>
          <w:lang w:val="en-US"/>
        </w:rPr>
      </w:pPr>
      <w:r w:rsidRPr="00C9465D">
        <w:rPr>
          <w:rStyle w:val="FootnoteReference"/>
          <w:rFonts w:eastAsia="Calibri"/>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1056D1" w:rsidRPr="00C9465D">
        <w:rPr>
          <w:i/>
          <w:sz w:val="16"/>
          <w:szCs w:val="16"/>
          <w:lang w:val="en-US"/>
        </w:rPr>
        <w:t>I</w:t>
      </w:r>
      <w:r w:rsidRPr="00C9465D">
        <w:rPr>
          <w:i/>
          <w:sz w:val="16"/>
          <w:szCs w:val="16"/>
          <w:lang w:val="en-US"/>
        </w:rPr>
        <w:t>nter alia</w:t>
      </w:r>
      <w:r w:rsidRPr="00C9465D">
        <w:rPr>
          <w:sz w:val="16"/>
          <w:szCs w:val="16"/>
          <w:lang w:val="en-US"/>
        </w:rPr>
        <w:t>,</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Velásquez Rodríguez </w:t>
      </w:r>
      <w:r w:rsidR="00193CBB" w:rsidRPr="00C9465D">
        <w:rPr>
          <w:i/>
          <w:sz w:val="16"/>
          <w:szCs w:val="16"/>
          <w:lang w:val="en-US"/>
        </w:rPr>
        <w:t>v.</w:t>
      </w:r>
      <w:r w:rsidRPr="00C9465D">
        <w:rPr>
          <w:i/>
          <w:sz w:val="16"/>
          <w:szCs w:val="16"/>
          <w:lang w:val="en-US"/>
        </w:rPr>
        <w:t xml:space="preserve"> Honduras. </w:t>
      </w:r>
      <w:proofErr w:type="spellStart"/>
      <w:r w:rsidR="00532DEC" w:rsidRPr="00C9465D">
        <w:rPr>
          <w:i/>
          <w:sz w:val="16"/>
          <w:szCs w:val="16"/>
        </w:rPr>
        <w:t>Merits</w:t>
      </w:r>
      <w:proofErr w:type="spellEnd"/>
      <w:r w:rsidRPr="00C9465D">
        <w:rPr>
          <w:i/>
          <w:sz w:val="16"/>
          <w:szCs w:val="16"/>
        </w:rPr>
        <w:t>, supra</w:t>
      </w:r>
      <w:r w:rsidRPr="00C9465D">
        <w:rPr>
          <w:i/>
          <w:spacing w:val="-4"/>
          <w:sz w:val="16"/>
          <w:szCs w:val="16"/>
        </w:rPr>
        <w:t xml:space="preserve">, </w:t>
      </w:r>
      <w:r w:rsidR="00D8466F" w:rsidRPr="00C9465D">
        <w:rPr>
          <w:sz w:val="16"/>
          <w:szCs w:val="16"/>
        </w:rPr>
        <w:t>para.</w:t>
      </w:r>
      <w:r w:rsidRPr="00C9465D">
        <w:rPr>
          <w:sz w:val="16"/>
          <w:szCs w:val="16"/>
        </w:rPr>
        <w:t xml:space="preserve"> 181; </w:t>
      </w:r>
      <w:r w:rsidR="00D8466F" w:rsidRPr="00C9465D">
        <w:rPr>
          <w:bCs/>
          <w:i/>
          <w:sz w:val="16"/>
          <w:szCs w:val="16"/>
        </w:rPr>
        <w:t>Case of</w:t>
      </w:r>
      <w:r w:rsidRPr="00C9465D">
        <w:rPr>
          <w:bCs/>
          <w:i/>
          <w:sz w:val="16"/>
          <w:szCs w:val="16"/>
        </w:rPr>
        <w:t xml:space="preserve"> Bámaca Velásquez </w:t>
      </w:r>
      <w:r w:rsidR="00193CBB" w:rsidRPr="00C9465D">
        <w:rPr>
          <w:bCs/>
          <w:i/>
          <w:sz w:val="16"/>
          <w:szCs w:val="16"/>
        </w:rPr>
        <w:t>v.</w:t>
      </w:r>
      <w:r w:rsidRPr="00C9465D">
        <w:rPr>
          <w:bCs/>
          <w:i/>
          <w:sz w:val="16"/>
          <w:szCs w:val="16"/>
        </w:rPr>
        <w:t xml:space="preserve"> Guatemala, supra</w:t>
      </w:r>
      <w:r w:rsidRPr="00C9465D">
        <w:rPr>
          <w:bCs/>
          <w:sz w:val="16"/>
          <w:szCs w:val="16"/>
        </w:rPr>
        <w:t>,</w:t>
      </w:r>
      <w:r w:rsidRPr="00C9465D">
        <w:rPr>
          <w:bCs/>
          <w:i/>
          <w:sz w:val="16"/>
          <w:szCs w:val="16"/>
        </w:rPr>
        <w:t xml:space="preserve"> </w:t>
      </w:r>
      <w:r w:rsidR="00D8466F" w:rsidRPr="00C9465D">
        <w:rPr>
          <w:sz w:val="16"/>
          <w:szCs w:val="16"/>
        </w:rPr>
        <w:t>para.</w:t>
      </w:r>
      <w:r w:rsidRPr="00C9465D">
        <w:rPr>
          <w:sz w:val="16"/>
          <w:szCs w:val="16"/>
        </w:rPr>
        <w:t xml:space="preserve"> </w:t>
      </w:r>
      <w:r w:rsidRPr="00C9465D">
        <w:rPr>
          <w:sz w:val="16"/>
          <w:szCs w:val="16"/>
          <w:lang w:val="en-US"/>
        </w:rPr>
        <w:t xml:space="preserve">201; </w:t>
      </w:r>
      <w:r w:rsidR="00D8466F" w:rsidRPr="00C9465D">
        <w:rPr>
          <w:rStyle w:val="Strong"/>
          <w:rFonts w:eastAsia="Batang"/>
          <w:b w:val="0"/>
          <w:i/>
          <w:color w:val="000000"/>
          <w:sz w:val="16"/>
          <w:szCs w:val="16"/>
          <w:shd w:val="clear" w:color="auto" w:fill="FFFFFF"/>
          <w:lang w:val="en-US"/>
        </w:rPr>
        <w:t>Case of</w:t>
      </w:r>
      <w:r w:rsidRPr="00C9465D">
        <w:rPr>
          <w:rStyle w:val="Strong"/>
          <w:rFonts w:eastAsia="Batang"/>
          <w:b w:val="0"/>
          <w:i/>
          <w:color w:val="000000"/>
          <w:sz w:val="16"/>
          <w:szCs w:val="16"/>
          <w:shd w:val="clear" w:color="auto" w:fill="FFFFFF"/>
          <w:lang w:val="en-US"/>
        </w:rPr>
        <w:t xml:space="preserve"> Barrios Altos </w:t>
      </w:r>
      <w:r w:rsidR="00193CBB" w:rsidRPr="00C9465D">
        <w:rPr>
          <w:rStyle w:val="Strong"/>
          <w:rFonts w:eastAsia="Batang"/>
          <w:b w:val="0"/>
          <w:i/>
          <w:color w:val="000000"/>
          <w:sz w:val="16"/>
          <w:szCs w:val="16"/>
          <w:shd w:val="clear" w:color="auto" w:fill="FFFFFF"/>
          <w:lang w:val="en-US"/>
        </w:rPr>
        <w:t>v.</w:t>
      </w:r>
      <w:r w:rsidRPr="00C9465D">
        <w:rPr>
          <w:rStyle w:val="Strong"/>
          <w:rFonts w:eastAsia="Batang"/>
          <w:b w:val="0"/>
          <w:i/>
          <w:color w:val="000000"/>
          <w:sz w:val="16"/>
          <w:szCs w:val="16"/>
          <w:shd w:val="clear" w:color="auto" w:fill="FFFFFF"/>
          <w:lang w:val="en-US"/>
        </w:rPr>
        <w:t xml:space="preserve"> </w:t>
      </w:r>
      <w:r w:rsidR="001902D2" w:rsidRPr="00C9465D">
        <w:rPr>
          <w:rStyle w:val="Strong"/>
          <w:rFonts w:eastAsia="Batang"/>
          <w:b w:val="0"/>
          <w:i/>
          <w:color w:val="000000"/>
          <w:sz w:val="16"/>
          <w:szCs w:val="16"/>
          <w:shd w:val="clear" w:color="auto" w:fill="FFFFFF"/>
          <w:lang w:val="en-US"/>
        </w:rPr>
        <w:t>Peru</w:t>
      </w:r>
      <w:r w:rsidRPr="00C9465D">
        <w:rPr>
          <w:rStyle w:val="Strong"/>
          <w:rFonts w:eastAsia="Batang"/>
          <w:b w:val="0"/>
          <w:i/>
          <w:color w:val="000000"/>
          <w:sz w:val="16"/>
          <w:szCs w:val="16"/>
          <w:shd w:val="clear" w:color="auto" w:fill="FFFFFF"/>
          <w:lang w:val="en-US"/>
        </w:rPr>
        <w:t xml:space="preserve">. </w:t>
      </w:r>
      <w:r w:rsidR="00532DEC" w:rsidRPr="00C9465D">
        <w:rPr>
          <w:rStyle w:val="Strong"/>
          <w:rFonts w:eastAsia="Batang"/>
          <w:b w:val="0"/>
          <w:i/>
          <w:color w:val="000000"/>
          <w:sz w:val="16"/>
          <w:szCs w:val="16"/>
          <w:shd w:val="clear" w:color="auto" w:fill="FFFFFF"/>
          <w:lang w:val="en-US"/>
        </w:rPr>
        <w:t>Merits</w:t>
      </w:r>
      <w:r w:rsidRPr="00C9465D">
        <w:rPr>
          <w:rStyle w:val="Strong"/>
          <w:rFonts w:eastAsia="Batang"/>
          <w:b w:val="0"/>
          <w:color w:val="000000"/>
          <w:sz w:val="16"/>
          <w:szCs w:val="16"/>
          <w:shd w:val="clear" w:color="auto" w:fill="FFFFFF"/>
          <w:lang w:val="en-US"/>
        </w:rPr>
        <w:t xml:space="preserve">. </w:t>
      </w:r>
      <w:r w:rsidR="00D8466F" w:rsidRPr="00C9465D">
        <w:rPr>
          <w:rStyle w:val="Strong"/>
          <w:rFonts w:eastAsia="Batang"/>
          <w:b w:val="0"/>
          <w:color w:val="000000"/>
          <w:sz w:val="16"/>
          <w:szCs w:val="16"/>
          <w:shd w:val="clear" w:color="auto" w:fill="FFFFFF"/>
          <w:lang w:val="en-US"/>
        </w:rPr>
        <w:t>Judgment of</w:t>
      </w:r>
      <w:r w:rsidRPr="00C9465D">
        <w:rPr>
          <w:rStyle w:val="Strong"/>
          <w:rFonts w:eastAsia="Batang"/>
          <w:b w:val="0"/>
          <w:color w:val="000000"/>
          <w:sz w:val="16"/>
          <w:szCs w:val="16"/>
          <w:shd w:val="clear" w:color="auto" w:fill="FFFFFF"/>
          <w:lang w:val="en-US"/>
        </w:rPr>
        <w:t xml:space="preserve"> </w:t>
      </w:r>
      <w:r w:rsidR="001056D1" w:rsidRPr="00C9465D">
        <w:rPr>
          <w:rStyle w:val="Strong"/>
          <w:rFonts w:eastAsia="Batang"/>
          <w:b w:val="0"/>
          <w:color w:val="000000"/>
          <w:sz w:val="16"/>
          <w:szCs w:val="16"/>
          <w:shd w:val="clear" w:color="auto" w:fill="FFFFFF"/>
          <w:lang w:val="en-US"/>
        </w:rPr>
        <w:t>March 14,</w:t>
      </w:r>
      <w:r w:rsidRPr="00C9465D">
        <w:rPr>
          <w:rStyle w:val="Strong"/>
          <w:rFonts w:eastAsia="Batang"/>
          <w:b w:val="0"/>
          <w:color w:val="000000"/>
          <w:sz w:val="16"/>
          <w:szCs w:val="16"/>
          <w:shd w:val="clear" w:color="auto" w:fill="FFFFFF"/>
          <w:lang w:val="en-US"/>
        </w:rPr>
        <w:t xml:space="preserve"> 2001. </w:t>
      </w:r>
      <w:r w:rsidR="00E2299F" w:rsidRPr="00C9465D">
        <w:rPr>
          <w:rStyle w:val="Strong"/>
          <w:rFonts w:eastAsia="Batang"/>
          <w:b w:val="0"/>
          <w:color w:val="000000"/>
          <w:sz w:val="16"/>
          <w:szCs w:val="16"/>
          <w:shd w:val="clear" w:color="auto" w:fill="FFFFFF"/>
          <w:lang w:val="en-US"/>
        </w:rPr>
        <w:t xml:space="preserve">Series </w:t>
      </w:r>
      <w:r w:rsidRPr="00C9465D">
        <w:rPr>
          <w:rStyle w:val="Strong"/>
          <w:rFonts w:eastAsia="Batang"/>
          <w:b w:val="0"/>
          <w:color w:val="000000"/>
          <w:sz w:val="16"/>
          <w:szCs w:val="16"/>
          <w:shd w:val="clear" w:color="auto" w:fill="FFFFFF"/>
          <w:lang w:val="en-US"/>
        </w:rPr>
        <w:t>C No. 75</w:t>
      </w:r>
      <w:r w:rsidRPr="00C9465D">
        <w:rPr>
          <w:b/>
          <w:sz w:val="16"/>
          <w:szCs w:val="16"/>
          <w:lang w:val="en-US"/>
        </w:rPr>
        <w:t xml:space="preserve">, </w:t>
      </w:r>
      <w:r w:rsidR="00D8466F" w:rsidRPr="00C9465D">
        <w:rPr>
          <w:sz w:val="16"/>
          <w:szCs w:val="16"/>
          <w:lang w:val="en-US"/>
        </w:rPr>
        <w:t>para.</w:t>
      </w:r>
      <w:r w:rsidRPr="00C9465D">
        <w:rPr>
          <w:sz w:val="16"/>
          <w:szCs w:val="16"/>
          <w:lang w:val="en-US"/>
        </w:rPr>
        <w:t xml:space="preserve"> 48; </w:t>
      </w:r>
      <w:r w:rsidR="00D8466F" w:rsidRPr="00C9465D">
        <w:rPr>
          <w:i/>
          <w:sz w:val="16"/>
          <w:szCs w:val="16"/>
          <w:lang w:val="en-US"/>
        </w:rPr>
        <w:t>Case of</w:t>
      </w:r>
      <w:r w:rsidRPr="00C9465D">
        <w:rPr>
          <w:i/>
          <w:sz w:val="16"/>
          <w:szCs w:val="16"/>
          <w:lang w:val="en-US"/>
        </w:rPr>
        <w:t xml:space="preserve"> Almonacid Arellano</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Chile, </w:t>
      </w:r>
      <w:r w:rsidR="00D8466F" w:rsidRPr="00C9465D">
        <w:rPr>
          <w:i/>
          <w:sz w:val="16"/>
          <w:szCs w:val="16"/>
          <w:lang w:val="en-US"/>
        </w:rPr>
        <w:t>Preliminary objections, merits</w:t>
      </w:r>
      <w:r w:rsidR="00193CBB" w:rsidRPr="00C9465D">
        <w:rPr>
          <w:i/>
          <w:sz w:val="16"/>
          <w:szCs w:val="16"/>
          <w:lang w:val="en-US"/>
        </w:rPr>
        <w:t>, reparations and costs</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1056D1" w:rsidRPr="00C9465D">
        <w:rPr>
          <w:sz w:val="16"/>
          <w:szCs w:val="16"/>
          <w:lang w:val="en-US"/>
        </w:rPr>
        <w:t>September 26,</w:t>
      </w:r>
      <w:r w:rsidRPr="00C9465D">
        <w:rPr>
          <w:sz w:val="16"/>
          <w:szCs w:val="16"/>
          <w:lang w:val="en-US"/>
        </w:rPr>
        <w:t xml:space="preserve"> 2006. </w:t>
      </w:r>
      <w:r w:rsidR="00E2299F" w:rsidRPr="00C9465D">
        <w:rPr>
          <w:sz w:val="16"/>
          <w:szCs w:val="16"/>
          <w:lang w:val="en-US"/>
        </w:rPr>
        <w:t xml:space="preserve">Series </w:t>
      </w:r>
      <w:r w:rsidRPr="00C9465D">
        <w:rPr>
          <w:sz w:val="16"/>
          <w:szCs w:val="16"/>
          <w:lang w:val="en-US"/>
        </w:rPr>
        <w:t>C No. 154,</w:t>
      </w:r>
      <w:r w:rsidRPr="00C9465D">
        <w:rPr>
          <w:i/>
          <w:sz w:val="16"/>
          <w:szCs w:val="16"/>
          <w:lang w:val="en-US"/>
        </w:rPr>
        <w:t xml:space="preserve"> </w:t>
      </w:r>
      <w:r w:rsidR="00D8466F" w:rsidRPr="00C9465D">
        <w:rPr>
          <w:sz w:val="16"/>
          <w:szCs w:val="16"/>
          <w:lang w:val="en-US"/>
        </w:rPr>
        <w:t>para.</w:t>
      </w:r>
      <w:r w:rsidRPr="00C9465D">
        <w:rPr>
          <w:sz w:val="16"/>
          <w:szCs w:val="16"/>
          <w:lang w:val="en-US"/>
        </w:rPr>
        <w:t xml:space="preserve"> 148; </w:t>
      </w:r>
      <w:r w:rsidR="00D8466F" w:rsidRPr="00C9465D">
        <w:rPr>
          <w:rStyle w:val="Strong"/>
          <w:rFonts w:eastAsia="Batang"/>
          <w:b w:val="0"/>
          <w:i/>
          <w:sz w:val="16"/>
          <w:szCs w:val="16"/>
          <w:shd w:val="clear" w:color="auto" w:fill="FFFFFF"/>
          <w:lang w:val="en-US"/>
        </w:rPr>
        <w:t>Case of</w:t>
      </w:r>
      <w:r w:rsidRPr="00C9465D">
        <w:rPr>
          <w:rStyle w:val="Strong"/>
          <w:rFonts w:eastAsia="Batang"/>
          <w:b w:val="0"/>
          <w:i/>
          <w:sz w:val="16"/>
          <w:szCs w:val="16"/>
          <w:shd w:val="clear" w:color="auto" w:fill="FFFFFF"/>
          <w:lang w:val="en-US"/>
        </w:rPr>
        <w:t xml:space="preserve"> La Cantuta </w:t>
      </w:r>
      <w:r w:rsidR="00193CBB" w:rsidRPr="00C9465D">
        <w:rPr>
          <w:rStyle w:val="Strong"/>
          <w:rFonts w:eastAsia="Batang"/>
          <w:b w:val="0"/>
          <w:i/>
          <w:sz w:val="16"/>
          <w:szCs w:val="16"/>
          <w:shd w:val="clear" w:color="auto" w:fill="FFFFFF"/>
          <w:lang w:val="en-US"/>
        </w:rPr>
        <w:t>v.</w:t>
      </w:r>
      <w:r w:rsidRPr="00C9465D">
        <w:rPr>
          <w:rStyle w:val="Strong"/>
          <w:rFonts w:eastAsia="Batang"/>
          <w:b w:val="0"/>
          <w:i/>
          <w:sz w:val="16"/>
          <w:szCs w:val="16"/>
          <w:shd w:val="clear" w:color="auto" w:fill="FFFFFF"/>
          <w:lang w:val="en-US"/>
        </w:rPr>
        <w:t xml:space="preserve"> </w:t>
      </w:r>
      <w:r w:rsidR="001902D2" w:rsidRPr="00C9465D">
        <w:rPr>
          <w:rStyle w:val="Strong"/>
          <w:rFonts w:eastAsia="Batang"/>
          <w:b w:val="0"/>
          <w:i/>
          <w:sz w:val="16"/>
          <w:szCs w:val="16"/>
          <w:shd w:val="clear" w:color="auto" w:fill="FFFFFF"/>
          <w:lang w:val="en-US"/>
        </w:rPr>
        <w:t>Peru</w:t>
      </w:r>
      <w:r w:rsidRPr="00C9465D">
        <w:rPr>
          <w:rStyle w:val="Strong"/>
          <w:rFonts w:eastAsia="Batang"/>
          <w:b w:val="0"/>
          <w:i/>
          <w:sz w:val="16"/>
          <w:szCs w:val="16"/>
          <w:shd w:val="clear" w:color="auto" w:fill="FFFFFF"/>
          <w:lang w:val="en-US"/>
        </w:rPr>
        <w:t xml:space="preserve">. </w:t>
      </w:r>
      <w:r w:rsidR="00193CBB" w:rsidRPr="00C9465D">
        <w:rPr>
          <w:rStyle w:val="Strong"/>
          <w:rFonts w:eastAsia="Batang"/>
          <w:b w:val="0"/>
          <w:i/>
          <w:sz w:val="16"/>
          <w:szCs w:val="16"/>
          <w:shd w:val="clear" w:color="auto" w:fill="FFFFFF"/>
          <w:lang w:val="en-US"/>
        </w:rPr>
        <w:t>Merits, reparations and costs</w:t>
      </w:r>
      <w:r w:rsidRPr="00C9465D">
        <w:rPr>
          <w:rStyle w:val="Strong"/>
          <w:rFonts w:eastAsia="Batang"/>
          <w:b w:val="0"/>
          <w:i/>
          <w:sz w:val="16"/>
          <w:szCs w:val="16"/>
          <w:shd w:val="clear" w:color="auto" w:fill="FFFFFF"/>
          <w:lang w:val="en-US"/>
        </w:rPr>
        <w:t>.</w:t>
      </w:r>
      <w:r w:rsidRPr="00C9465D">
        <w:rPr>
          <w:rStyle w:val="Strong"/>
          <w:rFonts w:eastAsia="Batang"/>
          <w:b w:val="0"/>
          <w:sz w:val="16"/>
          <w:szCs w:val="16"/>
          <w:shd w:val="clear" w:color="auto" w:fill="FFFFFF"/>
          <w:lang w:val="en-US"/>
        </w:rPr>
        <w:t xml:space="preserve"> </w:t>
      </w:r>
      <w:r w:rsidR="00D8466F" w:rsidRPr="00C9465D">
        <w:rPr>
          <w:rStyle w:val="Strong"/>
          <w:rFonts w:eastAsia="Batang"/>
          <w:b w:val="0"/>
          <w:sz w:val="16"/>
          <w:szCs w:val="16"/>
          <w:shd w:val="clear" w:color="auto" w:fill="FFFFFF"/>
          <w:lang w:val="en-US"/>
        </w:rPr>
        <w:t>Judgment of</w:t>
      </w:r>
      <w:r w:rsidRPr="00C9465D">
        <w:rPr>
          <w:rStyle w:val="Strong"/>
          <w:rFonts w:eastAsia="Batang"/>
          <w:b w:val="0"/>
          <w:sz w:val="16"/>
          <w:szCs w:val="16"/>
          <w:shd w:val="clear" w:color="auto" w:fill="FFFFFF"/>
          <w:lang w:val="en-US"/>
        </w:rPr>
        <w:t xml:space="preserve"> </w:t>
      </w:r>
      <w:r w:rsidR="001056D1" w:rsidRPr="00C9465D">
        <w:rPr>
          <w:rStyle w:val="Strong"/>
          <w:rFonts w:eastAsia="Batang"/>
          <w:b w:val="0"/>
          <w:sz w:val="16"/>
          <w:szCs w:val="16"/>
          <w:shd w:val="clear" w:color="auto" w:fill="FFFFFF"/>
          <w:lang w:val="en-US"/>
        </w:rPr>
        <w:t>November 29,</w:t>
      </w:r>
      <w:r w:rsidRPr="00C9465D">
        <w:rPr>
          <w:rStyle w:val="Strong"/>
          <w:rFonts w:eastAsia="Batang"/>
          <w:b w:val="0"/>
          <w:sz w:val="16"/>
          <w:szCs w:val="16"/>
          <w:shd w:val="clear" w:color="auto" w:fill="FFFFFF"/>
          <w:lang w:val="en-US"/>
        </w:rPr>
        <w:t xml:space="preserve"> 2006. </w:t>
      </w:r>
      <w:r w:rsidR="00E2299F" w:rsidRPr="00C9465D">
        <w:rPr>
          <w:rStyle w:val="Strong"/>
          <w:rFonts w:eastAsia="Batang"/>
          <w:b w:val="0"/>
          <w:sz w:val="16"/>
          <w:szCs w:val="16"/>
          <w:shd w:val="clear" w:color="auto" w:fill="FFFFFF"/>
          <w:lang w:val="en-US"/>
        </w:rPr>
        <w:t xml:space="preserve">Series </w:t>
      </w:r>
      <w:r w:rsidRPr="00C9465D">
        <w:rPr>
          <w:rStyle w:val="Strong"/>
          <w:rFonts w:eastAsia="Batang"/>
          <w:b w:val="0"/>
          <w:sz w:val="16"/>
          <w:szCs w:val="16"/>
          <w:shd w:val="clear" w:color="auto" w:fill="FFFFFF"/>
          <w:lang w:val="en-US"/>
        </w:rPr>
        <w:t>C No. 162</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222; </w:t>
      </w:r>
      <w:r w:rsidR="00D8466F" w:rsidRPr="00C9465D">
        <w:rPr>
          <w:i/>
          <w:sz w:val="16"/>
          <w:szCs w:val="16"/>
          <w:lang w:val="en-US"/>
        </w:rPr>
        <w:t>Case of</w:t>
      </w:r>
      <w:r w:rsidRPr="00C9465D">
        <w:rPr>
          <w:i/>
          <w:sz w:val="16"/>
          <w:szCs w:val="16"/>
          <w:lang w:val="en-US"/>
        </w:rPr>
        <w:t xml:space="preserve"> Heliodoro Portugal </w:t>
      </w:r>
      <w:r w:rsidR="00193CBB" w:rsidRPr="00C9465D">
        <w:rPr>
          <w:i/>
          <w:sz w:val="16"/>
          <w:szCs w:val="16"/>
          <w:lang w:val="en-US"/>
        </w:rPr>
        <w:t>v.</w:t>
      </w:r>
      <w:r w:rsidRPr="00C9465D">
        <w:rPr>
          <w:i/>
          <w:sz w:val="16"/>
          <w:szCs w:val="16"/>
          <w:lang w:val="en-US"/>
        </w:rPr>
        <w:t xml:space="preserve"> </w:t>
      </w:r>
      <w:r w:rsidR="00721A86" w:rsidRPr="00C9465D">
        <w:rPr>
          <w:i/>
          <w:sz w:val="16"/>
          <w:szCs w:val="16"/>
          <w:lang w:val="en-US"/>
        </w:rPr>
        <w:t>Panama</w:t>
      </w:r>
      <w:r w:rsidRPr="00C9465D">
        <w:rPr>
          <w:sz w:val="16"/>
          <w:szCs w:val="16"/>
          <w:lang w:val="en-US" w:bidi="en-US"/>
        </w:rPr>
        <w:t xml:space="preserve">. </w:t>
      </w:r>
      <w:r w:rsidR="00D8466F" w:rsidRPr="00C9465D">
        <w:rPr>
          <w:i/>
          <w:sz w:val="16"/>
          <w:szCs w:val="16"/>
          <w:lang w:val="en-US" w:bidi="en-US"/>
        </w:rPr>
        <w:t>Preliminary objections, merits</w:t>
      </w:r>
      <w:r w:rsidR="00193CBB" w:rsidRPr="00C9465D">
        <w:rPr>
          <w:i/>
          <w:sz w:val="16"/>
          <w:szCs w:val="16"/>
          <w:lang w:val="en-US" w:bidi="en-US"/>
        </w:rPr>
        <w:t>, reparations and costs</w:t>
      </w:r>
      <w:r w:rsidRPr="00C9465D">
        <w:rPr>
          <w:i/>
          <w:sz w:val="16"/>
          <w:szCs w:val="16"/>
          <w:lang w:val="en-US" w:bidi="en-US"/>
        </w:rPr>
        <w:t xml:space="preserve">. </w:t>
      </w:r>
      <w:r w:rsidR="00D8466F" w:rsidRPr="00C9465D">
        <w:rPr>
          <w:sz w:val="16"/>
          <w:szCs w:val="16"/>
          <w:lang w:val="en-US" w:bidi="en-US"/>
        </w:rPr>
        <w:t>Judgment of</w:t>
      </w:r>
      <w:r w:rsidRPr="00C9465D">
        <w:rPr>
          <w:sz w:val="16"/>
          <w:szCs w:val="16"/>
          <w:lang w:val="en-US" w:bidi="en-US"/>
        </w:rPr>
        <w:t xml:space="preserve"> </w:t>
      </w:r>
      <w:r w:rsidR="001056D1" w:rsidRPr="00C9465D">
        <w:rPr>
          <w:sz w:val="16"/>
          <w:szCs w:val="16"/>
          <w:lang w:val="en-US" w:bidi="en-US"/>
        </w:rPr>
        <w:t>August 12,</w:t>
      </w:r>
      <w:r w:rsidRPr="00C9465D">
        <w:rPr>
          <w:sz w:val="16"/>
          <w:szCs w:val="16"/>
          <w:lang w:val="en-US" w:bidi="en-US"/>
        </w:rPr>
        <w:t xml:space="preserve"> 2008. </w:t>
      </w:r>
      <w:r w:rsidR="00E2299F" w:rsidRPr="00C9465D">
        <w:rPr>
          <w:sz w:val="16"/>
          <w:szCs w:val="16"/>
          <w:lang w:val="en-US" w:bidi="en-US"/>
        </w:rPr>
        <w:t xml:space="preserve">Series </w:t>
      </w:r>
      <w:r w:rsidRPr="00C9465D">
        <w:rPr>
          <w:sz w:val="16"/>
          <w:szCs w:val="16"/>
          <w:lang w:val="en-US" w:bidi="en-US"/>
        </w:rPr>
        <w:t xml:space="preserve">C No. 186, </w:t>
      </w:r>
      <w:r w:rsidR="00D8466F" w:rsidRPr="00C9465D">
        <w:rPr>
          <w:sz w:val="16"/>
          <w:szCs w:val="16"/>
          <w:lang w:val="en-US"/>
        </w:rPr>
        <w:t>paras.</w:t>
      </w:r>
      <w:r w:rsidRPr="00C9465D">
        <w:rPr>
          <w:sz w:val="16"/>
          <w:szCs w:val="16"/>
          <w:lang w:val="en-US"/>
        </w:rPr>
        <w:t xml:space="preserve"> 243</w:t>
      </w:r>
      <w:r w:rsidR="00193CBB" w:rsidRPr="00C9465D">
        <w:rPr>
          <w:sz w:val="16"/>
          <w:szCs w:val="16"/>
          <w:lang w:val="en-US"/>
        </w:rPr>
        <w:t xml:space="preserve"> and </w:t>
      </w:r>
      <w:r w:rsidRPr="00C9465D">
        <w:rPr>
          <w:sz w:val="16"/>
          <w:szCs w:val="16"/>
          <w:lang w:val="en-US"/>
        </w:rPr>
        <w:t xml:space="preserve">244; </w:t>
      </w:r>
      <w:r w:rsidR="00D8466F" w:rsidRPr="00C9465D">
        <w:rPr>
          <w:i/>
          <w:sz w:val="16"/>
          <w:szCs w:val="16"/>
          <w:lang w:val="en-US"/>
        </w:rPr>
        <w:t>Case of</w:t>
      </w:r>
      <w:r w:rsidRPr="00C9465D">
        <w:rPr>
          <w:i/>
          <w:sz w:val="16"/>
          <w:szCs w:val="16"/>
          <w:lang w:val="en-US"/>
        </w:rPr>
        <w:t xml:space="preserve"> </w:t>
      </w:r>
      <w:r w:rsidR="001056D1" w:rsidRPr="00C9465D">
        <w:rPr>
          <w:i/>
          <w:sz w:val="16"/>
          <w:szCs w:val="16"/>
          <w:lang w:val="en-US"/>
        </w:rPr>
        <w:t xml:space="preserve">the Members of the village of </w:t>
      </w:r>
      <w:r w:rsidRPr="00C9465D">
        <w:rPr>
          <w:i/>
          <w:sz w:val="16"/>
          <w:szCs w:val="16"/>
          <w:lang w:val="en-US"/>
        </w:rPr>
        <w:t>Chichupac</w:t>
      </w:r>
      <w:r w:rsidR="00193CBB" w:rsidRPr="00C9465D">
        <w:rPr>
          <w:i/>
          <w:sz w:val="16"/>
          <w:szCs w:val="16"/>
          <w:lang w:val="en-US"/>
        </w:rPr>
        <w:t xml:space="preserve"> and </w:t>
      </w:r>
      <w:r w:rsidR="001056D1" w:rsidRPr="00C9465D">
        <w:rPr>
          <w:i/>
          <w:sz w:val="16"/>
          <w:szCs w:val="16"/>
          <w:lang w:val="en-US"/>
        </w:rPr>
        <w:t>neighboring communities of the municipality of</w:t>
      </w:r>
      <w:r w:rsidRPr="00C9465D">
        <w:rPr>
          <w:i/>
          <w:sz w:val="16"/>
          <w:szCs w:val="16"/>
          <w:lang w:val="en-US"/>
        </w:rPr>
        <w:t xml:space="preserve"> Rabinal </w:t>
      </w:r>
      <w:r w:rsidR="00193CBB" w:rsidRPr="00C9465D">
        <w:rPr>
          <w:i/>
          <w:sz w:val="16"/>
          <w:szCs w:val="16"/>
          <w:lang w:val="en-US"/>
        </w:rPr>
        <w:t>v.</w:t>
      </w:r>
      <w:r w:rsidRPr="00C9465D">
        <w:rPr>
          <w:i/>
          <w:sz w:val="16"/>
          <w:szCs w:val="16"/>
          <w:lang w:val="en-US"/>
        </w:rPr>
        <w:t xml:space="preserve"> Guatemala,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w:t>
      </w:r>
      <w:r w:rsidRPr="00C9465D">
        <w:rPr>
          <w:sz w:val="16"/>
          <w:szCs w:val="16"/>
        </w:rPr>
        <w:t>260</w:t>
      </w:r>
      <w:r w:rsidRPr="00C9465D">
        <w:rPr>
          <w:sz w:val="16"/>
          <w:szCs w:val="16"/>
          <w:lang w:bidi="en-US"/>
        </w:rPr>
        <w:t>,</w:t>
      </w:r>
      <w:r w:rsidR="00193CBB" w:rsidRPr="00C9465D">
        <w:rPr>
          <w:sz w:val="16"/>
          <w:szCs w:val="16"/>
          <w:lang w:bidi="en-US"/>
        </w:rPr>
        <w:t xml:space="preserve"> and </w:t>
      </w:r>
      <w:r w:rsidR="00D8466F" w:rsidRPr="00C9465D">
        <w:rPr>
          <w:i/>
          <w:sz w:val="16"/>
          <w:szCs w:val="16"/>
        </w:rPr>
        <w:t>Case of</w:t>
      </w:r>
      <w:r w:rsidRPr="00C9465D">
        <w:rPr>
          <w:i/>
          <w:sz w:val="16"/>
          <w:szCs w:val="16"/>
        </w:rPr>
        <w:t xml:space="preserve"> Vásquez Durand</w:t>
      </w:r>
      <w:r w:rsidR="00193CBB" w:rsidRPr="00C9465D">
        <w:rPr>
          <w:i/>
          <w:sz w:val="16"/>
          <w:szCs w:val="16"/>
        </w:rPr>
        <w:t xml:space="preserve"> </w:t>
      </w:r>
      <w:r w:rsidR="00D8466F" w:rsidRPr="00C9465D">
        <w:rPr>
          <w:i/>
          <w:sz w:val="16"/>
          <w:szCs w:val="16"/>
        </w:rPr>
        <w:t>et al. v.</w:t>
      </w:r>
      <w:r w:rsidRPr="00C9465D">
        <w:rPr>
          <w:i/>
          <w:sz w:val="16"/>
          <w:szCs w:val="16"/>
        </w:rPr>
        <w:t xml:space="preserve"> Ecuador, supra</w:t>
      </w:r>
      <w:r w:rsidRPr="00C9465D">
        <w:rPr>
          <w:sz w:val="16"/>
          <w:szCs w:val="16"/>
        </w:rPr>
        <w:t xml:space="preserve">, </w:t>
      </w:r>
      <w:r w:rsidR="00D8466F" w:rsidRPr="00C9465D">
        <w:rPr>
          <w:sz w:val="16"/>
          <w:szCs w:val="16"/>
        </w:rPr>
        <w:t>para.</w:t>
      </w:r>
      <w:r w:rsidRPr="00C9465D">
        <w:rPr>
          <w:sz w:val="16"/>
          <w:szCs w:val="16"/>
        </w:rPr>
        <w:t xml:space="preserve"> </w:t>
      </w:r>
      <w:r w:rsidRPr="00C9465D">
        <w:rPr>
          <w:sz w:val="16"/>
          <w:szCs w:val="16"/>
          <w:lang w:val="en-US"/>
        </w:rPr>
        <w:t>165.</w:t>
      </w:r>
    </w:p>
  </w:footnote>
  <w:footnote w:id="354">
    <w:p w14:paraId="6749B0BB" w14:textId="3D123647" w:rsidR="00300482" w:rsidRPr="00C9465D" w:rsidRDefault="00300482" w:rsidP="00BD26CF">
      <w:pPr>
        <w:pStyle w:val="FootnoteText"/>
        <w:tabs>
          <w:tab w:val="left" w:pos="567"/>
        </w:tabs>
        <w:spacing w:after="120"/>
        <w:rPr>
          <w:sz w:val="16"/>
          <w:szCs w:val="16"/>
          <w:lang w:val="en-US"/>
        </w:rPr>
      </w:pPr>
      <w:r w:rsidRPr="00C9465D">
        <w:rPr>
          <w:rStyle w:val="FootnoteReference"/>
          <w:rFonts w:eastAsia="Calibri"/>
          <w:sz w:val="16"/>
          <w:szCs w:val="16"/>
          <w:lang w:val="en-US"/>
        </w:rPr>
        <w:footnoteRef/>
      </w:r>
      <w:r w:rsidRPr="00C9465D">
        <w:rPr>
          <w:sz w:val="16"/>
          <w:szCs w:val="16"/>
          <w:lang w:val="en-US"/>
        </w:rPr>
        <w:t xml:space="preserve"> </w:t>
      </w:r>
      <w:r w:rsidRPr="00C9465D">
        <w:rPr>
          <w:sz w:val="16"/>
          <w:szCs w:val="16"/>
          <w:lang w:val="en-US"/>
        </w:rPr>
        <w:tab/>
      </w:r>
      <w:r w:rsidR="001056D1" w:rsidRPr="00C9465D">
        <w:rPr>
          <w:sz w:val="16"/>
          <w:szCs w:val="16"/>
          <w:lang w:val="en-US"/>
        </w:rPr>
        <w:t xml:space="preserve">In his study on the right to know the truth, the United Nations High Commissioner for Human Rights indicated that several declarations and </w:t>
      </w:r>
      <w:r w:rsidR="001E19EC" w:rsidRPr="00C9465D">
        <w:rPr>
          <w:sz w:val="16"/>
          <w:szCs w:val="16"/>
          <w:lang w:val="en-US"/>
        </w:rPr>
        <w:t>international instruments had linked the right to know the truth to the right to request and obtain information, the right to justice, the obligation to combat impunity for human rights violations, the right to an effective remedy and the right to respect for private and family life. Furthermore, with regard to the families of victims, the right to the truth had been connected to the right to the integrity (mental health) of the families of victims, the right to obtain reparation in cases of gross human rights violations, the right to be free from torture and ill-treatment and, in certain circumstances, the right of children to receive special protection</w:t>
      </w:r>
      <w:r w:rsidRPr="00C9465D">
        <w:rPr>
          <w:sz w:val="16"/>
          <w:szCs w:val="16"/>
          <w:lang w:val="en-US"/>
        </w:rPr>
        <w:t xml:space="preserve">. </w:t>
      </w:r>
      <w:r w:rsidR="00E2299F" w:rsidRPr="00C9465D">
        <w:rPr>
          <w:i/>
          <w:sz w:val="16"/>
          <w:szCs w:val="16"/>
          <w:lang w:val="en-US"/>
        </w:rPr>
        <w:t>Cf.</w:t>
      </w:r>
      <w:r w:rsidRPr="00C9465D">
        <w:rPr>
          <w:i/>
          <w:sz w:val="16"/>
          <w:szCs w:val="16"/>
          <w:lang w:val="en-US"/>
        </w:rPr>
        <w:t xml:space="preserve"> </w:t>
      </w:r>
      <w:r w:rsidR="001056D1" w:rsidRPr="00C9465D">
        <w:rPr>
          <w:rFonts w:eastAsia="Calibri"/>
          <w:sz w:val="16"/>
          <w:szCs w:val="16"/>
          <w:lang w:val="en-US"/>
        </w:rPr>
        <w:t xml:space="preserve">Report of the Office of the </w:t>
      </w:r>
      <w:r w:rsidR="001056D1" w:rsidRPr="00C9465D">
        <w:rPr>
          <w:sz w:val="16"/>
          <w:szCs w:val="16"/>
          <w:lang w:val="en-US"/>
        </w:rPr>
        <w:t>United Nations High Commissioner for Human Rights: Study on the right to the truth</w:t>
      </w:r>
      <w:r w:rsidRPr="00C9465D">
        <w:rPr>
          <w:rFonts w:eastAsia="Calibri"/>
          <w:sz w:val="16"/>
          <w:szCs w:val="16"/>
          <w:lang w:val="en-US"/>
        </w:rPr>
        <w:t xml:space="preserve">, </w:t>
      </w:r>
      <w:r w:rsidR="00532DEC" w:rsidRPr="00C9465D">
        <w:rPr>
          <w:rFonts w:eastAsia="Calibri"/>
          <w:sz w:val="16"/>
          <w:szCs w:val="16"/>
          <w:lang w:val="en-US"/>
        </w:rPr>
        <w:t>UN Doc.</w:t>
      </w:r>
      <w:r w:rsidRPr="00C9465D">
        <w:rPr>
          <w:rFonts w:eastAsia="Calibri"/>
          <w:sz w:val="16"/>
          <w:szCs w:val="16"/>
          <w:lang w:val="en-US"/>
        </w:rPr>
        <w:t xml:space="preserve"> E/CN.4/2006/91 </w:t>
      </w:r>
      <w:r w:rsidR="001056D1" w:rsidRPr="00C9465D">
        <w:rPr>
          <w:rFonts w:eastAsia="Calibri"/>
          <w:sz w:val="16"/>
          <w:szCs w:val="16"/>
          <w:lang w:val="en-US"/>
        </w:rPr>
        <w:t>of February 8,</w:t>
      </w:r>
      <w:r w:rsidRPr="00C9465D">
        <w:rPr>
          <w:rFonts w:eastAsia="Calibri"/>
          <w:sz w:val="16"/>
          <w:szCs w:val="16"/>
          <w:lang w:val="en-US"/>
        </w:rPr>
        <w:t xml:space="preserve"> 2006.</w:t>
      </w:r>
    </w:p>
  </w:footnote>
  <w:footnote w:id="355">
    <w:p w14:paraId="538FACA7" w14:textId="36D0D153"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193CBB" w:rsidRPr="00C9465D">
        <w:rPr>
          <w:sz w:val="16"/>
          <w:szCs w:val="16"/>
          <w:lang w:val="en-US"/>
        </w:rPr>
        <w:t>Article</w:t>
      </w:r>
      <w:r w:rsidRPr="00C9465D">
        <w:rPr>
          <w:sz w:val="16"/>
          <w:szCs w:val="16"/>
          <w:lang w:val="en-US"/>
        </w:rPr>
        <w:t xml:space="preserve"> 5</w:t>
      </w:r>
      <w:r w:rsidR="00193CBB" w:rsidRPr="00C9465D">
        <w:rPr>
          <w:sz w:val="16"/>
          <w:szCs w:val="16"/>
          <w:lang w:val="en-US"/>
        </w:rPr>
        <w:t xml:space="preserve"> of the Convention</w:t>
      </w:r>
      <w:r w:rsidRPr="00C9465D">
        <w:rPr>
          <w:sz w:val="16"/>
          <w:szCs w:val="16"/>
          <w:lang w:val="en-US"/>
        </w:rPr>
        <w:t>.</w:t>
      </w:r>
    </w:p>
  </w:footnote>
  <w:footnote w:id="356">
    <w:p w14:paraId="7EC64787" w14:textId="26914FF0" w:rsidR="00300482" w:rsidRPr="00C9465D" w:rsidRDefault="00300482" w:rsidP="00BD26CF">
      <w:pPr>
        <w:tabs>
          <w:tab w:val="left" w:pos="567"/>
        </w:tabs>
        <w:spacing w:after="120"/>
        <w:jc w:val="both"/>
        <w:rPr>
          <w:rFonts w:ascii="Verdana" w:hAnsi="Verdana" w:cs="Times New Roman"/>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r>
      <w:r w:rsidR="00E2299F" w:rsidRPr="00C9465D">
        <w:rPr>
          <w:rFonts w:ascii="Verdana" w:hAnsi="Verdana"/>
          <w:i/>
          <w:sz w:val="16"/>
          <w:szCs w:val="16"/>
          <w:lang w:val="en-US"/>
        </w:rPr>
        <w:t>Cf.</w:t>
      </w:r>
      <w:r w:rsidRPr="00C9465D">
        <w:rPr>
          <w:rFonts w:ascii="Verdana" w:hAnsi="Verdana"/>
          <w:sz w:val="16"/>
          <w:szCs w:val="16"/>
          <w:lang w:val="en-US"/>
        </w:rPr>
        <w:t xml:space="preserve"> </w:t>
      </w:r>
      <w:r w:rsidR="00D8466F" w:rsidRPr="00C9465D">
        <w:rPr>
          <w:rFonts w:ascii="Verdana" w:hAnsi="Verdana"/>
          <w:i/>
          <w:sz w:val="16"/>
          <w:szCs w:val="16"/>
          <w:lang w:val="en-US"/>
        </w:rPr>
        <w:t>Case of</w:t>
      </w:r>
      <w:r w:rsidRPr="00C9465D">
        <w:rPr>
          <w:rFonts w:ascii="Verdana" w:hAnsi="Verdana"/>
          <w:i/>
          <w:sz w:val="16"/>
          <w:szCs w:val="16"/>
          <w:lang w:val="en-US"/>
        </w:rPr>
        <w:t xml:space="preserve"> Castillo Páez </w:t>
      </w:r>
      <w:r w:rsidR="00193CBB" w:rsidRPr="00C9465D">
        <w:rPr>
          <w:rFonts w:ascii="Verdana" w:hAnsi="Verdana"/>
          <w:i/>
          <w:sz w:val="16"/>
          <w:szCs w:val="16"/>
          <w:lang w:val="en-US"/>
        </w:rPr>
        <w:t>v.</w:t>
      </w:r>
      <w:r w:rsidRPr="00C9465D">
        <w:rPr>
          <w:rFonts w:ascii="Verdana" w:hAnsi="Verdana"/>
          <w:i/>
          <w:sz w:val="16"/>
          <w:szCs w:val="16"/>
          <w:lang w:val="en-US"/>
        </w:rPr>
        <w:t xml:space="preserve"> </w:t>
      </w:r>
      <w:r w:rsidR="001902D2" w:rsidRPr="00C9465D">
        <w:rPr>
          <w:rFonts w:ascii="Verdana" w:hAnsi="Verdana"/>
          <w:i/>
          <w:sz w:val="16"/>
          <w:szCs w:val="16"/>
          <w:lang w:val="en-US"/>
        </w:rPr>
        <w:t>Peru</w:t>
      </w:r>
      <w:r w:rsidRPr="00C9465D">
        <w:rPr>
          <w:rFonts w:ascii="Verdana" w:hAnsi="Verdana"/>
          <w:i/>
          <w:sz w:val="16"/>
          <w:szCs w:val="16"/>
          <w:lang w:val="en-US"/>
        </w:rPr>
        <w:t xml:space="preserve">. </w:t>
      </w:r>
      <w:r w:rsidR="00532DEC" w:rsidRPr="00C9465D">
        <w:rPr>
          <w:rFonts w:ascii="Verdana" w:hAnsi="Verdana"/>
          <w:i/>
          <w:sz w:val="16"/>
          <w:szCs w:val="16"/>
          <w:lang w:val="en-US"/>
        </w:rPr>
        <w:t>Merits</w:t>
      </w:r>
      <w:r w:rsidRPr="00C9465D">
        <w:rPr>
          <w:rFonts w:ascii="Verdana" w:hAnsi="Verdana"/>
          <w:i/>
          <w:sz w:val="16"/>
          <w:szCs w:val="16"/>
          <w:lang w:val="en-US"/>
        </w:rPr>
        <w:t xml:space="preserve">. </w:t>
      </w:r>
      <w:r w:rsidR="00D8466F" w:rsidRPr="00C9465D">
        <w:rPr>
          <w:rFonts w:ascii="Verdana" w:hAnsi="Verdana"/>
          <w:iCs/>
          <w:sz w:val="16"/>
          <w:szCs w:val="16"/>
          <w:lang w:val="en-US"/>
        </w:rPr>
        <w:t>Judgment of</w:t>
      </w:r>
      <w:r w:rsidRPr="00C9465D">
        <w:rPr>
          <w:rFonts w:ascii="Verdana" w:hAnsi="Verdana"/>
          <w:iCs/>
          <w:sz w:val="16"/>
          <w:szCs w:val="16"/>
          <w:lang w:val="en-US"/>
        </w:rPr>
        <w:t xml:space="preserve"> </w:t>
      </w:r>
      <w:r w:rsidR="006F7C2F" w:rsidRPr="00C9465D">
        <w:rPr>
          <w:rFonts w:ascii="Verdana" w:hAnsi="Verdana"/>
          <w:iCs/>
          <w:sz w:val="16"/>
          <w:szCs w:val="16"/>
          <w:lang w:val="en-US"/>
        </w:rPr>
        <w:t>November 3,</w:t>
      </w:r>
      <w:r w:rsidRPr="00C9465D">
        <w:rPr>
          <w:rFonts w:ascii="Verdana" w:hAnsi="Verdana"/>
          <w:iCs/>
          <w:sz w:val="16"/>
          <w:szCs w:val="16"/>
          <w:lang w:val="en-US"/>
        </w:rPr>
        <w:t xml:space="preserve"> 1997. </w:t>
      </w:r>
      <w:r w:rsidR="00E2299F" w:rsidRPr="00C9465D">
        <w:rPr>
          <w:rFonts w:ascii="Verdana" w:hAnsi="Verdana"/>
          <w:iCs/>
          <w:sz w:val="16"/>
          <w:szCs w:val="16"/>
          <w:lang w:val="en-US"/>
        </w:rPr>
        <w:t>Series</w:t>
      </w:r>
      <w:r w:rsidR="00E2299F" w:rsidRPr="00C9465D">
        <w:rPr>
          <w:rFonts w:ascii="Verdana" w:hAnsi="Verdana"/>
          <w:sz w:val="16"/>
          <w:szCs w:val="16"/>
          <w:lang w:val="en-US"/>
        </w:rPr>
        <w:t xml:space="preserve"> </w:t>
      </w:r>
      <w:r w:rsidRPr="00C9465D">
        <w:rPr>
          <w:rFonts w:ascii="Verdana" w:hAnsi="Verdana"/>
          <w:sz w:val="16"/>
          <w:szCs w:val="16"/>
          <w:lang w:val="en-US"/>
        </w:rPr>
        <w:t xml:space="preserve">C No. 34, </w:t>
      </w:r>
      <w:r w:rsidR="006F7C2F" w:rsidRPr="00C9465D">
        <w:rPr>
          <w:rFonts w:ascii="Verdana" w:hAnsi="Verdana"/>
          <w:sz w:val="16"/>
          <w:szCs w:val="16"/>
          <w:lang w:val="en-US"/>
        </w:rPr>
        <w:t xml:space="preserve">fourth operative paragraph, </w:t>
      </w:r>
      <w:r w:rsidR="00193CBB" w:rsidRPr="00C9465D">
        <w:rPr>
          <w:rFonts w:ascii="Verdana" w:hAnsi="Verdana"/>
          <w:sz w:val="16"/>
          <w:szCs w:val="16"/>
          <w:lang w:val="en-US"/>
        </w:rPr>
        <w:t xml:space="preserve">and </w:t>
      </w:r>
      <w:r w:rsidR="00D8466F" w:rsidRPr="00C9465D">
        <w:rPr>
          <w:rFonts w:ascii="Verdana" w:hAnsi="Verdana"/>
          <w:bCs/>
          <w:i/>
          <w:sz w:val="16"/>
          <w:szCs w:val="16"/>
          <w:lang w:val="en-US"/>
        </w:rPr>
        <w:t>Case of</w:t>
      </w:r>
      <w:r w:rsidRPr="00C9465D">
        <w:rPr>
          <w:rFonts w:ascii="Verdana" w:hAnsi="Verdana"/>
          <w:bCs/>
          <w:i/>
          <w:sz w:val="16"/>
          <w:szCs w:val="16"/>
          <w:lang w:val="en-US"/>
        </w:rPr>
        <w:t xml:space="preserve"> Mota Abarullo</w:t>
      </w:r>
      <w:r w:rsidR="00193CBB" w:rsidRPr="00C9465D">
        <w:rPr>
          <w:rFonts w:ascii="Verdana" w:hAnsi="Verdana"/>
          <w:bCs/>
          <w:i/>
          <w:sz w:val="16"/>
          <w:szCs w:val="16"/>
          <w:lang w:val="en-US"/>
        </w:rPr>
        <w:t xml:space="preserve"> </w:t>
      </w:r>
      <w:r w:rsidR="00D8466F" w:rsidRPr="00C9465D">
        <w:rPr>
          <w:rFonts w:ascii="Verdana" w:hAnsi="Verdana"/>
          <w:bCs/>
          <w:i/>
          <w:sz w:val="16"/>
          <w:szCs w:val="16"/>
          <w:lang w:val="en-US"/>
        </w:rPr>
        <w:t>et al. v.</w:t>
      </w:r>
      <w:r w:rsidRPr="00C9465D">
        <w:rPr>
          <w:rFonts w:ascii="Verdana" w:hAnsi="Verdana"/>
          <w:bCs/>
          <w:i/>
          <w:sz w:val="16"/>
          <w:szCs w:val="16"/>
          <w:lang w:val="en-US"/>
        </w:rPr>
        <w:t xml:space="preserve"> Venezuela. </w:t>
      </w:r>
      <w:r w:rsidR="00193CBB" w:rsidRPr="00C9465D">
        <w:rPr>
          <w:rFonts w:ascii="Verdana" w:hAnsi="Verdana"/>
          <w:bCs/>
          <w:i/>
          <w:sz w:val="16"/>
          <w:szCs w:val="16"/>
          <w:lang w:val="en-US"/>
        </w:rPr>
        <w:t>Merits, reparations and costs</w:t>
      </w:r>
      <w:r w:rsidRPr="00C9465D">
        <w:rPr>
          <w:rFonts w:ascii="Verdana" w:hAnsi="Verdana"/>
          <w:bCs/>
          <w:sz w:val="16"/>
          <w:szCs w:val="16"/>
          <w:lang w:val="en-US"/>
        </w:rPr>
        <w:t xml:space="preserve">. </w:t>
      </w:r>
      <w:r w:rsidR="00D8466F" w:rsidRPr="00C9465D">
        <w:rPr>
          <w:rFonts w:ascii="Verdana" w:hAnsi="Verdana"/>
          <w:bCs/>
          <w:sz w:val="16"/>
          <w:szCs w:val="16"/>
          <w:lang w:val="en-US"/>
        </w:rPr>
        <w:t>Judgment of</w:t>
      </w:r>
      <w:r w:rsidRPr="00C9465D">
        <w:rPr>
          <w:rFonts w:ascii="Verdana" w:hAnsi="Verdana"/>
          <w:bCs/>
          <w:sz w:val="16"/>
          <w:szCs w:val="16"/>
          <w:lang w:val="en-US"/>
        </w:rPr>
        <w:t xml:space="preserve"> </w:t>
      </w:r>
      <w:r w:rsidR="006F7C2F" w:rsidRPr="00C9465D">
        <w:rPr>
          <w:rFonts w:ascii="Verdana" w:hAnsi="Verdana"/>
          <w:bCs/>
          <w:sz w:val="16"/>
          <w:szCs w:val="16"/>
          <w:lang w:val="en-US"/>
        </w:rPr>
        <w:t>November 18,</w:t>
      </w:r>
      <w:r w:rsidRPr="00C9465D">
        <w:rPr>
          <w:rFonts w:ascii="Verdana" w:hAnsi="Verdana"/>
          <w:bCs/>
          <w:sz w:val="16"/>
          <w:szCs w:val="16"/>
          <w:lang w:val="en-US"/>
        </w:rPr>
        <w:t xml:space="preserve"> 2020. </w:t>
      </w:r>
      <w:r w:rsidR="00E2299F" w:rsidRPr="00C9465D">
        <w:rPr>
          <w:rFonts w:ascii="Verdana" w:hAnsi="Verdana"/>
          <w:bCs/>
          <w:sz w:val="16"/>
          <w:szCs w:val="16"/>
          <w:lang w:val="en-US"/>
        </w:rPr>
        <w:t xml:space="preserve">Series </w:t>
      </w:r>
      <w:r w:rsidRPr="00C9465D">
        <w:rPr>
          <w:rFonts w:ascii="Verdana" w:hAnsi="Verdana"/>
          <w:bCs/>
          <w:sz w:val="16"/>
          <w:szCs w:val="16"/>
          <w:lang w:val="en-US"/>
        </w:rPr>
        <w:t xml:space="preserve">C No. 417, </w:t>
      </w:r>
      <w:r w:rsidR="00D8466F" w:rsidRPr="00C9465D">
        <w:rPr>
          <w:rFonts w:ascii="Verdana" w:hAnsi="Verdana"/>
          <w:bCs/>
          <w:sz w:val="16"/>
          <w:szCs w:val="16"/>
          <w:lang w:val="en-US"/>
        </w:rPr>
        <w:t>para.</w:t>
      </w:r>
      <w:r w:rsidRPr="00C9465D">
        <w:rPr>
          <w:rFonts w:ascii="Verdana" w:hAnsi="Verdana"/>
          <w:bCs/>
          <w:sz w:val="16"/>
          <w:szCs w:val="16"/>
          <w:lang w:val="en-US"/>
        </w:rPr>
        <w:t xml:space="preserve"> 130.</w:t>
      </w:r>
    </w:p>
  </w:footnote>
  <w:footnote w:id="357">
    <w:p w14:paraId="17B2F311" w14:textId="3AA829D8" w:rsidR="00300482" w:rsidRPr="00C9465D" w:rsidRDefault="00300482" w:rsidP="00BD26CF">
      <w:pPr>
        <w:pStyle w:val="Footer"/>
        <w:tabs>
          <w:tab w:val="left" w:pos="567"/>
          <w:tab w:val="left" w:pos="720"/>
        </w:tabs>
        <w:spacing w:after="120"/>
        <w:jc w:val="both"/>
        <w:rPr>
          <w:rFonts w:ascii="Verdana" w:hAnsi="Verdana"/>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r>
      <w:r w:rsidR="00E2299F" w:rsidRPr="00C9465D">
        <w:rPr>
          <w:rFonts w:ascii="Verdana" w:hAnsi="Verdana"/>
          <w:i/>
          <w:sz w:val="16"/>
          <w:szCs w:val="16"/>
          <w:lang w:val="en-US"/>
        </w:rPr>
        <w:t>Cf.</w:t>
      </w:r>
      <w:r w:rsidRPr="00C9465D">
        <w:rPr>
          <w:rFonts w:ascii="Verdana" w:hAnsi="Verdana"/>
          <w:i/>
          <w:sz w:val="16"/>
          <w:szCs w:val="16"/>
          <w:lang w:val="en-US"/>
        </w:rPr>
        <w:t xml:space="preserve"> </w:t>
      </w:r>
      <w:r w:rsidR="00D8466F" w:rsidRPr="00C9465D">
        <w:rPr>
          <w:rFonts w:ascii="Verdana" w:hAnsi="Verdana"/>
          <w:i/>
          <w:sz w:val="16"/>
          <w:szCs w:val="16"/>
          <w:lang w:val="en-US"/>
        </w:rPr>
        <w:t>Case of</w:t>
      </w:r>
      <w:r w:rsidRPr="00C9465D">
        <w:rPr>
          <w:rFonts w:ascii="Verdana" w:hAnsi="Verdana"/>
          <w:i/>
          <w:sz w:val="16"/>
          <w:szCs w:val="16"/>
          <w:lang w:val="en-US"/>
        </w:rPr>
        <w:t xml:space="preserve"> Blake </w:t>
      </w:r>
      <w:r w:rsidR="00193CBB" w:rsidRPr="00C9465D">
        <w:rPr>
          <w:rFonts w:ascii="Verdana" w:hAnsi="Verdana"/>
          <w:i/>
          <w:sz w:val="16"/>
          <w:szCs w:val="16"/>
          <w:lang w:val="en-US"/>
        </w:rPr>
        <w:t>v.</w:t>
      </w:r>
      <w:r w:rsidRPr="00C9465D">
        <w:rPr>
          <w:rFonts w:ascii="Verdana" w:hAnsi="Verdana"/>
          <w:i/>
          <w:sz w:val="16"/>
          <w:szCs w:val="16"/>
          <w:lang w:val="en-US"/>
        </w:rPr>
        <w:t xml:space="preserve"> Guatemala. </w:t>
      </w:r>
      <w:r w:rsidR="00532DEC" w:rsidRPr="00C9465D">
        <w:rPr>
          <w:rFonts w:ascii="Verdana" w:hAnsi="Verdana"/>
          <w:i/>
          <w:sz w:val="16"/>
          <w:szCs w:val="16"/>
          <w:lang w:val="en-US"/>
        </w:rPr>
        <w:t>Merits</w:t>
      </w:r>
      <w:r w:rsidRPr="00C9465D">
        <w:rPr>
          <w:rFonts w:ascii="Verdana" w:hAnsi="Verdana"/>
          <w:i/>
          <w:sz w:val="16"/>
          <w:szCs w:val="16"/>
          <w:lang w:val="en-US"/>
        </w:rPr>
        <w:t xml:space="preserve">. </w:t>
      </w:r>
      <w:r w:rsidR="00D8466F" w:rsidRPr="00C9465D">
        <w:rPr>
          <w:rFonts w:ascii="Verdana" w:hAnsi="Verdana"/>
          <w:sz w:val="16"/>
          <w:szCs w:val="16"/>
          <w:lang w:val="en-US"/>
        </w:rPr>
        <w:t>Judgment of</w:t>
      </w:r>
      <w:r w:rsidRPr="00C9465D">
        <w:rPr>
          <w:rFonts w:ascii="Verdana" w:hAnsi="Verdana"/>
          <w:sz w:val="16"/>
          <w:szCs w:val="16"/>
          <w:lang w:val="en-US"/>
        </w:rPr>
        <w:t xml:space="preserve"> </w:t>
      </w:r>
      <w:r w:rsidR="006F7C2F" w:rsidRPr="00C9465D">
        <w:rPr>
          <w:rFonts w:ascii="Verdana" w:hAnsi="Verdana"/>
          <w:sz w:val="16"/>
          <w:szCs w:val="16"/>
          <w:lang w:val="en-US"/>
        </w:rPr>
        <w:t>January 24,</w:t>
      </w:r>
      <w:r w:rsidRPr="00C9465D">
        <w:rPr>
          <w:rFonts w:ascii="Verdana" w:hAnsi="Verdana"/>
          <w:sz w:val="16"/>
          <w:szCs w:val="16"/>
          <w:lang w:val="en-US"/>
        </w:rPr>
        <w:t xml:space="preserve"> 1998.</w:t>
      </w:r>
      <w:r w:rsidRPr="00C9465D">
        <w:rPr>
          <w:rFonts w:ascii="Verdana" w:hAnsi="Verdana"/>
          <w:i/>
          <w:sz w:val="16"/>
          <w:szCs w:val="16"/>
          <w:lang w:val="en-US"/>
        </w:rPr>
        <w:t xml:space="preserve"> </w:t>
      </w:r>
      <w:r w:rsidR="00E2299F" w:rsidRPr="00C9465D">
        <w:rPr>
          <w:rFonts w:ascii="Verdana" w:hAnsi="Verdana"/>
          <w:sz w:val="16"/>
          <w:szCs w:val="16"/>
          <w:lang w:val="en-US"/>
        </w:rPr>
        <w:t xml:space="preserve">Series </w:t>
      </w:r>
      <w:r w:rsidRPr="00C9465D">
        <w:rPr>
          <w:rFonts w:ascii="Verdana" w:hAnsi="Verdana"/>
          <w:sz w:val="16"/>
          <w:szCs w:val="16"/>
          <w:lang w:val="en-US"/>
        </w:rPr>
        <w:t xml:space="preserve">C No. 36, </w:t>
      </w:r>
      <w:r w:rsidR="00D8466F" w:rsidRPr="00C9465D">
        <w:rPr>
          <w:rFonts w:ascii="Verdana" w:hAnsi="Verdana"/>
          <w:sz w:val="16"/>
          <w:szCs w:val="16"/>
          <w:lang w:val="en-US"/>
        </w:rPr>
        <w:t>para.</w:t>
      </w:r>
      <w:r w:rsidRPr="00C9465D">
        <w:rPr>
          <w:rFonts w:ascii="Verdana" w:hAnsi="Verdana"/>
          <w:sz w:val="16"/>
          <w:szCs w:val="16"/>
          <w:lang w:val="en-US"/>
        </w:rPr>
        <w:t xml:space="preserve"> 114,</w:t>
      </w:r>
      <w:r w:rsidR="00193CBB" w:rsidRPr="00C9465D">
        <w:rPr>
          <w:rFonts w:ascii="Verdana" w:hAnsi="Verdana"/>
          <w:sz w:val="16"/>
          <w:szCs w:val="16"/>
          <w:lang w:val="en-US"/>
        </w:rPr>
        <w:t xml:space="preserve"> and </w:t>
      </w:r>
      <w:r w:rsidR="00D8466F" w:rsidRPr="00C9465D">
        <w:rPr>
          <w:rFonts w:ascii="Verdana" w:hAnsi="Verdana"/>
          <w:bCs/>
          <w:i/>
          <w:sz w:val="16"/>
          <w:szCs w:val="16"/>
          <w:lang w:val="en-US"/>
        </w:rPr>
        <w:t>Case of</w:t>
      </w:r>
      <w:r w:rsidRPr="00C9465D">
        <w:rPr>
          <w:rFonts w:ascii="Verdana" w:hAnsi="Verdana"/>
          <w:bCs/>
          <w:i/>
          <w:sz w:val="16"/>
          <w:szCs w:val="16"/>
          <w:lang w:val="en-US"/>
        </w:rPr>
        <w:t xml:space="preserve"> Roche Azaña</w:t>
      </w:r>
      <w:r w:rsidR="00193CBB" w:rsidRPr="00C9465D">
        <w:rPr>
          <w:rFonts w:ascii="Verdana" w:hAnsi="Verdana"/>
          <w:bCs/>
          <w:i/>
          <w:sz w:val="16"/>
          <w:szCs w:val="16"/>
          <w:lang w:val="en-US"/>
        </w:rPr>
        <w:t xml:space="preserve"> </w:t>
      </w:r>
      <w:r w:rsidR="00D8466F" w:rsidRPr="00C9465D">
        <w:rPr>
          <w:rFonts w:ascii="Verdana" w:hAnsi="Verdana"/>
          <w:bCs/>
          <w:i/>
          <w:sz w:val="16"/>
          <w:szCs w:val="16"/>
          <w:lang w:val="en-US"/>
        </w:rPr>
        <w:t>et al. v.</w:t>
      </w:r>
      <w:r w:rsidRPr="00C9465D">
        <w:rPr>
          <w:rFonts w:ascii="Verdana" w:hAnsi="Verdana"/>
          <w:bCs/>
          <w:i/>
          <w:sz w:val="16"/>
          <w:szCs w:val="16"/>
          <w:lang w:val="en-US"/>
        </w:rPr>
        <w:t xml:space="preserve"> Nicaragua. </w:t>
      </w:r>
      <w:r w:rsidR="00532DEC" w:rsidRPr="00C9465D">
        <w:rPr>
          <w:rFonts w:ascii="Verdana" w:hAnsi="Verdana"/>
          <w:bCs/>
          <w:i/>
          <w:sz w:val="16"/>
          <w:szCs w:val="16"/>
          <w:lang w:val="en-US"/>
        </w:rPr>
        <w:t>Merits</w:t>
      </w:r>
      <w:r w:rsidR="00193CBB" w:rsidRPr="00C9465D">
        <w:rPr>
          <w:rFonts w:ascii="Verdana" w:hAnsi="Verdana"/>
          <w:bCs/>
          <w:i/>
          <w:sz w:val="16"/>
          <w:szCs w:val="16"/>
          <w:lang w:val="en-US"/>
        </w:rPr>
        <w:t xml:space="preserve"> and </w:t>
      </w:r>
      <w:r w:rsidR="006F7C2F" w:rsidRPr="00C9465D">
        <w:rPr>
          <w:rFonts w:ascii="Verdana" w:hAnsi="Verdana"/>
          <w:bCs/>
          <w:i/>
          <w:sz w:val="16"/>
          <w:szCs w:val="16"/>
          <w:lang w:val="en-US"/>
        </w:rPr>
        <w:t>r</w:t>
      </w:r>
      <w:r w:rsidRPr="00C9465D">
        <w:rPr>
          <w:rFonts w:ascii="Verdana" w:hAnsi="Verdana"/>
          <w:bCs/>
          <w:i/>
          <w:sz w:val="16"/>
          <w:szCs w:val="16"/>
          <w:lang w:val="en-US"/>
        </w:rPr>
        <w:t>epara</w:t>
      </w:r>
      <w:r w:rsidR="006F7C2F" w:rsidRPr="00C9465D">
        <w:rPr>
          <w:rFonts w:ascii="Verdana" w:hAnsi="Verdana"/>
          <w:bCs/>
          <w:i/>
          <w:sz w:val="16"/>
          <w:szCs w:val="16"/>
          <w:lang w:val="en-US"/>
        </w:rPr>
        <w:t>tion</w:t>
      </w:r>
      <w:r w:rsidRPr="00C9465D">
        <w:rPr>
          <w:rFonts w:ascii="Verdana" w:hAnsi="Verdana"/>
          <w:bCs/>
          <w:i/>
          <w:sz w:val="16"/>
          <w:szCs w:val="16"/>
          <w:lang w:val="en-US"/>
        </w:rPr>
        <w:t xml:space="preserve">s. </w:t>
      </w:r>
      <w:r w:rsidR="00D8466F" w:rsidRPr="00C9465D">
        <w:rPr>
          <w:rFonts w:ascii="Verdana" w:hAnsi="Verdana"/>
          <w:bCs/>
          <w:sz w:val="16"/>
          <w:szCs w:val="16"/>
          <w:lang w:val="en-US"/>
        </w:rPr>
        <w:t>Judgment of</w:t>
      </w:r>
      <w:r w:rsidRPr="00C9465D">
        <w:rPr>
          <w:rFonts w:ascii="Verdana" w:hAnsi="Verdana"/>
          <w:bCs/>
          <w:sz w:val="16"/>
          <w:szCs w:val="16"/>
          <w:lang w:val="en-US"/>
        </w:rPr>
        <w:t xml:space="preserve"> </w:t>
      </w:r>
      <w:r w:rsidR="006F7C2F" w:rsidRPr="00C9465D">
        <w:rPr>
          <w:rFonts w:ascii="Verdana" w:hAnsi="Verdana"/>
          <w:bCs/>
          <w:sz w:val="16"/>
          <w:szCs w:val="16"/>
          <w:lang w:val="en-US"/>
        </w:rPr>
        <w:t>June 3,</w:t>
      </w:r>
      <w:r w:rsidRPr="00C9465D">
        <w:rPr>
          <w:rFonts w:ascii="Verdana" w:hAnsi="Verdana"/>
          <w:bCs/>
          <w:sz w:val="16"/>
          <w:szCs w:val="16"/>
          <w:lang w:val="en-US"/>
        </w:rPr>
        <w:t xml:space="preserve"> 2020. </w:t>
      </w:r>
      <w:r w:rsidR="00E2299F" w:rsidRPr="00C9465D">
        <w:rPr>
          <w:rFonts w:ascii="Verdana" w:hAnsi="Verdana"/>
          <w:bCs/>
          <w:sz w:val="16"/>
          <w:szCs w:val="16"/>
          <w:lang w:val="en-US"/>
        </w:rPr>
        <w:t xml:space="preserve">Series </w:t>
      </w:r>
      <w:r w:rsidRPr="00C9465D">
        <w:rPr>
          <w:rFonts w:ascii="Verdana" w:hAnsi="Verdana"/>
          <w:bCs/>
          <w:sz w:val="16"/>
          <w:szCs w:val="16"/>
          <w:lang w:val="en-US"/>
        </w:rPr>
        <w:t xml:space="preserve">C No. 403, </w:t>
      </w:r>
      <w:r w:rsidR="00D8466F" w:rsidRPr="00C9465D">
        <w:rPr>
          <w:rFonts w:ascii="Verdana" w:hAnsi="Verdana"/>
          <w:bCs/>
          <w:sz w:val="16"/>
          <w:szCs w:val="16"/>
          <w:lang w:val="en-US"/>
        </w:rPr>
        <w:t>para.</w:t>
      </w:r>
      <w:r w:rsidRPr="00C9465D">
        <w:rPr>
          <w:rFonts w:ascii="Verdana" w:hAnsi="Verdana"/>
          <w:bCs/>
          <w:sz w:val="16"/>
          <w:szCs w:val="16"/>
          <w:lang w:val="en-US"/>
        </w:rPr>
        <w:t xml:space="preserve"> 100.</w:t>
      </w:r>
    </w:p>
  </w:footnote>
  <w:footnote w:id="358">
    <w:p w14:paraId="472391BE" w14:textId="24E90A7D" w:rsidR="00300482" w:rsidRPr="00C9465D" w:rsidRDefault="00300482" w:rsidP="00BD26CF">
      <w:pPr>
        <w:tabs>
          <w:tab w:val="left" w:pos="567"/>
        </w:tabs>
        <w:spacing w:after="120"/>
        <w:jc w:val="both"/>
        <w:rPr>
          <w:rFonts w:ascii="Verdana" w:hAnsi="Verdana"/>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ab/>
      </w:r>
      <w:r w:rsidR="00E2299F" w:rsidRPr="00C9465D">
        <w:rPr>
          <w:rFonts w:ascii="Verdana" w:hAnsi="Verdana"/>
          <w:i/>
          <w:sz w:val="16"/>
          <w:szCs w:val="16"/>
          <w:lang w:val="en-US"/>
        </w:rPr>
        <w:t>Cf.</w:t>
      </w:r>
      <w:r w:rsidRPr="00C9465D">
        <w:rPr>
          <w:rFonts w:ascii="Verdana" w:hAnsi="Verdana"/>
          <w:i/>
          <w:sz w:val="16"/>
          <w:szCs w:val="16"/>
          <w:lang w:val="en-US"/>
        </w:rPr>
        <w:t xml:space="preserve"> </w:t>
      </w:r>
      <w:r w:rsidR="00D8466F" w:rsidRPr="00C9465D">
        <w:rPr>
          <w:rFonts w:ascii="Verdana" w:hAnsi="Verdana"/>
          <w:i/>
          <w:sz w:val="16"/>
          <w:szCs w:val="16"/>
          <w:lang w:val="en-US"/>
        </w:rPr>
        <w:t>Case of</w:t>
      </w:r>
      <w:r w:rsidRPr="00C9465D">
        <w:rPr>
          <w:rFonts w:ascii="Verdana" w:hAnsi="Verdana"/>
          <w:i/>
          <w:sz w:val="16"/>
          <w:szCs w:val="16"/>
          <w:lang w:val="en-US"/>
        </w:rPr>
        <w:t xml:space="preserve"> Bámaca Velásquez </w:t>
      </w:r>
      <w:r w:rsidR="00193CBB" w:rsidRPr="00C9465D">
        <w:rPr>
          <w:rFonts w:ascii="Verdana" w:hAnsi="Verdana"/>
          <w:i/>
          <w:sz w:val="16"/>
          <w:szCs w:val="16"/>
          <w:lang w:val="en-US"/>
        </w:rPr>
        <w:t>v.</w:t>
      </w:r>
      <w:r w:rsidRPr="00C9465D">
        <w:rPr>
          <w:rFonts w:ascii="Verdana" w:hAnsi="Verdana"/>
          <w:i/>
          <w:sz w:val="16"/>
          <w:szCs w:val="16"/>
          <w:lang w:val="en-US"/>
        </w:rPr>
        <w:t xml:space="preserve"> Guatemala, supra</w:t>
      </w:r>
      <w:r w:rsidRPr="00C9465D">
        <w:rPr>
          <w:rFonts w:ascii="Verdana" w:hAnsi="Verdana"/>
          <w:sz w:val="16"/>
          <w:szCs w:val="16"/>
          <w:lang w:val="en-US"/>
        </w:rPr>
        <w:t xml:space="preserve">, </w:t>
      </w:r>
      <w:r w:rsidR="00D8466F" w:rsidRPr="00C9465D">
        <w:rPr>
          <w:rFonts w:ascii="Verdana" w:hAnsi="Verdana"/>
          <w:sz w:val="16"/>
          <w:szCs w:val="16"/>
          <w:lang w:val="en-US"/>
        </w:rPr>
        <w:t>para.</w:t>
      </w:r>
      <w:r w:rsidRPr="00C9465D">
        <w:rPr>
          <w:rFonts w:ascii="Verdana" w:hAnsi="Verdana"/>
          <w:sz w:val="16"/>
          <w:szCs w:val="16"/>
          <w:lang w:val="en-US"/>
        </w:rPr>
        <w:t xml:space="preserve"> 163,</w:t>
      </w:r>
      <w:r w:rsidR="00193CBB" w:rsidRPr="00C9465D">
        <w:rPr>
          <w:rFonts w:ascii="Verdana" w:hAnsi="Verdana"/>
          <w:sz w:val="16"/>
          <w:szCs w:val="16"/>
          <w:lang w:val="en-US"/>
        </w:rPr>
        <w:t xml:space="preserve"> and </w:t>
      </w:r>
      <w:r w:rsidR="00D8466F" w:rsidRPr="00C9465D">
        <w:rPr>
          <w:rFonts w:ascii="Verdana" w:hAnsi="Verdana"/>
          <w:bCs/>
          <w:i/>
          <w:sz w:val="16"/>
          <w:szCs w:val="16"/>
          <w:lang w:val="en-US"/>
        </w:rPr>
        <w:t>Case of</w:t>
      </w:r>
      <w:r w:rsidRPr="00C9465D">
        <w:rPr>
          <w:rFonts w:ascii="Verdana" w:hAnsi="Verdana"/>
          <w:bCs/>
          <w:i/>
          <w:sz w:val="16"/>
          <w:szCs w:val="16"/>
          <w:lang w:val="en-US"/>
        </w:rPr>
        <w:t xml:space="preserve"> Roche Azaña</w:t>
      </w:r>
      <w:r w:rsidR="00193CBB" w:rsidRPr="00C9465D">
        <w:rPr>
          <w:rFonts w:ascii="Verdana" w:hAnsi="Verdana"/>
          <w:bCs/>
          <w:i/>
          <w:sz w:val="16"/>
          <w:szCs w:val="16"/>
          <w:lang w:val="en-US"/>
        </w:rPr>
        <w:t xml:space="preserve"> </w:t>
      </w:r>
      <w:r w:rsidR="00D8466F" w:rsidRPr="00C9465D">
        <w:rPr>
          <w:rFonts w:ascii="Verdana" w:hAnsi="Verdana"/>
          <w:bCs/>
          <w:i/>
          <w:sz w:val="16"/>
          <w:szCs w:val="16"/>
          <w:lang w:val="en-US"/>
        </w:rPr>
        <w:t>et al. v.</w:t>
      </w:r>
      <w:r w:rsidRPr="00C9465D">
        <w:rPr>
          <w:rFonts w:ascii="Verdana" w:hAnsi="Verdana"/>
          <w:bCs/>
          <w:i/>
          <w:sz w:val="16"/>
          <w:szCs w:val="16"/>
          <w:lang w:val="en-US"/>
        </w:rPr>
        <w:t xml:space="preserve"> Nicaragua</w:t>
      </w:r>
      <w:r w:rsidRPr="00C9465D">
        <w:rPr>
          <w:rFonts w:ascii="Verdana" w:hAnsi="Verdana"/>
          <w:bCs/>
          <w:sz w:val="16"/>
          <w:szCs w:val="16"/>
          <w:lang w:val="en-US"/>
        </w:rPr>
        <w:t xml:space="preserve">, </w:t>
      </w:r>
      <w:r w:rsidRPr="00C9465D">
        <w:rPr>
          <w:rFonts w:ascii="Verdana" w:hAnsi="Verdana"/>
          <w:bCs/>
          <w:i/>
          <w:sz w:val="16"/>
          <w:szCs w:val="16"/>
          <w:lang w:val="en-US"/>
        </w:rPr>
        <w:t>supra,</w:t>
      </w:r>
      <w:r w:rsidRPr="00C9465D">
        <w:rPr>
          <w:rFonts w:ascii="Verdana" w:hAnsi="Verdana"/>
          <w:bCs/>
          <w:sz w:val="16"/>
          <w:szCs w:val="16"/>
          <w:lang w:val="en-US"/>
        </w:rPr>
        <w:t xml:space="preserve"> </w:t>
      </w:r>
      <w:r w:rsidR="00D8466F" w:rsidRPr="00C9465D">
        <w:rPr>
          <w:rFonts w:ascii="Verdana" w:hAnsi="Verdana"/>
          <w:bCs/>
          <w:sz w:val="16"/>
          <w:szCs w:val="16"/>
          <w:lang w:val="en-US"/>
        </w:rPr>
        <w:t>para.</w:t>
      </w:r>
      <w:r w:rsidRPr="00C9465D">
        <w:rPr>
          <w:rFonts w:ascii="Verdana" w:hAnsi="Verdana"/>
          <w:bCs/>
          <w:sz w:val="16"/>
          <w:szCs w:val="16"/>
          <w:lang w:val="en-US"/>
        </w:rPr>
        <w:t xml:space="preserve"> 100.</w:t>
      </w:r>
    </w:p>
  </w:footnote>
  <w:footnote w:id="359">
    <w:p w14:paraId="17C3C91C" w14:textId="741EA66B" w:rsidR="00300482" w:rsidRPr="00C9465D" w:rsidRDefault="00300482" w:rsidP="00BD26CF">
      <w:pPr>
        <w:pStyle w:val="FootnoteText"/>
        <w:tabs>
          <w:tab w:val="left" w:pos="567"/>
        </w:tabs>
        <w:spacing w:after="120"/>
        <w:rPr>
          <w:sz w:val="16"/>
          <w:szCs w:val="16"/>
          <w:lang w:val="en-US"/>
        </w:rPr>
      </w:pPr>
      <w:r w:rsidRPr="00C9465D">
        <w:rPr>
          <w:rStyle w:val="FootnoteReference"/>
          <w:rFonts w:eastAsiaTheme="majorEastAsia"/>
          <w:sz w:val="16"/>
          <w:szCs w:val="16"/>
          <w:lang w:val="en-US"/>
        </w:rPr>
        <w:footnoteRef/>
      </w:r>
      <w:r w:rsidRPr="00C9465D">
        <w:rPr>
          <w:sz w:val="16"/>
          <w:szCs w:val="16"/>
          <w:lang w:val="en-US"/>
        </w:rPr>
        <w:t xml:space="preserve"> </w:t>
      </w:r>
      <w:r w:rsidRPr="00C9465D">
        <w:rPr>
          <w:sz w:val="16"/>
          <w:szCs w:val="16"/>
          <w:lang w:val="en-US"/>
        </w:rPr>
        <w:tab/>
      </w:r>
      <w:r w:rsidR="00B712CD" w:rsidRPr="00C9465D">
        <w:rPr>
          <w:sz w:val="16"/>
          <w:szCs w:val="16"/>
          <w:lang w:val="en-US"/>
        </w:rPr>
        <w:t>Statement made by Zoila Chimbo during the public hearing held in this case</w:t>
      </w:r>
      <w:r w:rsidRPr="00C9465D">
        <w:rPr>
          <w:sz w:val="16"/>
          <w:szCs w:val="16"/>
          <w:lang w:val="en-US"/>
        </w:rPr>
        <w:t xml:space="preserve">. </w:t>
      </w:r>
    </w:p>
  </w:footnote>
  <w:footnote w:id="360">
    <w:p w14:paraId="4D070206" w14:textId="12443DE7"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2C5740" w:rsidRPr="00C9465D">
        <w:rPr>
          <w:sz w:val="16"/>
          <w:szCs w:val="16"/>
          <w:lang w:val="en-US"/>
        </w:rPr>
        <w:t>Affidavit made by</w:t>
      </w:r>
      <w:r w:rsidRPr="00C9465D">
        <w:rPr>
          <w:sz w:val="16"/>
          <w:szCs w:val="16"/>
          <w:lang w:val="en-US"/>
        </w:rPr>
        <w:t xml:space="preserve"> Nancy Guachalá Chimbo </w:t>
      </w:r>
      <w:r w:rsidR="00153C9F" w:rsidRPr="00C9465D">
        <w:rPr>
          <w:sz w:val="16"/>
          <w:szCs w:val="16"/>
          <w:lang w:val="en-US"/>
        </w:rPr>
        <w:t>on October 30,</w:t>
      </w:r>
      <w:r w:rsidRPr="00C9465D">
        <w:rPr>
          <w:sz w:val="16"/>
          <w:szCs w:val="16"/>
          <w:lang w:val="en-US"/>
        </w:rPr>
        <w:t xml:space="preserve"> 2020 (</w:t>
      </w:r>
      <w:r w:rsidR="00153C9F" w:rsidRPr="00C9465D">
        <w:rPr>
          <w:sz w:val="16"/>
          <w:szCs w:val="16"/>
          <w:lang w:val="en-US"/>
        </w:rPr>
        <w:t>evidence file</w:t>
      </w:r>
      <w:r w:rsidRPr="00C9465D">
        <w:rPr>
          <w:sz w:val="16"/>
          <w:szCs w:val="16"/>
          <w:lang w:val="en-US"/>
        </w:rPr>
        <w:t xml:space="preserve">, folios 2243 </w:t>
      </w:r>
      <w:r w:rsidR="00CF54BB" w:rsidRPr="00C9465D">
        <w:rPr>
          <w:sz w:val="16"/>
          <w:szCs w:val="16"/>
          <w:lang w:val="en-US"/>
        </w:rPr>
        <w:t>to</w:t>
      </w:r>
      <w:r w:rsidRPr="00C9465D">
        <w:rPr>
          <w:sz w:val="16"/>
          <w:szCs w:val="16"/>
          <w:lang w:val="en-US"/>
        </w:rPr>
        <w:t xml:space="preserve"> 2245).</w:t>
      </w:r>
    </w:p>
  </w:footnote>
  <w:footnote w:id="361">
    <w:p w14:paraId="20E58BA1" w14:textId="79AC3FA8"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2C5740" w:rsidRPr="00C9465D">
        <w:rPr>
          <w:sz w:val="16"/>
          <w:szCs w:val="16"/>
          <w:lang w:val="en-US"/>
        </w:rPr>
        <w:t>Affidavit made by</w:t>
      </w:r>
      <w:r w:rsidRPr="00C9465D">
        <w:rPr>
          <w:sz w:val="16"/>
          <w:szCs w:val="16"/>
          <w:lang w:val="en-US"/>
        </w:rPr>
        <w:t xml:space="preserve"> Pablo Bermúdez Aguinaga </w:t>
      </w:r>
      <w:r w:rsidR="00153C9F" w:rsidRPr="00C9465D">
        <w:rPr>
          <w:sz w:val="16"/>
          <w:szCs w:val="16"/>
          <w:lang w:val="en-US"/>
        </w:rPr>
        <w:t>on October 30,</w:t>
      </w:r>
      <w:r w:rsidRPr="00C9465D">
        <w:rPr>
          <w:sz w:val="16"/>
          <w:szCs w:val="16"/>
          <w:lang w:val="en-US"/>
        </w:rPr>
        <w:t xml:space="preserve"> 2020 (</w:t>
      </w:r>
      <w:r w:rsidR="00153C9F" w:rsidRPr="00C9465D">
        <w:rPr>
          <w:sz w:val="16"/>
          <w:szCs w:val="16"/>
          <w:lang w:val="en-US"/>
        </w:rPr>
        <w:t>evidence file</w:t>
      </w:r>
      <w:r w:rsidRPr="00C9465D">
        <w:rPr>
          <w:sz w:val="16"/>
          <w:szCs w:val="16"/>
          <w:lang w:val="en-US"/>
        </w:rPr>
        <w:t>, folios 2287).</w:t>
      </w:r>
    </w:p>
  </w:footnote>
  <w:footnote w:id="362">
    <w:p w14:paraId="1705804B" w14:textId="7040E651" w:rsidR="00300482" w:rsidRPr="00C9465D" w:rsidRDefault="00300482" w:rsidP="00BD26CF">
      <w:pPr>
        <w:pStyle w:val="FootnoteText"/>
        <w:tabs>
          <w:tab w:val="left" w:pos="540"/>
          <w:tab w:val="left" w:pos="567"/>
        </w:tabs>
        <w:spacing w:after="120"/>
        <w:rPr>
          <w:sz w:val="16"/>
          <w:szCs w:val="16"/>
          <w:lang w:val="en-US"/>
        </w:rPr>
      </w:pPr>
      <w:r w:rsidRPr="00C9465D">
        <w:rPr>
          <w:rStyle w:val="FootnoteReference"/>
          <w:rFonts w:cstheme="minorBidi"/>
          <w:sz w:val="16"/>
          <w:szCs w:val="16"/>
          <w:lang w:val="en-US"/>
        </w:rPr>
        <w:footnoteRef/>
      </w:r>
      <w:r w:rsidRPr="00C9465D">
        <w:rPr>
          <w:sz w:val="16"/>
          <w:szCs w:val="16"/>
        </w:rPr>
        <w:t xml:space="preserve"> </w:t>
      </w:r>
      <w:r w:rsidRPr="00C9465D">
        <w:rPr>
          <w:sz w:val="16"/>
          <w:szCs w:val="16"/>
        </w:rPr>
        <w:tab/>
      </w:r>
      <w:r w:rsidR="00E2299F" w:rsidRPr="00C9465D">
        <w:rPr>
          <w:i/>
          <w:iCs/>
          <w:sz w:val="16"/>
          <w:szCs w:val="16"/>
        </w:rPr>
        <w:t>Cf.</w:t>
      </w:r>
      <w:r w:rsidRPr="00C9465D">
        <w:rPr>
          <w:i/>
          <w:iCs/>
          <w:sz w:val="16"/>
          <w:szCs w:val="16"/>
        </w:rPr>
        <w:t xml:space="preserve"> </w:t>
      </w:r>
      <w:r w:rsidR="00D8466F" w:rsidRPr="00C9465D">
        <w:rPr>
          <w:i/>
          <w:iCs/>
          <w:sz w:val="16"/>
          <w:szCs w:val="16"/>
        </w:rPr>
        <w:t>Case of</w:t>
      </w:r>
      <w:r w:rsidRPr="00C9465D">
        <w:rPr>
          <w:i/>
          <w:iCs/>
          <w:sz w:val="16"/>
          <w:szCs w:val="16"/>
        </w:rPr>
        <w:t xml:space="preserve"> Velásquez Rodríguez </w:t>
      </w:r>
      <w:r w:rsidR="00193CBB" w:rsidRPr="00C9465D">
        <w:rPr>
          <w:i/>
          <w:iCs/>
          <w:sz w:val="16"/>
          <w:szCs w:val="16"/>
        </w:rPr>
        <w:t>v.</w:t>
      </w:r>
      <w:r w:rsidRPr="00C9465D">
        <w:rPr>
          <w:i/>
          <w:iCs/>
          <w:sz w:val="16"/>
          <w:szCs w:val="16"/>
        </w:rPr>
        <w:t xml:space="preserve"> Honduras. </w:t>
      </w:r>
      <w:r w:rsidR="001056D1" w:rsidRPr="00C9465D">
        <w:rPr>
          <w:i/>
          <w:iCs/>
          <w:sz w:val="16"/>
          <w:szCs w:val="16"/>
          <w:lang w:val="en-US"/>
        </w:rPr>
        <w:t>Reparations and costs</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CF54BB" w:rsidRPr="00C9465D">
        <w:rPr>
          <w:sz w:val="16"/>
          <w:szCs w:val="16"/>
          <w:lang w:val="en-US"/>
        </w:rPr>
        <w:t>July 21,</w:t>
      </w:r>
      <w:r w:rsidRPr="00C9465D">
        <w:rPr>
          <w:sz w:val="16"/>
          <w:szCs w:val="16"/>
          <w:lang w:val="en-US"/>
        </w:rPr>
        <w:t xml:space="preserve"> 1989. </w:t>
      </w:r>
      <w:r w:rsidR="00E2299F" w:rsidRPr="00C9465D">
        <w:rPr>
          <w:sz w:val="16"/>
          <w:szCs w:val="16"/>
          <w:lang w:val="en-US"/>
        </w:rPr>
        <w:t xml:space="preserve">Series </w:t>
      </w:r>
      <w:r w:rsidRPr="00C9465D">
        <w:rPr>
          <w:sz w:val="16"/>
          <w:szCs w:val="16"/>
          <w:lang w:val="en-US"/>
        </w:rPr>
        <w:t xml:space="preserve">C No. 7, </w:t>
      </w:r>
      <w:r w:rsidR="00D8466F" w:rsidRPr="00C9465D">
        <w:rPr>
          <w:sz w:val="16"/>
          <w:szCs w:val="16"/>
          <w:lang w:val="en-US"/>
        </w:rPr>
        <w:t>paras.</w:t>
      </w:r>
      <w:r w:rsidRPr="00C9465D">
        <w:rPr>
          <w:sz w:val="16"/>
          <w:szCs w:val="16"/>
          <w:lang w:val="en-US"/>
        </w:rPr>
        <w:t xml:space="preserve"> 24</w:t>
      </w:r>
      <w:r w:rsidR="00193CBB" w:rsidRPr="00C9465D">
        <w:rPr>
          <w:sz w:val="16"/>
          <w:szCs w:val="16"/>
          <w:lang w:val="en-US"/>
        </w:rPr>
        <w:t xml:space="preserve"> and </w:t>
      </w:r>
      <w:r w:rsidRPr="00C9465D">
        <w:rPr>
          <w:sz w:val="16"/>
          <w:szCs w:val="16"/>
          <w:lang w:val="en-US"/>
        </w:rPr>
        <w:t>25,</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Casa Nina </w:t>
      </w:r>
      <w:r w:rsidR="00193CBB" w:rsidRPr="00C9465D">
        <w:rPr>
          <w:i/>
          <w:sz w:val="16"/>
          <w:szCs w:val="16"/>
          <w:lang w:val="en-US"/>
        </w:rPr>
        <w:t>v.</w:t>
      </w:r>
      <w:r w:rsidRPr="00C9465D">
        <w:rPr>
          <w:i/>
          <w:sz w:val="16"/>
          <w:szCs w:val="16"/>
          <w:lang w:val="en-US"/>
        </w:rPr>
        <w:t xml:space="preserve"> </w:t>
      </w:r>
      <w:r w:rsidR="001902D2" w:rsidRPr="00C9465D">
        <w:rPr>
          <w:i/>
          <w:sz w:val="16"/>
          <w:szCs w:val="16"/>
          <w:lang w:val="en-US"/>
        </w:rPr>
        <w:t>Peru</w:t>
      </w:r>
      <w:r w:rsidRPr="00C9465D">
        <w:rPr>
          <w:i/>
          <w:sz w:val="16"/>
          <w:szCs w:val="16"/>
          <w:lang w:val="en-US"/>
        </w:rPr>
        <w:t>, supra</w:t>
      </w:r>
      <w:r w:rsidRPr="00C9465D">
        <w:rPr>
          <w:sz w:val="16"/>
          <w:szCs w:val="16"/>
          <w:lang w:val="en-US"/>
        </w:rPr>
        <w:t xml:space="preserve">, </w:t>
      </w:r>
      <w:r w:rsidR="00D8466F" w:rsidRPr="00C9465D">
        <w:rPr>
          <w:iCs/>
          <w:sz w:val="16"/>
          <w:szCs w:val="16"/>
          <w:lang w:val="en-US"/>
        </w:rPr>
        <w:t>para.</w:t>
      </w:r>
      <w:r w:rsidRPr="00C9465D">
        <w:rPr>
          <w:iCs/>
          <w:sz w:val="16"/>
          <w:szCs w:val="16"/>
          <w:lang w:val="en-US"/>
        </w:rPr>
        <w:t xml:space="preserve"> 126.</w:t>
      </w:r>
    </w:p>
  </w:footnote>
  <w:footnote w:id="363">
    <w:p w14:paraId="49178387" w14:textId="2CDB2D47" w:rsidR="00300482" w:rsidRPr="00C9465D" w:rsidRDefault="00300482" w:rsidP="00BD26CF">
      <w:pPr>
        <w:pStyle w:val="FootnoteText"/>
        <w:tabs>
          <w:tab w:val="left" w:pos="540"/>
          <w:tab w:val="left" w:pos="567"/>
        </w:tabs>
        <w:spacing w:after="120"/>
        <w:rPr>
          <w:sz w:val="16"/>
          <w:szCs w:val="16"/>
          <w:lang w:val="en-US"/>
        </w:rPr>
      </w:pPr>
      <w:r w:rsidRPr="00C9465D">
        <w:rPr>
          <w:rStyle w:val="FootnoteReference"/>
          <w:rFonts w:cstheme="minorBidi"/>
          <w:sz w:val="16"/>
          <w:szCs w:val="16"/>
          <w:lang w:val="en-US"/>
        </w:rPr>
        <w:footnoteRef/>
      </w:r>
      <w:r w:rsidRPr="00C9465D">
        <w:rPr>
          <w:sz w:val="16"/>
          <w:szCs w:val="16"/>
          <w:vertAlign w:val="superscript"/>
          <w:lang w:val="en-US"/>
        </w:rPr>
        <w:t xml:space="preserve"> </w:t>
      </w:r>
      <w:r w:rsidRPr="00C9465D">
        <w:rPr>
          <w:sz w:val="16"/>
          <w:szCs w:val="16"/>
          <w:lang w:val="en-US"/>
        </w:rPr>
        <w:tab/>
      </w:r>
      <w:r w:rsidR="00E2299F" w:rsidRPr="00C9465D">
        <w:rPr>
          <w:i/>
          <w:iCs/>
          <w:sz w:val="16"/>
          <w:szCs w:val="16"/>
          <w:lang w:val="en-US"/>
        </w:rPr>
        <w:t>Cf.</w:t>
      </w:r>
      <w:r w:rsidRPr="00C9465D">
        <w:rPr>
          <w:i/>
          <w:iCs/>
          <w:sz w:val="16"/>
          <w:szCs w:val="16"/>
          <w:lang w:val="en-US"/>
        </w:rPr>
        <w:t xml:space="preserve"> </w:t>
      </w:r>
      <w:r w:rsidR="00D8466F" w:rsidRPr="00C9465D">
        <w:rPr>
          <w:i/>
          <w:iCs/>
          <w:sz w:val="16"/>
          <w:szCs w:val="16"/>
          <w:lang w:val="en-US"/>
        </w:rPr>
        <w:t>Case of</w:t>
      </w:r>
      <w:r w:rsidRPr="00C9465D">
        <w:rPr>
          <w:i/>
          <w:iCs/>
          <w:sz w:val="16"/>
          <w:szCs w:val="16"/>
          <w:lang w:val="en-US"/>
        </w:rPr>
        <w:t xml:space="preserve"> Ticona Estrada</w:t>
      </w:r>
      <w:r w:rsidR="00193CBB" w:rsidRPr="00C9465D">
        <w:rPr>
          <w:i/>
          <w:iCs/>
          <w:sz w:val="16"/>
          <w:szCs w:val="16"/>
          <w:lang w:val="en-US"/>
        </w:rPr>
        <w:t xml:space="preserve"> </w:t>
      </w:r>
      <w:r w:rsidR="00D8466F" w:rsidRPr="00C9465D">
        <w:rPr>
          <w:i/>
          <w:iCs/>
          <w:sz w:val="16"/>
          <w:szCs w:val="16"/>
          <w:lang w:val="en-US"/>
        </w:rPr>
        <w:t>et al. v.</w:t>
      </w:r>
      <w:r w:rsidRPr="00C9465D">
        <w:rPr>
          <w:i/>
          <w:iCs/>
          <w:sz w:val="16"/>
          <w:szCs w:val="16"/>
          <w:lang w:val="en-US"/>
        </w:rPr>
        <w:t xml:space="preserve"> Bolivia. </w:t>
      </w:r>
      <w:r w:rsidR="00193CBB" w:rsidRPr="00C9465D">
        <w:rPr>
          <w:i/>
          <w:iCs/>
          <w:sz w:val="16"/>
          <w:szCs w:val="16"/>
          <w:lang w:val="en-US"/>
        </w:rPr>
        <w:t>Merits, reparations and costs</w:t>
      </w:r>
      <w:r w:rsidRPr="00C9465D">
        <w:rPr>
          <w:i/>
          <w:iCs/>
          <w:sz w:val="16"/>
          <w:szCs w:val="16"/>
          <w:lang w:val="en-US"/>
        </w:rPr>
        <w:t>.</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CF54BB" w:rsidRPr="00C9465D">
        <w:rPr>
          <w:sz w:val="16"/>
          <w:szCs w:val="16"/>
          <w:lang w:val="en-US"/>
        </w:rPr>
        <w:t>November 27,</w:t>
      </w:r>
      <w:r w:rsidRPr="00C9465D">
        <w:rPr>
          <w:sz w:val="16"/>
          <w:szCs w:val="16"/>
          <w:lang w:val="en-US"/>
        </w:rPr>
        <w:t xml:space="preserve"> 2008. </w:t>
      </w:r>
      <w:r w:rsidR="00E2299F" w:rsidRPr="00C9465D">
        <w:rPr>
          <w:sz w:val="16"/>
          <w:szCs w:val="16"/>
        </w:rPr>
        <w:t xml:space="preserve">Series </w:t>
      </w:r>
      <w:r w:rsidRPr="00C9465D">
        <w:rPr>
          <w:sz w:val="16"/>
          <w:szCs w:val="16"/>
        </w:rPr>
        <w:t xml:space="preserve">C No. 191, </w:t>
      </w:r>
      <w:r w:rsidR="00D8466F" w:rsidRPr="00C9465D">
        <w:rPr>
          <w:sz w:val="16"/>
          <w:szCs w:val="16"/>
        </w:rPr>
        <w:t>para.</w:t>
      </w:r>
      <w:r w:rsidRPr="00C9465D">
        <w:rPr>
          <w:sz w:val="16"/>
          <w:szCs w:val="16"/>
        </w:rPr>
        <w:t xml:space="preserve"> 110,</w:t>
      </w:r>
      <w:r w:rsidR="00193CBB" w:rsidRPr="00C9465D">
        <w:rPr>
          <w:sz w:val="16"/>
          <w:szCs w:val="16"/>
        </w:rPr>
        <w:t xml:space="preserve"> and </w:t>
      </w:r>
      <w:r w:rsidR="00D8466F" w:rsidRPr="00C9465D">
        <w:rPr>
          <w:i/>
          <w:sz w:val="16"/>
          <w:szCs w:val="16"/>
        </w:rPr>
        <w:t>Case of</w:t>
      </w:r>
      <w:r w:rsidRPr="00C9465D">
        <w:rPr>
          <w:i/>
          <w:sz w:val="16"/>
          <w:szCs w:val="16"/>
        </w:rPr>
        <w:t xml:space="preserve"> Casa Nina </w:t>
      </w:r>
      <w:r w:rsidR="00193CBB" w:rsidRPr="00C9465D">
        <w:rPr>
          <w:i/>
          <w:sz w:val="16"/>
          <w:szCs w:val="16"/>
        </w:rPr>
        <w:t>v.</w:t>
      </w:r>
      <w:r w:rsidRPr="00C9465D">
        <w:rPr>
          <w:i/>
          <w:sz w:val="16"/>
          <w:szCs w:val="16"/>
        </w:rPr>
        <w:t xml:space="preserve"> </w:t>
      </w:r>
      <w:proofErr w:type="spellStart"/>
      <w:r w:rsidR="001902D2" w:rsidRPr="00C9465D">
        <w:rPr>
          <w:i/>
          <w:sz w:val="16"/>
          <w:szCs w:val="16"/>
        </w:rPr>
        <w:t>Peru</w:t>
      </w:r>
      <w:proofErr w:type="spellEnd"/>
      <w:r w:rsidRPr="00C9465D">
        <w:rPr>
          <w:i/>
          <w:sz w:val="16"/>
          <w:szCs w:val="16"/>
        </w:rPr>
        <w:t>, supra</w:t>
      </w:r>
      <w:r w:rsidRPr="00C9465D">
        <w:rPr>
          <w:sz w:val="16"/>
          <w:szCs w:val="16"/>
        </w:rPr>
        <w:t xml:space="preserve">, </w:t>
      </w:r>
      <w:r w:rsidR="00D8466F" w:rsidRPr="00C9465D">
        <w:rPr>
          <w:iCs/>
          <w:sz w:val="16"/>
          <w:szCs w:val="16"/>
        </w:rPr>
        <w:t>para.</w:t>
      </w:r>
      <w:r w:rsidRPr="00C9465D">
        <w:rPr>
          <w:iCs/>
          <w:sz w:val="16"/>
          <w:szCs w:val="16"/>
        </w:rPr>
        <w:t xml:space="preserve"> </w:t>
      </w:r>
      <w:r w:rsidRPr="00C9465D">
        <w:rPr>
          <w:iCs/>
          <w:sz w:val="16"/>
          <w:szCs w:val="16"/>
          <w:lang w:val="en-US"/>
        </w:rPr>
        <w:t>126.</w:t>
      </w:r>
    </w:p>
  </w:footnote>
  <w:footnote w:id="364">
    <w:p w14:paraId="261DBA6C" w14:textId="1F089D7C" w:rsidR="00300482" w:rsidRPr="00C9465D" w:rsidRDefault="00300482" w:rsidP="00BD26CF">
      <w:pPr>
        <w:pStyle w:val="FootnoteText"/>
        <w:tabs>
          <w:tab w:val="left" w:pos="540"/>
          <w:tab w:val="left" w:pos="567"/>
        </w:tabs>
        <w:spacing w:after="120"/>
        <w:rPr>
          <w:sz w:val="16"/>
          <w:szCs w:val="16"/>
          <w:lang w:val="en-US"/>
        </w:rPr>
      </w:pPr>
      <w:r w:rsidRPr="00C9465D">
        <w:rPr>
          <w:rStyle w:val="FootnoteReference"/>
          <w:rFonts w:cstheme="minorBidi"/>
          <w:sz w:val="16"/>
          <w:szCs w:val="16"/>
          <w:lang w:val="en-US"/>
        </w:rPr>
        <w:footnoteRef/>
      </w:r>
      <w:r w:rsidRPr="00C9465D">
        <w:rPr>
          <w:sz w:val="16"/>
          <w:szCs w:val="16"/>
          <w:vertAlign w:val="superscript"/>
          <w:lang w:val="en-US"/>
        </w:rPr>
        <w:t xml:space="preserve"> </w:t>
      </w:r>
      <w:r w:rsidRPr="00C9465D">
        <w:rPr>
          <w:sz w:val="16"/>
          <w:szCs w:val="16"/>
          <w:lang w:val="en-US"/>
        </w:rPr>
        <w:tab/>
      </w:r>
      <w:r w:rsidR="00E2299F" w:rsidRPr="00C9465D">
        <w:rPr>
          <w:i/>
          <w:iCs/>
          <w:sz w:val="16"/>
          <w:szCs w:val="16"/>
          <w:lang w:val="en-US"/>
        </w:rPr>
        <w:t>Cf.</w:t>
      </w:r>
      <w:r w:rsidRPr="00C9465D">
        <w:rPr>
          <w:i/>
          <w:iCs/>
          <w:sz w:val="16"/>
          <w:szCs w:val="16"/>
          <w:lang w:val="en-US"/>
        </w:rPr>
        <w:t xml:space="preserve"> </w:t>
      </w:r>
      <w:r w:rsidR="00D8466F" w:rsidRPr="00C9465D">
        <w:rPr>
          <w:i/>
          <w:iCs/>
          <w:sz w:val="16"/>
          <w:szCs w:val="16"/>
          <w:lang w:val="en-US"/>
        </w:rPr>
        <w:t>Case of</w:t>
      </w:r>
      <w:r w:rsidRPr="00C9465D">
        <w:rPr>
          <w:i/>
          <w:iCs/>
          <w:sz w:val="16"/>
          <w:szCs w:val="16"/>
          <w:lang w:val="en-US"/>
        </w:rPr>
        <w:t xml:space="preserve"> Velásquez Rodríguez </w:t>
      </w:r>
      <w:r w:rsidR="00193CBB" w:rsidRPr="00C9465D">
        <w:rPr>
          <w:i/>
          <w:iCs/>
          <w:sz w:val="16"/>
          <w:szCs w:val="16"/>
          <w:lang w:val="en-US"/>
        </w:rPr>
        <w:t>v.</w:t>
      </w:r>
      <w:r w:rsidRPr="00C9465D">
        <w:rPr>
          <w:i/>
          <w:iCs/>
          <w:sz w:val="16"/>
          <w:szCs w:val="16"/>
          <w:lang w:val="en-US"/>
        </w:rPr>
        <w:t xml:space="preserve"> Honduras. </w:t>
      </w:r>
      <w:r w:rsidR="001056D1" w:rsidRPr="00C9465D">
        <w:rPr>
          <w:i/>
          <w:iCs/>
          <w:sz w:val="16"/>
          <w:szCs w:val="16"/>
          <w:lang w:val="en-US"/>
        </w:rPr>
        <w:t>Reparations and costs</w:t>
      </w:r>
      <w:r w:rsidRPr="00C9465D">
        <w:rPr>
          <w:sz w:val="16"/>
          <w:szCs w:val="16"/>
          <w:lang w:val="en-US"/>
        </w:rPr>
        <w:t xml:space="preserve">, </w:t>
      </w:r>
      <w:r w:rsidRPr="00C9465D">
        <w:rPr>
          <w:i/>
          <w:sz w:val="16"/>
          <w:szCs w:val="16"/>
          <w:lang w:val="en-US"/>
        </w:rPr>
        <w:t>supra</w:t>
      </w:r>
      <w:r w:rsidRPr="00C9465D">
        <w:rPr>
          <w:sz w:val="16"/>
          <w:szCs w:val="16"/>
          <w:lang w:val="en-US"/>
        </w:rPr>
        <w:t xml:space="preserve">, </w:t>
      </w:r>
      <w:r w:rsidR="00D8466F" w:rsidRPr="00C9465D">
        <w:rPr>
          <w:sz w:val="16"/>
          <w:szCs w:val="16"/>
          <w:lang w:val="en-US"/>
        </w:rPr>
        <w:t>paras.</w:t>
      </w:r>
      <w:r w:rsidRPr="00C9465D">
        <w:rPr>
          <w:sz w:val="16"/>
          <w:szCs w:val="16"/>
          <w:lang w:val="en-US"/>
        </w:rPr>
        <w:t xml:space="preserve"> 25</w:t>
      </w:r>
      <w:r w:rsidR="00193CBB" w:rsidRPr="00C9465D">
        <w:rPr>
          <w:sz w:val="16"/>
          <w:szCs w:val="16"/>
          <w:lang w:val="en-US"/>
        </w:rPr>
        <w:t xml:space="preserve"> and </w:t>
      </w:r>
      <w:r w:rsidRPr="00C9465D">
        <w:rPr>
          <w:sz w:val="16"/>
          <w:szCs w:val="16"/>
          <w:lang w:val="en-US"/>
        </w:rPr>
        <w:t>26,</w:t>
      </w:r>
      <w:r w:rsidR="00193CBB" w:rsidRPr="00C9465D">
        <w:rPr>
          <w:sz w:val="16"/>
          <w:szCs w:val="16"/>
          <w:lang w:val="en-US"/>
        </w:rPr>
        <w:t xml:space="preserve"> and </w:t>
      </w:r>
      <w:r w:rsidR="00D8466F" w:rsidRPr="00C9465D">
        <w:rPr>
          <w:i/>
          <w:iCs/>
          <w:sz w:val="16"/>
          <w:szCs w:val="16"/>
          <w:lang w:val="en-US"/>
        </w:rPr>
        <w:t>Case of</w:t>
      </w:r>
      <w:r w:rsidRPr="00C9465D">
        <w:rPr>
          <w:i/>
          <w:iCs/>
          <w:sz w:val="16"/>
          <w:szCs w:val="16"/>
          <w:lang w:val="en-US"/>
        </w:rPr>
        <w:t xml:space="preserve"> Almeida </w:t>
      </w:r>
      <w:r w:rsidR="00193CBB" w:rsidRPr="00C9465D">
        <w:rPr>
          <w:i/>
          <w:iCs/>
          <w:sz w:val="16"/>
          <w:szCs w:val="16"/>
          <w:lang w:val="en-US"/>
        </w:rPr>
        <w:t>v.</w:t>
      </w:r>
      <w:r w:rsidRPr="00C9465D">
        <w:rPr>
          <w:i/>
          <w:iCs/>
          <w:sz w:val="16"/>
          <w:szCs w:val="16"/>
          <w:lang w:val="en-US"/>
        </w:rPr>
        <w:t xml:space="preserve"> Argentina. </w:t>
      </w:r>
      <w:r w:rsidR="00193CBB" w:rsidRPr="00C9465D">
        <w:rPr>
          <w:i/>
          <w:iCs/>
          <w:sz w:val="16"/>
          <w:szCs w:val="16"/>
          <w:lang w:val="en-US"/>
        </w:rPr>
        <w:t>Merits, reparations and costs</w:t>
      </w:r>
      <w:r w:rsidRPr="00C9465D">
        <w:rPr>
          <w:i/>
          <w:iCs/>
          <w:sz w:val="16"/>
          <w:szCs w:val="16"/>
          <w:lang w:val="en-US"/>
        </w:rPr>
        <w:t>.</w:t>
      </w:r>
      <w:r w:rsidRPr="00C9465D">
        <w:rPr>
          <w:iCs/>
          <w:sz w:val="16"/>
          <w:szCs w:val="16"/>
          <w:lang w:val="en-US"/>
        </w:rPr>
        <w:t xml:space="preserve"> </w:t>
      </w:r>
      <w:r w:rsidR="00D8466F" w:rsidRPr="00C9465D">
        <w:rPr>
          <w:iCs/>
          <w:sz w:val="16"/>
          <w:szCs w:val="16"/>
          <w:lang w:val="en-US"/>
        </w:rPr>
        <w:t>Judgment of</w:t>
      </w:r>
      <w:r w:rsidRPr="00C9465D">
        <w:rPr>
          <w:iCs/>
          <w:sz w:val="16"/>
          <w:szCs w:val="16"/>
          <w:lang w:val="en-US"/>
        </w:rPr>
        <w:t xml:space="preserve"> </w:t>
      </w:r>
      <w:r w:rsidR="00D8209E" w:rsidRPr="00C9465D">
        <w:rPr>
          <w:iCs/>
          <w:sz w:val="16"/>
          <w:szCs w:val="16"/>
          <w:lang w:val="en-US"/>
        </w:rPr>
        <w:t>November 17,</w:t>
      </w:r>
      <w:r w:rsidRPr="00C9465D">
        <w:rPr>
          <w:iCs/>
          <w:sz w:val="16"/>
          <w:szCs w:val="16"/>
          <w:lang w:val="en-US"/>
        </w:rPr>
        <w:t xml:space="preserve"> 2020. </w:t>
      </w:r>
      <w:r w:rsidR="00E2299F" w:rsidRPr="00C9465D">
        <w:rPr>
          <w:iCs/>
          <w:sz w:val="16"/>
          <w:szCs w:val="16"/>
          <w:lang w:val="en-US"/>
        </w:rPr>
        <w:t xml:space="preserve">Series </w:t>
      </w:r>
      <w:r w:rsidRPr="00C9465D">
        <w:rPr>
          <w:iCs/>
          <w:sz w:val="16"/>
          <w:szCs w:val="16"/>
          <w:lang w:val="en-US"/>
        </w:rPr>
        <w:t xml:space="preserve">C No. 416, </w:t>
      </w:r>
      <w:r w:rsidR="00D8466F" w:rsidRPr="00C9465D">
        <w:rPr>
          <w:iCs/>
          <w:sz w:val="16"/>
          <w:szCs w:val="16"/>
          <w:lang w:val="en-US"/>
        </w:rPr>
        <w:t>para.</w:t>
      </w:r>
      <w:r w:rsidRPr="00C9465D">
        <w:rPr>
          <w:iCs/>
          <w:sz w:val="16"/>
          <w:szCs w:val="16"/>
          <w:lang w:val="en-US"/>
        </w:rPr>
        <w:t xml:space="preserve"> 57.</w:t>
      </w:r>
    </w:p>
  </w:footnote>
  <w:footnote w:id="365">
    <w:p w14:paraId="17B7C122" w14:textId="62F3EDC9"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D8209E" w:rsidRPr="00C9465D">
        <w:rPr>
          <w:i/>
          <w:sz w:val="16"/>
          <w:szCs w:val="16"/>
          <w:lang w:val="en-US"/>
        </w:rPr>
        <w:t>See, for example,</w:t>
      </w:r>
      <w:r w:rsidRPr="00C9465D">
        <w:rPr>
          <w:i/>
          <w:sz w:val="16"/>
          <w:szCs w:val="16"/>
          <w:lang w:val="en-US"/>
        </w:rPr>
        <w:t xml:space="preserve">, </w:t>
      </w:r>
      <w:r w:rsidR="00D8466F" w:rsidRPr="00C9465D">
        <w:rPr>
          <w:rStyle w:val="Strong"/>
          <w:rFonts w:eastAsiaTheme="majorEastAsia"/>
          <w:b w:val="0"/>
          <w:i/>
          <w:color w:val="000000"/>
          <w:sz w:val="16"/>
          <w:szCs w:val="16"/>
          <w:shd w:val="clear" w:color="auto" w:fill="FFFFFF"/>
          <w:lang w:val="en-US"/>
        </w:rPr>
        <w:t>Case of</w:t>
      </w:r>
      <w:r w:rsidRPr="00C9465D">
        <w:rPr>
          <w:rStyle w:val="Strong"/>
          <w:rFonts w:eastAsiaTheme="majorEastAsia"/>
          <w:b w:val="0"/>
          <w:i/>
          <w:color w:val="000000"/>
          <w:sz w:val="16"/>
          <w:szCs w:val="16"/>
          <w:shd w:val="clear" w:color="auto" w:fill="FFFFFF"/>
          <w:lang w:val="en-US"/>
        </w:rPr>
        <w:t xml:space="preserve"> </w:t>
      </w:r>
      <w:r w:rsidR="00D8209E" w:rsidRPr="00C9465D">
        <w:rPr>
          <w:rStyle w:val="Strong"/>
          <w:rFonts w:eastAsiaTheme="majorEastAsia"/>
          <w:b w:val="0"/>
          <w:i/>
          <w:color w:val="000000"/>
          <w:sz w:val="16"/>
          <w:szCs w:val="16"/>
          <w:shd w:val="clear" w:color="auto" w:fill="FFFFFF"/>
          <w:lang w:val="en-US"/>
        </w:rPr>
        <w:t>the Human Right Defender</w:t>
      </w:r>
      <w:r w:rsidR="00193CBB" w:rsidRPr="00C9465D">
        <w:rPr>
          <w:rStyle w:val="Strong"/>
          <w:rFonts w:eastAsiaTheme="majorEastAsia"/>
          <w:b w:val="0"/>
          <w:i/>
          <w:color w:val="000000"/>
          <w:sz w:val="16"/>
          <w:szCs w:val="16"/>
          <w:shd w:val="clear" w:color="auto" w:fill="FFFFFF"/>
          <w:lang w:val="en-US"/>
        </w:rPr>
        <w:t xml:space="preserve"> </w:t>
      </w:r>
      <w:r w:rsidR="00D8466F" w:rsidRPr="00C9465D">
        <w:rPr>
          <w:rStyle w:val="Strong"/>
          <w:rFonts w:eastAsiaTheme="majorEastAsia"/>
          <w:b w:val="0"/>
          <w:i/>
          <w:color w:val="000000"/>
          <w:sz w:val="16"/>
          <w:szCs w:val="16"/>
          <w:shd w:val="clear" w:color="auto" w:fill="FFFFFF"/>
          <w:lang w:val="en-US"/>
        </w:rPr>
        <w:t>et al. v.</w:t>
      </w:r>
      <w:r w:rsidRPr="00C9465D">
        <w:rPr>
          <w:rStyle w:val="Strong"/>
          <w:rFonts w:eastAsiaTheme="majorEastAsia"/>
          <w:b w:val="0"/>
          <w:i/>
          <w:color w:val="000000"/>
          <w:sz w:val="16"/>
          <w:szCs w:val="16"/>
          <w:shd w:val="clear" w:color="auto" w:fill="FFFFFF"/>
          <w:lang w:val="en-US"/>
        </w:rPr>
        <w:t xml:space="preserve"> Guatemala. </w:t>
      </w:r>
      <w:r w:rsidR="00D8466F" w:rsidRPr="00C9465D">
        <w:rPr>
          <w:rStyle w:val="Strong"/>
          <w:rFonts w:eastAsiaTheme="majorEastAsia"/>
          <w:b w:val="0"/>
          <w:i/>
          <w:color w:val="000000"/>
          <w:sz w:val="16"/>
          <w:szCs w:val="16"/>
          <w:shd w:val="clear" w:color="auto" w:fill="FFFFFF"/>
          <w:lang w:val="en-US"/>
        </w:rPr>
        <w:t>Preliminary objections, merits</w:t>
      </w:r>
      <w:r w:rsidR="00193CBB" w:rsidRPr="00C9465D">
        <w:rPr>
          <w:rStyle w:val="Strong"/>
          <w:rFonts w:eastAsiaTheme="majorEastAsia"/>
          <w:b w:val="0"/>
          <w:i/>
          <w:color w:val="000000"/>
          <w:sz w:val="16"/>
          <w:szCs w:val="16"/>
          <w:shd w:val="clear" w:color="auto" w:fill="FFFFFF"/>
          <w:lang w:val="en-US"/>
        </w:rPr>
        <w:t>, reparations and costs</w:t>
      </w:r>
      <w:r w:rsidRPr="00C9465D">
        <w:rPr>
          <w:rStyle w:val="Strong"/>
          <w:rFonts w:eastAsiaTheme="majorEastAsia"/>
          <w:b w:val="0"/>
          <w:i/>
          <w:color w:val="000000"/>
          <w:sz w:val="16"/>
          <w:szCs w:val="16"/>
          <w:shd w:val="clear" w:color="auto" w:fill="FFFFFF"/>
          <w:lang w:val="en-US"/>
        </w:rPr>
        <w:t>.</w:t>
      </w:r>
      <w:r w:rsidRPr="00C9465D">
        <w:rPr>
          <w:rStyle w:val="Strong"/>
          <w:rFonts w:eastAsiaTheme="majorEastAsia"/>
          <w:b w:val="0"/>
          <w:color w:val="000000"/>
          <w:sz w:val="16"/>
          <w:szCs w:val="16"/>
          <w:shd w:val="clear" w:color="auto" w:fill="FFFFFF"/>
          <w:lang w:val="en-US"/>
        </w:rPr>
        <w:t xml:space="preserve"> </w:t>
      </w:r>
      <w:r w:rsidR="00D8466F" w:rsidRPr="00C9465D">
        <w:rPr>
          <w:rStyle w:val="Strong"/>
          <w:rFonts w:eastAsiaTheme="majorEastAsia"/>
          <w:b w:val="0"/>
          <w:color w:val="000000"/>
          <w:sz w:val="16"/>
          <w:szCs w:val="16"/>
          <w:shd w:val="clear" w:color="auto" w:fill="FFFFFF"/>
          <w:lang w:val="en-US"/>
        </w:rPr>
        <w:t>Judgment of</w:t>
      </w:r>
      <w:r w:rsidRPr="00C9465D">
        <w:rPr>
          <w:rStyle w:val="Strong"/>
          <w:rFonts w:eastAsiaTheme="majorEastAsia"/>
          <w:b w:val="0"/>
          <w:color w:val="000000"/>
          <w:sz w:val="16"/>
          <w:szCs w:val="16"/>
          <w:shd w:val="clear" w:color="auto" w:fill="FFFFFF"/>
          <w:lang w:val="en-US"/>
        </w:rPr>
        <w:t xml:space="preserve"> </w:t>
      </w:r>
      <w:r w:rsidR="00D8466F" w:rsidRPr="00C9465D">
        <w:rPr>
          <w:rStyle w:val="Strong"/>
          <w:rFonts w:eastAsiaTheme="majorEastAsia"/>
          <w:b w:val="0"/>
          <w:color w:val="000000"/>
          <w:sz w:val="16"/>
          <w:szCs w:val="16"/>
          <w:shd w:val="clear" w:color="auto" w:fill="FFFFFF"/>
          <w:lang w:val="en-US"/>
        </w:rPr>
        <w:t>August 28,</w:t>
      </w:r>
      <w:r w:rsidRPr="00C9465D">
        <w:rPr>
          <w:rStyle w:val="Strong"/>
          <w:rFonts w:eastAsiaTheme="majorEastAsia"/>
          <w:b w:val="0"/>
          <w:color w:val="000000"/>
          <w:sz w:val="16"/>
          <w:szCs w:val="16"/>
          <w:shd w:val="clear" w:color="auto" w:fill="FFFFFF"/>
          <w:lang w:val="en-US"/>
        </w:rPr>
        <w:t xml:space="preserve"> 2014. </w:t>
      </w:r>
      <w:r w:rsidR="00E2299F" w:rsidRPr="00C9465D">
        <w:rPr>
          <w:rStyle w:val="Strong"/>
          <w:rFonts w:eastAsiaTheme="majorEastAsia"/>
          <w:b w:val="0"/>
          <w:color w:val="000000"/>
          <w:sz w:val="16"/>
          <w:szCs w:val="16"/>
          <w:shd w:val="clear" w:color="auto" w:fill="FFFFFF"/>
          <w:lang w:val="en-US"/>
        </w:rPr>
        <w:t xml:space="preserve">Series </w:t>
      </w:r>
      <w:r w:rsidRPr="00C9465D">
        <w:rPr>
          <w:rStyle w:val="Strong"/>
          <w:rFonts w:eastAsiaTheme="majorEastAsia"/>
          <w:b w:val="0"/>
          <w:color w:val="000000"/>
          <w:sz w:val="16"/>
          <w:szCs w:val="16"/>
          <w:shd w:val="clear" w:color="auto" w:fill="FFFFFF"/>
          <w:lang w:val="en-US"/>
        </w:rPr>
        <w:t xml:space="preserve">C No. 283, </w:t>
      </w:r>
      <w:r w:rsidR="00D8466F" w:rsidRPr="00C9465D">
        <w:rPr>
          <w:rStyle w:val="Strong"/>
          <w:rFonts w:eastAsiaTheme="majorEastAsia"/>
          <w:b w:val="0"/>
          <w:color w:val="000000"/>
          <w:sz w:val="16"/>
          <w:szCs w:val="16"/>
          <w:shd w:val="clear" w:color="auto" w:fill="FFFFFF"/>
          <w:lang w:val="en-US"/>
        </w:rPr>
        <w:t>para.</w:t>
      </w:r>
      <w:r w:rsidRPr="00C9465D">
        <w:rPr>
          <w:rStyle w:val="Strong"/>
          <w:rFonts w:eastAsiaTheme="majorEastAsia"/>
          <w:b w:val="0"/>
          <w:color w:val="000000"/>
          <w:sz w:val="16"/>
          <w:szCs w:val="16"/>
          <w:shd w:val="clear" w:color="auto" w:fill="FFFFFF"/>
          <w:lang w:val="en-US"/>
        </w:rPr>
        <w:t xml:space="preserve"> 252; </w:t>
      </w:r>
      <w:r w:rsidR="00D8466F" w:rsidRPr="00C9465D">
        <w:rPr>
          <w:rStyle w:val="Strong"/>
          <w:rFonts w:eastAsiaTheme="majorEastAsia"/>
          <w:b w:val="0"/>
          <w:i/>
          <w:color w:val="000000"/>
          <w:sz w:val="16"/>
          <w:szCs w:val="16"/>
          <w:shd w:val="clear" w:color="auto" w:fill="FFFFFF"/>
          <w:lang w:val="en-US"/>
        </w:rPr>
        <w:t>Case of</w:t>
      </w:r>
      <w:r w:rsidR="001056D1" w:rsidRPr="00C9465D">
        <w:rPr>
          <w:i/>
          <w:sz w:val="16"/>
          <w:szCs w:val="16"/>
          <w:lang w:val="en-US"/>
        </w:rPr>
        <w:t xml:space="preserve"> the members of the Village of Chichupac and neighboring communities of the municipality of </w:t>
      </w:r>
      <w:r w:rsidRPr="00C9465D">
        <w:rPr>
          <w:rStyle w:val="Strong"/>
          <w:rFonts w:eastAsiaTheme="majorEastAsia"/>
          <w:b w:val="0"/>
          <w:i/>
          <w:color w:val="000000"/>
          <w:sz w:val="16"/>
          <w:szCs w:val="16"/>
          <w:shd w:val="clear" w:color="auto" w:fill="FFFFFF"/>
          <w:lang w:val="en-US"/>
        </w:rPr>
        <w:t xml:space="preserve">Rabinal </w:t>
      </w:r>
      <w:r w:rsidR="00193CBB" w:rsidRPr="00C9465D">
        <w:rPr>
          <w:rStyle w:val="Strong"/>
          <w:rFonts w:eastAsiaTheme="majorEastAsia"/>
          <w:b w:val="0"/>
          <w:i/>
          <w:color w:val="000000"/>
          <w:sz w:val="16"/>
          <w:szCs w:val="16"/>
          <w:shd w:val="clear" w:color="auto" w:fill="FFFFFF"/>
          <w:lang w:val="en-US"/>
        </w:rPr>
        <w:t>v.</w:t>
      </w:r>
      <w:r w:rsidRPr="00C9465D">
        <w:rPr>
          <w:rStyle w:val="Strong"/>
          <w:rFonts w:eastAsiaTheme="majorEastAsia"/>
          <w:b w:val="0"/>
          <w:i/>
          <w:color w:val="000000"/>
          <w:sz w:val="16"/>
          <w:szCs w:val="16"/>
          <w:shd w:val="clear" w:color="auto" w:fill="FFFFFF"/>
          <w:lang w:val="en-US"/>
        </w:rPr>
        <w:t xml:space="preserve"> Guatemala, supra</w:t>
      </w:r>
      <w:r w:rsidRPr="00C9465D">
        <w:rPr>
          <w:rStyle w:val="Strong"/>
          <w:rFonts w:eastAsiaTheme="majorEastAsia"/>
          <w:b w:val="0"/>
          <w:color w:val="000000"/>
          <w:sz w:val="16"/>
          <w:szCs w:val="16"/>
          <w:shd w:val="clear" w:color="auto" w:fill="FFFFFF"/>
          <w:lang w:val="en-US"/>
        </w:rPr>
        <w:t xml:space="preserve">, </w:t>
      </w:r>
      <w:r w:rsidR="00D8466F" w:rsidRPr="00C9465D">
        <w:rPr>
          <w:rStyle w:val="Strong"/>
          <w:rFonts w:eastAsiaTheme="majorEastAsia"/>
          <w:b w:val="0"/>
          <w:color w:val="000000"/>
          <w:sz w:val="16"/>
          <w:szCs w:val="16"/>
          <w:shd w:val="clear" w:color="auto" w:fill="FFFFFF"/>
          <w:lang w:val="en-US"/>
        </w:rPr>
        <w:t>para.</w:t>
      </w:r>
      <w:r w:rsidRPr="00C9465D">
        <w:rPr>
          <w:rStyle w:val="Strong"/>
          <w:rFonts w:eastAsiaTheme="majorEastAsia"/>
          <w:b w:val="0"/>
          <w:color w:val="000000"/>
          <w:sz w:val="16"/>
          <w:szCs w:val="16"/>
          <w:shd w:val="clear" w:color="auto" w:fill="FFFFFF"/>
          <w:lang w:val="en-US"/>
        </w:rPr>
        <w:t xml:space="preserve"> </w:t>
      </w:r>
      <w:r w:rsidRPr="00C9465D">
        <w:rPr>
          <w:rStyle w:val="Strong"/>
          <w:rFonts w:eastAsiaTheme="majorEastAsia"/>
          <w:b w:val="0"/>
          <w:color w:val="000000"/>
          <w:sz w:val="16"/>
          <w:szCs w:val="16"/>
          <w:shd w:val="clear" w:color="auto" w:fill="FFFFFF"/>
        </w:rPr>
        <w:t>285;</w:t>
      </w:r>
      <w:r w:rsidRPr="00C9465D">
        <w:rPr>
          <w:rStyle w:val="Strong"/>
          <w:rFonts w:eastAsiaTheme="majorEastAsia"/>
          <w:color w:val="000000"/>
          <w:sz w:val="16"/>
          <w:szCs w:val="16"/>
          <w:shd w:val="clear" w:color="auto" w:fill="FFFFFF"/>
        </w:rPr>
        <w:t xml:space="preserve"> </w:t>
      </w:r>
      <w:r w:rsidR="00D8466F" w:rsidRPr="00C9465D">
        <w:rPr>
          <w:i/>
          <w:sz w:val="16"/>
          <w:szCs w:val="16"/>
        </w:rPr>
        <w:t>Case of</w:t>
      </w:r>
      <w:r w:rsidRPr="00C9465D">
        <w:rPr>
          <w:i/>
          <w:sz w:val="16"/>
          <w:szCs w:val="16"/>
        </w:rPr>
        <w:t xml:space="preserve"> Vásquez Durand</w:t>
      </w:r>
      <w:r w:rsidR="00193CBB" w:rsidRPr="00C9465D">
        <w:rPr>
          <w:i/>
          <w:sz w:val="16"/>
          <w:szCs w:val="16"/>
        </w:rPr>
        <w:t xml:space="preserve"> </w:t>
      </w:r>
      <w:r w:rsidR="00D8466F" w:rsidRPr="00C9465D">
        <w:rPr>
          <w:i/>
          <w:sz w:val="16"/>
          <w:szCs w:val="16"/>
        </w:rPr>
        <w:t>et al. v.</w:t>
      </w:r>
      <w:r w:rsidRPr="00C9465D">
        <w:rPr>
          <w:i/>
          <w:sz w:val="16"/>
          <w:szCs w:val="16"/>
        </w:rPr>
        <w:t xml:space="preserve"> Ecuador, supra</w:t>
      </w:r>
      <w:r w:rsidRPr="00C9465D">
        <w:rPr>
          <w:sz w:val="16"/>
          <w:szCs w:val="16"/>
        </w:rPr>
        <w:t xml:space="preserve">, </w:t>
      </w:r>
      <w:r w:rsidR="00D8466F" w:rsidRPr="00C9465D">
        <w:rPr>
          <w:sz w:val="16"/>
          <w:szCs w:val="16"/>
        </w:rPr>
        <w:t>para.</w:t>
      </w:r>
      <w:r w:rsidRPr="00C9465D">
        <w:rPr>
          <w:sz w:val="16"/>
          <w:szCs w:val="16"/>
        </w:rPr>
        <w:t xml:space="preserve"> </w:t>
      </w:r>
      <w:r w:rsidRPr="00C9465D">
        <w:rPr>
          <w:sz w:val="16"/>
          <w:szCs w:val="16"/>
          <w:lang w:val="en-US"/>
        </w:rPr>
        <w:t xml:space="preserve">203; </w:t>
      </w:r>
      <w:r w:rsidR="00D8466F" w:rsidRPr="00C9465D">
        <w:rPr>
          <w:rStyle w:val="Strong"/>
          <w:rFonts w:eastAsiaTheme="majorEastAsia"/>
          <w:b w:val="0"/>
          <w:i/>
          <w:color w:val="000000"/>
          <w:sz w:val="16"/>
          <w:szCs w:val="16"/>
          <w:shd w:val="clear" w:color="auto" w:fill="FFFFFF"/>
          <w:lang w:val="en-US"/>
        </w:rPr>
        <w:t>Case of</w:t>
      </w:r>
      <w:r w:rsidRPr="00C9465D">
        <w:rPr>
          <w:rStyle w:val="Strong"/>
          <w:rFonts w:eastAsiaTheme="majorEastAsia"/>
          <w:b w:val="0"/>
          <w:i/>
          <w:color w:val="000000"/>
          <w:sz w:val="16"/>
          <w:szCs w:val="16"/>
          <w:shd w:val="clear" w:color="auto" w:fill="FFFFFF"/>
          <w:lang w:val="en-US"/>
        </w:rPr>
        <w:t xml:space="preserve"> Favela Nova Brasília </w:t>
      </w:r>
      <w:r w:rsidR="00193CBB" w:rsidRPr="00C9465D">
        <w:rPr>
          <w:rStyle w:val="Strong"/>
          <w:rFonts w:eastAsiaTheme="majorEastAsia"/>
          <w:b w:val="0"/>
          <w:i/>
          <w:color w:val="000000"/>
          <w:sz w:val="16"/>
          <w:szCs w:val="16"/>
          <w:shd w:val="clear" w:color="auto" w:fill="FFFFFF"/>
          <w:lang w:val="en-US"/>
        </w:rPr>
        <w:t>v.</w:t>
      </w:r>
      <w:r w:rsidRPr="00C9465D">
        <w:rPr>
          <w:rStyle w:val="Strong"/>
          <w:rFonts w:eastAsiaTheme="majorEastAsia"/>
          <w:b w:val="0"/>
          <w:i/>
          <w:color w:val="000000"/>
          <w:sz w:val="16"/>
          <w:szCs w:val="16"/>
          <w:shd w:val="clear" w:color="auto" w:fill="FFFFFF"/>
          <w:lang w:val="en-US"/>
        </w:rPr>
        <w:t xml:space="preserve"> </w:t>
      </w:r>
      <w:r w:rsidR="00FA5261" w:rsidRPr="00C9465D">
        <w:rPr>
          <w:rStyle w:val="Strong"/>
          <w:rFonts w:eastAsiaTheme="majorEastAsia"/>
          <w:b w:val="0"/>
          <w:i/>
          <w:color w:val="000000"/>
          <w:sz w:val="16"/>
          <w:szCs w:val="16"/>
          <w:shd w:val="clear" w:color="auto" w:fill="FFFFFF"/>
          <w:lang w:val="en-US"/>
        </w:rPr>
        <w:t>Brazil</w:t>
      </w:r>
      <w:r w:rsidRPr="00C9465D">
        <w:rPr>
          <w:rStyle w:val="Strong"/>
          <w:rFonts w:eastAsiaTheme="majorEastAsia"/>
          <w:b w:val="0"/>
          <w:i/>
          <w:color w:val="000000"/>
          <w:sz w:val="16"/>
          <w:szCs w:val="16"/>
          <w:shd w:val="clear" w:color="auto" w:fill="FFFFFF"/>
          <w:lang w:val="en-US"/>
        </w:rPr>
        <w:t xml:space="preserve">. </w:t>
      </w:r>
      <w:r w:rsidR="00D8466F" w:rsidRPr="00C9465D">
        <w:rPr>
          <w:rStyle w:val="Strong"/>
          <w:rFonts w:eastAsiaTheme="majorEastAsia"/>
          <w:b w:val="0"/>
          <w:i/>
          <w:color w:val="000000"/>
          <w:sz w:val="16"/>
          <w:szCs w:val="16"/>
          <w:shd w:val="clear" w:color="auto" w:fill="FFFFFF"/>
          <w:lang w:val="en-US"/>
        </w:rPr>
        <w:t>Preliminary objections, merits</w:t>
      </w:r>
      <w:r w:rsidR="00193CBB" w:rsidRPr="00C9465D">
        <w:rPr>
          <w:rStyle w:val="Strong"/>
          <w:rFonts w:eastAsiaTheme="majorEastAsia"/>
          <w:b w:val="0"/>
          <w:i/>
          <w:color w:val="000000"/>
          <w:sz w:val="16"/>
          <w:szCs w:val="16"/>
          <w:shd w:val="clear" w:color="auto" w:fill="FFFFFF"/>
          <w:lang w:val="en-US"/>
        </w:rPr>
        <w:t>, reparations and costs</w:t>
      </w:r>
      <w:r w:rsidRPr="00C9465D">
        <w:rPr>
          <w:rStyle w:val="Strong"/>
          <w:rFonts w:eastAsiaTheme="majorEastAsia"/>
          <w:b w:val="0"/>
          <w:i/>
          <w:color w:val="000000"/>
          <w:sz w:val="16"/>
          <w:szCs w:val="16"/>
          <w:shd w:val="clear" w:color="auto" w:fill="FFFFFF"/>
          <w:lang w:val="en-US"/>
        </w:rPr>
        <w:t>.</w:t>
      </w:r>
      <w:r w:rsidRPr="00C9465D">
        <w:rPr>
          <w:rStyle w:val="Strong"/>
          <w:rFonts w:eastAsiaTheme="majorEastAsia"/>
          <w:b w:val="0"/>
          <w:color w:val="000000"/>
          <w:sz w:val="16"/>
          <w:szCs w:val="16"/>
          <w:shd w:val="clear" w:color="auto" w:fill="FFFFFF"/>
          <w:lang w:val="en-US"/>
        </w:rPr>
        <w:t xml:space="preserve"> </w:t>
      </w:r>
      <w:r w:rsidR="00D8466F" w:rsidRPr="00C9465D">
        <w:rPr>
          <w:rStyle w:val="Strong"/>
          <w:rFonts w:eastAsiaTheme="majorEastAsia"/>
          <w:b w:val="0"/>
          <w:color w:val="000000"/>
          <w:sz w:val="16"/>
          <w:szCs w:val="16"/>
          <w:shd w:val="clear" w:color="auto" w:fill="FFFFFF"/>
          <w:lang w:val="en-US"/>
        </w:rPr>
        <w:t>Judgment of</w:t>
      </w:r>
      <w:r w:rsidRPr="00C9465D">
        <w:rPr>
          <w:rStyle w:val="Strong"/>
          <w:rFonts w:eastAsiaTheme="majorEastAsia"/>
          <w:b w:val="0"/>
          <w:color w:val="000000"/>
          <w:sz w:val="16"/>
          <w:szCs w:val="16"/>
          <w:shd w:val="clear" w:color="auto" w:fill="FFFFFF"/>
          <w:lang w:val="en-US"/>
        </w:rPr>
        <w:t xml:space="preserve"> 1</w:t>
      </w:r>
      <w:r w:rsidR="00BD26CF" w:rsidRPr="00C9465D">
        <w:rPr>
          <w:rStyle w:val="Strong"/>
          <w:rFonts w:eastAsiaTheme="majorEastAsia"/>
          <w:b w:val="0"/>
          <w:color w:val="000000"/>
          <w:sz w:val="16"/>
          <w:szCs w:val="16"/>
          <w:shd w:val="clear" w:color="auto" w:fill="FFFFFF"/>
          <w:lang w:val="en-US"/>
        </w:rPr>
        <w:t>February 6,</w:t>
      </w:r>
      <w:r w:rsidRPr="00C9465D">
        <w:rPr>
          <w:rStyle w:val="Strong"/>
          <w:rFonts w:eastAsiaTheme="majorEastAsia"/>
          <w:b w:val="0"/>
          <w:color w:val="000000"/>
          <w:sz w:val="16"/>
          <w:szCs w:val="16"/>
          <w:shd w:val="clear" w:color="auto" w:fill="FFFFFF"/>
          <w:lang w:val="en-US"/>
        </w:rPr>
        <w:t xml:space="preserve"> 2017</w:t>
      </w:r>
      <w:r w:rsidRPr="00C9465D">
        <w:rPr>
          <w:rStyle w:val="Strong"/>
          <w:rFonts w:eastAsiaTheme="majorEastAsia"/>
          <w:b w:val="0"/>
          <w:i/>
          <w:color w:val="000000"/>
          <w:sz w:val="16"/>
          <w:szCs w:val="16"/>
          <w:shd w:val="clear" w:color="auto" w:fill="FFFFFF"/>
          <w:lang w:val="en-US"/>
        </w:rPr>
        <w:t>.</w:t>
      </w:r>
      <w:r w:rsidRPr="00C9465D">
        <w:rPr>
          <w:rStyle w:val="Strong"/>
          <w:rFonts w:eastAsiaTheme="majorEastAsia"/>
          <w:b w:val="0"/>
          <w:color w:val="000000"/>
          <w:sz w:val="16"/>
          <w:szCs w:val="16"/>
          <w:shd w:val="clear" w:color="auto" w:fill="FFFFFF"/>
          <w:lang w:val="en-US"/>
        </w:rPr>
        <w:t xml:space="preserve"> </w:t>
      </w:r>
      <w:r w:rsidR="00E2299F" w:rsidRPr="00C9465D">
        <w:rPr>
          <w:rStyle w:val="Strong"/>
          <w:rFonts w:eastAsiaTheme="majorEastAsia"/>
          <w:b w:val="0"/>
          <w:color w:val="000000"/>
          <w:sz w:val="16"/>
          <w:szCs w:val="16"/>
          <w:shd w:val="clear" w:color="auto" w:fill="FFFFFF"/>
          <w:lang w:val="en-US"/>
        </w:rPr>
        <w:t xml:space="preserve">Series </w:t>
      </w:r>
      <w:r w:rsidRPr="00C9465D">
        <w:rPr>
          <w:rStyle w:val="Strong"/>
          <w:rFonts w:eastAsiaTheme="majorEastAsia"/>
          <w:b w:val="0"/>
          <w:color w:val="000000"/>
          <w:sz w:val="16"/>
          <w:szCs w:val="16"/>
          <w:shd w:val="clear" w:color="auto" w:fill="FFFFFF"/>
          <w:lang w:val="en-US"/>
        </w:rPr>
        <w:t xml:space="preserve">C No. 333, </w:t>
      </w:r>
      <w:r w:rsidR="00D8466F" w:rsidRPr="00C9465D">
        <w:rPr>
          <w:rStyle w:val="Strong"/>
          <w:rFonts w:eastAsiaTheme="majorEastAsia"/>
          <w:b w:val="0"/>
          <w:color w:val="000000"/>
          <w:sz w:val="16"/>
          <w:szCs w:val="16"/>
          <w:shd w:val="clear" w:color="auto" w:fill="FFFFFF"/>
          <w:lang w:val="en-US"/>
        </w:rPr>
        <w:t>para.</w:t>
      </w:r>
      <w:r w:rsidRPr="00C9465D">
        <w:rPr>
          <w:rStyle w:val="Strong"/>
          <w:rFonts w:eastAsiaTheme="majorEastAsia"/>
          <w:b w:val="0"/>
          <w:color w:val="000000"/>
          <w:sz w:val="16"/>
          <w:szCs w:val="16"/>
          <w:shd w:val="clear" w:color="auto" w:fill="FFFFFF"/>
          <w:lang w:val="en-US"/>
        </w:rPr>
        <w:t xml:space="preserve"> 292,</w:t>
      </w:r>
      <w:r w:rsidR="00193CBB" w:rsidRPr="00C9465D">
        <w:rPr>
          <w:rStyle w:val="Strong"/>
          <w:rFonts w:eastAsiaTheme="majorEastAsia"/>
          <w:b w:val="0"/>
          <w:i/>
          <w:color w:val="000000"/>
          <w:sz w:val="16"/>
          <w:szCs w:val="16"/>
          <w:shd w:val="clear" w:color="auto" w:fill="FFFFFF"/>
          <w:lang w:val="en-US"/>
        </w:rPr>
        <w:t xml:space="preserve"> and </w:t>
      </w:r>
      <w:r w:rsidR="00D8466F" w:rsidRPr="00C9465D">
        <w:rPr>
          <w:rStyle w:val="Strong"/>
          <w:rFonts w:eastAsiaTheme="majorEastAsia"/>
          <w:b w:val="0"/>
          <w:i/>
          <w:color w:val="000000"/>
          <w:sz w:val="16"/>
          <w:szCs w:val="16"/>
          <w:shd w:val="clear" w:color="auto" w:fill="FFFFFF"/>
          <w:lang w:val="en-US"/>
        </w:rPr>
        <w:t>Case of</w:t>
      </w:r>
      <w:r w:rsidRPr="00C9465D">
        <w:rPr>
          <w:rStyle w:val="Strong"/>
          <w:rFonts w:eastAsiaTheme="majorEastAsia"/>
          <w:b w:val="0"/>
          <w:i/>
          <w:color w:val="000000"/>
          <w:sz w:val="16"/>
          <w:szCs w:val="16"/>
          <w:shd w:val="clear" w:color="auto" w:fill="FFFFFF"/>
          <w:lang w:val="en-US"/>
        </w:rPr>
        <w:t xml:space="preserve"> Pacheco León</w:t>
      </w:r>
      <w:r w:rsidR="00193CBB" w:rsidRPr="00C9465D">
        <w:rPr>
          <w:rStyle w:val="Strong"/>
          <w:rFonts w:eastAsiaTheme="majorEastAsia"/>
          <w:b w:val="0"/>
          <w:i/>
          <w:color w:val="000000"/>
          <w:sz w:val="16"/>
          <w:szCs w:val="16"/>
          <w:shd w:val="clear" w:color="auto" w:fill="FFFFFF"/>
          <w:lang w:val="en-US"/>
        </w:rPr>
        <w:t xml:space="preserve"> </w:t>
      </w:r>
      <w:r w:rsidR="00D8466F" w:rsidRPr="00C9465D">
        <w:rPr>
          <w:rStyle w:val="Strong"/>
          <w:rFonts w:eastAsiaTheme="majorEastAsia"/>
          <w:b w:val="0"/>
          <w:i/>
          <w:color w:val="000000"/>
          <w:sz w:val="16"/>
          <w:szCs w:val="16"/>
          <w:shd w:val="clear" w:color="auto" w:fill="FFFFFF"/>
          <w:lang w:val="en-US"/>
        </w:rPr>
        <w:t>et al. v.</w:t>
      </w:r>
      <w:r w:rsidRPr="00C9465D">
        <w:rPr>
          <w:rStyle w:val="Strong"/>
          <w:rFonts w:eastAsiaTheme="majorEastAsia"/>
          <w:b w:val="0"/>
          <w:i/>
          <w:color w:val="000000"/>
          <w:sz w:val="16"/>
          <w:szCs w:val="16"/>
          <w:shd w:val="clear" w:color="auto" w:fill="FFFFFF"/>
          <w:lang w:val="en-US"/>
        </w:rPr>
        <w:t xml:space="preserve"> Honduras. </w:t>
      </w:r>
      <w:r w:rsidR="00193CBB" w:rsidRPr="00C9465D">
        <w:rPr>
          <w:rStyle w:val="Strong"/>
          <w:rFonts w:eastAsiaTheme="majorEastAsia"/>
          <w:b w:val="0"/>
          <w:i/>
          <w:color w:val="000000"/>
          <w:sz w:val="16"/>
          <w:szCs w:val="16"/>
          <w:shd w:val="clear" w:color="auto" w:fill="FFFFFF"/>
          <w:lang w:val="en-US"/>
        </w:rPr>
        <w:t>Merits, reparations and costs</w:t>
      </w:r>
      <w:r w:rsidRPr="00C9465D">
        <w:rPr>
          <w:rStyle w:val="Strong"/>
          <w:rFonts w:eastAsiaTheme="majorEastAsia"/>
          <w:b w:val="0"/>
          <w:i/>
          <w:color w:val="000000"/>
          <w:sz w:val="16"/>
          <w:szCs w:val="16"/>
          <w:shd w:val="clear" w:color="auto" w:fill="FFFFFF"/>
          <w:lang w:val="en-US"/>
        </w:rPr>
        <w:t>.</w:t>
      </w:r>
      <w:r w:rsidRPr="00C9465D">
        <w:rPr>
          <w:rStyle w:val="Strong"/>
          <w:rFonts w:eastAsiaTheme="majorEastAsia"/>
          <w:b w:val="0"/>
          <w:color w:val="000000"/>
          <w:sz w:val="16"/>
          <w:szCs w:val="16"/>
          <w:shd w:val="clear" w:color="auto" w:fill="FFFFFF"/>
          <w:lang w:val="en-US"/>
        </w:rPr>
        <w:t xml:space="preserve"> </w:t>
      </w:r>
      <w:r w:rsidR="00D8466F" w:rsidRPr="00C9465D">
        <w:rPr>
          <w:rStyle w:val="Strong"/>
          <w:rFonts w:eastAsiaTheme="majorEastAsia"/>
          <w:b w:val="0"/>
          <w:color w:val="000000"/>
          <w:sz w:val="16"/>
          <w:szCs w:val="16"/>
          <w:shd w:val="clear" w:color="auto" w:fill="FFFFFF"/>
          <w:lang w:val="en-US"/>
        </w:rPr>
        <w:t>Judgment of</w:t>
      </w:r>
      <w:r w:rsidRPr="00C9465D">
        <w:rPr>
          <w:rStyle w:val="Strong"/>
          <w:rFonts w:eastAsiaTheme="majorEastAsia"/>
          <w:b w:val="0"/>
          <w:color w:val="000000"/>
          <w:sz w:val="16"/>
          <w:szCs w:val="16"/>
          <w:shd w:val="clear" w:color="auto" w:fill="FFFFFF"/>
          <w:lang w:val="en-US"/>
        </w:rPr>
        <w:t xml:space="preserve"> </w:t>
      </w:r>
      <w:r w:rsidR="00D8209E" w:rsidRPr="00C9465D">
        <w:rPr>
          <w:rStyle w:val="Strong"/>
          <w:rFonts w:eastAsiaTheme="majorEastAsia"/>
          <w:b w:val="0"/>
          <w:color w:val="000000"/>
          <w:sz w:val="16"/>
          <w:szCs w:val="16"/>
          <w:shd w:val="clear" w:color="auto" w:fill="FFFFFF"/>
          <w:lang w:val="en-US"/>
        </w:rPr>
        <w:t>November 15,</w:t>
      </w:r>
      <w:r w:rsidRPr="00C9465D">
        <w:rPr>
          <w:rStyle w:val="Strong"/>
          <w:rFonts w:eastAsiaTheme="majorEastAsia"/>
          <w:b w:val="0"/>
          <w:color w:val="000000"/>
          <w:sz w:val="16"/>
          <w:szCs w:val="16"/>
          <w:shd w:val="clear" w:color="auto" w:fill="FFFFFF"/>
          <w:lang w:val="en-US"/>
        </w:rPr>
        <w:t xml:space="preserve"> 2017. </w:t>
      </w:r>
      <w:r w:rsidR="00E2299F" w:rsidRPr="00C9465D">
        <w:rPr>
          <w:rStyle w:val="Strong"/>
          <w:rFonts w:eastAsiaTheme="majorEastAsia"/>
          <w:b w:val="0"/>
          <w:color w:val="000000"/>
          <w:sz w:val="16"/>
          <w:szCs w:val="16"/>
          <w:shd w:val="clear" w:color="auto" w:fill="FFFFFF"/>
          <w:lang w:val="en-US"/>
        </w:rPr>
        <w:t xml:space="preserve">Series </w:t>
      </w:r>
      <w:r w:rsidRPr="00C9465D">
        <w:rPr>
          <w:rStyle w:val="Strong"/>
          <w:rFonts w:eastAsiaTheme="majorEastAsia"/>
          <w:b w:val="0"/>
          <w:color w:val="000000"/>
          <w:sz w:val="16"/>
          <w:szCs w:val="16"/>
          <w:shd w:val="clear" w:color="auto" w:fill="FFFFFF"/>
          <w:lang w:val="en-US"/>
        </w:rPr>
        <w:t xml:space="preserve">C No. 342, </w:t>
      </w:r>
      <w:r w:rsidR="00D8466F" w:rsidRPr="00C9465D">
        <w:rPr>
          <w:rStyle w:val="Strong"/>
          <w:rFonts w:eastAsiaTheme="majorEastAsia"/>
          <w:b w:val="0"/>
          <w:color w:val="000000"/>
          <w:sz w:val="16"/>
          <w:szCs w:val="16"/>
          <w:shd w:val="clear" w:color="auto" w:fill="FFFFFF"/>
          <w:lang w:val="en-US"/>
        </w:rPr>
        <w:t>para.</w:t>
      </w:r>
      <w:r w:rsidRPr="00C9465D">
        <w:rPr>
          <w:rStyle w:val="Strong"/>
          <w:rFonts w:eastAsiaTheme="majorEastAsia"/>
          <w:b w:val="0"/>
          <w:color w:val="000000"/>
          <w:sz w:val="16"/>
          <w:szCs w:val="16"/>
          <w:shd w:val="clear" w:color="auto" w:fill="FFFFFF"/>
          <w:lang w:val="en-US"/>
        </w:rPr>
        <w:t xml:space="preserve"> 194.</w:t>
      </w:r>
    </w:p>
  </w:footnote>
  <w:footnote w:id="366">
    <w:p w14:paraId="4B03EB28" w14:textId="7524938B" w:rsidR="00300482" w:rsidRPr="00C9465D" w:rsidRDefault="00300482" w:rsidP="00BD26CF">
      <w:pPr>
        <w:pStyle w:val="FootnoteText"/>
        <w:tabs>
          <w:tab w:val="left" w:pos="567"/>
        </w:tabs>
        <w:spacing w:after="120"/>
        <w:rPr>
          <w:i/>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Neira Alegría</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w:t>
      </w:r>
      <w:r w:rsidR="001902D2" w:rsidRPr="00C9465D">
        <w:rPr>
          <w:i/>
          <w:sz w:val="16"/>
          <w:szCs w:val="16"/>
          <w:lang w:val="en-US"/>
        </w:rPr>
        <w:t>Peru</w:t>
      </w:r>
      <w:r w:rsidRPr="00C9465D">
        <w:rPr>
          <w:i/>
          <w:sz w:val="16"/>
          <w:szCs w:val="16"/>
          <w:lang w:val="en-US"/>
        </w:rPr>
        <w:t xml:space="preserve">. </w:t>
      </w:r>
      <w:r w:rsidR="001056D1" w:rsidRPr="00C9465D">
        <w:rPr>
          <w:i/>
          <w:sz w:val="16"/>
          <w:szCs w:val="16"/>
          <w:lang w:val="en-US"/>
        </w:rPr>
        <w:t>Reparations and costs</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812D37" w:rsidRPr="00C9465D">
        <w:rPr>
          <w:sz w:val="16"/>
          <w:szCs w:val="16"/>
          <w:lang w:val="en-US"/>
        </w:rPr>
        <w:t>September 19,</w:t>
      </w:r>
      <w:r w:rsidRPr="00C9465D">
        <w:rPr>
          <w:sz w:val="16"/>
          <w:szCs w:val="16"/>
          <w:lang w:val="en-US"/>
        </w:rPr>
        <w:t xml:space="preserve"> 1996. </w:t>
      </w:r>
      <w:r w:rsidR="00E2299F" w:rsidRPr="00C9465D">
        <w:rPr>
          <w:sz w:val="16"/>
          <w:szCs w:val="16"/>
          <w:lang w:val="en-US"/>
        </w:rPr>
        <w:t xml:space="preserve">Series </w:t>
      </w:r>
      <w:r w:rsidRPr="00C9465D">
        <w:rPr>
          <w:sz w:val="16"/>
          <w:szCs w:val="16"/>
          <w:lang w:val="en-US"/>
        </w:rPr>
        <w:t xml:space="preserve">C No. 29, </w:t>
      </w:r>
      <w:r w:rsidR="00D8466F" w:rsidRPr="00C9465D">
        <w:rPr>
          <w:sz w:val="16"/>
          <w:szCs w:val="16"/>
          <w:lang w:val="en-US"/>
        </w:rPr>
        <w:t>para.</w:t>
      </w:r>
      <w:r w:rsidRPr="00C9465D">
        <w:rPr>
          <w:sz w:val="16"/>
          <w:szCs w:val="16"/>
          <w:lang w:val="en-US"/>
        </w:rPr>
        <w:t xml:space="preserve"> 69,</w:t>
      </w:r>
      <w:r w:rsidR="00193CBB" w:rsidRPr="00C9465D">
        <w:rPr>
          <w:sz w:val="16"/>
          <w:szCs w:val="16"/>
          <w:lang w:val="en-US"/>
        </w:rPr>
        <w:t xml:space="preserve"> and </w:t>
      </w:r>
      <w:r w:rsidR="00D8466F" w:rsidRPr="00C9465D">
        <w:rPr>
          <w:rStyle w:val="Strong"/>
          <w:b w:val="0"/>
          <w:i/>
          <w:sz w:val="16"/>
          <w:szCs w:val="16"/>
          <w:lang w:val="en-US"/>
        </w:rPr>
        <w:t>Case of</w:t>
      </w:r>
      <w:r w:rsidRPr="00C9465D">
        <w:rPr>
          <w:rStyle w:val="Strong"/>
          <w:b w:val="0"/>
          <w:i/>
          <w:sz w:val="16"/>
          <w:szCs w:val="16"/>
          <w:lang w:val="en-US"/>
        </w:rPr>
        <w:t xml:space="preserve"> Munárriz Escobar</w:t>
      </w:r>
      <w:r w:rsidR="00193CBB" w:rsidRPr="00C9465D">
        <w:rPr>
          <w:rStyle w:val="Strong"/>
          <w:b w:val="0"/>
          <w:i/>
          <w:sz w:val="16"/>
          <w:szCs w:val="16"/>
          <w:lang w:val="en-US"/>
        </w:rPr>
        <w:t xml:space="preserve"> </w:t>
      </w:r>
      <w:r w:rsidR="00D8466F" w:rsidRPr="00C9465D">
        <w:rPr>
          <w:rStyle w:val="Strong"/>
          <w:b w:val="0"/>
          <w:i/>
          <w:sz w:val="16"/>
          <w:szCs w:val="16"/>
          <w:lang w:val="en-US"/>
        </w:rPr>
        <w:t>et al. v.</w:t>
      </w:r>
      <w:r w:rsidRPr="00C9465D">
        <w:rPr>
          <w:rStyle w:val="Strong"/>
          <w:b w:val="0"/>
          <w:i/>
          <w:sz w:val="16"/>
          <w:szCs w:val="16"/>
          <w:lang w:val="en-US"/>
        </w:rPr>
        <w:t xml:space="preserve"> </w:t>
      </w:r>
      <w:r w:rsidR="001902D2" w:rsidRPr="00C9465D">
        <w:rPr>
          <w:rStyle w:val="Strong"/>
          <w:b w:val="0"/>
          <w:i/>
          <w:sz w:val="16"/>
          <w:szCs w:val="16"/>
          <w:lang w:val="en-US"/>
        </w:rPr>
        <w:t>Peru</w:t>
      </w:r>
      <w:r w:rsidRPr="00C9465D">
        <w:rPr>
          <w:rStyle w:val="Strong"/>
          <w:b w:val="0"/>
          <w:i/>
          <w:sz w:val="16"/>
          <w:szCs w:val="16"/>
          <w:lang w:val="en-US"/>
        </w:rPr>
        <w:t>, supra</w:t>
      </w:r>
      <w:r w:rsidRPr="00C9465D">
        <w:rPr>
          <w:rStyle w:val="Strong"/>
          <w:b w:val="0"/>
          <w:sz w:val="16"/>
          <w:szCs w:val="16"/>
          <w:lang w:val="en-US"/>
        </w:rPr>
        <w:t xml:space="preserve">, </w:t>
      </w:r>
      <w:r w:rsidR="00D8466F" w:rsidRPr="00C9465D">
        <w:rPr>
          <w:rStyle w:val="Strong"/>
          <w:b w:val="0"/>
          <w:sz w:val="16"/>
          <w:szCs w:val="16"/>
          <w:lang w:val="en-US"/>
        </w:rPr>
        <w:t>para.</w:t>
      </w:r>
      <w:r w:rsidRPr="00C9465D">
        <w:rPr>
          <w:rStyle w:val="Strong"/>
          <w:b w:val="0"/>
          <w:sz w:val="16"/>
          <w:szCs w:val="16"/>
          <w:lang w:val="en-US"/>
        </w:rPr>
        <w:t xml:space="preserve"> 124.</w:t>
      </w:r>
      <w:r w:rsidRPr="00C9465D">
        <w:rPr>
          <w:rStyle w:val="Strong"/>
          <w:b w:val="0"/>
          <w:i/>
          <w:sz w:val="16"/>
          <w:szCs w:val="16"/>
          <w:lang w:val="en-US"/>
        </w:rPr>
        <w:t xml:space="preserve"> </w:t>
      </w:r>
    </w:p>
  </w:footnote>
  <w:footnote w:id="367">
    <w:p w14:paraId="59902B26" w14:textId="6BDF7FE1" w:rsidR="00300482" w:rsidRPr="00C9465D" w:rsidRDefault="00300482" w:rsidP="00BD26CF">
      <w:pPr>
        <w:tabs>
          <w:tab w:val="left" w:pos="567"/>
        </w:tabs>
        <w:spacing w:after="120" w:line="240" w:lineRule="auto"/>
        <w:jc w:val="both"/>
        <w:rPr>
          <w:rFonts w:ascii="Verdana" w:hAnsi="Verdana"/>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sz w:val="16"/>
          <w:szCs w:val="16"/>
          <w:lang w:val="en-US"/>
        </w:rPr>
        <w:tab/>
      </w:r>
      <w:r w:rsidR="00E2299F" w:rsidRPr="00C9465D">
        <w:rPr>
          <w:rFonts w:ascii="Verdana" w:hAnsi="Verdana"/>
          <w:i/>
          <w:sz w:val="16"/>
          <w:szCs w:val="16"/>
          <w:lang w:val="en-US"/>
        </w:rPr>
        <w:t>Cf.</w:t>
      </w:r>
      <w:r w:rsidRPr="00C9465D">
        <w:rPr>
          <w:rFonts w:ascii="Verdana" w:hAnsi="Verdana"/>
          <w:sz w:val="16"/>
          <w:szCs w:val="16"/>
          <w:lang w:val="en-US"/>
        </w:rPr>
        <w:t xml:space="preserve"> </w:t>
      </w:r>
      <w:r w:rsidR="00D8466F" w:rsidRPr="00C9465D">
        <w:rPr>
          <w:rFonts w:ascii="Verdana" w:hAnsi="Verdana"/>
          <w:i/>
          <w:sz w:val="16"/>
          <w:szCs w:val="16"/>
          <w:lang w:val="en-US"/>
        </w:rPr>
        <w:t>Case of</w:t>
      </w:r>
      <w:r w:rsidRPr="00C9465D">
        <w:rPr>
          <w:rFonts w:ascii="Verdana" w:hAnsi="Verdana"/>
          <w:i/>
          <w:sz w:val="16"/>
          <w:szCs w:val="16"/>
          <w:lang w:val="en-US"/>
        </w:rPr>
        <w:t xml:space="preserve"> </w:t>
      </w:r>
      <w:r w:rsidR="00812D37" w:rsidRPr="00C9465D">
        <w:rPr>
          <w:rFonts w:ascii="Verdana" w:hAnsi="Verdana"/>
          <w:i/>
          <w:sz w:val="16"/>
          <w:szCs w:val="16"/>
          <w:lang w:val="en-US"/>
        </w:rPr>
        <w:t>the</w:t>
      </w:r>
      <w:r w:rsidRPr="00C9465D">
        <w:rPr>
          <w:rFonts w:ascii="Verdana" w:hAnsi="Verdana"/>
          <w:i/>
          <w:sz w:val="16"/>
          <w:szCs w:val="16"/>
          <w:lang w:val="en-US"/>
        </w:rPr>
        <w:t xml:space="preserve"> </w:t>
      </w:r>
      <w:r w:rsidR="00812D37" w:rsidRPr="00C9465D">
        <w:rPr>
          <w:rFonts w:ascii="Verdana" w:hAnsi="Verdana"/>
          <w:i/>
          <w:sz w:val="16"/>
          <w:szCs w:val="16"/>
          <w:lang w:val="en-US"/>
        </w:rPr>
        <w:t xml:space="preserve">Los </w:t>
      </w:r>
      <w:r w:rsidRPr="00C9465D">
        <w:rPr>
          <w:rFonts w:ascii="Verdana" w:hAnsi="Verdana"/>
          <w:i/>
          <w:sz w:val="16"/>
          <w:szCs w:val="16"/>
          <w:lang w:val="en-US"/>
        </w:rPr>
        <w:t xml:space="preserve">Dos Erres </w:t>
      </w:r>
      <w:r w:rsidR="00812D37" w:rsidRPr="00C9465D">
        <w:rPr>
          <w:rFonts w:ascii="Verdana" w:hAnsi="Verdana"/>
          <w:i/>
          <w:sz w:val="16"/>
          <w:szCs w:val="16"/>
          <w:lang w:val="en-US"/>
        </w:rPr>
        <w:t xml:space="preserve">Massacre </w:t>
      </w:r>
      <w:r w:rsidR="00193CBB" w:rsidRPr="00C9465D">
        <w:rPr>
          <w:rFonts w:ascii="Verdana" w:hAnsi="Verdana"/>
          <w:i/>
          <w:sz w:val="16"/>
          <w:szCs w:val="16"/>
          <w:lang w:val="en-US"/>
        </w:rPr>
        <w:t>v.</w:t>
      </w:r>
      <w:r w:rsidRPr="00C9465D">
        <w:rPr>
          <w:rFonts w:ascii="Verdana" w:hAnsi="Verdana"/>
          <w:i/>
          <w:sz w:val="16"/>
          <w:szCs w:val="16"/>
          <w:lang w:val="en-US"/>
        </w:rPr>
        <w:t xml:space="preserve"> Guatemala. </w:t>
      </w:r>
      <w:r w:rsidR="00D8466F" w:rsidRPr="00C9465D">
        <w:rPr>
          <w:rFonts w:ascii="Verdana" w:hAnsi="Verdana"/>
          <w:bCs/>
          <w:i/>
          <w:sz w:val="16"/>
          <w:szCs w:val="16"/>
          <w:shd w:val="clear" w:color="auto" w:fill="FFFFFF"/>
          <w:lang w:val="en-US"/>
        </w:rPr>
        <w:t>Preliminary objection, merits</w:t>
      </w:r>
      <w:r w:rsidR="00193CBB" w:rsidRPr="00C9465D">
        <w:rPr>
          <w:rFonts w:ascii="Verdana" w:hAnsi="Verdana"/>
          <w:bCs/>
          <w:i/>
          <w:sz w:val="16"/>
          <w:szCs w:val="16"/>
          <w:shd w:val="clear" w:color="auto" w:fill="FFFFFF"/>
          <w:lang w:val="en-US"/>
        </w:rPr>
        <w:t>, reparations and costs</w:t>
      </w:r>
      <w:r w:rsidRPr="00C9465D">
        <w:rPr>
          <w:rFonts w:ascii="Verdana" w:hAnsi="Verdana"/>
          <w:bCs/>
          <w:i/>
          <w:sz w:val="16"/>
          <w:szCs w:val="16"/>
          <w:shd w:val="clear" w:color="auto" w:fill="FFFFFF"/>
          <w:lang w:val="en-US"/>
        </w:rPr>
        <w:t xml:space="preserve">. </w:t>
      </w:r>
      <w:r w:rsidR="00D8466F" w:rsidRPr="00C9465D">
        <w:rPr>
          <w:rFonts w:ascii="Verdana" w:hAnsi="Verdana"/>
          <w:bCs/>
          <w:sz w:val="16"/>
          <w:szCs w:val="16"/>
          <w:shd w:val="clear" w:color="auto" w:fill="FFFFFF"/>
          <w:lang w:val="en-US"/>
        </w:rPr>
        <w:t>Judgment of</w:t>
      </w:r>
      <w:r w:rsidRPr="00C9465D">
        <w:rPr>
          <w:rFonts w:ascii="Verdana" w:hAnsi="Verdana"/>
          <w:bCs/>
          <w:sz w:val="16"/>
          <w:szCs w:val="16"/>
          <w:shd w:val="clear" w:color="auto" w:fill="FFFFFF"/>
          <w:lang w:val="en-US"/>
        </w:rPr>
        <w:t xml:space="preserve"> </w:t>
      </w:r>
      <w:r w:rsidR="006A5339" w:rsidRPr="00C9465D">
        <w:rPr>
          <w:rFonts w:ascii="Verdana" w:hAnsi="Verdana"/>
          <w:bCs/>
          <w:sz w:val="16"/>
          <w:szCs w:val="16"/>
          <w:shd w:val="clear" w:color="auto" w:fill="FFFFFF"/>
          <w:lang w:val="en-US"/>
        </w:rPr>
        <w:t>November 24,</w:t>
      </w:r>
      <w:r w:rsidRPr="00C9465D">
        <w:rPr>
          <w:rFonts w:ascii="Verdana" w:hAnsi="Verdana"/>
          <w:bCs/>
          <w:sz w:val="16"/>
          <w:szCs w:val="16"/>
          <w:shd w:val="clear" w:color="auto" w:fill="FFFFFF"/>
          <w:lang w:val="en-US"/>
        </w:rPr>
        <w:t xml:space="preserve"> 2009. </w:t>
      </w:r>
      <w:r w:rsidR="00E2299F" w:rsidRPr="00C9465D">
        <w:rPr>
          <w:rFonts w:ascii="Verdana" w:hAnsi="Verdana"/>
          <w:bCs/>
          <w:sz w:val="16"/>
          <w:szCs w:val="16"/>
          <w:shd w:val="clear" w:color="auto" w:fill="FFFFFF"/>
          <w:lang w:val="en-US"/>
        </w:rPr>
        <w:t xml:space="preserve">Series </w:t>
      </w:r>
      <w:r w:rsidRPr="00C9465D">
        <w:rPr>
          <w:rFonts w:ascii="Verdana" w:hAnsi="Verdana"/>
          <w:bCs/>
          <w:sz w:val="16"/>
          <w:szCs w:val="16"/>
          <w:shd w:val="clear" w:color="auto" w:fill="FFFFFF"/>
          <w:lang w:val="en-US"/>
        </w:rPr>
        <w:t>C No. 211,</w:t>
      </w:r>
      <w:r w:rsidRPr="00C9465D">
        <w:rPr>
          <w:rFonts w:ascii="Verdana" w:hAnsi="Verdana"/>
          <w:sz w:val="16"/>
          <w:szCs w:val="16"/>
          <w:lang w:val="en-US"/>
        </w:rPr>
        <w:t xml:space="preserve"> </w:t>
      </w:r>
      <w:r w:rsidR="00D8466F" w:rsidRPr="00C9465D">
        <w:rPr>
          <w:rFonts w:ascii="Verdana" w:hAnsi="Verdana"/>
          <w:sz w:val="16"/>
          <w:szCs w:val="16"/>
          <w:lang w:val="en-US"/>
        </w:rPr>
        <w:t>para.</w:t>
      </w:r>
      <w:r w:rsidRPr="00C9465D">
        <w:rPr>
          <w:rFonts w:ascii="Verdana" w:hAnsi="Verdana"/>
          <w:sz w:val="16"/>
          <w:szCs w:val="16"/>
          <w:lang w:val="en-US"/>
        </w:rPr>
        <w:t xml:space="preserve"> 245,</w:t>
      </w:r>
      <w:r w:rsidR="00193CBB" w:rsidRPr="00C9465D">
        <w:rPr>
          <w:rFonts w:ascii="Verdana" w:hAnsi="Verdana"/>
          <w:sz w:val="16"/>
          <w:szCs w:val="16"/>
          <w:lang w:val="en-US"/>
        </w:rPr>
        <w:t xml:space="preserve"> and </w:t>
      </w:r>
      <w:r w:rsidR="00D8466F" w:rsidRPr="00C9465D">
        <w:rPr>
          <w:rStyle w:val="Strong"/>
          <w:rFonts w:ascii="Verdana" w:hAnsi="Verdana"/>
          <w:b w:val="0"/>
          <w:i/>
          <w:sz w:val="16"/>
          <w:szCs w:val="16"/>
          <w:lang w:val="en-US"/>
        </w:rPr>
        <w:t>Case of</w:t>
      </w:r>
      <w:r w:rsidRPr="00C9465D">
        <w:rPr>
          <w:rStyle w:val="Strong"/>
          <w:rFonts w:ascii="Verdana" w:hAnsi="Verdana"/>
          <w:b w:val="0"/>
          <w:i/>
          <w:sz w:val="16"/>
          <w:szCs w:val="16"/>
          <w:lang w:val="en-US"/>
        </w:rPr>
        <w:t xml:space="preserve"> Munárriz Escobar</w:t>
      </w:r>
      <w:r w:rsidR="00193CBB" w:rsidRPr="00C9465D">
        <w:rPr>
          <w:rStyle w:val="Strong"/>
          <w:rFonts w:ascii="Verdana" w:hAnsi="Verdana"/>
          <w:b w:val="0"/>
          <w:i/>
          <w:sz w:val="16"/>
          <w:szCs w:val="16"/>
          <w:lang w:val="en-US"/>
        </w:rPr>
        <w:t xml:space="preserve"> </w:t>
      </w:r>
      <w:r w:rsidR="00D8466F" w:rsidRPr="00C9465D">
        <w:rPr>
          <w:rStyle w:val="Strong"/>
          <w:rFonts w:ascii="Verdana" w:hAnsi="Verdana"/>
          <w:b w:val="0"/>
          <w:i/>
          <w:sz w:val="16"/>
          <w:szCs w:val="16"/>
          <w:lang w:val="en-US"/>
        </w:rPr>
        <w:t>et al. v.</w:t>
      </w:r>
      <w:r w:rsidRPr="00C9465D">
        <w:rPr>
          <w:rStyle w:val="Strong"/>
          <w:rFonts w:ascii="Verdana" w:hAnsi="Verdana"/>
          <w:b w:val="0"/>
          <w:i/>
          <w:sz w:val="16"/>
          <w:szCs w:val="16"/>
          <w:lang w:val="en-US"/>
        </w:rPr>
        <w:t xml:space="preserve"> </w:t>
      </w:r>
      <w:r w:rsidR="001902D2" w:rsidRPr="00C9465D">
        <w:rPr>
          <w:rStyle w:val="Strong"/>
          <w:rFonts w:ascii="Verdana" w:hAnsi="Verdana"/>
          <w:b w:val="0"/>
          <w:i/>
          <w:sz w:val="16"/>
          <w:szCs w:val="16"/>
          <w:lang w:val="en-US"/>
        </w:rPr>
        <w:t>Peru</w:t>
      </w:r>
      <w:r w:rsidRPr="00C9465D">
        <w:rPr>
          <w:rStyle w:val="Strong"/>
          <w:rFonts w:ascii="Verdana" w:hAnsi="Verdana"/>
          <w:b w:val="0"/>
          <w:i/>
          <w:sz w:val="16"/>
          <w:szCs w:val="16"/>
          <w:lang w:val="en-US"/>
        </w:rPr>
        <w:t>, supra</w:t>
      </w:r>
      <w:r w:rsidRPr="00C9465D">
        <w:rPr>
          <w:rStyle w:val="Strong"/>
          <w:rFonts w:ascii="Verdana" w:hAnsi="Verdana"/>
          <w:b w:val="0"/>
          <w:sz w:val="16"/>
          <w:szCs w:val="16"/>
          <w:lang w:val="en-US"/>
        </w:rPr>
        <w:t xml:space="preserve">, </w:t>
      </w:r>
      <w:r w:rsidR="00D8466F" w:rsidRPr="00C9465D">
        <w:rPr>
          <w:rStyle w:val="Strong"/>
          <w:rFonts w:ascii="Verdana" w:hAnsi="Verdana"/>
          <w:b w:val="0"/>
          <w:sz w:val="16"/>
          <w:szCs w:val="16"/>
          <w:lang w:val="en-US"/>
        </w:rPr>
        <w:t>para.</w:t>
      </w:r>
      <w:r w:rsidRPr="00C9465D">
        <w:rPr>
          <w:rStyle w:val="Strong"/>
          <w:rFonts w:ascii="Verdana" w:hAnsi="Verdana"/>
          <w:b w:val="0"/>
          <w:sz w:val="16"/>
          <w:szCs w:val="16"/>
          <w:lang w:val="en-US"/>
        </w:rPr>
        <w:t xml:space="preserve"> 124.</w:t>
      </w:r>
    </w:p>
  </w:footnote>
  <w:footnote w:id="368">
    <w:p w14:paraId="7061339F" w14:textId="35CB28B7" w:rsidR="00300482" w:rsidRPr="00C9465D" w:rsidRDefault="00300482" w:rsidP="00BD26CF">
      <w:pPr>
        <w:pStyle w:val="FootnoteText"/>
        <w:tabs>
          <w:tab w:val="left" w:pos="567"/>
        </w:tabs>
        <w:spacing w:after="120"/>
        <w:rPr>
          <w:sz w:val="16"/>
          <w:szCs w:val="16"/>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w:t>
      </w:r>
      <w:r w:rsidR="00812D37" w:rsidRPr="00C9465D">
        <w:rPr>
          <w:i/>
          <w:sz w:val="16"/>
          <w:szCs w:val="16"/>
          <w:lang w:val="en-US"/>
        </w:rPr>
        <w:t>the Los</w:t>
      </w:r>
      <w:r w:rsidRPr="00C9465D">
        <w:rPr>
          <w:i/>
          <w:sz w:val="16"/>
          <w:szCs w:val="16"/>
          <w:lang w:val="en-US"/>
        </w:rPr>
        <w:t xml:space="preserve"> Dos Erres</w:t>
      </w:r>
      <w:r w:rsidR="00812D37" w:rsidRPr="00C9465D">
        <w:rPr>
          <w:i/>
          <w:sz w:val="16"/>
          <w:szCs w:val="16"/>
          <w:lang w:val="en-US"/>
        </w:rPr>
        <w:t xml:space="preserve"> Massacre</w:t>
      </w:r>
      <w:r w:rsidRPr="00C9465D">
        <w:rPr>
          <w:i/>
          <w:sz w:val="16"/>
          <w:szCs w:val="16"/>
          <w:lang w:val="en-US"/>
        </w:rPr>
        <w:t xml:space="preserve"> </w:t>
      </w:r>
      <w:r w:rsidR="00193CBB" w:rsidRPr="00C9465D">
        <w:rPr>
          <w:i/>
          <w:sz w:val="16"/>
          <w:szCs w:val="16"/>
          <w:lang w:val="en-US"/>
        </w:rPr>
        <w:t>v.</w:t>
      </w:r>
      <w:r w:rsidRPr="00C9465D">
        <w:rPr>
          <w:i/>
          <w:sz w:val="16"/>
          <w:szCs w:val="16"/>
          <w:lang w:val="en-US"/>
        </w:rPr>
        <w:t xml:space="preserve"> Guatemala, 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w:t>
      </w:r>
      <w:r w:rsidRPr="00C9465D">
        <w:rPr>
          <w:sz w:val="16"/>
          <w:szCs w:val="16"/>
        </w:rPr>
        <w:t>245,</w:t>
      </w:r>
      <w:r w:rsidR="00193CBB" w:rsidRPr="00C9465D">
        <w:rPr>
          <w:sz w:val="16"/>
          <w:szCs w:val="16"/>
        </w:rPr>
        <w:t xml:space="preserve"> and </w:t>
      </w:r>
      <w:r w:rsidR="00D8466F" w:rsidRPr="00C9465D">
        <w:rPr>
          <w:rStyle w:val="Strong"/>
          <w:b w:val="0"/>
          <w:i/>
          <w:sz w:val="16"/>
          <w:szCs w:val="16"/>
        </w:rPr>
        <w:t>Case of</w:t>
      </w:r>
      <w:r w:rsidRPr="00C9465D">
        <w:rPr>
          <w:rStyle w:val="Strong"/>
          <w:b w:val="0"/>
          <w:i/>
          <w:sz w:val="16"/>
          <w:szCs w:val="16"/>
        </w:rPr>
        <w:t xml:space="preserve"> </w:t>
      </w:r>
      <w:proofErr w:type="spellStart"/>
      <w:r w:rsidRPr="00C9465D">
        <w:rPr>
          <w:rStyle w:val="Strong"/>
          <w:b w:val="0"/>
          <w:i/>
          <w:sz w:val="16"/>
          <w:szCs w:val="16"/>
        </w:rPr>
        <w:t>Munárriz</w:t>
      </w:r>
      <w:proofErr w:type="spellEnd"/>
      <w:r w:rsidRPr="00C9465D">
        <w:rPr>
          <w:rStyle w:val="Strong"/>
          <w:b w:val="0"/>
          <w:i/>
          <w:sz w:val="16"/>
          <w:szCs w:val="16"/>
        </w:rPr>
        <w:t xml:space="preserve"> Escobar</w:t>
      </w:r>
      <w:r w:rsidR="00193CBB" w:rsidRPr="00C9465D">
        <w:rPr>
          <w:rStyle w:val="Strong"/>
          <w:b w:val="0"/>
          <w:i/>
          <w:sz w:val="16"/>
          <w:szCs w:val="16"/>
        </w:rPr>
        <w:t xml:space="preserve"> </w:t>
      </w:r>
      <w:r w:rsidR="00D8466F" w:rsidRPr="00C9465D">
        <w:rPr>
          <w:rStyle w:val="Strong"/>
          <w:b w:val="0"/>
          <w:i/>
          <w:sz w:val="16"/>
          <w:szCs w:val="16"/>
        </w:rPr>
        <w:t>et al. v.</w:t>
      </w:r>
      <w:r w:rsidRPr="00C9465D">
        <w:rPr>
          <w:rStyle w:val="Strong"/>
          <w:b w:val="0"/>
          <w:i/>
          <w:sz w:val="16"/>
          <w:szCs w:val="16"/>
        </w:rPr>
        <w:t xml:space="preserve"> </w:t>
      </w:r>
      <w:proofErr w:type="spellStart"/>
      <w:r w:rsidR="001902D2" w:rsidRPr="00C9465D">
        <w:rPr>
          <w:rStyle w:val="Strong"/>
          <w:b w:val="0"/>
          <w:i/>
          <w:sz w:val="16"/>
          <w:szCs w:val="16"/>
        </w:rPr>
        <w:t>Peru</w:t>
      </w:r>
      <w:proofErr w:type="spellEnd"/>
      <w:r w:rsidRPr="00C9465D">
        <w:rPr>
          <w:rStyle w:val="Strong"/>
          <w:b w:val="0"/>
          <w:i/>
          <w:sz w:val="16"/>
          <w:szCs w:val="16"/>
        </w:rPr>
        <w:t>, supra</w:t>
      </w:r>
      <w:r w:rsidRPr="00C9465D">
        <w:rPr>
          <w:rStyle w:val="Strong"/>
          <w:b w:val="0"/>
          <w:sz w:val="16"/>
          <w:szCs w:val="16"/>
        </w:rPr>
        <w:t xml:space="preserve">, </w:t>
      </w:r>
      <w:r w:rsidR="00D8466F" w:rsidRPr="00C9465D">
        <w:rPr>
          <w:rStyle w:val="Strong"/>
          <w:b w:val="0"/>
          <w:sz w:val="16"/>
          <w:szCs w:val="16"/>
        </w:rPr>
        <w:t>para.</w:t>
      </w:r>
      <w:r w:rsidRPr="00C9465D">
        <w:rPr>
          <w:rStyle w:val="Strong"/>
          <w:b w:val="0"/>
          <w:sz w:val="16"/>
          <w:szCs w:val="16"/>
        </w:rPr>
        <w:t xml:space="preserve"> 124.</w:t>
      </w:r>
    </w:p>
  </w:footnote>
  <w:footnote w:id="369">
    <w:p w14:paraId="6DBADE51" w14:textId="0050387F"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rPr>
        <w:t xml:space="preserve"> </w:t>
      </w:r>
      <w:r w:rsidRPr="00C9465D">
        <w:rPr>
          <w:sz w:val="16"/>
          <w:szCs w:val="16"/>
        </w:rPr>
        <w:tab/>
      </w:r>
      <w:r w:rsidR="00E2299F" w:rsidRPr="00C9465D">
        <w:rPr>
          <w:i/>
          <w:sz w:val="16"/>
          <w:szCs w:val="16"/>
        </w:rPr>
        <w:t>Cf.</w:t>
      </w:r>
      <w:r w:rsidRPr="00C9465D">
        <w:rPr>
          <w:i/>
          <w:sz w:val="16"/>
          <w:szCs w:val="16"/>
        </w:rPr>
        <w:t xml:space="preserve"> </w:t>
      </w:r>
      <w:r w:rsidR="00D8466F" w:rsidRPr="00C9465D">
        <w:rPr>
          <w:i/>
          <w:sz w:val="16"/>
          <w:szCs w:val="16"/>
        </w:rPr>
        <w:t>Case of</w:t>
      </w:r>
      <w:r w:rsidRPr="00C9465D">
        <w:rPr>
          <w:i/>
          <w:sz w:val="16"/>
          <w:szCs w:val="16"/>
        </w:rPr>
        <w:t xml:space="preserve"> Contreras</w:t>
      </w:r>
      <w:r w:rsidR="00193CBB" w:rsidRPr="00C9465D">
        <w:rPr>
          <w:i/>
          <w:sz w:val="16"/>
          <w:szCs w:val="16"/>
        </w:rPr>
        <w:t xml:space="preserve"> </w:t>
      </w:r>
      <w:r w:rsidR="00D8466F" w:rsidRPr="00C9465D">
        <w:rPr>
          <w:i/>
          <w:sz w:val="16"/>
          <w:szCs w:val="16"/>
        </w:rPr>
        <w:t>et al. v.</w:t>
      </w:r>
      <w:r w:rsidRPr="00C9465D">
        <w:rPr>
          <w:i/>
          <w:sz w:val="16"/>
          <w:szCs w:val="16"/>
        </w:rPr>
        <w:t xml:space="preserve"> El Salvador. </w:t>
      </w:r>
      <w:proofErr w:type="spellStart"/>
      <w:r w:rsidR="00532DEC" w:rsidRPr="00C9465D">
        <w:rPr>
          <w:i/>
          <w:sz w:val="16"/>
          <w:szCs w:val="16"/>
        </w:rPr>
        <w:t>Merits</w:t>
      </w:r>
      <w:proofErr w:type="spellEnd"/>
      <w:r w:rsidRPr="00C9465D">
        <w:rPr>
          <w:i/>
          <w:sz w:val="16"/>
          <w:szCs w:val="16"/>
        </w:rPr>
        <w:t xml:space="preserve">. </w:t>
      </w:r>
      <w:r w:rsidR="001056D1" w:rsidRPr="00C9465D">
        <w:rPr>
          <w:i/>
          <w:sz w:val="16"/>
          <w:szCs w:val="16"/>
          <w:lang w:val="en-US"/>
        </w:rPr>
        <w:t>Reparations and costs</w:t>
      </w:r>
      <w:r w:rsidRPr="00C9465D">
        <w:rPr>
          <w:i/>
          <w:sz w:val="16"/>
          <w:szCs w:val="16"/>
          <w:lang w:val="en-US"/>
        </w:rPr>
        <w:t>.</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812D37" w:rsidRPr="00C9465D">
        <w:rPr>
          <w:sz w:val="16"/>
          <w:szCs w:val="16"/>
          <w:lang w:val="en-US"/>
        </w:rPr>
        <w:t>August 31,</w:t>
      </w:r>
      <w:r w:rsidRPr="00C9465D">
        <w:rPr>
          <w:sz w:val="16"/>
          <w:szCs w:val="16"/>
          <w:lang w:val="en-US"/>
        </w:rPr>
        <w:t xml:space="preserve"> 2011. </w:t>
      </w:r>
      <w:r w:rsidR="00E2299F" w:rsidRPr="00C9465D">
        <w:rPr>
          <w:sz w:val="16"/>
          <w:szCs w:val="16"/>
        </w:rPr>
        <w:t xml:space="preserve">Series </w:t>
      </w:r>
      <w:r w:rsidRPr="00C9465D">
        <w:rPr>
          <w:sz w:val="16"/>
          <w:szCs w:val="16"/>
        </w:rPr>
        <w:t xml:space="preserve">C No. 232, </w:t>
      </w:r>
      <w:r w:rsidR="00D8466F" w:rsidRPr="00C9465D">
        <w:rPr>
          <w:sz w:val="16"/>
          <w:szCs w:val="16"/>
        </w:rPr>
        <w:t>para.</w:t>
      </w:r>
      <w:r w:rsidRPr="00C9465D">
        <w:rPr>
          <w:sz w:val="16"/>
          <w:szCs w:val="16"/>
        </w:rPr>
        <w:t xml:space="preserve"> 191,</w:t>
      </w:r>
      <w:r w:rsidR="00193CBB" w:rsidRPr="00C9465D">
        <w:rPr>
          <w:sz w:val="16"/>
          <w:szCs w:val="16"/>
        </w:rPr>
        <w:t xml:space="preserve"> and </w:t>
      </w:r>
      <w:r w:rsidR="00D8466F" w:rsidRPr="00C9465D">
        <w:rPr>
          <w:rStyle w:val="Strong"/>
          <w:b w:val="0"/>
          <w:i/>
          <w:sz w:val="16"/>
          <w:szCs w:val="16"/>
        </w:rPr>
        <w:t>Case of</w:t>
      </w:r>
      <w:r w:rsidRPr="00C9465D">
        <w:rPr>
          <w:rStyle w:val="Strong"/>
          <w:b w:val="0"/>
          <w:i/>
          <w:sz w:val="16"/>
          <w:szCs w:val="16"/>
        </w:rPr>
        <w:t xml:space="preserve"> </w:t>
      </w:r>
      <w:proofErr w:type="spellStart"/>
      <w:r w:rsidRPr="00C9465D">
        <w:rPr>
          <w:rStyle w:val="Strong"/>
          <w:b w:val="0"/>
          <w:i/>
          <w:sz w:val="16"/>
          <w:szCs w:val="16"/>
        </w:rPr>
        <w:t>Munárriz</w:t>
      </w:r>
      <w:proofErr w:type="spellEnd"/>
      <w:r w:rsidRPr="00C9465D">
        <w:rPr>
          <w:rStyle w:val="Strong"/>
          <w:b w:val="0"/>
          <w:i/>
          <w:sz w:val="16"/>
          <w:szCs w:val="16"/>
        </w:rPr>
        <w:t xml:space="preserve"> Escobar</w:t>
      </w:r>
      <w:r w:rsidR="00193CBB" w:rsidRPr="00C9465D">
        <w:rPr>
          <w:rStyle w:val="Strong"/>
          <w:b w:val="0"/>
          <w:i/>
          <w:sz w:val="16"/>
          <w:szCs w:val="16"/>
        </w:rPr>
        <w:t xml:space="preserve"> </w:t>
      </w:r>
      <w:r w:rsidR="00D8466F" w:rsidRPr="00C9465D">
        <w:rPr>
          <w:rStyle w:val="Strong"/>
          <w:b w:val="0"/>
          <w:i/>
          <w:sz w:val="16"/>
          <w:szCs w:val="16"/>
        </w:rPr>
        <w:t>et al. v.</w:t>
      </w:r>
      <w:r w:rsidRPr="00C9465D">
        <w:rPr>
          <w:rStyle w:val="Strong"/>
          <w:b w:val="0"/>
          <w:i/>
          <w:sz w:val="16"/>
          <w:szCs w:val="16"/>
        </w:rPr>
        <w:t xml:space="preserve"> </w:t>
      </w:r>
      <w:proofErr w:type="spellStart"/>
      <w:r w:rsidR="001902D2" w:rsidRPr="00C9465D">
        <w:rPr>
          <w:rStyle w:val="Strong"/>
          <w:b w:val="0"/>
          <w:i/>
          <w:sz w:val="16"/>
          <w:szCs w:val="16"/>
        </w:rPr>
        <w:t>Peru</w:t>
      </w:r>
      <w:proofErr w:type="spellEnd"/>
      <w:r w:rsidRPr="00C9465D">
        <w:rPr>
          <w:rStyle w:val="Strong"/>
          <w:b w:val="0"/>
          <w:i/>
          <w:sz w:val="16"/>
          <w:szCs w:val="16"/>
        </w:rPr>
        <w:t>, supra</w:t>
      </w:r>
      <w:r w:rsidRPr="00C9465D">
        <w:rPr>
          <w:rStyle w:val="Strong"/>
          <w:b w:val="0"/>
          <w:sz w:val="16"/>
          <w:szCs w:val="16"/>
        </w:rPr>
        <w:t xml:space="preserve">, </w:t>
      </w:r>
      <w:r w:rsidR="00D8466F" w:rsidRPr="00C9465D">
        <w:rPr>
          <w:rStyle w:val="Strong"/>
          <w:b w:val="0"/>
          <w:sz w:val="16"/>
          <w:szCs w:val="16"/>
        </w:rPr>
        <w:t>para.</w:t>
      </w:r>
      <w:r w:rsidRPr="00C9465D">
        <w:rPr>
          <w:rStyle w:val="Strong"/>
          <w:b w:val="0"/>
          <w:sz w:val="16"/>
          <w:szCs w:val="16"/>
        </w:rPr>
        <w:t xml:space="preserve"> </w:t>
      </w:r>
      <w:r w:rsidRPr="00C9465D">
        <w:rPr>
          <w:rStyle w:val="Strong"/>
          <w:b w:val="0"/>
          <w:sz w:val="16"/>
          <w:szCs w:val="16"/>
          <w:lang w:val="en-US"/>
        </w:rPr>
        <w:t>125.</w:t>
      </w:r>
    </w:p>
  </w:footnote>
  <w:footnote w:id="370">
    <w:p w14:paraId="25383CCD" w14:textId="6CAFABDA"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812D37" w:rsidRPr="00C9465D">
        <w:rPr>
          <w:sz w:val="16"/>
          <w:szCs w:val="16"/>
          <w:lang w:val="en-US"/>
        </w:rPr>
        <w:t xml:space="preserve">United Nations Committee on Enforced Disappearance, Guiding principles for the search for disappeared persons, adopted by the Committee at its 16th session (April 8 to 18, 2019), Principles </w:t>
      </w:r>
      <w:r w:rsidRPr="00C9465D">
        <w:rPr>
          <w:sz w:val="16"/>
          <w:szCs w:val="16"/>
          <w:lang w:val="en-US"/>
        </w:rPr>
        <w:t>4, 5</w:t>
      </w:r>
      <w:r w:rsidR="00193CBB" w:rsidRPr="00C9465D">
        <w:rPr>
          <w:sz w:val="16"/>
          <w:szCs w:val="16"/>
          <w:lang w:val="en-US"/>
        </w:rPr>
        <w:t xml:space="preserve"> and </w:t>
      </w:r>
      <w:r w:rsidRPr="00C9465D">
        <w:rPr>
          <w:sz w:val="16"/>
          <w:szCs w:val="16"/>
          <w:lang w:val="en-US"/>
        </w:rPr>
        <w:t>14.</w:t>
      </w:r>
    </w:p>
  </w:footnote>
  <w:footnote w:id="371">
    <w:p w14:paraId="7F95DD25" w14:textId="40475EA8" w:rsidR="00300482" w:rsidRPr="00C9465D" w:rsidRDefault="00300482" w:rsidP="00BD26CF">
      <w:pPr>
        <w:tabs>
          <w:tab w:val="left" w:pos="567"/>
        </w:tabs>
        <w:spacing w:after="120" w:line="240" w:lineRule="auto"/>
        <w:jc w:val="both"/>
        <w:rPr>
          <w:rFonts w:ascii="Verdana" w:hAnsi="Verdana"/>
          <w:sz w:val="16"/>
          <w:szCs w:val="16"/>
          <w:lang w:val="en-US"/>
        </w:rPr>
      </w:pPr>
      <w:r w:rsidRPr="00C9465D">
        <w:rPr>
          <w:rStyle w:val="FootnoteReference"/>
          <w:rFonts w:ascii="Verdana" w:hAnsi="Verdana"/>
          <w:sz w:val="16"/>
          <w:szCs w:val="16"/>
          <w:lang w:val="en-US"/>
        </w:rPr>
        <w:footnoteRef/>
      </w:r>
      <w:r w:rsidRPr="00C9465D">
        <w:rPr>
          <w:rFonts w:ascii="Verdana" w:hAnsi="Verdana"/>
          <w:i/>
          <w:sz w:val="16"/>
          <w:szCs w:val="16"/>
        </w:rPr>
        <w:t xml:space="preserve"> </w:t>
      </w:r>
      <w:r w:rsidRPr="00C9465D">
        <w:rPr>
          <w:rFonts w:ascii="Verdana" w:hAnsi="Verdana"/>
          <w:i/>
          <w:sz w:val="16"/>
          <w:szCs w:val="16"/>
        </w:rPr>
        <w:tab/>
      </w:r>
      <w:r w:rsidR="00E2299F" w:rsidRPr="00C9465D">
        <w:rPr>
          <w:rFonts w:ascii="Verdana" w:hAnsi="Verdana"/>
          <w:i/>
          <w:sz w:val="16"/>
          <w:szCs w:val="16"/>
        </w:rPr>
        <w:t>Cf.</w:t>
      </w:r>
      <w:r w:rsidRPr="00C9465D">
        <w:rPr>
          <w:rFonts w:ascii="Verdana" w:hAnsi="Verdana"/>
          <w:i/>
          <w:sz w:val="16"/>
          <w:szCs w:val="16"/>
        </w:rPr>
        <w:t xml:space="preserve"> </w:t>
      </w:r>
      <w:r w:rsidR="00D8466F" w:rsidRPr="00C9465D">
        <w:rPr>
          <w:rFonts w:ascii="Verdana" w:hAnsi="Verdana"/>
          <w:i/>
          <w:sz w:val="16"/>
          <w:szCs w:val="16"/>
        </w:rPr>
        <w:t>Case of</w:t>
      </w:r>
      <w:r w:rsidRPr="00C9465D">
        <w:rPr>
          <w:rFonts w:ascii="Verdana" w:hAnsi="Verdana"/>
          <w:i/>
          <w:sz w:val="16"/>
          <w:szCs w:val="16"/>
        </w:rPr>
        <w:t xml:space="preserve"> </w:t>
      </w:r>
      <w:proofErr w:type="spellStart"/>
      <w:r w:rsidRPr="00C9465D">
        <w:rPr>
          <w:rFonts w:ascii="Verdana" w:hAnsi="Verdana"/>
          <w:i/>
          <w:sz w:val="16"/>
          <w:szCs w:val="16"/>
        </w:rPr>
        <w:t>Anzualdo</w:t>
      </w:r>
      <w:proofErr w:type="spellEnd"/>
      <w:r w:rsidRPr="00C9465D">
        <w:rPr>
          <w:rFonts w:ascii="Verdana" w:hAnsi="Verdana"/>
          <w:i/>
          <w:sz w:val="16"/>
          <w:szCs w:val="16"/>
        </w:rPr>
        <w:t xml:space="preserve"> Castro </w:t>
      </w:r>
      <w:r w:rsidR="00193CBB" w:rsidRPr="00C9465D">
        <w:rPr>
          <w:rFonts w:ascii="Verdana" w:hAnsi="Verdana"/>
          <w:i/>
          <w:sz w:val="16"/>
          <w:szCs w:val="16"/>
        </w:rPr>
        <w:t>v.</w:t>
      </w:r>
      <w:r w:rsidRPr="00C9465D">
        <w:rPr>
          <w:rFonts w:ascii="Verdana" w:hAnsi="Verdana"/>
          <w:i/>
          <w:sz w:val="16"/>
          <w:szCs w:val="16"/>
        </w:rPr>
        <w:t xml:space="preserve"> </w:t>
      </w:r>
      <w:proofErr w:type="spellStart"/>
      <w:r w:rsidR="001902D2" w:rsidRPr="00C9465D">
        <w:rPr>
          <w:rFonts w:ascii="Verdana" w:hAnsi="Verdana"/>
          <w:i/>
          <w:sz w:val="16"/>
          <w:szCs w:val="16"/>
        </w:rPr>
        <w:t>Peru</w:t>
      </w:r>
      <w:proofErr w:type="spellEnd"/>
      <w:r w:rsidRPr="00C9465D">
        <w:rPr>
          <w:rFonts w:ascii="Verdana" w:hAnsi="Verdana"/>
          <w:i/>
          <w:sz w:val="16"/>
          <w:szCs w:val="16"/>
        </w:rPr>
        <w:t>, supra</w:t>
      </w:r>
      <w:r w:rsidRPr="00C9465D">
        <w:rPr>
          <w:rFonts w:ascii="Verdana" w:hAnsi="Verdana"/>
          <w:sz w:val="16"/>
          <w:szCs w:val="16"/>
        </w:rPr>
        <w:t xml:space="preserve">, </w:t>
      </w:r>
      <w:r w:rsidR="00D8466F" w:rsidRPr="00C9465D">
        <w:rPr>
          <w:rFonts w:ascii="Verdana" w:hAnsi="Verdana"/>
          <w:sz w:val="16"/>
          <w:szCs w:val="16"/>
        </w:rPr>
        <w:t>para.</w:t>
      </w:r>
      <w:r w:rsidRPr="00C9465D">
        <w:rPr>
          <w:rFonts w:ascii="Verdana" w:hAnsi="Verdana"/>
          <w:sz w:val="16"/>
          <w:szCs w:val="16"/>
        </w:rPr>
        <w:t xml:space="preserve"> 185,</w:t>
      </w:r>
      <w:r w:rsidR="00193CBB" w:rsidRPr="00C9465D">
        <w:rPr>
          <w:rFonts w:ascii="Verdana" w:hAnsi="Verdana"/>
          <w:sz w:val="16"/>
          <w:szCs w:val="16"/>
        </w:rPr>
        <w:t xml:space="preserve"> and </w:t>
      </w:r>
      <w:r w:rsidR="00D8466F" w:rsidRPr="00C9465D">
        <w:rPr>
          <w:rFonts w:ascii="Verdana" w:hAnsi="Verdana"/>
          <w:bCs/>
          <w:i/>
          <w:sz w:val="16"/>
          <w:szCs w:val="16"/>
        </w:rPr>
        <w:t>Case of</w:t>
      </w:r>
      <w:r w:rsidRPr="00C9465D">
        <w:rPr>
          <w:rFonts w:ascii="Verdana" w:hAnsi="Verdana"/>
          <w:bCs/>
          <w:i/>
          <w:sz w:val="16"/>
          <w:szCs w:val="16"/>
        </w:rPr>
        <w:t xml:space="preserve"> Isaza Uribe</w:t>
      </w:r>
      <w:r w:rsidR="00193CBB" w:rsidRPr="00C9465D">
        <w:rPr>
          <w:rFonts w:ascii="Verdana" w:hAnsi="Verdana"/>
          <w:bCs/>
          <w:i/>
          <w:sz w:val="16"/>
          <w:szCs w:val="16"/>
        </w:rPr>
        <w:t xml:space="preserve"> </w:t>
      </w:r>
      <w:r w:rsidR="00D8466F" w:rsidRPr="00C9465D">
        <w:rPr>
          <w:rFonts w:ascii="Verdana" w:hAnsi="Verdana"/>
          <w:bCs/>
          <w:i/>
          <w:sz w:val="16"/>
          <w:szCs w:val="16"/>
        </w:rPr>
        <w:t>et al. v.</w:t>
      </w:r>
      <w:r w:rsidRPr="00C9465D">
        <w:rPr>
          <w:rFonts w:ascii="Verdana" w:hAnsi="Verdana"/>
          <w:bCs/>
          <w:i/>
          <w:sz w:val="16"/>
          <w:szCs w:val="16"/>
        </w:rPr>
        <w:t xml:space="preserve"> Colombia, supra</w:t>
      </w:r>
      <w:r w:rsidRPr="00C9465D">
        <w:rPr>
          <w:rFonts w:ascii="Verdana" w:hAnsi="Verdana"/>
          <w:bCs/>
          <w:sz w:val="16"/>
          <w:szCs w:val="16"/>
        </w:rPr>
        <w:t xml:space="preserve">, </w:t>
      </w:r>
      <w:r w:rsidR="00D8466F" w:rsidRPr="00C9465D">
        <w:rPr>
          <w:rFonts w:ascii="Verdana" w:hAnsi="Verdana"/>
          <w:bCs/>
          <w:sz w:val="16"/>
          <w:szCs w:val="16"/>
        </w:rPr>
        <w:t>para.</w:t>
      </w:r>
      <w:r w:rsidRPr="00C9465D">
        <w:rPr>
          <w:rFonts w:ascii="Verdana" w:hAnsi="Verdana"/>
          <w:bCs/>
          <w:sz w:val="16"/>
          <w:szCs w:val="16"/>
        </w:rPr>
        <w:t xml:space="preserve"> </w:t>
      </w:r>
      <w:r w:rsidRPr="00C9465D">
        <w:rPr>
          <w:rFonts w:ascii="Verdana" w:hAnsi="Verdana"/>
          <w:bCs/>
          <w:sz w:val="16"/>
          <w:szCs w:val="16"/>
          <w:lang w:val="en-US"/>
        </w:rPr>
        <w:t>182</w:t>
      </w:r>
      <w:r w:rsidRPr="00C9465D">
        <w:rPr>
          <w:rFonts w:ascii="Verdana" w:hAnsi="Verdana"/>
          <w:bCs/>
          <w:i/>
          <w:sz w:val="16"/>
          <w:szCs w:val="16"/>
          <w:lang w:val="en-US"/>
        </w:rPr>
        <w:t>.</w:t>
      </w:r>
    </w:p>
  </w:footnote>
  <w:footnote w:id="372">
    <w:p w14:paraId="14BFF4CC" w14:textId="3A11837F" w:rsidR="00300482" w:rsidRPr="00C9465D" w:rsidRDefault="00300482" w:rsidP="00BD26CF">
      <w:pPr>
        <w:pStyle w:val="FootnoteText"/>
        <w:tabs>
          <w:tab w:val="left" w:pos="567"/>
        </w:tabs>
        <w:spacing w:after="120"/>
        <w:rPr>
          <w:sz w:val="16"/>
          <w:szCs w:val="16"/>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Heliodoro Portugal </w:t>
      </w:r>
      <w:r w:rsidR="00193CBB" w:rsidRPr="00C9465D">
        <w:rPr>
          <w:i/>
          <w:sz w:val="16"/>
          <w:szCs w:val="16"/>
          <w:lang w:val="en-US"/>
        </w:rPr>
        <w:t>v.</w:t>
      </w:r>
      <w:r w:rsidRPr="00C9465D">
        <w:rPr>
          <w:i/>
          <w:sz w:val="16"/>
          <w:szCs w:val="16"/>
          <w:lang w:val="en-US"/>
        </w:rPr>
        <w:t xml:space="preserve"> </w:t>
      </w:r>
      <w:r w:rsidR="00721A86" w:rsidRPr="00C9465D">
        <w:rPr>
          <w:i/>
          <w:sz w:val="16"/>
          <w:szCs w:val="16"/>
          <w:lang w:val="en-US"/>
        </w:rPr>
        <w:t>Panama</w:t>
      </w:r>
      <w:r w:rsidRPr="00C9465D">
        <w:rPr>
          <w:i/>
          <w:sz w:val="16"/>
          <w:szCs w:val="16"/>
          <w:lang w:val="en-US"/>
        </w:rPr>
        <w:t xml:space="preserve">. </w:t>
      </w:r>
      <w:r w:rsidR="00A57F4A" w:rsidRPr="00C9465D">
        <w:rPr>
          <w:i/>
          <w:sz w:val="16"/>
          <w:szCs w:val="16"/>
          <w:lang w:val="en-US"/>
        </w:rPr>
        <w:t>Monitoring compliance with judgment</w:t>
      </w:r>
      <w:r w:rsidRPr="00C9465D">
        <w:rPr>
          <w:i/>
          <w:sz w:val="16"/>
          <w:szCs w:val="16"/>
          <w:lang w:val="en-US"/>
        </w:rPr>
        <w:t>.</w:t>
      </w:r>
      <w:r w:rsidRPr="00C9465D">
        <w:rPr>
          <w:sz w:val="16"/>
          <w:szCs w:val="16"/>
          <w:lang w:val="en-US"/>
        </w:rPr>
        <w:t xml:space="preserve"> </w:t>
      </w:r>
      <w:r w:rsidR="00A57F4A" w:rsidRPr="00C9465D">
        <w:rPr>
          <w:sz w:val="16"/>
          <w:szCs w:val="16"/>
          <w:lang w:val="en-US"/>
        </w:rPr>
        <w:t>Order issued by</w:t>
      </w:r>
      <w:r w:rsidRPr="00C9465D">
        <w:rPr>
          <w:sz w:val="16"/>
          <w:szCs w:val="16"/>
          <w:lang w:val="en-US"/>
        </w:rPr>
        <w:t xml:space="preserve"> </w:t>
      </w:r>
      <w:r w:rsidR="00193CBB" w:rsidRPr="00C9465D">
        <w:rPr>
          <w:sz w:val="16"/>
          <w:szCs w:val="16"/>
          <w:lang w:val="en-US"/>
        </w:rPr>
        <w:t>the Inter-American Court</w:t>
      </w:r>
      <w:r w:rsidRPr="00C9465D">
        <w:rPr>
          <w:sz w:val="16"/>
          <w:szCs w:val="16"/>
          <w:lang w:val="en-US"/>
        </w:rPr>
        <w:t xml:space="preserve"> </w:t>
      </w:r>
      <w:r w:rsidR="00A57F4A" w:rsidRPr="00C9465D">
        <w:rPr>
          <w:sz w:val="16"/>
          <w:szCs w:val="16"/>
          <w:lang w:val="en-US"/>
        </w:rPr>
        <w:t>on May 28,</w:t>
      </w:r>
      <w:r w:rsidRPr="00C9465D">
        <w:rPr>
          <w:sz w:val="16"/>
          <w:szCs w:val="16"/>
          <w:lang w:val="en-US"/>
        </w:rPr>
        <w:t xml:space="preserve"> 2010, </w:t>
      </w:r>
      <w:r w:rsidR="00A57F4A" w:rsidRPr="00C9465D">
        <w:rPr>
          <w:i/>
          <w:iCs/>
          <w:sz w:val="16"/>
          <w:szCs w:val="16"/>
          <w:lang w:val="en-US"/>
        </w:rPr>
        <w:t>c</w:t>
      </w:r>
      <w:r w:rsidRPr="00C9465D">
        <w:rPr>
          <w:i/>
          <w:iCs/>
          <w:sz w:val="16"/>
          <w:szCs w:val="16"/>
          <w:lang w:val="en-US"/>
        </w:rPr>
        <w:t>onsiderand</w:t>
      </w:r>
      <w:r w:rsidR="00A57F4A" w:rsidRPr="00C9465D">
        <w:rPr>
          <w:i/>
          <w:iCs/>
          <w:sz w:val="16"/>
          <w:szCs w:val="16"/>
          <w:lang w:val="en-US"/>
        </w:rPr>
        <w:t>um</w:t>
      </w:r>
      <w:r w:rsidRPr="00C9465D">
        <w:rPr>
          <w:sz w:val="16"/>
          <w:szCs w:val="16"/>
          <w:lang w:val="en-US"/>
        </w:rPr>
        <w:t xml:space="preserve"> 28,</w:t>
      </w:r>
      <w:r w:rsidR="00193CBB" w:rsidRPr="00C9465D">
        <w:rPr>
          <w:sz w:val="16"/>
          <w:szCs w:val="16"/>
          <w:lang w:val="en-US"/>
        </w:rPr>
        <w:t xml:space="preserve"> and </w:t>
      </w:r>
      <w:r w:rsidR="00D8466F" w:rsidRPr="00C9465D">
        <w:rPr>
          <w:rStyle w:val="Strong"/>
          <w:b w:val="0"/>
          <w:i/>
          <w:sz w:val="16"/>
          <w:szCs w:val="16"/>
          <w:lang w:val="en-US"/>
        </w:rPr>
        <w:t>Case of</w:t>
      </w:r>
      <w:r w:rsidRPr="00C9465D">
        <w:rPr>
          <w:rStyle w:val="Strong"/>
          <w:b w:val="0"/>
          <w:i/>
          <w:sz w:val="16"/>
          <w:szCs w:val="16"/>
          <w:lang w:val="en-US"/>
        </w:rPr>
        <w:t xml:space="preserve"> Coc Max</w:t>
      </w:r>
      <w:r w:rsidR="00193CBB" w:rsidRPr="00C9465D">
        <w:rPr>
          <w:rStyle w:val="Strong"/>
          <w:b w:val="0"/>
          <w:i/>
          <w:sz w:val="16"/>
          <w:szCs w:val="16"/>
          <w:lang w:val="en-US"/>
        </w:rPr>
        <w:t xml:space="preserve"> </w:t>
      </w:r>
      <w:r w:rsidR="00A57F4A" w:rsidRPr="00C9465D">
        <w:rPr>
          <w:rStyle w:val="Strong"/>
          <w:b w:val="0"/>
          <w:i/>
          <w:sz w:val="16"/>
          <w:szCs w:val="16"/>
          <w:lang w:val="en-US"/>
        </w:rPr>
        <w:t>et al.</w:t>
      </w:r>
      <w:r w:rsidRPr="00C9465D">
        <w:rPr>
          <w:rStyle w:val="Strong"/>
          <w:b w:val="0"/>
          <w:i/>
          <w:sz w:val="16"/>
          <w:szCs w:val="16"/>
          <w:lang w:val="en-US"/>
        </w:rPr>
        <w:t xml:space="preserve"> (Xamán</w:t>
      </w:r>
      <w:r w:rsidR="00A57F4A" w:rsidRPr="00C9465D">
        <w:rPr>
          <w:rStyle w:val="Strong"/>
          <w:b w:val="0"/>
          <w:i/>
          <w:sz w:val="16"/>
          <w:szCs w:val="16"/>
          <w:lang w:val="en-US"/>
        </w:rPr>
        <w:t xml:space="preserve"> Massacre</w:t>
      </w:r>
      <w:r w:rsidRPr="00C9465D">
        <w:rPr>
          <w:rStyle w:val="Strong"/>
          <w:b w:val="0"/>
          <w:i/>
          <w:sz w:val="16"/>
          <w:szCs w:val="16"/>
          <w:lang w:val="en-US"/>
        </w:rPr>
        <w:t xml:space="preserve">) </w:t>
      </w:r>
      <w:r w:rsidR="00193CBB" w:rsidRPr="00C9465D">
        <w:rPr>
          <w:rStyle w:val="Strong"/>
          <w:b w:val="0"/>
          <w:i/>
          <w:sz w:val="16"/>
          <w:szCs w:val="16"/>
          <w:lang w:val="en-US"/>
        </w:rPr>
        <w:t>v.</w:t>
      </w:r>
      <w:r w:rsidRPr="00C9465D">
        <w:rPr>
          <w:rStyle w:val="Strong"/>
          <w:b w:val="0"/>
          <w:i/>
          <w:sz w:val="16"/>
          <w:szCs w:val="16"/>
          <w:lang w:val="en-US"/>
        </w:rPr>
        <w:t xml:space="preserve"> Guatemala. </w:t>
      </w:r>
      <w:r w:rsidR="00193CBB" w:rsidRPr="00C9465D">
        <w:rPr>
          <w:rStyle w:val="Strong"/>
          <w:b w:val="0"/>
          <w:i/>
          <w:sz w:val="16"/>
          <w:szCs w:val="16"/>
          <w:lang w:val="en-US"/>
        </w:rPr>
        <w:t>Merits, reparations and costs</w:t>
      </w:r>
      <w:r w:rsidRPr="00C9465D">
        <w:rPr>
          <w:rStyle w:val="Strong"/>
          <w:b w:val="0"/>
          <w:i/>
          <w:sz w:val="16"/>
          <w:szCs w:val="16"/>
          <w:lang w:val="en-US"/>
        </w:rPr>
        <w:t xml:space="preserve">. </w:t>
      </w:r>
      <w:r w:rsidR="00D8466F" w:rsidRPr="00C9465D">
        <w:rPr>
          <w:rStyle w:val="Strong"/>
          <w:b w:val="0"/>
          <w:sz w:val="16"/>
          <w:szCs w:val="16"/>
          <w:lang w:val="en-US"/>
        </w:rPr>
        <w:t>Judgment of</w:t>
      </w:r>
      <w:r w:rsidRPr="00C9465D">
        <w:rPr>
          <w:rStyle w:val="Strong"/>
          <w:b w:val="0"/>
          <w:sz w:val="16"/>
          <w:szCs w:val="16"/>
          <w:lang w:val="en-US"/>
        </w:rPr>
        <w:t xml:space="preserve"> </w:t>
      </w:r>
      <w:r w:rsidR="00A57F4A" w:rsidRPr="00C9465D">
        <w:rPr>
          <w:rStyle w:val="Strong"/>
          <w:b w:val="0"/>
          <w:sz w:val="16"/>
          <w:szCs w:val="16"/>
          <w:lang w:val="en-US"/>
        </w:rPr>
        <w:t>August 22,</w:t>
      </w:r>
      <w:r w:rsidRPr="00C9465D">
        <w:rPr>
          <w:rStyle w:val="Strong"/>
          <w:b w:val="0"/>
          <w:sz w:val="16"/>
          <w:szCs w:val="16"/>
          <w:lang w:val="en-US"/>
        </w:rPr>
        <w:t xml:space="preserve"> 2018. </w:t>
      </w:r>
      <w:r w:rsidR="00E2299F" w:rsidRPr="00C9465D">
        <w:rPr>
          <w:rStyle w:val="Strong"/>
          <w:b w:val="0"/>
          <w:sz w:val="16"/>
          <w:szCs w:val="16"/>
        </w:rPr>
        <w:t xml:space="preserve">Series </w:t>
      </w:r>
      <w:r w:rsidRPr="00C9465D">
        <w:rPr>
          <w:rStyle w:val="Strong"/>
          <w:b w:val="0"/>
          <w:sz w:val="16"/>
          <w:szCs w:val="16"/>
        </w:rPr>
        <w:t xml:space="preserve">C No. 356, </w:t>
      </w:r>
      <w:r w:rsidR="00D8466F" w:rsidRPr="00C9465D">
        <w:rPr>
          <w:rStyle w:val="Strong"/>
          <w:b w:val="0"/>
          <w:sz w:val="16"/>
          <w:szCs w:val="16"/>
        </w:rPr>
        <w:t>para.</w:t>
      </w:r>
      <w:r w:rsidRPr="00C9465D">
        <w:rPr>
          <w:rStyle w:val="Strong"/>
          <w:b w:val="0"/>
          <w:sz w:val="16"/>
          <w:szCs w:val="16"/>
        </w:rPr>
        <w:t xml:space="preserve"> 155.</w:t>
      </w:r>
    </w:p>
  </w:footnote>
  <w:footnote w:id="373">
    <w:p w14:paraId="231EE850" w14:textId="0DC31407"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rPr>
        <w:t xml:space="preserve"> </w:t>
      </w:r>
      <w:r w:rsidRPr="00C9465D">
        <w:rPr>
          <w:sz w:val="16"/>
          <w:szCs w:val="16"/>
        </w:rPr>
        <w:tab/>
      </w:r>
      <w:r w:rsidR="00E2299F" w:rsidRPr="00C9465D">
        <w:rPr>
          <w:i/>
          <w:sz w:val="16"/>
          <w:szCs w:val="16"/>
        </w:rPr>
        <w:t>Cf.</w:t>
      </w:r>
      <w:r w:rsidRPr="00C9465D">
        <w:rPr>
          <w:i/>
          <w:sz w:val="16"/>
          <w:szCs w:val="16"/>
        </w:rPr>
        <w:t xml:space="preserve"> </w:t>
      </w:r>
      <w:r w:rsidR="00D8466F" w:rsidRPr="00C9465D">
        <w:rPr>
          <w:rStyle w:val="Strong"/>
          <w:b w:val="0"/>
          <w:i/>
          <w:sz w:val="16"/>
          <w:szCs w:val="16"/>
        </w:rPr>
        <w:t>Case of</w:t>
      </w:r>
      <w:r w:rsidRPr="00C9465D">
        <w:rPr>
          <w:rStyle w:val="Strong"/>
          <w:b w:val="0"/>
          <w:i/>
          <w:sz w:val="16"/>
          <w:szCs w:val="16"/>
        </w:rPr>
        <w:t xml:space="preserve"> </w:t>
      </w:r>
      <w:r w:rsidR="00A57F4A" w:rsidRPr="00C9465D">
        <w:rPr>
          <w:rStyle w:val="Strong"/>
          <w:b w:val="0"/>
          <w:i/>
          <w:sz w:val="16"/>
          <w:szCs w:val="16"/>
        </w:rPr>
        <w:t>the</w:t>
      </w:r>
      <w:r w:rsidRPr="00C9465D">
        <w:rPr>
          <w:rStyle w:val="Strong"/>
          <w:b w:val="0"/>
          <w:i/>
          <w:sz w:val="16"/>
          <w:szCs w:val="16"/>
        </w:rPr>
        <w:t xml:space="preserve"> Las Dos Erres</w:t>
      </w:r>
      <w:r w:rsidR="00A57F4A" w:rsidRPr="00C9465D">
        <w:rPr>
          <w:rStyle w:val="Strong"/>
          <w:b w:val="0"/>
          <w:i/>
          <w:sz w:val="16"/>
          <w:szCs w:val="16"/>
        </w:rPr>
        <w:t xml:space="preserve"> </w:t>
      </w:r>
      <w:proofErr w:type="spellStart"/>
      <w:r w:rsidR="00A57F4A" w:rsidRPr="00C9465D">
        <w:rPr>
          <w:rStyle w:val="Strong"/>
          <w:b w:val="0"/>
          <w:i/>
          <w:sz w:val="16"/>
          <w:szCs w:val="16"/>
        </w:rPr>
        <w:t>Massacre</w:t>
      </w:r>
      <w:proofErr w:type="spellEnd"/>
      <w:r w:rsidRPr="00C9465D">
        <w:rPr>
          <w:rStyle w:val="Strong"/>
          <w:b w:val="0"/>
          <w:i/>
          <w:sz w:val="16"/>
          <w:szCs w:val="16"/>
        </w:rPr>
        <w:t xml:space="preserve"> </w:t>
      </w:r>
      <w:r w:rsidR="00193CBB" w:rsidRPr="00C9465D">
        <w:rPr>
          <w:rStyle w:val="Strong"/>
          <w:b w:val="0"/>
          <w:i/>
          <w:sz w:val="16"/>
          <w:szCs w:val="16"/>
        </w:rPr>
        <w:t>v.</w:t>
      </w:r>
      <w:r w:rsidRPr="00C9465D">
        <w:rPr>
          <w:rStyle w:val="Strong"/>
          <w:b w:val="0"/>
          <w:i/>
          <w:sz w:val="16"/>
          <w:szCs w:val="16"/>
        </w:rPr>
        <w:t xml:space="preserve"> Guatemala, supra</w:t>
      </w:r>
      <w:r w:rsidRPr="00C9465D">
        <w:rPr>
          <w:sz w:val="16"/>
          <w:szCs w:val="16"/>
        </w:rPr>
        <w:t xml:space="preserve">, </w:t>
      </w:r>
      <w:r w:rsidR="00D8466F" w:rsidRPr="00C9465D">
        <w:rPr>
          <w:sz w:val="16"/>
          <w:szCs w:val="16"/>
        </w:rPr>
        <w:t>para.</w:t>
      </w:r>
      <w:r w:rsidRPr="00C9465D">
        <w:rPr>
          <w:sz w:val="16"/>
          <w:szCs w:val="16"/>
        </w:rPr>
        <w:t xml:space="preserve"> 270</w:t>
      </w:r>
      <w:r w:rsidR="00A57F4A" w:rsidRPr="00C9465D">
        <w:rPr>
          <w:sz w:val="16"/>
          <w:szCs w:val="16"/>
        </w:rPr>
        <w:t xml:space="preserve">, </w:t>
      </w:r>
      <w:r w:rsidR="00193CBB" w:rsidRPr="00C9465D">
        <w:rPr>
          <w:sz w:val="16"/>
          <w:szCs w:val="16"/>
        </w:rPr>
        <w:t xml:space="preserve">and </w:t>
      </w:r>
      <w:r w:rsidR="00D8466F" w:rsidRPr="00C9465D">
        <w:rPr>
          <w:i/>
          <w:iCs/>
          <w:sz w:val="16"/>
          <w:szCs w:val="16"/>
        </w:rPr>
        <w:t>Case of</w:t>
      </w:r>
      <w:r w:rsidRPr="00C9465D">
        <w:rPr>
          <w:i/>
          <w:iCs/>
          <w:sz w:val="16"/>
          <w:szCs w:val="16"/>
        </w:rPr>
        <w:t xml:space="preserve"> Azul Rojas Marín</w:t>
      </w:r>
      <w:r w:rsidR="00193CBB" w:rsidRPr="00C9465D">
        <w:rPr>
          <w:i/>
          <w:iCs/>
          <w:sz w:val="16"/>
          <w:szCs w:val="16"/>
        </w:rPr>
        <w:t xml:space="preserve"> </w:t>
      </w:r>
      <w:r w:rsidR="00A57F4A" w:rsidRPr="00C9465D">
        <w:rPr>
          <w:i/>
          <w:iCs/>
          <w:sz w:val="16"/>
          <w:szCs w:val="16"/>
        </w:rPr>
        <w:t>et al.</w:t>
      </w:r>
      <w:r w:rsidRPr="00C9465D">
        <w:rPr>
          <w:i/>
          <w:iCs/>
          <w:sz w:val="16"/>
          <w:szCs w:val="16"/>
        </w:rPr>
        <w:t xml:space="preserve"> </w:t>
      </w:r>
      <w:r w:rsidR="00193CBB" w:rsidRPr="00C9465D">
        <w:rPr>
          <w:i/>
          <w:iCs/>
          <w:sz w:val="16"/>
          <w:szCs w:val="16"/>
        </w:rPr>
        <w:t>v.</w:t>
      </w:r>
      <w:r w:rsidRPr="00C9465D">
        <w:rPr>
          <w:i/>
          <w:iCs/>
          <w:sz w:val="16"/>
          <w:szCs w:val="16"/>
        </w:rPr>
        <w:t xml:space="preserve"> </w:t>
      </w:r>
      <w:proofErr w:type="spellStart"/>
      <w:r w:rsidR="001902D2" w:rsidRPr="00C9465D">
        <w:rPr>
          <w:i/>
          <w:iCs/>
          <w:sz w:val="16"/>
          <w:szCs w:val="16"/>
        </w:rPr>
        <w:t>Peru</w:t>
      </w:r>
      <w:proofErr w:type="spellEnd"/>
      <w:r w:rsidRPr="00C9465D">
        <w:rPr>
          <w:i/>
          <w:iCs/>
          <w:sz w:val="16"/>
          <w:szCs w:val="16"/>
        </w:rPr>
        <w:t>, supra</w:t>
      </w:r>
      <w:r w:rsidRPr="00C9465D">
        <w:rPr>
          <w:iCs/>
          <w:sz w:val="16"/>
          <w:szCs w:val="16"/>
        </w:rPr>
        <w:t xml:space="preserve">, </w:t>
      </w:r>
      <w:r w:rsidR="00D8466F" w:rsidRPr="00C9465D">
        <w:rPr>
          <w:iCs/>
          <w:sz w:val="16"/>
          <w:szCs w:val="16"/>
        </w:rPr>
        <w:t>para.</w:t>
      </w:r>
      <w:r w:rsidRPr="00C9465D">
        <w:rPr>
          <w:iCs/>
          <w:sz w:val="16"/>
          <w:szCs w:val="16"/>
        </w:rPr>
        <w:t xml:space="preserve"> </w:t>
      </w:r>
      <w:r w:rsidRPr="00C9465D">
        <w:rPr>
          <w:rStyle w:val="Strong"/>
          <w:b w:val="0"/>
          <w:sz w:val="16"/>
          <w:szCs w:val="16"/>
          <w:lang w:val="en-US"/>
        </w:rPr>
        <w:t>236.</w:t>
      </w:r>
    </w:p>
  </w:footnote>
  <w:footnote w:id="374">
    <w:p w14:paraId="6AD09AC7" w14:textId="13B51EE0" w:rsidR="00300482" w:rsidRPr="00C9465D" w:rsidRDefault="00300482" w:rsidP="00CC0377">
      <w:pPr>
        <w:pStyle w:val="FootnoteText"/>
        <w:tabs>
          <w:tab w:val="left" w:pos="567"/>
        </w:tabs>
        <w:spacing w:after="120"/>
        <w:rPr>
          <w:sz w:val="16"/>
          <w:szCs w:val="16"/>
          <w:vertAlign w:val="superscript"/>
          <w:lang w:val="en-US"/>
        </w:rPr>
      </w:pPr>
      <w:r w:rsidRPr="00C9465D">
        <w:rPr>
          <w:rStyle w:val="FootnoteReference"/>
          <w:rFonts w:cstheme="minorBidi"/>
          <w:sz w:val="16"/>
          <w:szCs w:val="16"/>
          <w:lang w:val="en-US"/>
        </w:rPr>
        <w:footnoteRef/>
      </w:r>
      <w:r w:rsidRPr="00C9465D">
        <w:rPr>
          <w:sz w:val="16"/>
          <w:szCs w:val="16"/>
          <w:vertAlign w:val="superscript"/>
          <w:lang w:val="en-US"/>
        </w:rPr>
        <w:t xml:space="preserve"> </w:t>
      </w:r>
      <w:r w:rsidRPr="00C9465D">
        <w:rPr>
          <w:sz w:val="16"/>
          <w:szCs w:val="16"/>
          <w:vertAlign w:val="superscript"/>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Cantoral Benavides </w:t>
      </w:r>
      <w:r w:rsidR="00193CBB" w:rsidRPr="00C9465D">
        <w:rPr>
          <w:i/>
          <w:sz w:val="16"/>
          <w:szCs w:val="16"/>
          <w:lang w:val="en-US"/>
        </w:rPr>
        <w:t>v.</w:t>
      </w:r>
      <w:r w:rsidRPr="00C9465D">
        <w:rPr>
          <w:i/>
          <w:sz w:val="16"/>
          <w:szCs w:val="16"/>
          <w:lang w:val="en-US"/>
        </w:rPr>
        <w:t xml:space="preserve"> </w:t>
      </w:r>
      <w:r w:rsidR="001902D2" w:rsidRPr="00C9465D">
        <w:rPr>
          <w:i/>
          <w:sz w:val="16"/>
          <w:szCs w:val="16"/>
          <w:lang w:val="en-US"/>
        </w:rPr>
        <w:t>Peru</w:t>
      </w:r>
      <w:r w:rsidRPr="00C9465D">
        <w:rPr>
          <w:i/>
          <w:sz w:val="16"/>
          <w:szCs w:val="16"/>
          <w:lang w:val="en-US"/>
        </w:rPr>
        <w:t xml:space="preserve">. </w:t>
      </w:r>
      <w:r w:rsidR="001056D1" w:rsidRPr="00C9465D">
        <w:rPr>
          <w:i/>
          <w:sz w:val="16"/>
          <w:szCs w:val="16"/>
          <w:lang w:val="en-US"/>
        </w:rPr>
        <w:t>Reparations and costs</w:t>
      </w:r>
      <w:r w:rsidRPr="00C9465D">
        <w:rPr>
          <w:i/>
          <w:sz w:val="16"/>
          <w:szCs w:val="16"/>
          <w:lang w:val="en-US"/>
        </w:rPr>
        <w:t>.</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CB46D4" w:rsidRPr="00C9465D">
        <w:rPr>
          <w:sz w:val="16"/>
          <w:szCs w:val="16"/>
          <w:lang w:val="en-US"/>
        </w:rPr>
        <w:t>December 3,</w:t>
      </w:r>
      <w:r w:rsidRPr="00C9465D">
        <w:rPr>
          <w:sz w:val="16"/>
          <w:szCs w:val="16"/>
          <w:lang w:val="en-US"/>
        </w:rPr>
        <w:t xml:space="preserve"> 2001. </w:t>
      </w:r>
      <w:r w:rsidR="00E2299F" w:rsidRPr="00C9465D">
        <w:rPr>
          <w:sz w:val="16"/>
          <w:szCs w:val="16"/>
          <w:lang w:val="en-US"/>
        </w:rPr>
        <w:t xml:space="preserve">Series </w:t>
      </w:r>
      <w:r w:rsidRPr="00C9465D">
        <w:rPr>
          <w:sz w:val="16"/>
          <w:szCs w:val="16"/>
          <w:lang w:val="en-US"/>
        </w:rPr>
        <w:t xml:space="preserve">C No. 88, </w:t>
      </w:r>
      <w:r w:rsidR="00D8466F" w:rsidRPr="00C9465D">
        <w:rPr>
          <w:sz w:val="16"/>
          <w:szCs w:val="16"/>
          <w:lang w:val="en-US"/>
        </w:rPr>
        <w:t>para.</w:t>
      </w:r>
      <w:r w:rsidRPr="00C9465D">
        <w:rPr>
          <w:sz w:val="16"/>
          <w:szCs w:val="16"/>
          <w:lang w:val="en-US"/>
        </w:rPr>
        <w:t xml:space="preserve"> 79,</w:t>
      </w:r>
      <w:r w:rsidR="00193CBB" w:rsidRPr="00C9465D">
        <w:rPr>
          <w:sz w:val="16"/>
          <w:szCs w:val="16"/>
          <w:lang w:val="en-US"/>
        </w:rPr>
        <w:t xml:space="preserve"> and </w:t>
      </w:r>
      <w:r w:rsidR="00D8466F" w:rsidRPr="00C9465D">
        <w:rPr>
          <w:i/>
          <w:sz w:val="16"/>
          <w:szCs w:val="16"/>
          <w:lang w:val="en-US"/>
        </w:rPr>
        <w:t>Case of</w:t>
      </w:r>
      <w:r w:rsidRPr="00C9465D">
        <w:rPr>
          <w:i/>
          <w:sz w:val="16"/>
          <w:szCs w:val="16"/>
          <w:lang w:val="en-US"/>
        </w:rPr>
        <w:t xml:space="preserve"> Casa Nina </w:t>
      </w:r>
      <w:r w:rsidR="00193CBB" w:rsidRPr="00C9465D">
        <w:rPr>
          <w:i/>
          <w:sz w:val="16"/>
          <w:szCs w:val="16"/>
          <w:lang w:val="en-US"/>
        </w:rPr>
        <w:t>v.</w:t>
      </w:r>
      <w:r w:rsidRPr="00C9465D">
        <w:rPr>
          <w:i/>
          <w:sz w:val="16"/>
          <w:szCs w:val="16"/>
          <w:lang w:val="en-US"/>
        </w:rPr>
        <w:t xml:space="preserve"> </w:t>
      </w:r>
      <w:r w:rsidR="001902D2" w:rsidRPr="00C9465D">
        <w:rPr>
          <w:i/>
          <w:sz w:val="16"/>
          <w:szCs w:val="16"/>
          <w:lang w:val="en-US"/>
        </w:rPr>
        <w:t>Peru</w:t>
      </w:r>
      <w:r w:rsidRPr="00C9465D">
        <w:rPr>
          <w:i/>
          <w:sz w:val="16"/>
          <w:szCs w:val="16"/>
          <w:lang w:val="en-US"/>
        </w:rPr>
        <w:t>, supra</w:t>
      </w:r>
      <w:r w:rsidRPr="00C9465D">
        <w:rPr>
          <w:sz w:val="16"/>
          <w:szCs w:val="16"/>
          <w:lang w:val="en-US"/>
        </w:rPr>
        <w:t>, 133.</w:t>
      </w:r>
    </w:p>
  </w:footnote>
  <w:footnote w:id="375">
    <w:p w14:paraId="0109C3D1" w14:textId="0498D390" w:rsidR="00300482" w:rsidRPr="00C9465D" w:rsidRDefault="00300482" w:rsidP="00BD26CF">
      <w:pPr>
        <w:pStyle w:val="FootnoteText"/>
        <w:tabs>
          <w:tab w:val="left" w:pos="567"/>
        </w:tabs>
        <w:spacing w:after="120"/>
        <w:rPr>
          <w:b/>
          <w:sz w:val="16"/>
          <w:szCs w:val="16"/>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rStyle w:val="FootnoteReference"/>
          <w:sz w:val="16"/>
          <w:szCs w:val="16"/>
          <w:lang w:val="en-US"/>
        </w:rPr>
        <w:tab/>
      </w:r>
      <w:r w:rsidR="00E2299F" w:rsidRPr="00C9465D">
        <w:rPr>
          <w:rStyle w:val="FootnoteReference"/>
          <w:i/>
          <w:sz w:val="16"/>
          <w:szCs w:val="16"/>
          <w:vertAlign w:val="baseline"/>
          <w:lang w:val="en-US"/>
        </w:rPr>
        <w:t>Cf.</w:t>
      </w:r>
      <w:r w:rsidRPr="00C9465D">
        <w:rPr>
          <w:rStyle w:val="FootnoteReference"/>
          <w:i/>
          <w:sz w:val="16"/>
          <w:szCs w:val="16"/>
          <w:vertAlign w:val="baseline"/>
          <w:lang w:val="en-US"/>
        </w:rPr>
        <w:t xml:space="preserve"> </w:t>
      </w:r>
      <w:r w:rsidR="00D8466F" w:rsidRPr="00C9465D">
        <w:rPr>
          <w:rStyle w:val="FootnoteReference"/>
          <w:i/>
          <w:sz w:val="16"/>
          <w:szCs w:val="16"/>
          <w:vertAlign w:val="baseline"/>
          <w:lang w:val="en-US"/>
        </w:rPr>
        <w:t>Case of</w:t>
      </w:r>
      <w:r w:rsidRPr="00C9465D">
        <w:rPr>
          <w:rStyle w:val="FootnoteReference"/>
          <w:i/>
          <w:sz w:val="16"/>
          <w:szCs w:val="16"/>
          <w:vertAlign w:val="baseline"/>
          <w:lang w:val="en-US"/>
        </w:rPr>
        <w:t xml:space="preserve"> Cantoral Benavides </w:t>
      </w:r>
      <w:r w:rsidR="00193CBB" w:rsidRPr="00C9465D">
        <w:rPr>
          <w:rStyle w:val="FootnoteReference"/>
          <w:i/>
          <w:sz w:val="16"/>
          <w:szCs w:val="16"/>
          <w:vertAlign w:val="baseline"/>
          <w:lang w:val="en-US"/>
        </w:rPr>
        <w:t>v.</w:t>
      </w:r>
      <w:r w:rsidRPr="00C9465D">
        <w:rPr>
          <w:rStyle w:val="FootnoteReference"/>
          <w:i/>
          <w:sz w:val="16"/>
          <w:szCs w:val="16"/>
          <w:vertAlign w:val="baseline"/>
          <w:lang w:val="en-US"/>
        </w:rPr>
        <w:t xml:space="preserve"> </w:t>
      </w:r>
      <w:r w:rsidR="001902D2" w:rsidRPr="00C9465D">
        <w:rPr>
          <w:rStyle w:val="FootnoteReference"/>
          <w:i/>
          <w:sz w:val="16"/>
          <w:szCs w:val="16"/>
          <w:vertAlign w:val="baseline"/>
          <w:lang w:val="en-US"/>
        </w:rPr>
        <w:t>Peru</w:t>
      </w:r>
      <w:r w:rsidRPr="00C9465D">
        <w:rPr>
          <w:rStyle w:val="FootnoteReference"/>
          <w:i/>
          <w:sz w:val="16"/>
          <w:szCs w:val="16"/>
          <w:vertAlign w:val="baseline"/>
          <w:lang w:val="en-US"/>
        </w:rPr>
        <w:t xml:space="preserve">. </w:t>
      </w:r>
      <w:r w:rsidR="001056D1" w:rsidRPr="00C9465D">
        <w:rPr>
          <w:i/>
          <w:sz w:val="16"/>
          <w:szCs w:val="16"/>
          <w:lang w:val="en-US"/>
        </w:rPr>
        <w:t>Reparations and costs</w:t>
      </w:r>
      <w:r w:rsidRPr="00C9465D">
        <w:rPr>
          <w:rStyle w:val="FootnoteReference"/>
          <w:sz w:val="16"/>
          <w:szCs w:val="16"/>
          <w:vertAlign w:val="baseline"/>
          <w:lang w:val="en-US"/>
        </w:rPr>
        <w:t xml:space="preserve">, </w:t>
      </w:r>
      <w:r w:rsidRPr="00C9465D">
        <w:rPr>
          <w:rStyle w:val="FootnoteReference"/>
          <w:i/>
          <w:sz w:val="16"/>
          <w:szCs w:val="16"/>
          <w:vertAlign w:val="baseline"/>
          <w:lang w:val="en-US"/>
        </w:rPr>
        <w:t>supra,</w:t>
      </w:r>
      <w:r w:rsidRPr="00C9465D">
        <w:rPr>
          <w:rStyle w:val="FootnoteReference"/>
          <w:sz w:val="16"/>
          <w:szCs w:val="16"/>
          <w:vertAlign w:val="baseline"/>
          <w:lang w:val="en-US"/>
        </w:rPr>
        <w:t xml:space="preserve"> </w:t>
      </w:r>
      <w:r w:rsidR="00D8466F" w:rsidRPr="00C9465D">
        <w:rPr>
          <w:rStyle w:val="FootnoteReference"/>
          <w:sz w:val="16"/>
          <w:szCs w:val="16"/>
          <w:vertAlign w:val="baseline"/>
          <w:lang w:val="en-US"/>
        </w:rPr>
        <w:t>para.</w:t>
      </w:r>
      <w:r w:rsidRPr="00C9465D">
        <w:rPr>
          <w:rStyle w:val="FootnoteReference"/>
          <w:sz w:val="16"/>
          <w:szCs w:val="16"/>
          <w:vertAlign w:val="baseline"/>
          <w:lang w:val="en-US"/>
        </w:rPr>
        <w:t xml:space="preserve"> 81,</w:t>
      </w:r>
      <w:r w:rsidR="00193CBB" w:rsidRPr="00C9465D">
        <w:rPr>
          <w:rStyle w:val="FootnoteReference"/>
          <w:sz w:val="16"/>
          <w:szCs w:val="16"/>
          <w:vertAlign w:val="baseline"/>
          <w:lang w:val="en-US"/>
        </w:rPr>
        <w:t xml:space="preserve"> and </w:t>
      </w:r>
      <w:r w:rsidR="00D8466F" w:rsidRPr="00C9465D">
        <w:rPr>
          <w:rStyle w:val="FootnoteReference"/>
          <w:i/>
          <w:sz w:val="16"/>
          <w:szCs w:val="16"/>
          <w:vertAlign w:val="baseline"/>
          <w:lang w:val="en-US"/>
        </w:rPr>
        <w:t>Case of</w:t>
      </w:r>
      <w:r w:rsidRPr="00C9465D">
        <w:rPr>
          <w:rStyle w:val="FootnoteReference"/>
          <w:i/>
          <w:sz w:val="16"/>
          <w:szCs w:val="16"/>
          <w:vertAlign w:val="baseline"/>
          <w:lang w:val="en-US"/>
        </w:rPr>
        <w:t xml:space="preserve"> Guzmán Albarracín</w:t>
      </w:r>
      <w:r w:rsidR="00193CBB" w:rsidRPr="00C9465D">
        <w:rPr>
          <w:rStyle w:val="FootnoteReference"/>
          <w:i/>
          <w:sz w:val="16"/>
          <w:szCs w:val="16"/>
          <w:vertAlign w:val="baseline"/>
          <w:lang w:val="en-US"/>
        </w:rPr>
        <w:t xml:space="preserve"> </w:t>
      </w:r>
      <w:r w:rsidR="00CB46D4" w:rsidRPr="00C9465D">
        <w:rPr>
          <w:rStyle w:val="FootnoteReference"/>
          <w:i/>
          <w:sz w:val="16"/>
          <w:szCs w:val="16"/>
          <w:vertAlign w:val="baseline"/>
          <w:lang w:val="en-US"/>
        </w:rPr>
        <w:t>e</w:t>
      </w:r>
      <w:r w:rsidR="00CB46D4" w:rsidRPr="00C9465D">
        <w:rPr>
          <w:i/>
          <w:sz w:val="16"/>
          <w:szCs w:val="16"/>
          <w:lang w:val="en-US"/>
        </w:rPr>
        <w:t>t al.</w:t>
      </w:r>
      <w:r w:rsidRPr="00C9465D">
        <w:rPr>
          <w:rStyle w:val="FootnoteReference"/>
          <w:i/>
          <w:sz w:val="16"/>
          <w:szCs w:val="16"/>
          <w:vertAlign w:val="baseline"/>
          <w:lang w:val="en-US"/>
        </w:rPr>
        <w:t xml:space="preserve"> </w:t>
      </w:r>
      <w:r w:rsidR="00193CBB" w:rsidRPr="00C9465D">
        <w:rPr>
          <w:rStyle w:val="FootnoteReference"/>
          <w:i/>
          <w:sz w:val="16"/>
          <w:szCs w:val="16"/>
          <w:vertAlign w:val="baseline"/>
          <w:lang w:val="en-US"/>
        </w:rPr>
        <w:t>v.</w:t>
      </w:r>
      <w:r w:rsidRPr="00C9465D">
        <w:rPr>
          <w:rStyle w:val="FootnoteReference"/>
          <w:i/>
          <w:sz w:val="16"/>
          <w:szCs w:val="16"/>
          <w:vertAlign w:val="baseline"/>
          <w:lang w:val="en-US"/>
        </w:rPr>
        <w:t xml:space="preserve"> Ecuador, supra</w:t>
      </w:r>
      <w:r w:rsidRPr="00C9465D">
        <w:rPr>
          <w:rStyle w:val="FootnoteReference"/>
          <w:sz w:val="16"/>
          <w:szCs w:val="16"/>
          <w:vertAlign w:val="baseline"/>
          <w:lang w:val="en-US"/>
        </w:rPr>
        <w:t xml:space="preserve">, </w:t>
      </w:r>
      <w:r w:rsidR="00D8466F" w:rsidRPr="00C9465D">
        <w:rPr>
          <w:rStyle w:val="FootnoteReference"/>
          <w:sz w:val="16"/>
          <w:szCs w:val="16"/>
          <w:vertAlign w:val="baseline"/>
          <w:lang w:val="en-US"/>
        </w:rPr>
        <w:t>para.</w:t>
      </w:r>
      <w:r w:rsidRPr="00C9465D">
        <w:rPr>
          <w:rStyle w:val="FootnoteReference"/>
          <w:sz w:val="16"/>
          <w:szCs w:val="16"/>
          <w:vertAlign w:val="baseline"/>
          <w:lang w:val="en-US"/>
        </w:rPr>
        <w:t xml:space="preserve"> 232.</w:t>
      </w:r>
    </w:p>
  </w:footnote>
  <w:footnote w:id="376">
    <w:p w14:paraId="6EA9E205" w14:textId="0D3BE547"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rPr>
        <w:t xml:space="preserve"> </w:t>
      </w:r>
      <w:r w:rsidRPr="00C9465D">
        <w:rPr>
          <w:sz w:val="16"/>
          <w:szCs w:val="16"/>
        </w:rPr>
        <w:tab/>
      </w:r>
      <w:r w:rsidR="00E2299F" w:rsidRPr="00C9465D">
        <w:rPr>
          <w:i/>
          <w:sz w:val="16"/>
          <w:szCs w:val="16"/>
        </w:rPr>
        <w:t>Cf.</w:t>
      </w:r>
      <w:r w:rsidRPr="00C9465D">
        <w:rPr>
          <w:i/>
          <w:sz w:val="16"/>
          <w:szCs w:val="16"/>
        </w:rPr>
        <w:t xml:space="preserve"> </w:t>
      </w:r>
      <w:r w:rsidR="00D8466F" w:rsidRPr="00C9465D">
        <w:rPr>
          <w:i/>
          <w:sz w:val="16"/>
          <w:szCs w:val="16"/>
        </w:rPr>
        <w:t>Case of</w:t>
      </w:r>
      <w:r w:rsidRPr="00C9465D">
        <w:rPr>
          <w:i/>
          <w:sz w:val="16"/>
          <w:szCs w:val="16"/>
        </w:rPr>
        <w:t xml:space="preserve"> Radilla Pacheco </w:t>
      </w:r>
      <w:r w:rsidR="00193CBB" w:rsidRPr="00C9465D">
        <w:rPr>
          <w:i/>
          <w:sz w:val="16"/>
          <w:szCs w:val="16"/>
        </w:rPr>
        <w:t>v.</w:t>
      </w:r>
      <w:r w:rsidRPr="00C9465D">
        <w:rPr>
          <w:i/>
          <w:sz w:val="16"/>
          <w:szCs w:val="16"/>
        </w:rPr>
        <w:t xml:space="preserve"> México, supra, </w:t>
      </w:r>
      <w:r w:rsidR="00D8466F" w:rsidRPr="00C9465D">
        <w:rPr>
          <w:iCs/>
          <w:sz w:val="16"/>
          <w:szCs w:val="16"/>
        </w:rPr>
        <w:t>para.</w:t>
      </w:r>
      <w:r w:rsidRPr="00C9465D">
        <w:rPr>
          <w:iCs/>
          <w:sz w:val="16"/>
          <w:szCs w:val="16"/>
        </w:rPr>
        <w:t xml:space="preserve"> </w:t>
      </w:r>
      <w:r w:rsidRPr="00C9465D">
        <w:rPr>
          <w:iCs/>
          <w:sz w:val="16"/>
          <w:szCs w:val="16"/>
          <w:lang w:val="en-US"/>
        </w:rPr>
        <w:t>353,</w:t>
      </w:r>
      <w:r w:rsidR="00193CBB" w:rsidRPr="00C9465D">
        <w:rPr>
          <w:iCs/>
          <w:sz w:val="16"/>
          <w:szCs w:val="16"/>
          <w:lang w:val="en-US"/>
        </w:rPr>
        <w:t xml:space="preserve"> and </w:t>
      </w:r>
      <w:r w:rsidR="00D8466F" w:rsidRPr="00C9465D">
        <w:rPr>
          <w:rStyle w:val="FootnoteReference"/>
          <w:i/>
          <w:sz w:val="16"/>
          <w:szCs w:val="16"/>
          <w:vertAlign w:val="baseline"/>
          <w:lang w:val="en-US"/>
        </w:rPr>
        <w:t>Case of</w:t>
      </w:r>
      <w:r w:rsidRPr="00C9465D">
        <w:rPr>
          <w:rStyle w:val="FootnoteReference"/>
          <w:i/>
          <w:sz w:val="16"/>
          <w:szCs w:val="16"/>
          <w:vertAlign w:val="baseline"/>
          <w:lang w:val="en-US"/>
        </w:rPr>
        <w:t xml:space="preserve"> Guzmán Albarracín</w:t>
      </w:r>
      <w:r w:rsidR="00193CBB" w:rsidRPr="00C9465D">
        <w:rPr>
          <w:rStyle w:val="FootnoteReference"/>
          <w:i/>
          <w:sz w:val="16"/>
          <w:szCs w:val="16"/>
          <w:vertAlign w:val="baseline"/>
          <w:lang w:val="en-US"/>
        </w:rPr>
        <w:t xml:space="preserve"> </w:t>
      </w:r>
      <w:r w:rsidR="00CB46D4" w:rsidRPr="00C9465D">
        <w:rPr>
          <w:rStyle w:val="FootnoteReference"/>
          <w:i/>
          <w:sz w:val="16"/>
          <w:szCs w:val="16"/>
          <w:vertAlign w:val="baseline"/>
          <w:lang w:val="en-US"/>
        </w:rPr>
        <w:t>e</w:t>
      </w:r>
      <w:r w:rsidR="00CB46D4" w:rsidRPr="00C9465D">
        <w:rPr>
          <w:i/>
          <w:sz w:val="16"/>
          <w:szCs w:val="16"/>
          <w:lang w:val="en-US"/>
        </w:rPr>
        <w:t>t al.</w:t>
      </w:r>
      <w:r w:rsidRPr="00C9465D">
        <w:rPr>
          <w:rStyle w:val="FootnoteReference"/>
          <w:i/>
          <w:sz w:val="16"/>
          <w:szCs w:val="16"/>
          <w:vertAlign w:val="baseline"/>
          <w:lang w:val="en-US"/>
        </w:rPr>
        <w:t xml:space="preserve"> </w:t>
      </w:r>
      <w:r w:rsidR="00193CBB" w:rsidRPr="00C9465D">
        <w:rPr>
          <w:rStyle w:val="FootnoteReference"/>
          <w:i/>
          <w:sz w:val="16"/>
          <w:szCs w:val="16"/>
          <w:vertAlign w:val="baseline"/>
          <w:lang w:val="en-US"/>
        </w:rPr>
        <w:t>v.</w:t>
      </w:r>
      <w:r w:rsidRPr="00C9465D">
        <w:rPr>
          <w:rStyle w:val="FootnoteReference"/>
          <w:i/>
          <w:sz w:val="16"/>
          <w:szCs w:val="16"/>
          <w:vertAlign w:val="baseline"/>
          <w:lang w:val="en-US"/>
        </w:rPr>
        <w:t xml:space="preserve"> Ecuador, supra</w:t>
      </w:r>
      <w:r w:rsidRPr="00C9465D">
        <w:rPr>
          <w:rStyle w:val="FootnoteReference"/>
          <w:sz w:val="16"/>
          <w:szCs w:val="16"/>
          <w:vertAlign w:val="baseline"/>
          <w:lang w:val="en-US"/>
        </w:rPr>
        <w:t xml:space="preserve">, </w:t>
      </w:r>
      <w:r w:rsidR="00D8466F" w:rsidRPr="00C9465D">
        <w:rPr>
          <w:sz w:val="16"/>
          <w:szCs w:val="16"/>
          <w:lang w:val="en-US"/>
        </w:rPr>
        <w:t>para.</w:t>
      </w:r>
      <w:r w:rsidRPr="00C9465D">
        <w:rPr>
          <w:sz w:val="16"/>
          <w:szCs w:val="16"/>
          <w:lang w:val="en-US"/>
        </w:rPr>
        <w:t xml:space="preserve"> 233.</w:t>
      </w:r>
    </w:p>
  </w:footnote>
  <w:footnote w:id="377">
    <w:p w14:paraId="1898466A" w14:textId="60605E5B"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532DEC" w:rsidRPr="00C9465D">
        <w:rPr>
          <w:sz w:val="16"/>
          <w:szCs w:val="16"/>
          <w:lang w:val="en-US"/>
        </w:rPr>
        <w:t>Committee on the Rights of Persons with Disabilities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No. 1: </w:t>
      </w:r>
      <w:r w:rsidR="00193CBB" w:rsidRPr="00C9465D">
        <w:rPr>
          <w:sz w:val="16"/>
          <w:szCs w:val="16"/>
          <w:lang w:val="en-US"/>
        </w:rPr>
        <w:t>Article</w:t>
      </w:r>
      <w:r w:rsidRPr="00C9465D">
        <w:rPr>
          <w:sz w:val="16"/>
          <w:szCs w:val="16"/>
          <w:lang w:val="en-US"/>
        </w:rPr>
        <w:t xml:space="preserve"> 12: </w:t>
      </w:r>
      <w:r w:rsidR="002F1A54" w:rsidRPr="00C9465D">
        <w:rPr>
          <w:sz w:val="16"/>
          <w:szCs w:val="16"/>
          <w:lang w:val="en-US"/>
        </w:rPr>
        <w:t>Equal</w:t>
      </w:r>
      <w:r w:rsidR="001902D2" w:rsidRPr="00C9465D">
        <w:rPr>
          <w:sz w:val="16"/>
          <w:szCs w:val="16"/>
          <w:lang w:val="en-US"/>
        </w:rPr>
        <w:t xml:space="preserve"> recognition before the law</w:t>
      </w:r>
      <w:r w:rsidRPr="00C9465D">
        <w:rPr>
          <w:sz w:val="16"/>
          <w:szCs w:val="16"/>
          <w:lang w:val="en-US"/>
        </w:rPr>
        <w:t xml:space="preserve">, </w:t>
      </w:r>
      <w:r w:rsidR="001902D2" w:rsidRPr="00C9465D">
        <w:rPr>
          <w:sz w:val="16"/>
          <w:szCs w:val="16"/>
          <w:lang w:val="en-US"/>
        </w:rPr>
        <w:t>May 19,</w:t>
      </w:r>
      <w:r w:rsidRPr="00C9465D">
        <w:rPr>
          <w:sz w:val="16"/>
          <w:szCs w:val="16"/>
          <w:lang w:val="en-US"/>
        </w:rPr>
        <w:t xml:space="preserve"> 2014, </w:t>
      </w:r>
      <w:r w:rsidR="00532DEC" w:rsidRPr="00C9465D">
        <w:rPr>
          <w:sz w:val="16"/>
          <w:szCs w:val="16"/>
          <w:lang w:val="en-US"/>
        </w:rPr>
        <w:t>UN Doc.</w:t>
      </w:r>
      <w:r w:rsidRPr="00C9465D">
        <w:rPr>
          <w:sz w:val="16"/>
          <w:szCs w:val="16"/>
          <w:lang w:val="en-US"/>
        </w:rPr>
        <w:t xml:space="preserve"> CRPD/C/GC/1, </w:t>
      </w:r>
      <w:r w:rsidR="00D8466F" w:rsidRPr="00C9465D">
        <w:rPr>
          <w:sz w:val="16"/>
          <w:szCs w:val="16"/>
          <w:lang w:val="en-US"/>
        </w:rPr>
        <w:t>para.</w:t>
      </w:r>
      <w:r w:rsidRPr="00C9465D">
        <w:rPr>
          <w:sz w:val="16"/>
          <w:szCs w:val="16"/>
          <w:lang w:val="en-US"/>
        </w:rPr>
        <w:t xml:space="preserve"> 41.</w:t>
      </w:r>
    </w:p>
  </w:footnote>
  <w:footnote w:id="378">
    <w:p w14:paraId="48BE6F13" w14:textId="0BB0CDC7"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Bámaca Velásquez </w:t>
      </w:r>
      <w:r w:rsidR="00193CBB" w:rsidRPr="00C9465D">
        <w:rPr>
          <w:i/>
          <w:sz w:val="16"/>
          <w:szCs w:val="16"/>
          <w:lang w:val="en-US"/>
        </w:rPr>
        <w:t>v.</w:t>
      </w:r>
      <w:r w:rsidRPr="00C9465D">
        <w:rPr>
          <w:i/>
          <w:sz w:val="16"/>
          <w:szCs w:val="16"/>
          <w:lang w:val="en-US"/>
        </w:rPr>
        <w:t xml:space="preserve"> Guatemala. </w:t>
      </w:r>
      <w:r w:rsidR="001056D1" w:rsidRPr="00C9465D">
        <w:rPr>
          <w:i/>
          <w:sz w:val="16"/>
          <w:szCs w:val="16"/>
          <w:lang w:val="en-US"/>
        </w:rPr>
        <w:t>Reparations and costs</w:t>
      </w:r>
      <w:r w:rsidRPr="00C9465D">
        <w:rPr>
          <w:iCs/>
          <w:sz w:val="16"/>
          <w:szCs w:val="16"/>
          <w:lang w:val="en-US"/>
        </w:rPr>
        <w:t xml:space="preserve">. </w:t>
      </w:r>
      <w:r w:rsidR="00D8466F" w:rsidRPr="00C9465D">
        <w:rPr>
          <w:iCs/>
          <w:sz w:val="16"/>
          <w:szCs w:val="16"/>
          <w:lang w:val="en-US"/>
        </w:rPr>
        <w:t>Judgment of</w:t>
      </w:r>
      <w:r w:rsidRPr="00C9465D">
        <w:rPr>
          <w:iCs/>
          <w:sz w:val="16"/>
          <w:szCs w:val="16"/>
          <w:lang w:val="en-US"/>
        </w:rPr>
        <w:t xml:space="preserve"> </w:t>
      </w:r>
      <w:r w:rsidR="0094203A" w:rsidRPr="00C9465D">
        <w:rPr>
          <w:iCs/>
          <w:sz w:val="16"/>
          <w:szCs w:val="16"/>
          <w:lang w:val="en-US"/>
        </w:rPr>
        <w:t>February 22,</w:t>
      </w:r>
      <w:r w:rsidRPr="00C9465D">
        <w:rPr>
          <w:iCs/>
          <w:sz w:val="16"/>
          <w:szCs w:val="16"/>
          <w:lang w:val="en-US"/>
        </w:rPr>
        <w:t xml:space="preserve"> 2002. </w:t>
      </w:r>
      <w:r w:rsidR="00E2299F" w:rsidRPr="00C9465D">
        <w:rPr>
          <w:iCs/>
          <w:sz w:val="16"/>
          <w:szCs w:val="16"/>
          <w:lang w:val="en-US"/>
        </w:rPr>
        <w:t xml:space="preserve">Series </w:t>
      </w:r>
      <w:r w:rsidRPr="00C9465D">
        <w:rPr>
          <w:iCs/>
          <w:sz w:val="16"/>
          <w:szCs w:val="16"/>
          <w:lang w:val="en-US"/>
        </w:rPr>
        <w:t xml:space="preserve">C No. 91, </w:t>
      </w:r>
      <w:r w:rsidR="00D8466F" w:rsidRPr="00C9465D">
        <w:rPr>
          <w:iCs/>
          <w:sz w:val="16"/>
          <w:szCs w:val="16"/>
          <w:lang w:val="en-US"/>
        </w:rPr>
        <w:t>para.</w:t>
      </w:r>
      <w:r w:rsidRPr="00C9465D">
        <w:rPr>
          <w:iCs/>
          <w:sz w:val="16"/>
          <w:szCs w:val="16"/>
          <w:lang w:val="en-US"/>
        </w:rPr>
        <w:t xml:space="preserve"> 43,</w:t>
      </w:r>
      <w:r w:rsidR="00193CBB" w:rsidRPr="00C9465D">
        <w:rPr>
          <w:iCs/>
          <w:sz w:val="16"/>
          <w:szCs w:val="16"/>
          <w:lang w:val="en-US"/>
        </w:rPr>
        <w:t xml:space="preserve"> and </w:t>
      </w:r>
      <w:r w:rsidR="00D8466F" w:rsidRPr="00C9465D">
        <w:rPr>
          <w:i/>
          <w:sz w:val="16"/>
          <w:szCs w:val="16"/>
          <w:lang w:val="en-US"/>
        </w:rPr>
        <w:t>Case of</w:t>
      </w:r>
      <w:r w:rsidRPr="00C9465D">
        <w:rPr>
          <w:i/>
          <w:sz w:val="16"/>
          <w:szCs w:val="16"/>
          <w:lang w:val="en-US"/>
        </w:rPr>
        <w:t xml:space="preserve"> Casa Nina </w:t>
      </w:r>
      <w:r w:rsidR="00193CBB" w:rsidRPr="00C9465D">
        <w:rPr>
          <w:i/>
          <w:sz w:val="16"/>
          <w:szCs w:val="16"/>
          <w:lang w:val="en-US"/>
        </w:rPr>
        <w:t>v.</w:t>
      </w:r>
      <w:r w:rsidRPr="00C9465D">
        <w:rPr>
          <w:i/>
          <w:sz w:val="16"/>
          <w:szCs w:val="16"/>
          <w:lang w:val="en-US"/>
        </w:rPr>
        <w:t xml:space="preserve"> </w:t>
      </w:r>
      <w:r w:rsidR="001902D2" w:rsidRPr="00C9465D">
        <w:rPr>
          <w:i/>
          <w:sz w:val="16"/>
          <w:szCs w:val="16"/>
          <w:lang w:val="en-US"/>
        </w:rPr>
        <w:t>Peru</w:t>
      </w:r>
      <w:r w:rsidRPr="00C9465D">
        <w:rPr>
          <w:sz w:val="16"/>
          <w:szCs w:val="16"/>
          <w:lang w:val="en-US"/>
        </w:rPr>
        <w:t xml:space="preserve">, </w:t>
      </w:r>
      <w:r w:rsidRPr="00C9465D">
        <w:rPr>
          <w:i/>
          <w:sz w:val="16"/>
          <w:szCs w:val="16"/>
          <w:lang w:val="en-US"/>
        </w:rPr>
        <w:t>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143.</w:t>
      </w:r>
      <w:r w:rsidRPr="00C9465D" w:rsidDel="00ED66DA">
        <w:rPr>
          <w:sz w:val="16"/>
          <w:szCs w:val="16"/>
          <w:lang w:val="en-US"/>
        </w:rPr>
        <w:t xml:space="preserve"> </w:t>
      </w:r>
    </w:p>
  </w:footnote>
  <w:footnote w:id="379">
    <w:p w14:paraId="2C775BBD" w14:textId="103D75F9" w:rsidR="00300482" w:rsidRPr="00C9465D" w:rsidRDefault="00300482" w:rsidP="00BD26CF">
      <w:pPr>
        <w:pStyle w:val="FootnoteText"/>
        <w:tabs>
          <w:tab w:val="left" w:pos="540"/>
          <w:tab w:val="left" w:pos="567"/>
        </w:tabs>
        <w:spacing w:after="120"/>
        <w:rPr>
          <w:b/>
          <w:spacing w:val="-4"/>
          <w:sz w:val="16"/>
          <w:szCs w:val="16"/>
          <w:lang w:val="en-US"/>
        </w:rPr>
      </w:pPr>
      <w:r w:rsidRPr="00C9465D">
        <w:rPr>
          <w:rStyle w:val="FootnoteReference"/>
          <w:spacing w:val="-4"/>
          <w:sz w:val="16"/>
          <w:szCs w:val="16"/>
          <w:lang w:val="en-US"/>
        </w:rPr>
        <w:footnoteRef/>
      </w:r>
      <w:r w:rsidRPr="00C9465D">
        <w:rPr>
          <w:spacing w:val="-4"/>
          <w:sz w:val="16"/>
          <w:szCs w:val="16"/>
          <w:lang w:val="en-US"/>
        </w:rPr>
        <w:t xml:space="preserve"> </w:t>
      </w:r>
      <w:r w:rsidRPr="00C9465D">
        <w:rPr>
          <w:spacing w:val="-4"/>
          <w:sz w:val="16"/>
          <w:szCs w:val="16"/>
          <w:lang w:val="en-US"/>
        </w:rPr>
        <w:tab/>
      </w:r>
      <w:r w:rsidR="00E2299F" w:rsidRPr="00C9465D">
        <w:rPr>
          <w:i/>
          <w:spacing w:val="-4"/>
          <w:sz w:val="16"/>
          <w:szCs w:val="16"/>
          <w:lang w:val="en-US"/>
        </w:rPr>
        <w:t>Cf.</w:t>
      </w:r>
      <w:r w:rsidRPr="00C9465D">
        <w:rPr>
          <w:i/>
          <w:spacing w:val="-4"/>
          <w:sz w:val="16"/>
          <w:szCs w:val="16"/>
          <w:lang w:val="en-US"/>
        </w:rPr>
        <w:t xml:space="preserve"> </w:t>
      </w:r>
      <w:r w:rsidR="00D8466F" w:rsidRPr="00C9465D">
        <w:rPr>
          <w:i/>
          <w:spacing w:val="-4"/>
          <w:sz w:val="16"/>
          <w:szCs w:val="16"/>
          <w:lang w:val="en-US"/>
        </w:rPr>
        <w:t xml:space="preserve">Case </w:t>
      </w:r>
      <w:r w:rsidR="00177BA9" w:rsidRPr="00C9465D">
        <w:rPr>
          <w:i/>
          <w:spacing w:val="-4"/>
          <w:sz w:val="16"/>
          <w:szCs w:val="16"/>
          <w:lang w:val="en-US"/>
        </w:rPr>
        <w:t>of the “Street Children” (Villagrán Morales et al.)</w:t>
      </w:r>
      <w:r w:rsidRPr="00C9465D">
        <w:rPr>
          <w:i/>
          <w:spacing w:val="-4"/>
          <w:sz w:val="16"/>
          <w:szCs w:val="16"/>
          <w:lang w:val="en-US"/>
        </w:rPr>
        <w:t xml:space="preserve"> </w:t>
      </w:r>
      <w:r w:rsidR="00193CBB" w:rsidRPr="00C9465D">
        <w:rPr>
          <w:i/>
          <w:spacing w:val="-4"/>
          <w:sz w:val="16"/>
          <w:szCs w:val="16"/>
          <w:lang w:val="en-US"/>
        </w:rPr>
        <w:t>v.</w:t>
      </w:r>
      <w:r w:rsidRPr="00C9465D">
        <w:rPr>
          <w:i/>
          <w:spacing w:val="-4"/>
          <w:sz w:val="16"/>
          <w:szCs w:val="16"/>
          <w:lang w:val="en-US"/>
        </w:rPr>
        <w:t xml:space="preserve"> Guatemala, supra</w:t>
      </w:r>
      <w:r w:rsidRPr="00C9465D">
        <w:rPr>
          <w:iCs/>
          <w:spacing w:val="-4"/>
          <w:sz w:val="16"/>
          <w:szCs w:val="16"/>
          <w:lang w:val="en-US"/>
        </w:rPr>
        <w:t xml:space="preserve">, </w:t>
      </w:r>
      <w:r w:rsidR="00D8466F" w:rsidRPr="00C9465D">
        <w:rPr>
          <w:iCs/>
          <w:spacing w:val="-4"/>
          <w:sz w:val="16"/>
          <w:szCs w:val="16"/>
          <w:lang w:val="en-US"/>
        </w:rPr>
        <w:t>para.</w:t>
      </w:r>
      <w:r w:rsidRPr="00C9465D">
        <w:rPr>
          <w:iCs/>
          <w:spacing w:val="-4"/>
          <w:sz w:val="16"/>
          <w:szCs w:val="16"/>
          <w:lang w:val="en-US"/>
        </w:rPr>
        <w:t xml:space="preserve"> 84,</w:t>
      </w:r>
      <w:r w:rsidR="00193CBB" w:rsidRPr="00C9465D">
        <w:rPr>
          <w:iCs/>
          <w:spacing w:val="-4"/>
          <w:sz w:val="16"/>
          <w:szCs w:val="16"/>
          <w:lang w:val="en-US"/>
        </w:rPr>
        <w:t xml:space="preserve"> and </w:t>
      </w:r>
      <w:r w:rsidR="00D8466F" w:rsidRPr="00C9465D">
        <w:rPr>
          <w:i/>
          <w:sz w:val="16"/>
          <w:szCs w:val="16"/>
          <w:lang w:val="en-US"/>
        </w:rPr>
        <w:t>Case of</w:t>
      </w:r>
      <w:r w:rsidRPr="00C9465D">
        <w:rPr>
          <w:i/>
          <w:sz w:val="16"/>
          <w:szCs w:val="16"/>
          <w:lang w:val="en-US"/>
        </w:rPr>
        <w:t xml:space="preserve"> Casa Nina </w:t>
      </w:r>
      <w:r w:rsidR="00193CBB" w:rsidRPr="00C9465D">
        <w:rPr>
          <w:i/>
          <w:sz w:val="16"/>
          <w:szCs w:val="16"/>
          <w:lang w:val="en-US"/>
        </w:rPr>
        <w:t>v.</w:t>
      </w:r>
      <w:r w:rsidRPr="00C9465D">
        <w:rPr>
          <w:i/>
          <w:sz w:val="16"/>
          <w:szCs w:val="16"/>
          <w:lang w:val="en-US"/>
        </w:rPr>
        <w:t xml:space="preserve"> </w:t>
      </w:r>
      <w:r w:rsidR="001902D2" w:rsidRPr="00C9465D">
        <w:rPr>
          <w:i/>
          <w:sz w:val="16"/>
          <w:szCs w:val="16"/>
          <w:lang w:val="en-US"/>
        </w:rPr>
        <w:t>Peru</w:t>
      </w:r>
      <w:r w:rsidRPr="00C9465D">
        <w:rPr>
          <w:sz w:val="16"/>
          <w:szCs w:val="16"/>
          <w:lang w:val="en-US"/>
        </w:rPr>
        <w:t xml:space="preserve">, </w:t>
      </w:r>
      <w:r w:rsidRPr="00C9465D">
        <w:rPr>
          <w:i/>
          <w:sz w:val="16"/>
          <w:szCs w:val="16"/>
          <w:lang w:val="en-US"/>
        </w:rPr>
        <w:t>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151.</w:t>
      </w:r>
    </w:p>
  </w:footnote>
  <w:footnote w:id="380">
    <w:p w14:paraId="42F5A9F1" w14:textId="041499DB" w:rsidR="00300482" w:rsidRPr="00C9465D" w:rsidRDefault="00300482" w:rsidP="00BD26CF">
      <w:pPr>
        <w:pStyle w:val="FootnoteText"/>
        <w:tabs>
          <w:tab w:val="left" w:pos="567"/>
        </w:tabs>
        <w:spacing w:after="120"/>
        <w:rPr>
          <w:sz w:val="16"/>
          <w:szCs w:val="16"/>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Garrido</w:t>
      </w:r>
      <w:r w:rsidR="00193CBB" w:rsidRPr="00C9465D">
        <w:rPr>
          <w:i/>
          <w:sz w:val="16"/>
          <w:szCs w:val="16"/>
          <w:lang w:val="en-US"/>
        </w:rPr>
        <w:t xml:space="preserve"> and </w:t>
      </w:r>
      <w:r w:rsidRPr="00C9465D">
        <w:rPr>
          <w:i/>
          <w:sz w:val="16"/>
          <w:szCs w:val="16"/>
          <w:lang w:val="en-US"/>
        </w:rPr>
        <w:t xml:space="preserve">Baigorria </w:t>
      </w:r>
      <w:r w:rsidR="00193CBB" w:rsidRPr="00C9465D">
        <w:rPr>
          <w:i/>
          <w:sz w:val="16"/>
          <w:szCs w:val="16"/>
          <w:lang w:val="en-US"/>
        </w:rPr>
        <w:t>v.</w:t>
      </w:r>
      <w:r w:rsidRPr="00C9465D">
        <w:rPr>
          <w:i/>
          <w:sz w:val="16"/>
          <w:szCs w:val="16"/>
          <w:lang w:val="en-US"/>
        </w:rPr>
        <w:t xml:space="preserve"> Argentina. </w:t>
      </w:r>
      <w:r w:rsidR="001056D1" w:rsidRPr="00C9465D">
        <w:rPr>
          <w:i/>
          <w:sz w:val="16"/>
          <w:szCs w:val="16"/>
          <w:lang w:val="en-US"/>
        </w:rPr>
        <w:t>Reparations and costs</w:t>
      </w:r>
      <w:r w:rsidRPr="00C9465D">
        <w:rPr>
          <w:i/>
          <w:sz w:val="16"/>
          <w:szCs w:val="16"/>
          <w:lang w:val="en-US"/>
        </w:rPr>
        <w:t xml:space="preserve">. </w:t>
      </w:r>
      <w:r w:rsidR="00D8466F" w:rsidRPr="00C9465D">
        <w:rPr>
          <w:iCs/>
          <w:sz w:val="16"/>
          <w:szCs w:val="16"/>
          <w:lang w:val="en-US"/>
        </w:rPr>
        <w:t>Judgment of</w:t>
      </w:r>
      <w:r w:rsidRPr="00C9465D">
        <w:rPr>
          <w:iCs/>
          <w:sz w:val="16"/>
          <w:szCs w:val="16"/>
          <w:lang w:val="en-US"/>
        </w:rPr>
        <w:t xml:space="preserve"> </w:t>
      </w:r>
      <w:r w:rsidR="00B77D7E" w:rsidRPr="00C9465D">
        <w:rPr>
          <w:iCs/>
          <w:sz w:val="16"/>
          <w:szCs w:val="16"/>
          <w:lang w:val="en-US"/>
        </w:rPr>
        <w:t>August 27,</w:t>
      </w:r>
      <w:r w:rsidRPr="00C9465D">
        <w:rPr>
          <w:iCs/>
          <w:sz w:val="16"/>
          <w:szCs w:val="16"/>
          <w:lang w:val="en-US"/>
        </w:rPr>
        <w:t xml:space="preserve"> 1998. </w:t>
      </w:r>
      <w:r w:rsidR="00E2299F" w:rsidRPr="00C9465D">
        <w:rPr>
          <w:iCs/>
          <w:sz w:val="16"/>
          <w:szCs w:val="16"/>
        </w:rPr>
        <w:t xml:space="preserve">Series </w:t>
      </w:r>
      <w:r w:rsidRPr="00C9465D">
        <w:rPr>
          <w:iCs/>
          <w:sz w:val="16"/>
          <w:szCs w:val="16"/>
        </w:rPr>
        <w:t xml:space="preserve">C No. 39, </w:t>
      </w:r>
      <w:r w:rsidR="00D8466F" w:rsidRPr="00C9465D">
        <w:rPr>
          <w:iCs/>
          <w:sz w:val="16"/>
          <w:szCs w:val="16"/>
        </w:rPr>
        <w:t>para.</w:t>
      </w:r>
      <w:r w:rsidRPr="00C9465D">
        <w:rPr>
          <w:iCs/>
          <w:sz w:val="16"/>
          <w:szCs w:val="16"/>
        </w:rPr>
        <w:t xml:space="preserve"> 82,</w:t>
      </w:r>
      <w:r w:rsidR="00193CBB" w:rsidRPr="00C9465D">
        <w:rPr>
          <w:iCs/>
          <w:sz w:val="16"/>
          <w:szCs w:val="16"/>
        </w:rPr>
        <w:t xml:space="preserve"> and </w:t>
      </w:r>
      <w:r w:rsidR="00D8466F" w:rsidRPr="00C9465D">
        <w:rPr>
          <w:i/>
          <w:sz w:val="16"/>
          <w:szCs w:val="16"/>
        </w:rPr>
        <w:t>Case of</w:t>
      </w:r>
      <w:r w:rsidRPr="00C9465D">
        <w:rPr>
          <w:i/>
          <w:sz w:val="16"/>
          <w:szCs w:val="16"/>
        </w:rPr>
        <w:t xml:space="preserve"> Casa Nina </w:t>
      </w:r>
      <w:r w:rsidR="00193CBB" w:rsidRPr="00C9465D">
        <w:rPr>
          <w:i/>
          <w:sz w:val="16"/>
          <w:szCs w:val="16"/>
        </w:rPr>
        <w:t>v.</w:t>
      </w:r>
      <w:r w:rsidRPr="00C9465D">
        <w:rPr>
          <w:i/>
          <w:sz w:val="16"/>
          <w:szCs w:val="16"/>
        </w:rPr>
        <w:t xml:space="preserve"> </w:t>
      </w:r>
      <w:proofErr w:type="spellStart"/>
      <w:r w:rsidR="001902D2" w:rsidRPr="00C9465D">
        <w:rPr>
          <w:i/>
          <w:sz w:val="16"/>
          <w:szCs w:val="16"/>
        </w:rPr>
        <w:t>Peru</w:t>
      </w:r>
      <w:proofErr w:type="spellEnd"/>
      <w:r w:rsidRPr="00C9465D">
        <w:rPr>
          <w:i/>
          <w:sz w:val="16"/>
          <w:szCs w:val="16"/>
        </w:rPr>
        <w:t>, supra,</w:t>
      </w:r>
      <w:r w:rsidRPr="00C9465D">
        <w:rPr>
          <w:sz w:val="16"/>
          <w:szCs w:val="16"/>
        </w:rPr>
        <w:t xml:space="preserve"> </w:t>
      </w:r>
      <w:r w:rsidR="00D8466F" w:rsidRPr="00C9465D">
        <w:rPr>
          <w:sz w:val="16"/>
          <w:szCs w:val="16"/>
        </w:rPr>
        <w:t>para.</w:t>
      </w:r>
      <w:r w:rsidRPr="00C9465D">
        <w:rPr>
          <w:sz w:val="16"/>
          <w:szCs w:val="16"/>
        </w:rPr>
        <w:t xml:space="preserve"> 157.</w:t>
      </w:r>
      <w:r w:rsidRPr="00C9465D">
        <w:rPr>
          <w:i/>
          <w:sz w:val="16"/>
          <w:szCs w:val="16"/>
        </w:rPr>
        <w:t xml:space="preserve"> </w:t>
      </w:r>
    </w:p>
  </w:footnote>
  <w:footnote w:id="381">
    <w:p w14:paraId="65856BC0" w14:textId="5DF7E01E" w:rsidR="00300482" w:rsidRPr="00C9465D" w:rsidRDefault="00300482" w:rsidP="00BD26CF">
      <w:pPr>
        <w:pStyle w:val="FootnoteText"/>
        <w:tabs>
          <w:tab w:val="left" w:pos="567"/>
        </w:tabs>
        <w:spacing w:after="120"/>
        <w:rPr>
          <w:bCs/>
          <w:iCs/>
          <w:sz w:val="16"/>
          <w:szCs w:val="16"/>
        </w:rPr>
      </w:pPr>
      <w:r w:rsidRPr="00C9465D">
        <w:rPr>
          <w:rStyle w:val="FootnoteReference"/>
          <w:sz w:val="16"/>
          <w:szCs w:val="16"/>
          <w:lang w:val="en-US"/>
        </w:rPr>
        <w:footnoteRef/>
      </w:r>
      <w:r w:rsidRPr="00C9465D">
        <w:rPr>
          <w:sz w:val="16"/>
          <w:szCs w:val="16"/>
        </w:rPr>
        <w:t xml:space="preserve"> </w:t>
      </w:r>
      <w:r w:rsidRPr="00C9465D">
        <w:rPr>
          <w:sz w:val="16"/>
          <w:szCs w:val="16"/>
        </w:rPr>
        <w:tab/>
      </w:r>
      <w:r w:rsidR="00E2299F" w:rsidRPr="00C9465D">
        <w:rPr>
          <w:i/>
          <w:sz w:val="16"/>
          <w:szCs w:val="16"/>
        </w:rPr>
        <w:t>Cf.</w:t>
      </w:r>
      <w:r w:rsidRPr="00C9465D">
        <w:rPr>
          <w:i/>
          <w:sz w:val="16"/>
          <w:szCs w:val="16"/>
        </w:rPr>
        <w:t xml:space="preserve"> </w:t>
      </w:r>
      <w:r w:rsidR="00D8466F" w:rsidRPr="00C9465D">
        <w:rPr>
          <w:i/>
          <w:sz w:val="16"/>
          <w:szCs w:val="16"/>
        </w:rPr>
        <w:t>Case of</w:t>
      </w:r>
      <w:r w:rsidRPr="00C9465D">
        <w:rPr>
          <w:i/>
          <w:sz w:val="16"/>
          <w:szCs w:val="16"/>
        </w:rPr>
        <w:t xml:space="preserve"> Garrido</w:t>
      </w:r>
      <w:r w:rsidR="00193CBB" w:rsidRPr="00C9465D">
        <w:rPr>
          <w:i/>
          <w:sz w:val="16"/>
          <w:szCs w:val="16"/>
        </w:rPr>
        <w:t xml:space="preserve"> and </w:t>
      </w:r>
      <w:r w:rsidRPr="00C9465D">
        <w:rPr>
          <w:i/>
          <w:sz w:val="16"/>
          <w:szCs w:val="16"/>
        </w:rPr>
        <w:t xml:space="preserve">Baigorria </w:t>
      </w:r>
      <w:r w:rsidR="00193CBB" w:rsidRPr="00C9465D">
        <w:rPr>
          <w:i/>
          <w:sz w:val="16"/>
          <w:szCs w:val="16"/>
        </w:rPr>
        <w:t>v.</w:t>
      </w:r>
      <w:r w:rsidRPr="00C9465D">
        <w:rPr>
          <w:i/>
          <w:sz w:val="16"/>
          <w:szCs w:val="16"/>
        </w:rPr>
        <w:t xml:space="preserve"> Argentina, supra, </w:t>
      </w:r>
      <w:r w:rsidR="00D8466F" w:rsidRPr="00C9465D">
        <w:rPr>
          <w:iCs/>
          <w:sz w:val="16"/>
          <w:szCs w:val="16"/>
        </w:rPr>
        <w:t>para.</w:t>
      </w:r>
      <w:r w:rsidRPr="00C9465D">
        <w:rPr>
          <w:iCs/>
          <w:sz w:val="16"/>
          <w:szCs w:val="16"/>
        </w:rPr>
        <w:t xml:space="preserve"> 82,</w:t>
      </w:r>
      <w:r w:rsidR="00193CBB" w:rsidRPr="00C9465D">
        <w:rPr>
          <w:iCs/>
          <w:sz w:val="16"/>
          <w:szCs w:val="16"/>
        </w:rPr>
        <w:t xml:space="preserve"> and </w:t>
      </w:r>
      <w:r w:rsidR="00D8466F" w:rsidRPr="00C9465D">
        <w:rPr>
          <w:i/>
          <w:sz w:val="16"/>
          <w:szCs w:val="16"/>
        </w:rPr>
        <w:t>Case of</w:t>
      </w:r>
      <w:r w:rsidRPr="00C9465D">
        <w:rPr>
          <w:i/>
          <w:sz w:val="16"/>
          <w:szCs w:val="16"/>
        </w:rPr>
        <w:t xml:space="preserve"> Casa Nina </w:t>
      </w:r>
      <w:r w:rsidR="00193CBB" w:rsidRPr="00C9465D">
        <w:rPr>
          <w:i/>
          <w:sz w:val="16"/>
          <w:szCs w:val="16"/>
        </w:rPr>
        <w:t>v.</w:t>
      </w:r>
      <w:r w:rsidRPr="00C9465D">
        <w:rPr>
          <w:i/>
          <w:sz w:val="16"/>
          <w:szCs w:val="16"/>
        </w:rPr>
        <w:t xml:space="preserve"> </w:t>
      </w:r>
      <w:proofErr w:type="spellStart"/>
      <w:r w:rsidR="001902D2" w:rsidRPr="00C9465D">
        <w:rPr>
          <w:i/>
          <w:sz w:val="16"/>
          <w:szCs w:val="16"/>
        </w:rPr>
        <w:t>Peru</w:t>
      </w:r>
      <w:proofErr w:type="spellEnd"/>
      <w:r w:rsidRPr="00C9465D">
        <w:rPr>
          <w:i/>
          <w:sz w:val="16"/>
          <w:szCs w:val="16"/>
        </w:rPr>
        <w:t>, supra,</w:t>
      </w:r>
      <w:r w:rsidRPr="00C9465D">
        <w:rPr>
          <w:sz w:val="16"/>
          <w:szCs w:val="16"/>
        </w:rPr>
        <w:t xml:space="preserve"> </w:t>
      </w:r>
      <w:r w:rsidR="00D8466F" w:rsidRPr="00C9465D">
        <w:rPr>
          <w:sz w:val="16"/>
          <w:szCs w:val="16"/>
        </w:rPr>
        <w:t>para.</w:t>
      </w:r>
      <w:r w:rsidRPr="00C9465D">
        <w:rPr>
          <w:sz w:val="16"/>
          <w:szCs w:val="16"/>
        </w:rPr>
        <w:t xml:space="preserve"> 157.</w:t>
      </w:r>
    </w:p>
  </w:footnote>
  <w:footnote w:id="382">
    <w:p w14:paraId="4A837F7D" w14:textId="34C702D1" w:rsidR="00300482" w:rsidRPr="00C9465D" w:rsidRDefault="00300482" w:rsidP="00BD26CF">
      <w:pPr>
        <w:pStyle w:val="FootnoteText"/>
        <w:tabs>
          <w:tab w:val="left" w:pos="567"/>
        </w:tabs>
        <w:spacing w:after="120"/>
        <w:rPr>
          <w:sz w:val="16"/>
          <w:szCs w:val="16"/>
          <w:lang w:val="en-US" w:bidi="en-US"/>
        </w:rPr>
      </w:pPr>
      <w:r w:rsidRPr="00C9465D">
        <w:rPr>
          <w:rStyle w:val="FootnoteReference"/>
          <w:sz w:val="16"/>
          <w:szCs w:val="16"/>
          <w:lang w:val="en-US"/>
        </w:rPr>
        <w:footnoteRef/>
      </w:r>
      <w:r w:rsidRPr="00C9465D">
        <w:rPr>
          <w:sz w:val="16"/>
          <w:szCs w:val="16"/>
        </w:rPr>
        <w:tab/>
      </w:r>
      <w:r w:rsidR="00E2299F" w:rsidRPr="00C9465D">
        <w:rPr>
          <w:i/>
          <w:sz w:val="16"/>
          <w:szCs w:val="16"/>
        </w:rPr>
        <w:t>Cf.</w:t>
      </w:r>
      <w:r w:rsidRPr="00C9465D">
        <w:rPr>
          <w:i/>
          <w:sz w:val="16"/>
          <w:szCs w:val="16"/>
        </w:rPr>
        <w:t xml:space="preserve"> </w:t>
      </w:r>
      <w:r w:rsidR="00D8466F" w:rsidRPr="00C9465D">
        <w:rPr>
          <w:i/>
          <w:sz w:val="16"/>
          <w:szCs w:val="16"/>
        </w:rPr>
        <w:t>Case of</w:t>
      </w:r>
      <w:r w:rsidRPr="00C9465D">
        <w:rPr>
          <w:i/>
          <w:sz w:val="16"/>
          <w:szCs w:val="16"/>
        </w:rPr>
        <w:t xml:space="preserve"> Garrido</w:t>
      </w:r>
      <w:r w:rsidR="00193CBB" w:rsidRPr="00C9465D">
        <w:rPr>
          <w:i/>
          <w:sz w:val="16"/>
          <w:szCs w:val="16"/>
        </w:rPr>
        <w:t xml:space="preserve"> and </w:t>
      </w:r>
      <w:r w:rsidRPr="00C9465D">
        <w:rPr>
          <w:i/>
          <w:sz w:val="16"/>
          <w:szCs w:val="16"/>
        </w:rPr>
        <w:t xml:space="preserve">Baigorria </w:t>
      </w:r>
      <w:r w:rsidR="00193CBB" w:rsidRPr="00C9465D">
        <w:rPr>
          <w:i/>
          <w:sz w:val="16"/>
          <w:szCs w:val="16"/>
        </w:rPr>
        <w:t>v.</w:t>
      </w:r>
      <w:r w:rsidRPr="00C9465D">
        <w:rPr>
          <w:i/>
          <w:sz w:val="16"/>
          <w:szCs w:val="16"/>
        </w:rPr>
        <w:t xml:space="preserve"> Argentina, supra, </w:t>
      </w:r>
      <w:r w:rsidR="00D8466F" w:rsidRPr="00C9465D">
        <w:rPr>
          <w:iCs/>
          <w:sz w:val="16"/>
          <w:szCs w:val="16"/>
        </w:rPr>
        <w:t>para.</w:t>
      </w:r>
      <w:r w:rsidRPr="00C9465D">
        <w:rPr>
          <w:iCs/>
          <w:sz w:val="16"/>
          <w:szCs w:val="16"/>
        </w:rPr>
        <w:t xml:space="preserve"> 79,</w:t>
      </w:r>
      <w:r w:rsidR="00193CBB" w:rsidRPr="00C9465D">
        <w:rPr>
          <w:iCs/>
          <w:sz w:val="16"/>
          <w:szCs w:val="16"/>
        </w:rPr>
        <w:t xml:space="preserve"> and </w:t>
      </w:r>
      <w:r w:rsidR="00D8466F" w:rsidRPr="00C9465D">
        <w:rPr>
          <w:i/>
          <w:sz w:val="16"/>
          <w:szCs w:val="16"/>
        </w:rPr>
        <w:t>Case of</w:t>
      </w:r>
      <w:r w:rsidRPr="00C9465D">
        <w:rPr>
          <w:i/>
          <w:sz w:val="16"/>
          <w:szCs w:val="16"/>
        </w:rPr>
        <w:t xml:space="preserve"> Olivares Muñoz</w:t>
      </w:r>
      <w:r w:rsidR="00193CBB" w:rsidRPr="00C9465D">
        <w:rPr>
          <w:i/>
          <w:sz w:val="16"/>
          <w:szCs w:val="16"/>
        </w:rPr>
        <w:t xml:space="preserve"> </w:t>
      </w:r>
      <w:r w:rsidR="00D8466F" w:rsidRPr="00C9465D">
        <w:rPr>
          <w:i/>
          <w:sz w:val="16"/>
          <w:szCs w:val="16"/>
        </w:rPr>
        <w:t>et al. v.</w:t>
      </w:r>
      <w:r w:rsidRPr="00C9465D">
        <w:rPr>
          <w:i/>
          <w:sz w:val="16"/>
          <w:szCs w:val="16"/>
        </w:rPr>
        <w:t xml:space="preserve"> Venezuela, supra</w:t>
      </w:r>
      <w:r w:rsidRPr="00C9465D">
        <w:rPr>
          <w:sz w:val="16"/>
          <w:szCs w:val="16"/>
        </w:rPr>
        <w:t xml:space="preserve">, </w:t>
      </w:r>
      <w:r w:rsidR="00D8466F" w:rsidRPr="00C9465D">
        <w:rPr>
          <w:sz w:val="16"/>
          <w:szCs w:val="16"/>
        </w:rPr>
        <w:t>para.</w:t>
      </w:r>
      <w:r w:rsidRPr="00C9465D">
        <w:rPr>
          <w:sz w:val="16"/>
          <w:szCs w:val="16"/>
        </w:rPr>
        <w:t xml:space="preserve"> </w:t>
      </w:r>
      <w:r w:rsidRPr="00C9465D">
        <w:rPr>
          <w:sz w:val="16"/>
          <w:szCs w:val="16"/>
          <w:lang w:val="en-US"/>
        </w:rPr>
        <w:t>193.</w:t>
      </w:r>
      <w:r w:rsidRPr="00C9465D">
        <w:rPr>
          <w:i/>
          <w:sz w:val="16"/>
          <w:szCs w:val="16"/>
          <w:lang w:val="en-US"/>
        </w:rPr>
        <w:t xml:space="preserve"> </w:t>
      </w:r>
    </w:p>
  </w:footnote>
  <w:footnote w:id="383">
    <w:p w14:paraId="31BEB6FA" w14:textId="634CA222"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Chaparro Álvarez</w:t>
      </w:r>
      <w:r w:rsidR="00193CBB" w:rsidRPr="00C9465D">
        <w:rPr>
          <w:i/>
          <w:sz w:val="16"/>
          <w:szCs w:val="16"/>
          <w:lang w:val="en-US"/>
        </w:rPr>
        <w:t xml:space="preserve"> and </w:t>
      </w:r>
      <w:r w:rsidRPr="00C9465D">
        <w:rPr>
          <w:i/>
          <w:sz w:val="16"/>
          <w:szCs w:val="16"/>
          <w:lang w:val="en-US"/>
        </w:rPr>
        <w:t xml:space="preserve">Lapo Íñiguez </w:t>
      </w:r>
      <w:r w:rsidR="00193CBB" w:rsidRPr="00C9465D">
        <w:rPr>
          <w:i/>
          <w:sz w:val="16"/>
          <w:szCs w:val="16"/>
          <w:lang w:val="en-US"/>
        </w:rPr>
        <w:t>v.</w:t>
      </w:r>
      <w:r w:rsidRPr="00C9465D">
        <w:rPr>
          <w:i/>
          <w:sz w:val="16"/>
          <w:szCs w:val="16"/>
          <w:lang w:val="en-US"/>
        </w:rPr>
        <w:t xml:space="preserve"> Ecuador. </w:t>
      </w:r>
      <w:r w:rsidR="00D8466F" w:rsidRPr="00C9465D">
        <w:rPr>
          <w:i/>
          <w:sz w:val="16"/>
          <w:szCs w:val="16"/>
          <w:lang w:val="en-US"/>
        </w:rPr>
        <w:t>Preliminary objections, merits</w:t>
      </w:r>
      <w:r w:rsidR="00193CBB" w:rsidRPr="00C9465D">
        <w:rPr>
          <w:i/>
          <w:sz w:val="16"/>
          <w:szCs w:val="16"/>
          <w:lang w:val="en-US"/>
        </w:rPr>
        <w:t>, reparations and costs</w:t>
      </w:r>
      <w:r w:rsidRPr="00C9465D">
        <w:rPr>
          <w:i/>
          <w:sz w:val="16"/>
          <w:szCs w:val="16"/>
          <w:lang w:val="en-US"/>
        </w:rPr>
        <w:t xml:space="preserve">, supra, </w:t>
      </w:r>
      <w:r w:rsidR="00D8466F" w:rsidRPr="00C9465D">
        <w:rPr>
          <w:iCs/>
          <w:sz w:val="16"/>
          <w:szCs w:val="16"/>
          <w:lang w:val="en-US"/>
        </w:rPr>
        <w:t>para.</w:t>
      </w:r>
      <w:r w:rsidRPr="00C9465D">
        <w:rPr>
          <w:iCs/>
          <w:sz w:val="16"/>
          <w:szCs w:val="16"/>
          <w:lang w:val="en-US"/>
        </w:rPr>
        <w:t xml:space="preserve"> </w:t>
      </w:r>
      <w:r w:rsidRPr="00C9465D">
        <w:rPr>
          <w:iCs/>
          <w:sz w:val="16"/>
          <w:szCs w:val="16"/>
        </w:rPr>
        <w:t>277,</w:t>
      </w:r>
      <w:r w:rsidR="00193CBB" w:rsidRPr="00C9465D">
        <w:rPr>
          <w:iCs/>
          <w:sz w:val="16"/>
          <w:szCs w:val="16"/>
        </w:rPr>
        <w:t xml:space="preserve"> and </w:t>
      </w:r>
      <w:r w:rsidR="00D8466F" w:rsidRPr="00C9465D">
        <w:rPr>
          <w:i/>
          <w:sz w:val="16"/>
          <w:szCs w:val="16"/>
        </w:rPr>
        <w:t>Case of</w:t>
      </w:r>
      <w:r w:rsidRPr="00C9465D">
        <w:rPr>
          <w:i/>
          <w:sz w:val="16"/>
          <w:szCs w:val="16"/>
        </w:rPr>
        <w:t xml:space="preserve"> Olivares Muñoz</w:t>
      </w:r>
      <w:r w:rsidR="00193CBB" w:rsidRPr="00C9465D">
        <w:rPr>
          <w:i/>
          <w:sz w:val="16"/>
          <w:szCs w:val="16"/>
        </w:rPr>
        <w:t xml:space="preserve"> </w:t>
      </w:r>
      <w:r w:rsidR="00D8466F" w:rsidRPr="00C9465D">
        <w:rPr>
          <w:i/>
          <w:sz w:val="16"/>
          <w:szCs w:val="16"/>
        </w:rPr>
        <w:t>et al. v.</w:t>
      </w:r>
      <w:r w:rsidRPr="00C9465D">
        <w:rPr>
          <w:i/>
          <w:sz w:val="16"/>
          <w:szCs w:val="16"/>
        </w:rPr>
        <w:t xml:space="preserve"> Venezuela, supra</w:t>
      </w:r>
      <w:r w:rsidRPr="00C9465D">
        <w:rPr>
          <w:sz w:val="16"/>
          <w:szCs w:val="16"/>
        </w:rPr>
        <w:t xml:space="preserve">, </w:t>
      </w:r>
      <w:r w:rsidR="00D8466F" w:rsidRPr="00C9465D">
        <w:rPr>
          <w:sz w:val="16"/>
          <w:szCs w:val="16"/>
        </w:rPr>
        <w:t>para.</w:t>
      </w:r>
      <w:r w:rsidRPr="00C9465D">
        <w:rPr>
          <w:sz w:val="16"/>
          <w:szCs w:val="16"/>
        </w:rPr>
        <w:t xml:space="preserve"> </w:t>
      </w:r>
      <w:r w:rsidRPr="00C9465D">
        <w:rPr>
          <w:sz w:val="16"/>
          <w:szCs w:val="16"/>
          <w:lang w:val="en-US"/>
        </w:rPr>
        <w:t>193.</w:t>
      </w:r>
    </w:p>
  </w:footnote>
  <w:footnote w:id="384">
    <w:p w14:paraId="7C7E631E" w14:textId="746149C2"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rStyle w:val="FootnoteReference"/>
          <w:sz w:val="16"/>
          <w:szCs w:val="16"/>
          <w:lang w:val="en-US"/>
        </w:rPr>
        <w:t xml:space="preserve"> </w:t>
      </w:r>
      <w:r w:rsidRPr="00C9465D">
        <w:rPr>
          <w:rStyle w:val="FootnoteReference"/>
          <w:sz w:val="16"/>
          <w:szCs w:val="16"/>
          <w:vertAlign w:val="baseline"/>
          <w:lang w:val="en-US"/>
        </w:rPr>
        <w:t xml:space="preserve"> </w:t>
      </w:r>
      <w:r w:rsidRPr="00C9465D">
        <w:rPr>
          <w:rStyle w:val="FootnoteReference"/>
          <w:sz w:val="16"/>
          <w:szCs w:val="16"/>
          <w:vertAlign w:val="baseline"/>
          <w:lang w:val="en-US"/>
        </w:rPr>
        <w:tab/>
      </w:r>
      <w:r w:rsidR="00E2299F" w:rsidRPr="00C9465D">
        <w:rPr>
          <w:rStyle w:val="FootnoteReference"/>
          <w:i/>
          <w:sz w:val="16"/>
          <w:szCs w:val="16"/>
          <w:vertAlign w:val="baseline"/>
          <w:lang w:val="en-US"/>
        </w:rPr>
        <w:t>Cf.</w:t>
      </w:r>
      <w:r w:rsidRPr="00C9465D">
        <w:rPr>
          <w:rStyle w:val="FootnoteReference"/>
          <w:i/>
          <w:sz w:val="16"/>
          <w:szCs w:val="16"/>
          <w:vertAlign w:val="baseline"/>
          <w:lang w:val="en-US"/>
        </w:rPr>
        <w:t xml:space="preserve"> </w:t>
      </w:r>
      <w:r w:rsidR="00D8466F" w:rsidRPr="00C9465D">
        <w:rPr>
          <w:rStyle w:val="FootnoteReference"/>
          <w:i/>
          <w:sz w:val="16"/>
          <w:szCs w:val="16"/>
          <w:vertAlign w:val="baseline"/>
          <w:lang w:val="en-US"/>
        </w:rPr>
        <w:t>Case of</w:t>
      </w:r>
      <w:r w:rsidRPr="00C9465D">
        <w:rPr>
          <w:rStyle w:val="FootnoteReference"/>
          <w:i/>
          <w:sz w:val="16"/>
          <w:szCs w:val="16"/>
          <w:vertAlign w:val="baseline"/>
          <w:lang w:val="en-US"/>
        </w:rPr>
        <w:t xml:space="preserve"> Órdenes Guerra</w:t>
      </w:r>
      <w:r w:rsidR="00193CBB" w:rsidRPr="00C9465D">
        <w:rPr>
          <w:rStyle w:val="FootnoteReference"/>
          <w:i/>
          <w:sz w:val="16"/>
          <w:szCs w:val="16"/>
          <w:vertAlign w:val="baseline"/>
          <w:lang w:val="en-US"/>
        </w:rPr>
        <w:t xml:space="preserve"> </w:t>
      </w:r>
      <w:r w:rsidR="00D8466F" w:rsidRPr="00C9465D">
        <w:rPr>
          <w:rStyle w:val="FootnoteReference"/>
          <w:i/>
          <w:sz w:val="16"/>
          <w:szCs w:val="16"/>
          <w:vertAlign w:val="baseline"/>
          <w:lang w:val="en-US"/>
        </w:rPr>
        <w:t>et al. v.</w:t>
      </w:r>
      <w:r w:rsidRPr="00C9465D">
        <w:rPr>
          <w:rStyle w:val="FootnoteReference"/>
          <w:i/>
          <w:sz w:val="16"/>
          <w:szCs w:val="16"/>
          <w:vertAlign w:val="baseline"/>
          <w:lang w:val="en-US"/>
        </w:rPr>
        <w:t xml:space="preserve"> Chile. </w:t>
      </w:r>
      <w:r w:rsidR="00193CBB" w:rsidRPr="00C9465D">
        <w:rPr>
          <w:rStyle w:val="FootnoteReference"/>
          <w:i/>
          <w:sz w:val="16"/>
          <w:szCs w:val="16"/>
          <w:vertAlign w:val="baseline"/>
          <w:lang w:val="en-US"/>
        </w:rPr>
        <w:t>Merits, reparations and costs</w:t>
      </w:r>
      <w:r w:rsidRPr="00C9465D">
        <w:rPr>
          <w:rStyle w:val="FootnoteReference"/>
          <w:sz w:val="16"/>
          <w:szCs w:val="16"/>
          <w:vertAlign w:val="baseline"/>
          <w:lang w:val="en-US"/>
        </w:rPr>
        <w:t xml:space="preserve">. </w:t>
      </w:r>
      <w:r w:rsidR="00D8466F" w:rsidRPr="00C9465D">
        <w:rPr>
          <w:rStyle w:val="FootnoteReference"/>
          <w:sz w:val="16"/>
          <w:szCs w:val="16"/>
          <w:vertAlign w:val="baseline"/>
          <w:lang w:val="en-US"/>
        </w:rPr>
        <w:t>Judgment of</w:t>
      </w:r>
      <w:r w:rsidRPr="00C9465D">
        <w:rPr>
          <w:rStyle w:val="FootnoteReference"/>
          <w:sz w:val="16"/>
          <w:szCs w:val="16"/>
          <w:vertAlign w:val="baseline"/>
          <w:lang w:val="en-US"/>
        </w:rPr>
        <w:t xml:space="preserve"> </w:t>
      </w:r>
      <w:r w:rsidR="00B32A87" w:rsidRPr="00C9465D">
        <w:rPr>
          <w:rStyle w:val="FootnoteReference"/>
          <w:sz w:val="16"/>
          <w:szCs w:val="16"/>
          <w:vertAlign w:val="baseline"/>
          <w:lang w:val="en-US"/>
        </w:rPr>
        <w:t>N</w:t>
      </w:r>
      <w:r w:rsidR="00B32A87" w:rsidRPr="00C9465D">
        <w:rPr>
          <w:sz w:val="16"/>
          <w:szCs w:val="16"/>
          <w:lang w:val="en-US"/>
        </w:rPr>
        <w:t>ovember 29,</w:t>
      </w:r>
      <w:r w:rsidRPr="00C9465D">
        <w:rPr>
          <w:rStyle w:val="FootnoteReference"/>
          <w:sz w:val="16"/>
          <w:szCs w:val="16"/>
          <w:vertAlign w:val="baseline"/>
          <w:lang w:val="en-US"/>
        </w:rPr>
        <w:t xml:space="preserve"> 2018. </w:t>
      </w:r>
      <w:r w:rsidR="00E2299F" w:rsidRPr="00C9465D">
        <w:rPr>
          <w:rStyle w:val="FootnoteReference"/>
          <w:sz w:val="16"/>
          <w:szCs w:val="16"/>
          <w:vertAlign w:val="baseline"/>
          <w:lang w:val="en-US"/>
        </w:rPr>
        <w:t xml:space="preserve">Series </w:t>
      </w:r>
      <w:r w:rsidRPr="00C9465D">
        <w:rPr>
          <w:rStyle w:val="FootnoteReference"/>
          <w:sz w:val="16"/>
          <w:szCs w:val="16"/>
          <w:vertAlign w:val="baseline"/>
          <w:lang w:val="en-US"/>
        </w:rPr>
        <w:t xml:space="preserve">C No. 372, </w:t>
      </w:r>
      <w:r w:rsidR="00D8466F" w:rsidRPr="00C9465D">
        <w:rPr>
          <w:rStyle w:val="FootnoteReference"/>
          <w:sz w:val="16"/>
          <w:szCs w:val="16"/>
          <w:vertAlign w:val="baseline"/>
          <w:lang w:val="en-US"/>
        </w:rPr>
        <w:t>para.</w:t>
      </w:r>
      <w:r w:rsidRPr="00C9465D">
        <w:rPr>
          <w:rStyle w:val="FootnoteReference"/>
          <w:sz w:val="16"/>
          <w:szCs w:val="16"/>
          <w:vertAlign w:val="baseline"/>
          <w:lang w:val="en-US"/>
        </w:rPr>
        <w:t xml:space="preserve"> 140,</w:t>
      </w:r>
      <w:r w:rsidR="00193CBB" w:rsidRPr="00C9465D">
        <w:rPr>
          <w:rStyle w:val="FootnoteReference"/>
          <w:sz w:val="16"/>
          <w:szCs w:val="16"/>
          <w:vertAlign w:val="baseline"/>
          <w:lang w:val="en-US"/>
        </w:rPr>
        <w:t xml:space="preserve"> and </w:t>
      </w:r>
      <w:r w:rsidR="00D8466F" w:rsidRPr="00C9465D">
        <w:rPr>
          <w:rStyle w:val="FootnoteReference"/>
          <w:i/>
          <w:sz w:val="16"/>
          <w:szCs w:val="16"/>
          <w:vertAlign w:val="baseline"/>
          <w:lang w:val="en-US"/>
        </w:rPr>
        <w:t>Case of</w:t>
      </w:r>
      <w:r w:rsidRPr="00C9465D">
        <w:rPr>
          <w:rStyle w:val="FootnoteReference"/>
          <w:i/>
          <w:sz w:val="16"/>
          <w:szCs w:val="16"/>
          <w:vertAlign w:val="baseline"/>
          <w:lang w:val="en-US"/>
        </w:rPr>
        <w:t xml:space="preserve"> Urrutia Laubreaux </w:t>
      </w:r>
      <w:r w:rsidR="00193CBB" w:rsidRPr="00C9465D">
        <w:rPr>
          <w:rStyle w:val="FootnoteReference"/>
          <w:i/>
          <w:sz w:val="16"/>
          <w:szCs w:val="16"/>
          <w:vertAlign w:val="baseline"/>
          <w:lang w:val="en-US"/>
        </w:rPr>
        <w:t>v.</w:t>
      </w:r>
      <w:r w:rsidRPr="00C9465D">
        <w:rPr>
          <w:rStyle w:val="FootnoteReference"/>
          <w:i/>
          <w:sz w:val="16"/>
          <w:szCs w:val="16"/>
          <w:vertAlign w:val="baseline"/>
          <w:lang w:val="en-US"/>
        </w:rPr>
        <w:t xml:space="preserve"> Chile. </w:t>
      </w:r>
      <w:r w:rsidR="00D8466F" w:rsidRPr="00C9465D">
        <w:rPr>
          <w:rStyle w:val="FootnoteReference"/>
          <w:i/>
          <w:sz w:val="16"/>
          <w:szCs w:val="16"/>
          <w:vertAlign w:val="baseline"/>
          <w:lang w:val="en-US"/>
        </w:rPr>
        <w:t>Preliminary objections, merits</w:t>
      </w:r>
      <w:r w:rsidR="00193CBB" w:rsidRPr="00C9465D">
        <w:rPr>
          <w:rStyle w:val="FootnoteReference"/>
          <w:i/>
          <w:sz w:val="16"/>
          <w:szCs w:val="16"/>
          <w:vertAlign w:val="baseline"/>
          <w:lang w:val="en-US"/>
        </w:rPr>
        <w:t>, reparations and costs</w:t>
      </w:r>
      <w:r w:rsidRPr="00C9465D">
        <w:rPr>
          <w:rStyle w:val="FootnoteReference"/>
          <w:sz w:val="16"/>
          <w:szCs w:val="16"/>
          <w:vertAlign w:val="baseline"/>
          <w:lang w:val="en-US"/>
        </w:rPr>
        <w:t xml:space="preserve">. </w:t>
      </w:r>
      <w:r w:rsidR="00D8466F" w:rsidRPr="00C9465D">
        <w:rPr>
          <w:rStyle w:val="FootnoteReference"/>
          <w:sz w:val="16"/>
          <w:szCs w:val="16"/>
          <w:vertAlign w:val="baseline"/>
          <w:lang w:val="en-US"/>
        </w:rPr>
        <w:t>Judgment of</w:t>
      </w:r>
      <w:r w:rsidRPr="00C9465D">
        <w:rPr>
          <w:rStyle w:val="FootnoteReference"/>
          <w:sz w:val="16"/>
          <w:szCs w:val="16"/>
          <w:vertAlign w:val="baseline"/>
          <w:lang w:val="en-US"/>
        </w:rPr>
        <w:t xml:space="preserve"> </w:t>
      </w:r>
      <w:r w:rsidR="00B32A87" w:rsidRPr="00C9465D">
        <w:rPr>
          <w:rStyle w:val="FootnoteReference"/>
          <w:sz w:val="16"/>
          <w:szCs w:val="16"/>
          <w:vertAlign w:val="baseline"/>
          <w:lang w:val="en-US"/>
        </w:rPr>
        <w:t>August</w:t>
      </w:r>
      <w:r w:rsidR="00B32A87" w:rsidRPr="00C9465D">
        <w:rPr>
          <w:sz w:val="16"/>
          <w:szCs w:val="16"/>
          <w:lang w:val="en-US"/>
        </w:rPr>
        <w:t xml:space="preserve"> 28,</w:t>
      </w:r>
      <w:r w:rsidRPr="00C9465D">
        <w:rPr>
          <w:rStyle w:val="FootnoteReference"/>
          <w:sz w:val="16"/>
          <w:szCs w:val="16"/>
          <w:vertAlign w:val="baseline"/>
          <w:lang w:val="en-US"/>
        </w:rPr>
        <w:t xml:space="preserve"> 2020. </w:t>
      </w:r>
      <w:r w:rsidR="00E2299F" w:rsidRPr="00C9465D">
        <w:rPr>
          <w:rStyle w:val="FootnoteReference"/>
          <w:sz w:val="16"/>
          <w:szCs w:val="16"/>
          <w:vertAlign w:val="baseline"/>
          <w:lang w:val="en-US"/>
        </w:rPr>
        <w:t xml:space="preserve">Series </w:t>
      </w:r>
      <w:r w:rsidRPr="00C9465D">
        <w:rPr>
          <w:rStyle w:val="FootnoteReference"/>
          <w:sz w:val="16"/>
          <w:szCs w:val="16"/>
          <w:vertAlign w:val="baseline"/>
          <w:lang w:val="en-US"/>
        </w:rPr>
        <w:t xml:space="preserve">C No. 409, </w:t>
      </w:r>
      <w:r w:rsidR="00D8466F" w:rsidRPr="00C9465D">
        <w:rPr>
          <w:rStyle w:val="FootnoteReference"/>
          <w:sz w:val="16"/>
          <w:szCs w:val="16"/>
          <w:vertAlign w:val="baseline"/>
          <w:lang w:val="en-US"/>
        </w:rPr>
        <w:t>para.</w:t>
      </w:r>
      <w:r w:rsidRPr="00C9465D">
        <w:rPr>
          <w:rStyle w:val="FootnoteReference"/>
          <w:sz w:val="16"/>
          <w:szCs w:val="16"/>
          <w:vertAlign w:val="baseline"/>
          <w:lang w:val="en-US"/>
        </w:rPr>
        <w:t xml:space="preserve"> 166.</w:t>
      </w:r>
    </w:p>
  </w:footnote>
  <w:footnote w:id="385">
    <w:p w14:paraId="17AD6EFC" w14:textId="1F4E6C0A" w:rsidR="00300482" w:rsidRPr="00C9465D" w:rsidRDefault="00300482"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vertAlign w:val="superscript"/>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Ibsen Cárdenas</w:t>
      </w:r>
      <w:r w:rsidR="008C2989" w:rsidRPr="00C9465D">
        <w:rPr>
          <w:i/>
          <w:sz w:val="16"/>
          <w:szCs w:val="16"/>
          <w:lang w:val="en-US"/>
        </w:rPr>
        <w:t xml:space="preserve"> and </w:t>
      </w:r>
      <w:r w:rsidRPr="00C9465D">
        <w:rPr>
          <w:i/>
          <w:sz w:val="16"/>
          <w:szCs w:val="16"/>
          <w:lang w:val="en-US"/>
        </w:rPr>
        <w:t xml:space="preserve">Ibsen Peña </w:t>
      </w:r>
      <w:r w:rsidR="00193CBB" w:rsidRPr="00C9465D">
        <w:rPr>
          <w:i/>
          <w:sz w:val="16"/>
          <w:szCs w:val="16"/>
          <w:lang w:val="en-US"/>
        </w:rPr>
        <w:t>v.</w:t>
      </w:r>
      <w:r w:rsidRPr="00C9465D">
        <w:rPr>
          <w:i/>
          <w:sz w:val="16"/>
          <w:szCs w:val="16"/>
          <w:lang w:val="en-US"/>
        </w:rPr>
        <w:t xml:space="preserve"> Bolivia. </w:t>
      </w:r>
      <w:r w:rsidR="00193CBB" w:rsidRPr="00C9465D">
        <w:rPr>
          <w:i/>
          <w:sz w:val="16"/>
          <w:szCs w:val="16"/>
          <w:lang w:val="en-US"/>
        </w:rPr>
        <w:t>Merits, reparations and costs</w:t>
      </w:r>
      <w:r w:rsidRPr="00C9465D">
        <w:rPr>
          <w:i/>
          <w:sz w:val="16"/>
          <w:szCs w:val="16"/>
          <w:lang w:val="en-US"/>
        </w:rPr>
        <w:t xml:space="preserve">. </w:t>
      </w:r>
      <w:r w:rsidR="00D8466F" w:rsidRPr="00C9465D">
        <w:rPr>
          <w:iCs/>
          <w:sz w:val="16"/>
          <w:szCs w:val="16"/>
          <w:lang w:val="en-US"/>
        </w:rPr>
        <w:t>Judgment of</w:t>
      </w:r>
      <w:r w:rsidRPr="00C9465D">
        <w:rPr>
          <w:iCs/>
          <w:sz w:val="16"/>
          <w:szCs w:val="16"/>
          <w:lang w:val="en-US"/>
        </w:rPr>
        <w:t xml:space="preserve"> </w:t>
      </w:r>
      <w:r w:rsidR="00B32A87" w:rsidRPr="00C9465D">
        <w:rPr>
          <w:iCs/>
          <w:sz w:val="16"/>
          <w:szCs w:val="16"/>
          <w:lang w:val="en-US"/>
        </w:rPr>
        <w:t xml:space="preserve">September </w:t>
      </w:r>
      <w:r w:rsidRPr="00C9465D">
        <w:rPr>
          <w:iCs/>
          <w:sz w:val="16"/>
          <w:szCs w:val="16"/>
          <w:lang w:val="en-US"/>
        </w:rPr>
        <w:t>1</w:t>
      </w:r>
      <w:r w:rsidR="00B32A87" w:rsidRPr="00C9465D">
        <w:rPr>
          <w:iCs/>
          <w:sz w:val="16"/>
          <w:szCs w:val="16"/>
          <w:lang w:val="en-US"/>
        </w:rPr>
        <w:t>,</w:t>
      </w:r>
      <w:r w:rsidRPr="00C9465D">
        <w:rPr>
          <w:iCs/>
          <w:sz w:val="16"/>
          <w:szCs w:val="16"/>
          <w:lang w:val="en-US"/>
        </w:rPr>
        <w:t xml:space="preserve"> 2010. </w:t>
      </w:r>
      <w:r w:rsidR="00E2299F" w:rsidRPr="00C9465D">
        <w:rPr>
          <w:iCs/>
          <w:sz w:val="16"/>
          <w:szCs w:val="16"/>
        </w:rPr>
        <w:t xml:space="preserve">Series </w:t>
      </w:r>
      <w:r w:rsidRPr="00C9465D">
        <w:rPr>
          <w:iCs/>
          <w:sz w:val="16"/>
          <w:szCs w:val="16"/>
        </w:rPr>
        <w:t xml:space="preserve">C No. 217, </w:t>
      </w:r>
      <w:r w:rsidR="00D8466F" w:rsidRPr="00C9465D">
        <w:rPr>
          <w:iCs/>
          <w:sz w:val="16"/>
          <w:szCs w:val="16"/>
        </w:rPr>
        <w:t>para.</w:t>
      </w:r>
      <w:r w:rsidRPr="00C9465D">
        <w:rPr>
          <w:iCs/>
          <w:sz w:val="16"/>
          <w:szCs w:val="16"/>
        </w:rPr>
        <w:t xml:space="preserve"> 29,</w:t>
      </w:r>
      <w:r w:rsidR="00193CBB" w:rsidRPr="00C9465D">
        <w:rPr>
          <w:iCs/>
          <w:sz w:val="16"/>
          <w:szCs w:val="16"/>
        </w:rPr>
        <w:t xml:space="preserve"> and </w:t>
      </w:r>
      <w:r w:rsidR="00D8466F" w:rsidRPr="00C9465D">
        <w:rPr>
          <w:i/>
          <w:sz w:val="16"/>
          <w:szCs w:val="16"/>
        </w:rPr>
        <w:t>Case of</w:t>
      </w:r>
      <w:r w:rsidRPr="00C9465D">
        <w:rPr>
          <w:i/>
          <w:sz w:val="16"/>
          <w:szCs w:val="16"/>
        </w:rPr>
        <w:t xml:space="preserve"> Casa Nina </w:t>
      </w:r>
      <w:r w:rsidR="00193CBB" w:rsidRPr="00C9465D">
        <w:rPr>
          <w:i/>
          <w:sz w:val="16"/>
          <w:szCs w:val="16"/>
        </w:rPr>
        <w:t>v.</w:t>
      </w:r>
      <w:r w:rsidRPr="00C9465D">
        <w:rPr>
          <w:i/>
          <w:sz w:val="16"/>
          <w:szCs w:val="16"/>
        </w:rPr>
        <w:t xml:space="preserve"> </w:t>
      </w:r>
      <w:proofErr w:type="spellStart"/>
      <w:r w:rsidR="001902D2" w:rsidRPr="00C9465D">
        <w:rPr>
          <w:i/>
          <w:sz w:val="16"/>
          <w:szCs w:val="16"/>
        </w:rPr>
        <w:t>Peru</w:t>
      </w:r>
      <w:proofErr w:type="spellEnd"/>
      <w:r w:rsidRPr="00C9465D">
        <w:rPr>
          <w:i/>
          <w:sz w:val="16"/>
          <w:szCs w:val="16"/>
        </w:rPr>
        <w:t>, supra,</w:t>
      </w:r>
      <w:r w:rsidRPr="00C9465D">
        <w:rPr>
          <w:sz w:val="16"/>
          <w:szCs w:val="16"/>
        </w:rPr>
        <w:t xml:space="preserve"> </w:t>
      </w:r>
      <w:r w:rsidR="00D8466F" w:rsidRPr="00C9465D">
        <w:rPr>
          <w:sz w:val="16"/>
          <w:szCs w:val="16"/>
        </w:rPr>
        <w:t>para.</w:t>
      </w:r>
      <w:r w:rsidRPr="00C9465D">
        <w:rPr>
          <w:sz w:val="16"/>
          <w:szCs w:val="16"/>
        </w:rPr>
        <w:t xml:space="preserve"> </w:t>
      </w:r>
      <w:r w:rsidRPr="00C9465D">
        <w:rPr>
          <w:sz w:val="16"/>
          <w:szCs w:val="16"/>
          <w:lang w:val="en-US"/>
        </w:rPr>
        <w:t xml:space="preserve">158. </w:t>
      </w:r>
    </w:p>
  </w:footnote>
  <w:footnote w:id="386">
    <w:p w14:paraId="11DA0935" w14:textId="2D0BFBF5"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00193CBB" w:rsidRPr="00C9465D">
        <w:rPr>
          <w:sz w:val="16"/>
          <w:szCs w:val="16"/>
          <w:lang w:val="en-US"/>
        </w:rPr>
        <w:t>Hereinafter</w:t>
      </w:r>
      <w:r w:rsidRPr="00C9465D">
        <w:rPr>
          <w:sz w:val="16"/>
          <w:szCs w:val="16"/>
          <w:lang w:val="en-US"/>
        </w:rPr>
        <w:t xml:space="preserve">, </w:t>
      </w:r>
      <w:r w:rsidR="00BD26CF" w:rsidRPr="00C9465D">
        <w:rPr>
          <w:sz w:val="16"/>
          <w:szCs w:val="16"/>
          <w:lang w:val="en-US"/>
        </w:rPr>
        <w:t>the judgment</w:t>
      </w:r>
      <w:r w:rsidRPr="00C9465D">
        <w:rPr>
          <w:sz w:val="16"/>
          <w:szCs w:val="16"/>
          <w:lang w:val="en-US"/>
        </w:rPr>
        <w:t>.</w:t>
      </w:r>
    </w:p>
  </w:footnote>
  <w:footnote w:id="387">
    <w:p w14:paraId="749FE442" w14:textId="76E3B98E" w:rsidR="000A7745" w:rsidRPr="00C9465D" w:rsidRDefault="000A7745" w:rsidP="00BD26CF">
      <w:pPr>
        <w:pStyle w:val="Numberedparagraphs"/>
        <w:numPr>
          <w:ilvl w:val="0"/>
          <w:numId w:val="0"/>
        </w:numPr>
        <w:tabs>
          <w:tab w:val="left" w:pos="567"/>
        </w:tabs>
        <w:spacing w:before="0"/>
        <w:ind w:right="48"/>
        <w:rPr>
          <w:sz w:val="16"/>
          <w:szCs w:val="16"/>
          <w:lang w:val="en-US" w:eastAsia="es-MX"/>
        </w:rPr>
      </w:pPr>
      <w:r w:rsidRPr="00C9465D">
        <w:rPr>
          <w:rStyle w:val="FootnoteReference"/>
          <w:sz w:val="16"/>
          <w:szCs w:val="16"/>
          <w:lang w:val="en-US"/>
        </w:rPr>
        <w:footnoteRef/>
      </w:r>
      <w:r w:rsidRPr="00C9465D">
        <w:rPr>
          <w:sz w:val="16"/>
          <w:szCs w:val="16"/>
          <w:lang w:val="en-US"/>
        </w:rPr>
        <w:t xml:space="preserve"> “</w:t>
      </w:r>
      <w:r w:rsidR="00E00CD5" w:rsidRPr="00C9465D">
        <w:rPr>
          <w:sz w:val="16"/>
          <w:szCs w:val="16"/>
          <w:lang w:val="en-US"/>
        </w:rPr>
        <w:t xml:space="preserve">The State is responsible for the violation of the rights to recognition of juridical personality, life, </w:t>
      </w:r>
      <w:r w:rsidR="007B78F0" w:rsidRPr="00C9465D">
        <w:rPr>
          <w:sz w:val="16"/>
          <w:szCs w:val="16"/>
          <w:lang w:val="en-US"/>
        </w:rPr>
        <w:t>personal integrity</w:t>
      </w:r>
      <w:r w:rsidR="00E00CD5" w:rsidRPr="00C9465D">
        <w:rPr>
          <w:sz w:val="16"/>
          <w:szCs w:val="16"/>
          <w:lang w:val="en-US"/>
        </w:rPr>
        <w:t xml:space="preserve">, personal liberty, dignity and privacy, access to information, equality before the law and health, in accordance with Articles 3, 4, 5, 7, 11, 13, 24 and 26 of the American Convention on Human Rights, in relation to the obligations to respect and to ensure the rights without discrimination and the obligation to adopt domestic legal provisions established in Articles 1(1) and 2 of this instrument, to the detriment of Luis Eduardo Guachalá Chimbo, pursuant to paragraphs </w:t>
      </w:r>
      <w:r w:rsidR="00E00CD5" w:rsidRPr="00C9465D">
        <w:rPr>
          <w:sz w:val="16"/>
          <w:szCs w:val="16"/>
          <w:lang w:val="en-US"/>
        </w:rPr>
        <w:fldChar w:fldCharType="begin"/>
      </w:r>
      <w:r w:rsidR="00E00CD5" w:rsidRPr="00C9465D">
        <w:rPr>
          <w:sz w:val="16"/>
          <w:szCs w:val="16"/>
          <w:lang w:val="en-US"/>
        </w:rPr>
        <w:instrText xml:space="preserve"> REF _Ref72330012 \r \h  \* MERGEFORMAT </w:instrText>
      </w:r>
      <w:r w:rsidR="00E00CD5" w:rsidRPr="00C9465D">
        <w:rPr>
          <w:sz w:val="16"/>
          <w:szCs w:val="16"/>
          <w:lang w:val="en-US"/>
        </w:rPr>
      </w:r>
      <w:r w:rsidR="00E00CD5" w:rsidRPr="00C9465D">
        <w:rPr>
          <w:sz w:val="16"/>
          <w:szCs w:val="16"/>
          <w:lang w:val="en-US"/>
        </w:rPr>
        <w:fldChar w:fldCharType="separate"/>
      </w:r>
      <w:r w:rsidR="00E00CD5" w:rsidRPr="00C9465D">
        <w:rPr>
          <w:sz w:val="16"/>
          <w:szCs w:val="16"/>
          <w:lang w:val="en-US"/>
        </w:rPr>
        <w:t>96</w:t>
      </w:r>
      <w:r w:rsidR="00E00CD5" w:rsidRPr="00C9465D">
        <w:rPr>
          <w:sz w:val="16"/>
          <w:szCs w:val="16"/>
          <w:lang w:val="en-US"/>
        </w:rPr>
        <w:fldChar w:fldCharType="end"/>
      </w:r>
      <w:r w:rsidR="00E00CD5" w:rsidRPr="00C9465D">
        <w:rPr>
          <w:sz w:val="16"/>
          <w:szCs w:val="16"/>
          <w:lang w:val="en-US"/>
        </w:rPr>
        <w:t xml:space="preserve"> to </w:t>
      </w:r>
      <w:r w:rsidR="00E00CD5" w:rsidRPr="00C9465D">
        <w:rPr>
          <w:sz w:val="16"/>
          <w:szCs w:val="16"/>
          <w:lang w:val="en-US"/>
        </w:rPr>
        <w:fldChar w:fldCharType="begin"/>
      </w:r>
      <w:r w:rsidR="00E00CD5" w:rsidRPr="00C9465D">
        <w:rPr>
          <w:sz w:val="16"/>
          <w:szCs w:val="16"/>
          <w:lang w:val="en-US"/>
        </w:rPr>
        <w:instrText xml:space="preserve"> REF _Ref72330016 \r \h  \* MERGEFORMAT </w:instrText>
      </w:r>
      <w:r w:rsidR="00E00CD5" w:rsidRPr="00C9465D">
        <w:rPr>
          <w:sz w:val="16"/>
          <w:szCs w:val="16"/>
          <w:lang w:val="en-US"/>
        </w:rPr>
      </w:r>
      <w:r w:rsidR="00E00CD5" w:rsidRPr="00C9465D">
        <w:rPr>
          <w:sz w:val="16"/>
          <w:szCs w:val="16"/>
          <w:lang w:val="en-US"/>
        </w:rPr>
        <w:fldChar w:fldCharType="separate"/>
      </w:r>
      <w:r w:rsidR="00E00CD5" w:rsidRPr="00C9465D">
        <w:rPr>
          <w:sz w:val="16"/>
          <w:szCs w:val="16"/>
          <w:lang w:val="en-US"/>
        </w:rPr>
        <w:t>180</w:t>
      </w:r>
      <w:r w:rsidR="00E00CD5" w:rsidRPr="00C9465D">
        <w:rPr>
          <w:sz w:val="16"/>
          <w:szCs w:val="16"/>
          <w:lang w:val="en-US"/>
        </w:rPr>
        <w:fldChar w:fldCharType="end"/>
      </w:r>
      <w:r w:rsidR="00E00CD5" w:rsidRPr="00C9465D">
        <w:rPr>
          <w:sz w:val="16"/>
          <w:szCs w:val="16"/>
          <w:lang w:val="en-US"/>
        </w:rPr>
        <w:t xml:space="preserve"> of this judgment.”</w:t>
      </w:r>
    </w:p>
  </w:footnote>
  <w:footnote w:id="388">
    <w:p w14:paraId="3504A60C" w14:textId="3927A96D"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00193CBB" w:rsidRPr="00C9465D">
        <w:rPr>
          <w:sz w:val="16"/>
          <w:szCs w:val="16"/>
          <w:lang w:val="en-US"/>
        </w:rPr>
        <w:t>Hereinafter</w:t>
      </w:r>
      <w:r w:rsidRPr="00C9465D">
        <w:rPr>
          <w:sz w:val="16"/>
          <w:szCs w:val="16"/>
          <w:lang w:val="en-US"/>
        </w:rPr>
        <w:t xml:space="preserve">, </w:t>
      </w:r>
      <w:r w:rsidR="00193CBB" w:rsidRPr="00C9465D">
        <w:rPr>
          <w:sz w:val="16"/>
          <w:szCs w:val="16"/>
          <w:lang w:val="en-US"/>
        </w:rPr>
        <w:t>Article</w:t>
      </w:r>
      <w:r w:rsidRPr="00C9465D">
        <w:rPr>
          <w:sz w:val="16"/>
          <w:szCs w:val="16"/>
          <w:lang w:val="en-US"/>
        </w:rPr>
        <w:t xml:space="preserve"> 26.</w:t>
      </w:r>
    </w:p>
  </w:footnote>
  <w:footnote w:id="389">
    <w:p w14:paraId="0E62EDC2" w14:textId="7555CFD5"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00193CBB" w:rsidRPr="00C9465D">
        <w:rPr>
          <w:sz w:val="16"/>
          <w:szCs w:val="16"/>
          <w:lang w:val="en-US"/>
        </w:rPr>
        <w:t>Hereinafter</w:t>
      </w:r>
      <w:r w:rsidRPr="00C9465D">
        <w:rPr>
          <w:sz w:val="16"/>
          <w:szCs w:val="16"/>
          <w:lang w:val="en-US"/>
        </w:rPr>
        <w:t xml:space="preserve">, </w:t>
      </w:r>
      <w:r w:rsidR="00193CBB" w:rsidRPr="00C9465D">
        <w:rPr>
          <w:sz w:val="16"/>
          <w:szCs w:val="16"/>
          <w:lang w:val="en-US"/>
        </w:rPr>
        <w:t>the Convention</w:t>
      </w:r>
      <w:r w:rsidRPr="00C9465D">
        <w:rPr>
          <w:sz w:val="16"/>
          <w:szCs w:val="16"/>
          <w:lang w:val="en-US"/>
        </w:rPr>
        <w:t>.</w:t>
      </w:r>
    </w:p>
  </w:footnote>
  <w:footnote w:id="390">
    <w:p w14:paraId="0447E553" w14:textId="1EA261DD"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00193CBB" w:rsidRPr="00C9465D">
        <w:rPr>
          <w:sz w:val="16"/>
          <w:szCs w:val="16"/>
          <w:lang w:val="en-US"/>
        </w:rPr>
        <w:t>Hereinafter</w:t>
      </w:r>
      <w:r w:rsidRPr="00C9465D">
        <w:rPr>
          <w:sz w:val="16"/>
          <w:szCs w:val="16"/>
          <w:lang w:val="en-US"/>
        </w:rPr>
        <w:t xml:space="preserve">, </w:t>
      </w:r>
      <w:r w:rsidR="00193CBB" w:rsidRPr="00C9465D">
        <w:rPr>
          <w:sz w:val="16"/>
          <w:szCs w:val="16"/>
          <w:lang w:val="en-US"/>
        </w:rPr>
        <w:t>the Court</w:t>
      </w:r>
      <w:r w:rsidRPr="00C9465D">
        <w:rPr>
          <w:sz w:val="16"/>
          <w:szCs w:val="16"/>
          <w:lang w:val="en-US"/>
        </w:rPr>
        <w:t>.</w:t>
      </w:r>
    </w:p>
    <w:p w14:paraId="55355D52" w14:textId="77777777" w:rsidR="000A7745" w:rsidRPr="00C9465D" w:rsidRDefault="000A7745" w:rsidP="00BD26CF">
      <w:pPr>
        <w:pStyle w:val="FootnoteText"/>
        <w:spacing w:after="120"/>
        <w:ind w:right="48"/>
        <w:rPr>
          <w:sz w:val="16"/>
          <w:szCs w:val="16"/>
          <w:lang w:val="en-US"/>
        </w:rPr>
      </w:pPr>
    </w:p>
  </w:footnote>
  <w:footnote w:id="391">
    <w:p w14:paraId="7B49E728" w14:textId="28E08A22" w:rsidR="000A7745" w:rsidRPr="00C9465D" w:rsidRDefault="000A7745" w:rsidP="00BD26CF">
      <w:pPr>
        <w:pStyle w:val="FootnoteText"/>
        <w:spacing w:after="120"/>
        <w:ind w:right="48"/>
        <w:rPr>
          <w:rFonts w:cs="Verdana"/>
          <w:i/>
          <w:iCs/>
          <w:sz w:val="16"/>
          <w:szCs w:val="16"/>
          <w:lang w:val="en-US"/>
        </w:rPr>
      </w:pPr>
      <w:r w:rsidRPr="00C9465D">
        <w:rPr>
          <w:rStyle w:val="FootnoteReference"/>
          <w:sz w:val="16"/>
          <w:szCs w:val="16"/>
          <w:lang w:val="en-US"/>
        </w:rPr>
        <w:footnoteRef/>
      </w:r>
      <w:r w:rsidRPr="00C9465D">
        <w:rPr>
          <w:sz w:val="16"/>
          <w:szCs w:val="16"/>
          <w:lang w:val="en-US"/>
        </w:rPr>
        <w:t xml:space="preserve"> </w:t>
      </w:r>
      <w:r w:rsidR="00D8466F" w:rsidRPr="00C9465D">
        <w:rPr>
          <w:i/>
          <w:iCs/>
          <w:sz w:val="16"/>
          <w:szCs w:val="16"/>
          <w:shd w:val="clear" w:color="auto" w:fill="FFFFFF"/>
          <w:lang w:val="en-US"/>
        </w:rPr>
        <w:t xml:space="preserve">Case </w:t>
      </w:r>
      <w:r w:rsidR="00BD26CF" w:rsidRPr="00C9465D">
        <w:rPr>
          <w:i/>
          <w:iCs/>
          <w:sz w:val="16"/>
          <w:szCs w:val="16"/>
          <w:shd w:val="clear" w:color="auto" w:fill="FFFFFF"/>
          <w:lang w:val="en-US"/>
        </w:rPr>
        <w:t>of the Indigenous Communities of the Lhaka Honhat (Our Land) Association</w:t>
      </w:r>
      <w:r w:rsidRPr="00C9465D">
        <w:rPr>
          <w:i/>
          <w:iCs/>
          <w:sz w:val="16"/>
          <w:szCs w:val="16"/>
          <w:shd w:val="clear" w:color="auto" w:fill="FFFFFF"/>
          <w:lang w:val="en-US"/>
        </w:rPr>
        <w:t xml:space="preserve"> </w:t>
      </w:r>
      <w:r w:rsidR="00193CBB" w:rsidRPr="00C9465D">
        <w:rPr>
          <w:i/>
          <w:iCs/>
          <w:sz w:val="16"/>
          <w:szCs w:val="16"/>
          <w:shd w:val="clear" w:color="auto" w:fill="FFFFFF"/>
          <w:lang w:val="en-US"/>
        </w:rPr>
        <w:t>v.</w:t>
      </w:r>
      <w:r w:rsidRPr="00C9465D">
        <w:rPr>
          <w:i/>
          <w:iCs/>
          <w:sz w:val="16"/>
          <w:szCs w:val="16"/>
          <w:shd w:val="clear" w:color="auto" w:fill="FFFFFF"/>
          <w:lang w:val="en-US"/>
        </w:rPr>
        <w:t xml:space="preserve"> Argentina. </w:t>
      </w:r>
      <w:r w:rsidR="00193CBB" w:rsidRPr="00C9465D">
        <w:rPr>
          <w:i/>
          <w:iCs/>
          <w:sz w:val="16"/>
          <w:szCs w:val="16"/>
          <w:shd w:val="clear" w:color="auto" w:fill="FFFFFF"/>
          <w:lang w:val="en-US"/>
        </w:rPr>
        <w:t>Merits, reparations and costs</w:t>
      </w:r>
      <w:r w:rsidRPr="00C9465D">
        <w:rPr>
          <w:i/>
          <w:iCs/>
          <w:sz w:val="16"/>
          <w:szCs w:val="16"/>
          <w:shd w:val="clear" w:color="auto" w:fill="FFFFFF"/>
          <w:lang w:val="en-US"/>
        </w:rPr>
        <w:t xml:space="preserve">. </w:t>
      </w:r>
      <w:r w:rsidR="00D8466F" w:rsidRPr="00C9465D">
        <w:rPr>
          <w:sz w:val="16"/>
          <w:szCs w:val="16"/>
          <w:shd w:val="clear" w:color="auto" w:fill="FFFFFF"/>
          <w:lang w:val="en-US"/>
        </w:rPr>
        <w:t>Judgment of</w:t>
      </w:r>
      <w:r w:rsidRPr="00C9465D">
        <w:rPr>
          <w:sz w:val="16"/>
          <w:szCs w:val="16"/>
          <w:shd w:val="clear" w:color="auto" w:fill="FFFFFF"/>
          <w:lang w:val="en-US"/>
        </w:rPr>
        <w:t xml:space="preserve"> </w:t>
      </w:r>
      <w:r w:rsidR="00BD26CF" w:rsidRPr="00C9465D">
        <w:rPr>
          <w:sz w:val="16"/>
          <w:szCs w:val="16"/>
          <w:shd w:val="clear" w:color="auto" w:fill="FFFFFF"/>
          <w:lang w:val="en-US"/>
        </w:rPr>
        <w:t>February 6,</w:t>
      </w:r>
      <w:r w:rsidRPr="00C9465D">
        <w:rPr>
          <w:sz w:val="16"/>
          <w:szCs w:val="16"/>
          <w:shd w:val="clear" w:color="auto" w:fill="FFFFFF"/>
          <w:lang w:val="en-US"/>
        </w:rPr>
        <w:t xml:space="preserve"> 2020. </w:t>
      </w:r>
      <w:r w:rsidR="00E2299F" w:rsidRPr="00C9465D">
        <w:rPr>
          <w:sz w:val="16"/>
          <w:szCs w:val="16"/>
          <w:shd w:val="clear" w:color="auto" w:fill="FFFFFF"/>
          <w:lang w:val="en-US"/>
        </w:rPr>
        <w:t xml:space="preserve">Series </w:t>
      </w:r>
      <w:r w:rsidRPr="00C9465D">
        <w:rPr>
          <w:sz w:val="16"/>
          <w:szCs w:val="16"/>
          <w:shd w:val="clear" w:color="auto" w:fill="FFFFFF"/>
          <w:lang w:val="en-US"/>
        </w:rPr>
        <w:t xml:space="preserve">C No. 400. </w:t>
      </w:r>
      <w:r w:rsidR="00BD26CF" w:rsidRPr="00C9465D">
        <w:rPr>
          <w:sz w:val="16"/>
          <w:szCs w:val="16"/>
          <w:shd w:val="clear" w:color="auto" w:fill="FFFFFF"/>
          <w:lang w:val="en-US"/>
        </w:rPr>
        <w:t>Third operative paragraph</w:t>
      </w:r>
      <w:r w:rsidRPr="00C9465D">
        <w:rPr>
          <w:sz w:val="16"/>
          <w:szCs w:val="16"/>
          <w:shd w:val="clear" w:color="auto" w:fill="FFFFFF"/>
          <w:lang w:val="en-US"/>
        </w:rPr>
        <w:t xml:space="preserve">: </w:t>
      </w:r>
      <w:r w:rsidR="001E2003" w:rsidRPr="00C9465D">
        <w:rPr>
          <w:sz w:val="16"/>
          <w:szCs w:val="16"/>
          <w:shd w:val="clear" w:color="auto" w:fill="FFFFFF"/>
          <w:lang w:val="en-US"/>
        </w:rPr>
        <w:t>“</w:t>
      </w:r>
      <w:r w:rsidR="00136DD9" w:rsidRPr="00C9465D">
        <w:rPr>
          <w:sz w:val="16"/>
          <w:szCs w:val="16"/>
          <w:lang w:val="en-US"/>
        </w:rPr>
        <w:t>The State is responsible for the violation of the right to take part in cultural life as this relates to cultural identity, a healthy environment, adequate food and water, established in Article 26 of the American Convention on Human Rights, in relation to Article 1(1) of this instrument, to the detriment of the 132 indigenous communities indicated in Annex V to this judgment, pursuant to paragraphs 195 to 289.”</w:t>
      </w:r>
    </w:p>
  </w:footnote>
  <w:footnote w:id="392">
    <w:p w14:paraId="5D35D799" w14:textId="6482568C" w:rsidR="000A7745" w:rsidRPr="00C9465D" w:rsidRDefault="000A7745" w:rsidP="00CD6A67">
      <w:pPr>
        <w:spacing w:after="120" w:line="240" w:lineRule="auto"/>
        <w:ind w:right="48"/>
        <w:jc w:val="both"/>
        <w:rPr>
          <w:rFonts w:ascii="Verdana" w:eastAsia="MS Mincho" w:hAnsi="Verdana" w:cs="Times New Roman"/>
          <w:i/>
          <w:sz w:val="16"/>
          <w:szCs w:val="16"/>
          <w:lang w:val="en-US" w:eastAsia="es-ES" w:bidi="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bookmarkStart w:id="159" w:name="_Hlk68525088"/>
      <w:r w:rsidR="00BD26CF" w:rsidRPr="00C9465D">
        <w:rPr>
          <w:rFonts w:ascii="Verdana" w:hAnsi="Verdana"/>
          <w:sz w:val="16"/>
          <w:szCs w:val="16"/>
          <w:lang w:val="en-US"/>
        </w:rPr>
        <w:t>Dissenting opinion of</w:t>
      </w:r>
      <w:r w:rsidRPr="00C9465D">
        <w:rPr>
          <w:rFonts w:ascii="Verdana" w:hAnsi="Verdana"/>
          <w:sz w:val="16"/>
          <w:szCs w:val="16"/>
          <w:lang w:val="en-US"/>
        </w:rPr>
        <w:t xml:space="preserve"> </w:t>
      </w:r>
      <w:r w:rsidR="00193CBB" w:rsidRPr="00C9465D">
        <w:rPr>
          <w:rFonts w:ascii="Verdana" w:hAnsi="Verdana"/>
          <w:sz w:val="16"/>
          <w:szCs w:val="16"/>
          <w:lang w:val="en-US"/>
        </w:rPr>
        <w:t>Judge</w:t>
      </w:r>
      <w:r w:rsidRPr="00C9465D">
        <w:rPr>
          <w:rFonts w:ascii="Verdana" w:hAnsi="Verdana"/>
          <w:sz w:val="16"/>
          <w:szCs w:val="16"/>
          <w:lang w:val="en-US"/>
        </w:rPr>
        <w:t xml:space="preserve"> Eduardo Vio Grossi, </w:t>
      </w:r>
      <w:r w:rsidR="00BD26CF" w:rsidRPr="00C9465D">
        <w:rPr>
          <w:rFonts w:ascii="Verdana" w:hAnsi="Verdana"/>
          <w:sz w:val="16"/>
          <w:szCs w:val="16"/>
          <w:lang w:val="en-US"/>
        </w:rPr>
        <w:t xml:space="preserve">Inter-American Court of Human </w:t>
      </w:r>
      <w:r w:rsidR="001E2003" w:rsidRPr="00C9465D">
        <w:rPr>
          <w:rFonts w:ascii="Verdana" w:hAnsi="Verdana"/>
          <w:sz w:val="16"/>
          <w:szCs w:val="16"/>
          <w:lang w:val="en-US"/>
        </w:rPr>
        <w:t>Rights,</w:t>
      </w:r>
      <w:r w:rsidR="001E2003" w:rsidRPr="00C9465D">
        <w:rPr>
          <w:rFonts w:ascii="Verdana" w:hAnsi="Verdana"/>
          <w:i/>
          <w:iCs/>
          <w:sz w:val="16"/>
          <w:szCs w:val="16"/>
          <w:lang w:val="en-US"/>
        </w:rPr>
        <w:t xml:space="preserve"> Case</w:t>
      </w:r>
      <w:r w:rsidR="00D8466F" w:rsidRPr="00C9465D">
        <w:rPr>
          <w:rFonts w:ascii="Verdana" w:hAnsi="Verdana"/>
          <w:i/>
          <w:iCs/>
          <w:sz w:val="16"/>
          <w:szCs w:val="16"/>
          <w:lang w:val="en-US"/>
        </w:rPr>
        <w:t xml:space="preserve"> of</w:t>
      </w:r>
      <w:r w:rsidRPr="00C9465D">
        <w:rPr>
          <w:rFonts w:ascii="Verdana" w:hAnsi="Verdana"/>
          <w:i/>
          <w:iCs/>
          <w:sz w:val="16"/>
          <w:szCs w:val="16"/>
          <w:lang w:val="en-US"/>
        </w:rPr>
        <w:t xml:space="preserve"> </w:t>
      </w:r>
      <w:bookmarkEnd w:id="159"/>
      <w:r w:rsidRPr="00C9465D">
        <w:rPr>
          <w:rFonts w:ascii="Verdana" w:hAnsi="Verdana"/>
          <w:i/>
          <w:iCs/>
          <w:sz w:val="16"/>
          <w:szCs w:val="16"/>
          <w:lang w:val="en-US"/>
        </w:rPr>
        <w:t xml:space="preserve">Casa Nina </w:t>
      </w:r>
      <w:r w:rsidR="001E2003" w:rsidRPr="00C9465D">
        <w:rPr>
          <w:rFonts w:ascii="Verdana" w:hAnsi="Verdana"/>
          <w:i/>
          <w:iCs/>
          <w:sz w:val="16"/>
          <w:szCs w:val="16"/>
          <w:lang w:val="en-US"/>
        </w:rPr>
        <w:t>v</w:t>
      </w:r>
      <w:r w:rsidRPr="00C9465D">
        <w:rPr>
          <w:rFonts w:ascii="Verdana" w:hAnsi="Verdana"/>
          <w:i/>
          <w:iCs/>
          <w:sz w:val="16"/>
          <w:szCs w:val="16"/>
          <w:lang w:val="en-US"/>
        </w:rPr>
        <w:t xml:space="preserve">. </w:t>
      </w:r>
      <w:r w:rsidR="001902D2" w:rsidRPr="00C9465D">
        <w:rPr>
          <w:rFonts w:ascii="Verdana" w:hAnsi="Verdana"/>
          <w:i/>
          <w:iCs/>
          <w:sz w:val="16"/>
          <w:szCs w:val="16"/>
          <w:lang w:val="en-US"/>
        </w:rPr>
        <w:t>Peru</w:t>
      </w:r>
      <w:r w:rsidRPr="00C9465D">
        <w:rPr>
          <w:rFonts w:ascii="Verdana" w:hAnsi="Verdana"/>
          <w:i/>
          <w:iCs/>
          <w:sz w:val="16"/>
          <w:szCs w:val="16"/>
          <w:lang w:val="en-US"/>
        </w:rPr>
        <w:t xml:space="preserve">, </w:t>
      </w:r>
      <w:r w:rsidR="00CD6A67" w:rsidRPr="00C9465D">
        <w:rPr>
          <w:rFonts w:ascii="Verdana" w:hAnsi="Verdana"/>
          <w:i/>
          <w:iCs/>
          <w:sz w:val="16"/>
          <w:szCs w:val="16"/>
          <w:lang w:val="en-US"/>
        </w:rPr>
        <w:t>p</w:t>
      </w:r>
      <w:r w:rsidR="00D8466F" w:rsidRPr="00C9465D">
        <w:rPr>
          <w:rFonts w:ascii="Verdana" w:hAnsi="Verdana"/>
          <w:i/>
          <w:iCs/>
          <w:sz w:val="16"/>
          <w:szCs w:val="16"/>
          <w:lang w:val="en-US"/>
        </w:rPr>
        <w:t>reliminary objections, merits</w:t>
      </w:r>
      <w:r w:rsidR="00193CBB" w:rsidRPr="00C9465D">
        <w:rPr>
          <w:rFonts w:ascii="Verdana" w:hAnsi="Verdana"/>
          <w:i/>
          <w:iCs/>
          <w:sz w:val="16"/>
          <w:szCs w:val="16"/>
          <w:lang w:val="en-US"/>
        </w:rPr>
        <w:t>, reparations and costs</w:t>
      </w:r>
      <w:r w:rsidR="00CD6A67" w:rsidRPr="00C9465D">
        <w:rPr>
          <w:rFonts w:ascii="Verdana" w:hAnsi="Verdana"/>
          <w:i/>
          <w:iCs/>
          <w:sz w:val="16"/>
          <w:szCs w:val="16"/>
          <w:lang w:val="en-US"/>
        </w:rPr>
        <w:t xml:space="preserve">. </w:t>
      </w:r>
      <w:r w:rsidR="00CD6A67" w:rsidRPr="00C9465D">
        <w:rPr>
          <w:rFonts w:ascii="Verdana" w:hAnsi="Verdana"/>
          <w:sz w:val="16"/>
          <w:szCs w:val="16"/>
          <w:lang w:val="en-US"/>
        </w:rPr>
        <w:t>Judgment of November 24, 2020</w:t>
      </w:r>
      <w:r w:rsidRPr="00C9465D">
        <w:rPr>
          <w:rFonts w:ascii="Verdana" w:hAnsi="Verdana"/>
          <w:i/>
          <w:iCs/>
          <w:sz w:val="16"/>
          <w:szCs w:val="16"/>
          <w:lang w:val="en-US"/>
        </w:rPr>
        <w:t xml:space="preserve">; </w:t>
      </w:r>
      <w:r w:rsidR="001E2003" w:rsidRPr="00C9465D">
        <w:rPr>
          <w:rFonts w:ascii="Verdana" w:hAnsi="Verdana"/>
          <w:sz w:val="16"/>
          <w:szCs w:val="16"/>
          <w:lang w:val="en-US"/>
        </w:rPr>
        <w:t>Partially dissenting opinion of</w:t>
      </w:r>
      <w:r w:rsidRPr="00C9465D">
        <w:rPr>
          <w:rFonts w:ascii="Verdana" w:hAnsi="Verdana"/>
          <w:sz w:val="16"/>
          <w:szCs w:val="16"/>
          <w:lang w:val="en-US"/>
        </w:rPr>
        <w:t xml:space="preserve"> </w:t>
      </w:r>
      <w:r w:rsidR="00193CBB" w:rsidRPr="00C9465D">
        <w:rPr>
          <w:rFonts w:ascii="Verdana" w:hAnsi="Verdana"/>
          <w:sz w:val="16"/>
          <w:szCs w:val="16"/>
          <w:lang w:val="en-US"/>
        </w:rPr>
        <w:t>Judge</w:t>
      </w:r>
      <w:r w:rsidRPr="00C9465D">
        <w:rPr>
          <w:rFonts w:ascii="Verdana" w:hAnsi="Verdana"/>
          <w:sz w:val="16"/>
          <w:szCs w:val="16"/>
          <w:lang w:val="en-US"/>
        </w:rPr>
        <w:t xml:space="preserve"> Eduardo Vio Grossi, </w:t>
      </w:r>
      <w:r w:rsidR="00BD26CF" w:rsidRPr="00C9465D">
        <w:rPr>
          <w:rFonts w:ascii="Verdana" w:hAnsi="Verdana"/>
          <w:sz w:val="16"/>
          <w:szCs w:val="16"/>
          <w:lang w:val="en-US"/>
        </w:rPr>
        <w:t xml:space="preserve">Inter-American Court of Human </w:t>
      </w:r>
      <w:r w:rsidR="001E2003" w:rsidRPr="00C9465D">
        <w:rPr>
          <w:rFonts w:ascii="Verdana" w:hAnsi="Verdana"/>
          <w:sz w:val="16"/>
          <w:szCs w:val="16"/>
          <w:lang w:val="en-US"/>
        </w:rPr>
        <w:t>Rights,</w:t>
      </w:r>
      <w:r w:rsidR="001E2003" w:rsidRPr="00C9465D">
        <w:rPr>
          <w:rFonts w:ascii="Verdana" w:hAnsi="Verdana"/>
          <w:i/>
          <w:iCs/>
          <w:sz w:val="16"/>
          <w:szCs w:val="16"/>
          <w:lang w:val="en-US"/>
        </w:rPr>
        <w:t xml:space="preserve"> Case</w:t>
      </w:r>
      <w:r w:rsidR="00D8466F" w:rsidRPr="00C9465D">
        <w:rPr>
          <w:rFonts w:ascii="Verdana" w:hAnsi="Verdana"/>
          <w:i/>
          <w:iCs/>
          <w:sz w:val="16"/>
          <w:szCs w:val="16"/>
          <w:lang w:val="en-US"/>
        </w:rPr>
        <w:t xml:space="preserve"> </w:t>
      </w:r>
      <w:r w:rsidR="00136DD9" w:rsidRPr="00C9465D">
        <w:rPr>
          <w:rFonts w:ascii="Verdana" w:hAnsi="Verdana"/>
          <w:i/>
          <w:iCs/>
          <w:sz w:val="16"/>
          <w:szCs w:val="16"/>
          <w:lang w:val="en-US"/>
        </w:rPr>
        <w:t xml:space="preserve">of the Workers of the Fireworks Factory </w:t>
      </w:r>
      <w:r w:rsidR="00CD6A67" w:rsidRPr="00C9465D">
        <w:rPr>
          <w:rFonts w:ascii="Verdana" w:hAnsi="Verdana"/>
          <w:i/>
          <w:iCs/>
          <w:sz w:val="16"/>
          <w:szCs w:val="16"/>
          <w:lang w:val="en-US"/>
        </w:rPr>
        <w:t>of</w:t>
      </w:r>
      <w:r w:rsidRPr="00C9465D">
        <w:rPr>
          <w:rFonts w:ascii="Verdana" w:hAnsi="Verdana"/>
          <w:i/>
          <w:iCs/>
          <w:sz w:val="16"/>
          <w:szCs w:val="16"/>
          <w:lang w:val="en-US"/>
        </w:rPr>
        <w:t xml:space="preserve"> Santo Antonio de Jesús</w:t>
      </w:r>
      <w:r w:rsidR="00193CBB" w:rsidRPr="00C9465D">
        <w:rPr>
          <w:rFonts w:ascii="Verdana" w:hAnsi="Verdana"/>
          <w:i/>
          <w:iCs/>
          <w:sz w:val="16"/>
          <w:szCs w:val="16"/>
          <w:lang w:val="en-US"/>
        </w:rPr>
        <w:t xml:space="preserve"> and </w:t>
      </w:r>
      <w:r w:rsidR="00136DD9" w:rsidRPr="00C9465D">
        <w:rPr>
          <w:rFonts w:ascii="Verdana" w:hAnsi="Verdana"/>
          <w:i/>
          <w:iCs/>
          <w:sz w:val="16"/>
          <w:szCs w:val="16"/>
          <w:lang w:val="en-US"/>
        </w:rPr>
        <w:t>their families</w:t>
      </w:r>
      <w:r w:rsidRPr="00C9465D">
        <w:rPr>
          <w:rFonts w:ascii="Verdana" w:hAnsi="Verdana"/>
          <w:i/>
          <w:iCs/>
          <w:sz w:val="16"/>
          <w:szCs w:val="16"/>
          <w:lang w:val="en-US"/>
        </w:rPr>
        <w:t xml:space="preserve"> </w:t>
      </w:r>
      <w:r w:rsidR="001E2003" w:rsidRPr="00C9465D">
        <w:rPr>
          <w:rFonts w:ascii="Verdana" w:hAnsi="Verdana"/>
          <w:i/>
          <w:iCs/>
          <w:sz w:val="16"/>
          <w:szCs w:val="16"/>
          <w:lang w:val="en-US"/>
        </w:rPr>
        <w:t>v</w:t>
      </w:r>
      <w:r w:rsidRPr="00C9465D">
        <w:rPr>
          <w:rFonts w:ascii="Verdana" w:hAnsi="Verdana"/>
          <w:i/>
          <w:iCs/>
          <w:sz w:val="16"/>
          <w:szCs w:val="16"/>
          <w:lang w:val="en-US"/>
        </w:rPr>
        <w:t xml:space="preserve">. </w:t>
      </w:r>
      <w:r w:rsidR="00FA5261" w:rsidRPr="00C9465D">
        <w:rPr>
          <w:rFonts w:ascii="Verdana" w:hAnsi="Verdana"/>
          <w:i/>
          <w:iCs/>
          <w:sz w:val="16"/>
          <w:szCs w:val="16"/>
          <w:lang w:val="en-US"/>
        </w:rPr>
        <w:t>Brazil</w:t>
      </w:r>
      <w:r w:rsidRPr="00C9465D">
        <w:rPr>
          <w:rFonts w:ascii="Verdana" w:hAnsi="Verdana"/>
          <w:i/>
          <w:iCs/>
          <w:sz w:val="16"/>
          <w:szCs w:val="16"/>
          <w:lang w:val="en-US"/>
        </w:rPr>
        <w:t xml:space="preserve">, </w:t>
      </w:r>
      <w:r w:rsidR="00136DD9" w:rsidRPr="00C9465D">
        <w:rPr>
          <w:rFonts w:ascii="Verdana" w:hAnsi="Verdana"/>
          <w:i/>
          <w:iCs/>
          <w:sz w:val="16"/>
          <w:szCs w:val="16"/>
          <w:lang w:val="en-US"/>
        </w:rPr>
        <w:t>p</w:t>
      </w:r>
      <w:r w:rsidR="00D8466F" w:rsidRPr="00C9465D">
        <w:rPr>
          <w:rFonts w:ascii="Verdana" w:hAnsi="Verdana"/>
          <w:i/>
          <w:iCs/>
          <w:sz w:val="16"/>
          <w:szCs w:val="16"/>
          <w:lang w:val="en-US"/>
        </w:rPr>
        <w:t>reliminary objections, merits</w:t>
      </w:r>
      <w:r w:rsidR="00193CBB" w:rsidRPr="00C9465D">
        <w:rPr>
          <w:rFonts w:ascii="Verdana" w:hAnsi="Verdana"/>
          <w:i/>
          <w:iCs/>
          <w:sz w:val="16"/>
          <w:szCs w:val="16"/>
          <w:lang w:val="en-US"/>
        </w:rPr>
        <w:t>, reparations and costs</w:t>
      </w:r>
      <w:r w:rsidR="00136DD9" w:rsidRPr="00C9465D">
        <w:rPr>
          <w:rFonts w:ascii="Verdana" w:hAnsi="Verdana"/>
          <w:i/>
          <w:iCs/>
          <w:sz w:val="16"/>
          <w:szCs w:val="16"/>
          <w:lang w:val="en-US"/>
        </w:rPr>
        <w:t xml:space="preserve">. </w:t>
      </w:r>
      <w:r w:rsidR="00136DD9" w:rsidRPr="00C9465D">
        <w:rPr>
          <w:rFonts w:ascii="Verdana" w:hAnsi="Verdana"/>
          <w:sz w:val="16"/>
          <w:szCs w:val="16"/>
          <w:lang w:val="en-US"/>
        </w:rPr>
        <w:t>Judgment of July 15, 2020</w:t>
      </w:r>
      <w:r w:rsidRPr="00C9465D">
        <w:rPr>
          <w:rFonts w:ascii="Verdana" w:hAnsi="Verdana"/>
          <w:i/>
          <w:iCs/>
          <w:sz w:val="16"/>
          <w:szCs w:val="16"/>
          <w:lang w:val="en-US"/>
        </w:rPr>
        <w:t xml:space="preserve">; </w:t>
      </w:r>
      <w:r w:rsidR="00BD26CF" w:rsidRPr="00C9465D">
        <w:rPr>
          <w:rFonts w:ascii="Verdana" w:hAnsi="Verdana"/>
          <w:sz w:val="16"/>
          <w:szCs w:val="16"/>
          <w:lang w:val="en-US"/>
        </w:rPr>
        <w:t>Dissenting opinion of</w:t>
      </w:r>
      <w:r w:rsidRPr="00C9465D">
        <w:rPr>
          <w:rFonts w:ascii="Verdana" w:hAnsi="Verdana"/>
          <w:sz w:val="16"/>
          <w:szCs w:val="16"/>
          <w:lang w:val="en-US"/>
        </w:rPr>
        <w:t xml:space="preserve"> </w:t>
      </w:r>
      <w:r w:rsidR="001E2003" w:rsidRPr="00C9465D">
        <w:rPr>
          <w:rFonts w:ascii="Verdana" w:hAnsi="Verdana"/>
          <w:sz w:val="16"/>
          <w:szCs w:val="16"/>
          <w:lang w:val="en-US"/>
        </w:rPr>
        <w:t>J</w:t>
      </w:r>
      <w:r w:rsidR="00193CBB" w:rsidRPr="00C9465D">
        <w:rPr>
          <w:rFonts w:ascii="Verdana" w:hAnsi="Verdana"/>
          <w:sz w:val="16"/>
          <w:szCs w:val="16"/>
          <w:lang w:val="en-US"/>
        </w:rPr>
        <w:t>udge</w:t>
      </w:r>
      <w:r w:rsidRPr="00C9465D">
        <w:rPr>
          <w:rFonts w:ascii="Verdana" w:hAnsi="Verdana"/>
          <w:sz w:val="16"/>
          <w:szCs w:val="16"/>
          <w:lang w:val="en-US"/>
        </w:rPr>
        <w:t xml:space="preserve"> Eduardo Vio Grossi,</w:t>
      </w:r>
      <w:r w:rsidRPr="00C9465D">
        <w:rPr>
          <w:rFonts w:ascii="Verdana" w:hAnsi="Verdana"/>
          <w:i/>
          <w:iCs/>
          <w:sz w:val="16"/>
          <w:szCs w:val="16"/>
          <w:lang w:val="en-US"/>
        </w:rPr>
        <w:t xml:space="preserve"> </w:t>
      </w:r>
      <w:r w:rsidR="00D8466F" w:rsidRPr="00C9465D">
        <w:rPr>
          <w:rFonts w:ascii="Verdana" w:hAnsi="Verdana" w:cs="Arial"/>
          <w:i/>
          <w:iCs/>
          <w:sz w:val="16"/>
          <w:szCs w:val="16"/>
          <w:shd w:val="clear" w:color="auto" w:fill="FFFFFF"/>
          <w:lang w:val="en-US"/>
        </w:rPr>
        <w:t xml:space="preserve">Case </w:t>
      </w:r>
      <w:r w:rsidR="00BD26CF" w:rsidRPr="00C9465D">
        <w:rPr>
          <w:rFonts w:ascii="Verdana" w:hAnsi="Verdana" w:cs="Arial"/>
          <w:i/>
          <w:iCs/>
          <w:sz w:val="16"/>
          <w:szCs w:val="16"/>
          <w:shd w:val="clear" w:color="auto" w:fill="FFFFFF"/>
          <w:lang w:val="en-US"/>
        </w:rPr>
        <w:t>of the Indigenous Communities of the Lhaka Honhat (Our Land) Association</w:t>
      </w:r>
      <w:r w:rsidRPr="00C9465D">
        <w:rPr>
          <w:rFonts w:ascii="Verdana" w:hAnsi="Verdana" w:cs="Arial"/>
          <w:i/>
          <w:iCs/>
          <w:sz w:val="16"/>
          <w:szCs w:val="16"/>
          <w:shd w:val="clear" w:color="auto" w:fill="FFFFFF"/>
          <w:lang w:val="en-US"/>
        </w:rPr>
        <w:t xml:space="preserve"> </w:t>
      </w:r>
      <w:r w:rsidR="00193CBB" w:rsidRPr="00C9465D">
        <w:rPr>
          <w:rFonts w:ascii="Verdana" w:hAnsi="Verdana" w:cs="Arial"/>
          <w:i/>
          <w:iCs/>
          <w:sz w:val="16"/>
          <w:szCs w:val="16"/>
          <w:shd w:val="clear" w:color="auto" w:fill="FFFFFF"/>
          <w:lang w:val="en-US"/>
        </w:rPr>
        <w:t>v.</w:t>
      </w:r>
      <w:r w:rsidRPr="00C9465D">
        <w:rPr>
          <w:rFonts w:ascii="Verdana" w:hAnsi="Verdana" w:cs="Arial"/>
          <w:i/>
          <w:iCs/>
          <w:sz w:val="16"/>
          <w:szCs w:val="16"/>
          <w:shd w:val="clear" w:color="auto" w:fill="FFFFFF"/>
          <w:lang w:val="en-US"/>
        </w:rPr>
        <w:t xml:space="preserve"> Argentina. </w:t>
      </w:r>
      <w:r w:rsidR="00193CBB" w:rsidRPr="00C9465D">
        <w:rPr>
          <w:rFonts w:ascii="Verdana" w:hAnsi="Verdana" w:cs="Arial"/>
          <w:i/>
          <w:iCs/>
          <w:sz w:val="16"/>
          <w:szCs w:val="16"/>
          <w:shd w:val="clear" w:color="auto" w:fill="FFFFFF"/>
          <w:lang w:val="en-US"/>
        </w:rPr>
        <w:t>Merits, reparations and costs</w:t>
      </w:r>
      <w:r w:rsidRPr="00C9465D">
        <w:rPr>
          <w:rFonts w:ascii="Verdana" w:hAnsi="Verdana" w:cs="Arial"/>
          <w:i/>
          <w:iCs/>
          <w:sz w:val="16"/>
          <w:szCs w:val="16"/>
          <w:shd w:val="clear" w:color="auto" w:fill="FFFFFF"/>
          <w:lang w:val="en-US"/>
        </w:rPr>
        <w:t xml:space="preserve">. </w:t>
      </w:r>
      <w:r w:rsidR="00D8466F" w:rsidRPr="00C9465D">
        <w:rPr>
          <w:rFonts w:ascii="Verdana" w:hAnsi="Verdana" w:cs="Arial"/>
          <w:sz w:val="16"/>
          <w:szCs w:val="16"/>
          <w:shd w:val="clear" w:color="auto" w:fill="FFFFFF"/>
          <w:lang w:val="en-US"/>
        </w:rPr>
        <w:t>Judgment of</w:t>
      </w:r>
      <w:r w:rsidRPr="00C9465D">
        <w:rPr>
          <w:rFonts w:ascii="Verdana" w:hAnsi="Verdana" w:cs="Arial"/>
          <w:sz w:val="16"/>
          <w:szCs w:val="16"/>
          <w:shd w:val="clear" w:color="auto" w:fill="FFFFFF"/>
          <w:lang w:val="en-US"/>
        </w:rPr>
        <w:t xml:space="preserve"> </w:t>
      </w:r>
      <w:r w:rsidR="00BD26CF" w:rsidRPr="00C9465D">
        <w:rPr>
          <w:rFonts w:ascii="Verdana" w:hAnsi="Verdana" w:cs="Arial"/>
          <w:sz w:val="16"/>
          <w:szCs w:val="16"/>
          <w:shd w:val="clear" w:color="auto" w:fill="FFFFFF"/>
          <w:lang w:val="en-US"/>
        </w:rPr>
        <w:t>February 6,</w:t>
      </w:r>
      <w:r w:rsidRPr="00C9465D">
        <w:rPr>
          <w:rFonts w:ascii="Verdana" w:hAnsi="Verdana" w:cs="Arial"/>
          <w:sz w:val="16"/>
          <w:szCs w:val="16"/>
          <w:shd w:val="clear" w:color="auto" w:fill="FFFFFF"/>
          <w:lang w:val="en-US"/>
        </w:rPr>
        <w:t xml:space="preserve"> 2020</w:t>
      </w:r>
      <w:r w:rsidRPr="00C9465D">
        <w:rPr>
          <w:rFonts w:ascii="Verdana" w:hAnsi="Verdana" w:cs="Arial"/>
          <w:i/>
          <w:iCs/>
          <w:sz w:val="16"/>
          <w:szCs w:val="16"/>
          <w:shd w:val="clear" w:color="auto" w:fill="FFFFFF"/>
          <w:lang w:val="en-US"/>
        </w:rPr>
        <w:t xml:space="preserve">; </w:t>
      </w:r>
      <w:r w:rsidR="001E2003" w:rsidRPr="00C9465D">
        <w:rPr>
          <w:rFonts w:ascii="Verdana" w:eastAsia="Calibri" w:hAnsi="Verdana" w:cs="Calibri"/>
          <w:iCs/>
          <w:sz w:val="16"/>
          <w:szCs w:val="16"/>
          <w:lang w:val="en-US" w:eastAsia="es-CR"/>
        </w:rPr>
        <w:t>Partially dissenting opinion of</w:t>
      </w:r>
      <w:r w:rsidRPr="00C9465D">
        <w:rPr>
          <w:rFonts w:ascii="Verdana" w:eastAsia="Calibri" w:hAnsi="Verdana" w:cs="Calibri"/>
          <w:iCs/>
          <w:sz w:val="16"/>
          <w:szCs w:val="16"/>
          <w:lang w:val="en-US" w:eastAsia="es-CR"/>
        </w:rPr>
        <w:t xml:space="preserve"> </w:t>
      </w:r>
      <w:r w:rsidR="00193CBB" w:rsidRPr="00C9465D">
        <w:rPr>
          <w:rFonts w:ascii="Verdana" w:eastAsia="Calibri" w:hAnsi="Verdana" w:cs="Calibri"/>
          <w:iCs/>
          <w:sz w:val="16"/>
          <w:szCs w:val="16"/>
          <w:lang w:val="en-US" w:eastAsia="es-CR"/>
        </w:rPr>
        <w:t>Judge</w:t>
      </w:r>
      <w:r w:rsidRPr="00C9465D">
        <w:rPr>
          <w:rFonts w:ascii="Verdana" w:eastAsia="Calibri" w:hAnsi="Verdana" w:cs="Calibri"/>
          <w:iCs/>
          <w:sz w:val="16"/>
          <w:szCs w:val="16"/>
          <w:lang w:val="en-US" w:eastAsia="es-CR"/>
        </w:rPr>
        <w:t xml:space="preserve"> Eduardo Vio Grossi</w:t>
      </w:r>
      <w:r w:rsidR="00136DD9" w:rsidRPr="00C9465D">
        <w:rPr>
          <w:rFonts w:ascii="Verdana" w:eastAsia="Calibri" w:hAnsi="Verdana" w:cs="Calibri"/>
          <w:iCs/>
          <w:sz w:val="16"/>
          <w:szCs w:val="16"/>
          <w:lang w:val="en-US" w:eastAsia="es-CR"/>
        </w:rPr>
        <w:t xml:space="preserve">, </w:t>
      </w:r>
      <w:r w:rsidR="00BD26CF" w:rsidRPr="00C9465D">
        <w:rPr>
          <w:rFonts w:ascii="Verdana" w:eastAsia="Calibri" w:hAnsi="Verdana" w:cs="Calibri"/>
          <w:iCs/>
          <w:sz w:val="16"/>
          <w:szCs w:val="16"/>
          <w:lang w:val="en-US" w:eastAsia="es-CR"/>
        </w:rPr>
        <w:t xml:space="preserve">Inter-American Court of Human </w:t>
      </w:r>
      <w:r w:rsidR="001E2003" w:rsidRPr="00C9465D">
        <w:rPr>
          <w:rFonts w:ascii="Verdana" w:eastAsia="Calibri" w:hAnsi="Verdana" w:cs="Calibri"/>
          <w:iCs/>
          <w:sz w:val="16"/>
          <w:szCs w:val="16"/>
          <w:lang w:val="en-US" w:eastAsia="es-CR"/>
        </w:rPr>
        <w:t>Rights</w:t>
      </w:r>
      <w:r w:rsidR="001E2003" w:rsidRPr="00C9465D">
        <w:rPr>
          <w:rFonts w:ascii="Verdana" w:eastAsia="Calibri" w:hAnsi="Verdana" w:cs="Calibri"/>
          <w:i/>
          <w:sz w:val="16"/>
          <w:szCs w:val="16"/>
          <w:lang w:val="en-US" w:eastAsia="es-CR"/>
        </w:rPr>
        <w:t>; Case</w:t>
      </w:r>
      <w:r w:rsidR="00D8466F" w:rsidRPr="00C9465D">
        <w:rPr>
          <w:rStyle w:val="Strong"/>
          <w:rFonts w:ascii="Verdana" w:hAnsi="Verdana"/>
          <w:b w:val="0"/>
          <w:bCs w:val="0"/>
          <w:i/>
          <w:sz w:val="16"/>
          <w:szCs w:val="16"/>
          <w:shd w:val="clear" w:color="auto" w:fill="FFFFFF"/>
          <w:lang w:val="en-US"/>
        </w:rPr>
        <w:t xml:space="preserve"> of</w:t>
      </w:r>
      <w:r w:rsidRPr="00C9465D">
        <w:rPr>
          <w:rStyle w:val="Strong"/>
          <w:rFonts w:ascii="Verdana" w:hAnsi="Verdana"/>
          <w:b w:val="0"/>
          <w:bCs w:val="0"/>
          <w:i/>
          <w:sz w:val="16"/>
          <w:szCs w:val="16"/>
          <w:shd w:val="clear" w:color="auto" w:fill="FFFFFF"/>
          <w:lang w:val="en-US"/>
        </w:rPr>
        <w:t xml:space="preserve"> Hernández </w:t>
      </w:r>
      <w:r w:rsidR="00193CBB" w:rsidRPr="00C9465D">
        <w:rPr>
          <w:rStyle w:val="Strong"/>
          <w:rFonts w:ascii="Verdana" w:hAnsi="Verdana"/>
          <w:b w:val="0"/>
          <w:bCs w:val="0"/>
          <w:i/>
          <w:sz w:val="16"/>
          <w:szCs w:val="16"/>
          <w:shd w:val="clear" w:color="auto" w:fill="FFFFFF"/>
          <w:lang w:val="en-US"/>
        </w:rPr>
        <w:t>v.</w:t>
      </w:r>
      <w:r w:rsidRPr="00C9465D">
        <w:rPr>
          <w:rStyle w:val="Strong"/>
          <w:rFonts w:ascii="Verdana" w:hAnsi="Verdana"/>
          <w:b w:val="0"/>
          <w:bCs w:val="0"/>
          <w:i/>
          <w:sz w:val="16"/>
          <w:szCs w:val="16"/>
          <w:shd w:val="clear" w:color="auto" w:fill="FFFFFF"/>
          <w:lang w:val="en-US"/>
        </w:rPr>
        <w:t xml:space="preserve"> Argentina</w:t>
      </w:r>
      <w:r w:rsidR="00CD6A67" w:rsidRPr="00C9465D">
        <w:rPr>
          <w:rStyle w:val="Strong"/>
          <w:rFonts w:ascii="Verdana" w:hAnsi="Verdana"/>
          <w:b w:val="0"/>
          <w:bCs w:val="0"/>
          <w:i/>
          <w:sz w:val="16"/>
          <w:szCs w:val="16"/>
          <w:shd w:val="clear" w:color="auto" w:fill="FFFFFF"/>
          <w:lang w:val="en-US"/>
        </w:rPr>
        <w:t>, p</w:t>
      </w:r>
      <w:r w:rsidR="00D8466F" w:rsidRPr="00C9465D">
        <w:rPr>
          <w:rStyle w:val="Strong"/>
          <w:rFonts w:ascii="Verdana" w:hAnsi="Verdana"/>
          <w:b w:val="0"/>
          <w:bCs w:val="0"/>
          <w:i/>
          <w:sz w:val="16"/>
          <w:szCs w:val="16"/>
          <w:shd w:val="clear" w:color="auto" w:fill="FFFFFF"/>
          <w:lang w:val="en-US"/>
        </w:rPr>
        <w:t>reliminary objection, merits</w:t>
      </w:r>
      <w:r w:rsidR="00193CBB" w:rsidRPr="00C9465D">
        <w:rPr>
          <w:rStyle w:val="Strong"/>
          <w:rFonts w:ascii="Verdana" w:hAnsi="Verdana"/>
          <w:b w:val="0"/>
          <w:bCs w:val="0"/>
          <w:i/>
          <w:sz w:val="16"/>
          <w:szCs w:val="16"/>
          <w:shd w:val="clear" w:color="auto" w:fill="FFFFFF"/>
          <w:lang w:val="en-US"/>
        </w:rPr>
        <w:t>, reparations and costs</w:t>
      </w:r>
      <w:r w:rsidR="00136DD9" w:rsidRPr="00C9465D">
        <w:rPr>
          <w:rStyle w:val="Strong"/>
          <w:rFonts w:ascii="Verdana" w:hAnsi="Verdana"/>
          <w:b w:val="0"/>
          <w:bCs w:val="0"/>
          <w:i/>
          <w:sz w:val="16"/>
          <w:szCs w:val="16"/>
          <w:shd w:val="clear" w:color="auto" w:fill="FFFFFF"/>
          <w:lang w:val="en-US"/>
        </w:rPr>
        <w:t xml:space="preserve">. </w:t>
      </w:r>
      <w:r w:rsidR="00136DD9" w:rsidRPr="00C9465D">
        <w:rPr>
          <w:rFonts w:ascii="Verdana" w:eastAsia="Calibri" w:hAnsi="Verdana" w:cs="Calibri"/>
          <w:iCs/>
          <w:sz w:val="16"/>
          <w:szCs w:val="16"/>
          <w:lang w:val="en-US" w:eastAsia="es-CR"/>
        </w:rPr>
        <w:t xml:space="preserve">Judgment of November </w:t>
      </w:r>
      <w:r w:rsidR="00D750CC" w:rsidRPr="00C9465D">
        <w:rPr>
          <w:rFonts w:ascii="Verdana" w:eastAsia="Calibri" w:hAnsi="Verdana" w:cs="Calibri"/>
          <w:iCs/>
          <w:sz w:val="16"/>
          <w:szCs w:val="16"/>
          <w:lang w:val="en-US" w:eastAsia="es-CR"/>
        </w:rPr>
        <w:t>2</w:t>
      </w:r>
      <w:r w:rsidR="00136DD9" w:rsidRPr="00C9465D">
        <w:rPr>
          <w:rFonts w:ascii="Verdana" w:eastAsia="Calibri" w:hAnsi="Verdana" w:cs="Calibri"/>
          <w:iCs/>
          <w:sz w:val="16"/>
          <w:szCs w:val="16"/>
          <w:lang w:val="en-US" w:eastAsia="es-CR"/>
        </w:rPr>
        <w:t>2, 2019</w:t>
      </w:r>
      <w:r w:rsidRPr="00C9465D">
        <w:rPr>
          <w:rStyle w:val="Strong"/>
          <w:rFonts w:ascii="Verdana" w:hAnsi="Verdana"/>
          <w:b w:val="0"/>
          <w:bCs w:val="0"/>
          <w:i/>
          <w:sz w:val="16"/>
          <w:szCs w:val="16"/>
          <w:shd w:val="clear" w:color="auto" w:fill="FFFFFF"/>
          <w:lang w:val="en-US"/>
        </w:rPr>
        <w:t xml:space="preserve">; </w:t>
      </w:r>
      <w:r w:rsidR="001E2003" w:rsidRPr="00C9465D">
        <w:rPr>
          <w:rFonts w:ascii="Verdana" w:eastAsia="MS Mincho" w:hAnsi="Verdana" w:cs="Times New Roman"/>
          <w:iCs/>
          <w:sz w:val="16"/>
          <w:szCs w:val="16"/>
          <w:lang w:val="en-US" w:eastAsia="es-ES" w:bidi="en-US"/>
        </w:rPr>
        <w:t>Partially dissenting opinion of</w:t>
      </w:r>
      <w:r w:rsidRPr="00C9465D">
        <w:rPr>
          <w:rFonts w:ascii="Verdana" w:eastAsia="MS Mincho" w:hAnsi="Verdana" w:cs="Times New Roman"/>
          <w:iCs/>
          <w:sz w:val="16"/>
          <w:szCs w:val="16"/>
          <w:lang w:val="en-US" w:eastAsia="es-ES" w:bidi="en-US"/>
        </w:rPr>
        <w:t xml:space="preserve"> </w:t>
      </w:r>
      <w:r w:rsidR="00193CBB" w:rsidRPr="00C9465D">
        <w:rPr>
          <w:rFonts w:ascii="Verdana" w:eastAsia="MS Mincho" w:hAnsi="Verdana" w:cs="Times New Roman"/>
          <w:iCs/>
          <w:sz w:val="16"/>
          <w:szCs w:val="16"/>
          <w:lang w:val="en-US" w:eastAsia="es-ES" w:bidi="en-US"/>
        </w:rPr>
        <w:t>Judge</w:t>
      </w:r>
      <w:r w:rsidRPr="00C9465D">
        <w:rPr>
          <w:rFonts w:ascii="Verdana" w:eastAsia="MS Mincho" w:hAnsi="Verdana" w:cs="Times New Roman"/>
          <w:iCs/>
          <w:sz w:val="16"/>
          <w:szCs w:val="16"/>
          <w:lang w:val="en-US" w:eastAsia="es-ES" w:bidi="en-US"/>
        </w:rPr>
        <w:t xml:space="preserve"> Eduardo Vio Grossi, </w:t>
      </w:r>
      <w:r w:rsidR="00BD26CF" w:rsidRPr="00C9465D">
        <w:rPr>
          <w:rFonts w:ascii="Verdana" w:eastAsia="MS Mincho" w:hAnsi="Verdana" w:cs="Times New Roman"/>
          <w:iCs/>
          <w:sz w:val="16"/>
          <w:szCs w:val="16"/>
          <w:lang w:val="en-US" w:eastAsia="es-ES" w:bidi="en-US"/>
        </w:rPr>
        <w:t xml:space="preserve">Inter-American Court of Human </w:t>
      </w:r>
      <w:r w:rsidR="001E2003" w:rsidRPr="00C9465D">
        <w:rPr>
          <w:rFonts w:ascii="Verdana" w:eastAsia="MS Mincho" w:hAnsi="Verdana" w:cs="Times New Roman"/>
          <w:iCs/>
          <w:sz w:val="16"/>
          <w:szCs w:val="16"/>
          <w:lang w:val="en-US" w:eastAsia="es-ES" w:bidi="en-US"/>
        </w:rPr>
        <w:t>Rights;</w:t>
      </w:r>
      <w:r w:rsidR="001E2003" w:rsidRPr="00C9465D">
        <w:rPr>
          <w:rFonts w:ascii="Verdana" w:eastAsia="MS Mincho" w:hAnsi="Verdana" w:cs="Times New Roman"/>
          <w:i/>
          <w:sz w:val="16"/>
          <w:szCs w:val="16"/>
          <w:lang w:val="en-US" w:eastAsia="es-ES" w:bidi="en-US"/>
        </w:rPr>
        <w:t xml:space="preserve"> Case</w:t>
      </w:r>
      <w:r w:rsidR="00D8466F" w:rsidRPr="00C9465D">
        <w:rPr>
          <w:rFonts w:ascii="Verdana" w:eastAsia="MS Mincho" w:hAnsi="Verdana" w:cs="Times New Roman"/>
          <w:i/>
          <w:sz w:val="16"/>
          <w:szCs w:val="16"/>
          <w:lang w:val="en-US" w:eastAsia="es-ES" w:bidi="en-US"/>
        </w:rPr>
        <w:t xml:space="preserve"> of</w:t>
      </w:r>
      <w:r w:rsidRPr="00C9465D">
        <w:rPr>
          <w:rFonts w:ascii="Verdana" w:eastAsia="MS Mincho" w:hAnsi="Verdana" w:cs="Times New Roman"/>
          <w:i/>
          <w:sz w:val="16"/>
          <w:szCs w:val="16"/>
          <w:lang w:val="en-US" w:eastAsia="es-ES" w:bidi="en-US"/>
        </w:rPr>
        <w:t xml:space="preserve"> Muelle Flores </w:t>
      </w:r>
      <w:r w:rsidR="00193CBB" w:rsidRPr="00C9465D">
        <w:rPr>
          <w:rFonts w:ascii="Verdana" w:eastAsia="MS Mincho" w:hAnsi="Verdana" w:cs="Times New Roman"/>
          <w:i/>
          <w:sz w:val="16"/>
          <w:szCs w:val="16"/>
          <w:lang w:val="en-US" w:eastAsia="es-ES" w:bidi="en-US"/>
        </w:rPr>
        <w:t>v.</w:t>
      </w:r>
      <w:r w:rsidRPr="00C9465D">
        <w:rPr>
          <w:rFonts w:ascii="Verdana" w:eastAsia="MS Mincho" w:hAnsi="Verdana" w:cs="Times New Roman"/>
          <w:i/>
          <w:sz w:val="16"/>
          <w:szCs w:val="16"/>
          <w:lang w:val="en-US" w:eastAsia="es-ES" w:bidi="en-US"/>
        </w:rPr>
        <w:t xml:space="preserve"> </w:t>
      </w:r>
      <w:r w:rsidR="001902D2" w:rsidRPr="00C9465D">
        <w:rPr>
          <w:rFonts w:ascii="Verdana" w:eastAsia="MS Mincho" w:hAnsi="Verdana" w:cs="Times New Roman"/>
          <w:i/>
          <w:sz w:val="16"/>
          <w:szCs w:val="16"/>
          <w:lang w:val="en-US" w:eastAsia="es-ES" w:bidi="en-US"/>
        </w:rPr>
        <w:t>Peru</w:t>
      </w:r>
      <w:r w:rsidRPr="00C9465D">
        <w:rPr>
          <w:rFonts w:ascii="Verdana" w:eastAsia="MS Mincho" w:hAnsi="Verdana" w:cs="Times New Roman"/>
          <w:i/>
          <w:sz w:val="16"/>
          <w:szCs w:val="16"/>
          <w:lang w:val="en-US" w:eastAsia="es-ES" w:bidi="en-US"/>
        </w:rPr>
        <w:t>,</w:t>
      </w:r>
      <w:r w:rsidR="00CD6A67" w:rsidRPr="00C9465D">
        <w:rPr>
          <w:rFonts w:ascii="Verdana" w:eastAsia="MS Mincho" w:hAnsi="Verdana" w:cs="Times New Roman"/>
          <w:i/>
          <w:sz w:val="16"/>
          <w:szCs w:val="16"/>
          <w:lang w:val="en-US" w:eastAsia="es-ES" w:bidi="en-US"/>
        </w:rPr>
        <w:t xml:space="preserve"> </w:t>
      </w:r>
      <w:r w:rsidR="00CD6A67" w:rsidRPr="00C9465D">
        <w:rPr>
          <w:rFonts w:ascii="Verdana" w:hAnsi="Verdana"/>
          <w:i/>
          <w:sz w:val="16"/>
          <w:szCs w:val="16"/>
          <w:lang w:val="en-US"/>
        </w:rPr>
        <w:t>preliminary objections, merits, reparations and costs,</w:t>
      </w:r>
      <w:r w:rsidRPr="00C9465D">
        <w:rPr>
          <w:rFonts w:ascii="Verdana" w:eastAsia="MS Mincho" w:hAnsi="Verdana" w:cs="Times New Roman"/>
          <w:i/>
          <w:sz w:val="16"/>
          <w:szCs w:val="16"/>
          <w:lang w:val="en-US" w:eastAsia="es-ES" w:bidi="en-US"/>
        </w:rPr>
        <w:t xml:space="preserve"> </w:t>
      </w:r>
      <w:r w:rsidR="00D8466F" w:rsidRPr="00C9465D">
        <w:rPr>
          <w:rFonts w:ascii="Verdana" w:eastAsia="MS Mincho" w:hAnsi="Verdana" w:cs="Times New Roman"/>
          <w:iCs/>
          <w:sz w:val="16"/>
          <w:szCs w:val="16"/>
          <w:lang w:val="en-US" w:eastAsia="es-ES" w:bidi="en-US"/>
        </w:rPr>
        <w:t>Judgment of</w:t>
      </w:r>
      <w:r w:rsidRPr="00C9465D">
        <w:rPr>
          <w:rFonts w:ascii="Verdana" w:eastAsia="MS Mincho" w:hAnsi="Verdana" w:cs="Times New Roman"/>
          <w:iCs/>
          <w:sz w:val="16"/>
          <w:szCs w:val="16"/>
          <w:lang w:val="en-US" w:eastAsia="es-ES" w:bidi="en-US"/>
        </w:rPr>
        <w:t xml:space="preserve"> </w:t>
      </w:r>
      <w:r w:rsidR="00CD6A67" w:rsidRPr="00C9465D">
        <w:rPr>
          <w:rFonts w:ascii="Verdana" w:eastAsia="MS Mincho" w:hAnsi="Verdana" w:cs="Times New Roman"/>
          <w:iCs/>
          <w:sz w:val="16"/>
          <w:szCs w:val="16"/>
          <w:lang w:val="en-US" w:eastAsia="es-ES" w:bidi="en-US"/>
        </w:rPr>
        <w:t>March 6,</w:t>
      </w:r>
      <w:r w:rsidRPr="00C9465D">
        <w:rPr>
          <w:rFonts w:ascii="Verdana" w:eastAsia="MS Mincho" w:hAnsi="Verdana" w:cs="Times New Roman"/>
          <w:iCs/>
          <w:sz w:val="16"/>
          <w:szCs w:val="16"/>
          <w:lang w:val="en-US" w:eastAsia="es-ES" w:bidi="en-US"/>
        </w:rPr>
        <w:t xml:space="preserve"> 2019</w:t>
      </w:r>
      <w:r w:rsidRPr="00C9465D">
        <w:rPr>
          <w:rFonts w:ascii="Verdana" w:hAnsi="Verdana"/>
          <w:iCs/>
          <w:sz w:val="16"/>
          <w:szCs w:val="16"/>
          <w:lang w:val="en-US"/>
        </w:rPr>
        <w:t xml:space="preserve">; </w:t>
      </w:r>
      <w:r w:rsidR="001E2003" w:rsidRPr="00C9465D">
        <w:rPr>
          <w:rFonts w:ascii="Verdana" w:eastAsia="MS Mincho" w:hAnsi="Verdana" w:cs="Times New Roman"/>
          <w:iCs/>
          <w:sz w:val="16"/>
          <w:szCs w:val="16"/>
          <w:lang w:val="en-US" w:eastAsia="es-ES" w:bidi="en-US"/>
        </w:rPr>
        <w:t>Partially dissenting opinion of</w:t>
      </w:r>
      <w:r w:rsidRPr="00C9465D">
        <w:rPr>
          <w:rFonts w:ascii="Verdana" w:eastAsia="MS Mincho" w:hAnsi="Verdana" w:cs="Times New Roman"/>
          <w:iCs/>
          <w:sz w:val="16"/>
          <w:szCs w:val="16"/>
          <w:lang w:val="en-US" w:eastAsia="es-ES" w:bidi="en-US"/>
        </w:rPr>
        <w:t xml:space="preserve"> </w:t>
      </w:r>
      <w:r w:rsidR="00193CBB" w:rsidRPr="00C9465D">
        <w:rPr>
          <w:rFonts w:ascii="Verdana" w:eastAsia="MS Mincho" w:hAnsi="Verdana" w:cs="Times New Roman"/>
          <w:iCs/>
          <w:sz w:val="16"/>
          <w:szCs w:val="16"/>
          <w:lang w:val="en-US" w:eastAsia="es-ES" w:bidi="en-US"/>
        </w:rPr>
        <w:t>Judge</w:t>
      </w:r>
      <w:r w:rsidRPr="00C9465D">
        <w:rPr>
          <w:rFonts w:ascii="Verdana" w:eastAsia="MS Mincho" w:hAnsi="Verdana" w:cs="Times New Roman"/>
          <w:iCs/>
          <w:sz w:val="16"/>
          <w:szCs w:val="16"/>
          <w:lang w:val="en-US" w:eastAsia="es-ES" w:bidi="en-US"/>
        </w:rPr>
        <w:t xml:space="preserve"> Eduardo Vio Grossi, </w:t>
      </w:r>
      <w:r w:rsidR="00BD26CF" w:rsidRPr="00C9465D">
        <w:rPr>
          <w:rFonts w:ascii="Verdana" w:eastAsia="MS Mincho" w:hAnsi="Verdana" w:cs="Times New Roman"/>
          <w:iCs/>
          <w:sz w:val="16"/>
          <w:szCs w:val="16"/>
          <w:lang w:val="en-US" w:eastAsia="es-ES" w:bidi="en-US"/>
        </w:rPr>
        <w:t xml:space="preserve">Inter-American Court of Human </w:t>
      </w:r>
      <w:r w:rsidR="001E2003" w:rsidRPr="00C9465D">
        <w:rPr>
          <w:rFonts w:ascii="Verdana" w:eastAsia="MS Mincho" w:hAnsi="Verdana" w:cs="Times New Roman"/>
          <w:iCs/>
          <w:sz w:val="16"/>
          <w:szCs w:val="16"/>
          <w:lang w:val="en-US" w:eastAsia="es-ES" w:bidi="en-US"/>
        </w:rPr>
        <w:t>Rights</w:t>
      </w:r>
      <w:r w:rsidR="00CD6A67" w:rsidRPr="00C9465D">
        <w:rPr>
          <w:rFonts w:ascii="Verdana" w:eastAsia="MS Mincho" w:hAnsi="Verdana" w:cs="Times New Roman"/>
          <w:iCs/>
          <w:sz w:val="16"/>
          <w:szCs w:val="16"/>
          <w:lang w:val="en-US" w:eastAsia="es-ES" w:bidi="en-US"/>
        </w:rPr>
        <w:t>,</w:t>
      </w:r>
      <w:r w:rsidR="001E2003" w:rsidRPr="00C9465D">
        <w:rPr>
          <w:rFonts w:ascii="Verdana" w:eastAsia="MS Mincho" w:hAnsi="Verdana" w:cs="Times New Roman"/>
          <w:i/>
          <w:sz w:val="16"/>
          <w:szCs w:val="16"/>
          <w:lang w:val="en-US" w:eastAsia="es-ES" w:bidi="en-US"/>
        </w:rPr>
        <w:t xml:space="preserve"> Case</w:t>
      </w:r>
      <w:r w:rsidR="00D8466F" w:rsidRPr="00C9465D">
        <w:rPr>
          <w:rFonts w:ascii="Verdana" w:eastAsia="MS Mincho" w:hAnsi="Verdana" w:cs="Times New Roman"/>
          <w:i/>
          <w:sz w:val="16"/>
          <w:szCs w:val="16"/>
          <w:lang w:val="en-US" w:eastAsia="es-ES" w:bidi="en-US"/>
        </w:rPr>
        <w:t xml:space="preserve"> of</w:t>
      </w:r>
      <w:r w:rsidRPr="00C9465D">
        <w:rPr>
          <w:rFonts w:ascii="Verdana" w:eastAsia="MS Mincho" w:hAnsi="Verdana" w:cs="Times New Roman"/>
          <w:i/>
          <w:sz w:val="16"/>
          <w:szCs w:val="16"/>
          <w:lang w:val="en-US" w:eastAsia="es-ES" w:bidi="en-US"/>
        </w:rPr>
        <w:t xml:space="preserve"> San Miguel Sosa</w:t>
      </w:r>
      <w:r w:rsidR="00193CBB" w:rsidRPr="00C9465D">
        <w:rPr>
          <w:rFonts w:ascii="Verdana" w:eastAsia="MS Mincho" w:hAnsi="Verdana" w:cs="Times New Roman"/>
          <w:i/>
          <w:sz w:val="16"/>
          <w:szCs w:val="16"/>
          <w:lang w:val="en-US" w:eastAsia="es-ES" w:bidi="en-US"/>
        </w:rPr>
        <w:t xml:space="preserve"> </w:t>
      </w:r>
      <w:r w:rsidR="00CD6A67" w:rsidRPr="00C9465D">
        <w:rPr>
          <w:rFonts w:ascii="Verdana" w:eastAsia="MS Mincho" w:hAnsi="Verdana" w:cs="Times New Roman"/>
          <w:i/>
          <w:sz w:val="16"/>
          <w:szCs w:val="16"/>
          <w:lang w:val="en-US" w:eastAsia="es-ES" w:bidi="en-US"/>
        </w:rPr>
        <w:t xml:space="preserve">et al. </w:t>
      </w:r>
      <w:r w:rsidR="00193CBB" w:rsidRPr="00C9465D">
        <w:rPr>
          <w:rFonts w:ascii="Verdana" w:eastAsia="MS Mincho" w:hAnsi="Verdana" w:cs="Times New Roman"/>
          <w:i/>
          <w:sz w:val="16"/>
          <w:szCs w:val="16"/>
          <w:lang w:val="en-US" w:eastAsia="es-ES" w:bidi="en-US"/>
        </w:rPr>
        <w:t>v.</w:t>
      </w:r>
      <w:r w:rsidRPr="00C9465D">
        <w:rPr>
          <w:rFonts w:ascii="Verdana" w:eastAsia="MS Mincho" w:hAnsi="Verdana" w:cs="Times New Roman"/>
          <w:i/>
          <w:sz w:val="16"/>
          <w:szCs w:val="16"/>
          <w:lang w:val="en-US" w:eastAsia="es-ES" w:bidi="en-US"/>
        </w:rPr>
        <w:t xml:space="preserve"> Venezuela, </w:t>
      </w:r>
      <w:r w:rsidR="00CD6A67" w:rsidRPr="00C9465D">
        <w:rPr>
          <w:rFonts w:ascii="Verdana" w:eastAsia="MS Mincho" w:hAnsi="Verdana" w:cs="Times New Roman"/>
          <w:i/>
          <w:sz w:val="16"/>
          <w:szCs w:val="16"/>
          <w:lang w:val="en-US" w:eastAsia="es-ES" w:bidi="en-US"/>
        </w:rPr>
        <w:t xml:space="preserve">merits, reparations and costs. </w:t>
      </w:r>
      <w:r w:rsidR="00D8466F" w:rsidRPr="00C9465D">
        <w:rPr>
          <w:rFonts w:ascii="Verdana" w:eastAsia="MS Mincho" w:hAnsi="Verdana" w:cs="Times New Roman"/>
          <w:iCs/>
          <w:sz w:val="16"/>
          <w:szCs w:val="16"/>
          <w:lang w:val="en-US" w:eastAsia="es-ES" w:bidi="en-US"/>
        </w:rPr>
        <w:t>Judgment of</w:t>
      </w:r>
      <w:r w:rsidRPr="00C9465D">
        <w:rPr>
          <w:rFonts w:ascii="Verdana" w:eastAsia="MS Mincho" w:hAnsi="Verdana" w:cs="Times New Roman"/>
          <w:iCs/>
          <w:sz w:val="16"/>
          <w:szCs w:val="16"/>
          <w:lang w:val="en-US" w:eastAsia="es-ES" w:bidi="en-US"/>
        </w:rPr>
        <w:t xml:space="preserve"> </w:t>
      </w:r>
      <w:r w:rsidR="00CD6A67" w:rsidRPr="00C9465D">
        <w:rPr>
          <w:rFonts w:ascii="Verdana" w:eastAsia="MS Mincho" w:hAnsi="Verdana" w:cs="Times New Roman"/>
          <w:iCs/>
          <w:sz w:val="16"/>
          <w:szCs w:val="16"/>
          <w:lang w:val="en-US" w:eastAsia="es-ES" w:bidi="en-US"/>
        </w:rPr>
        <w:t>February 8,</w:t>
      </w:r>
      <w:r w:rsidRPr="00C9465D">
        <w:rPr>
          <w:rFonts w:ascii="Verdana" w:eastAsia="MS Mincho" w:hAnsi="Verdana" w:cs="Times New Roman"/>
          <w:iCs/>
          <w:sz w:val="16"/>
          <w:szCs w:val="16"/>
          <w:lang w:val="en-US" w:eastAsia="es-ES" w:bidi="en-US"/>
        </w:rPr>
        <w:t xml:space="preserve"> 2018; </w:t>
      </w:r>
      <w:r w:rsidR="001E2003" w:rsidRPr="00C9465D">
        <w:rPr>
          <w:rFonts w:ascii="Verdana" w:eastAsia="MS Mincho" w:hAnsi="Verdana" w:cs="Times New Roman"/>
          <w:iCs/>
          <w:sz w:val="16"/>
          <w:szCs w:val="16"/>
          <w:lang w:val="en-US" w:eastAsia="es-ES" w:bidi="en-US"/>
        </w:rPr>
        <w:t>Partially dissenting opinion of</w:t>
      </w:r>
      <w:r w:rsidRPr="00C9465D">
        <w:rPr>
          <w:rFonts w:ascii="Verdana" w:eastAsia="MS Mincho" w:hAnsi="Verdana" w:cs="Times New Roman"/>
          <w:iCs/>
          <w:sz w:val="16"/>
          <w:szCs w:val="16"/>
          <w:lang w:val="en-US" w:eastAsia="es-ES" w:bidi="en-US"/>
        </w:rPr>
        <w:t xml:space="preserve"> </w:t>
      </w:r>
      <w:r w:rsidR="00193CBB" w:rsidRPr="00C9465D">
        <w:rPr>
          <w:rFonts w:ascii="Verdana" w:eastAsia="MS Mincho" w:hAnsi="Verdana" w:cs="Times New Roman"/>
          <w:iCs/>
          <w:sz w:val="16"/>
          <w:szCs w:val="16"/>
          <w:lang w:val="en-US" w:eastAsia="es-ES" w:bidi="en-US"/>
        </w:rPr>
        <w:t>Judge</w:t>
      </w:r>
      <w:r w:rsidRPr="00C9465D">
        <w:rPr>
          <w:rFonts w:ascii="Verdana" w:eastAsia="MS Mincho" w:hAnsi="Verdana" w:cs="Times New Roman"/>
          <w:iCs/>
          <w:sz w:val="16"/>
          <w:szCs w:val="16"/>
          <w:lang w:val="en-US" w:eastAsia="es-ES" w:bidi="en-US"/>
        </w:rPr>
        <w:t xml:space="preserve"> Eduardo Vio Grossi, </w:t>
      </w:r>
      <w:r w:rsidR="00BD26CF" w:rsidRPr="00C9465D">
        <w:rPr>
          <w:rFonts w:ascii="Verdana" w:eastAsia="MS Mincho" w:hAnsi="Verdana" w:cs="Times New Roman"/>
          <w:iCs/>
          <w:sz w:val="16"/>
          <w:szCs w:val="16"/>
          <w:lang w:val="en-US" w:eastAsia="es-ES" w:bidi="en-US"/>
        </w:rPr>
        <w:t xml:space="preserve">Inter-American Court of Human </w:t>
      </w:r>
      <w:r w:rsidR="001E2003" w:rsidRPr="00C9465D">
        <w:rPr>
          <w:rFonts w:ascii="Verdana" w:eastAsia="MS Mincho" w:hAnsi="Verdana" w:cs="Times New Roman"/>
          <w:iCs/>
          <w:sz w:val="16"/>
          <w:szCs w:val="16"/>
          <w:lang w:val="en-US" w:eastAsia="es-ES" w:bidi="en-US"/>
        </w:rPr>
        <w:t>Rights;</w:t>
      </w:r>
      <w:r w:rsidR="001E2003" w:rsidRPr="00C9465D">
        <w:rPr>
          <w:rFonts w:ascii="Verdana" w:eastAsia="MS Mincho" w:hAnsi="Verdana" w:cs="Times New Roman"/>
          <w:i/>
          <w:sz w:val="16"/>
          <w:szCs w:val="16"/>
          <w:lang w:val="en-US" w:eastAsia="es-ES" w:bidi="en-US"/>
        </w:rPr>
        <w:t xml:space="preserve"> Case</w:t>
      </w:r>
      <w:r w:rsidR="00D8466F" w:rsidRPr="00C9465D">
        <w:rPr>
          <w:rFonts w:ascii="Verdana" w:eastAsia="MS Mincho" w:hAnsi="Verdana" w:cs="Times New Roman"/>
          <w:i/>
          <w:sz w:val="16"/>
          <w:szCs w:val="16"/>
          <w:lang w:val="en-US" w:eastAsia="es-ES" w:bidi="en-US"/>
        </w:rPr>
        <w:t xml:space="preserve"> of</w:t>
      </w:r>
      <w:r w:rsidRPr="00C9465D">
        <w:rPr>
          <w:rFonts w:ascii="Verdana" w:eastAsia="MS Mincho" w:hAnsi="Verdana" w:cs="Times New Roman"/>
          <w:i/>
          <w:sz w:val="16"/>
          <w:szCs w:val="16"/>
          <w:lang w:val="en-US" w:eastAsia="es-ES" w:bidi="en-US"/>
        </w:rPr>
        <w:t xml:space="preserve"> Lagos del Campo </w:t>
      </w:r>
      <w:r w:rsidR="00193CBB" w:rsidRPr="00C9465D">
        <w:rPr>
          <w:rFonts w:ascii="Verdana" w:eastAsia="MS Mincho" w:hAnsi="Verdana" w:cs="Times New Roman"/>
          <w:i/>
          <w:sz w:val="16"/>
          <w:szCs w:val="16"/>
          <w:lang w:val="en-US" w:eastAsia="es-ES" w:bidi="en-US"/>
        </w:rPr>
        <w:t>v.</w:t>
      </w:r>
      <w:r w:rsidRPr="00C9465D">
        <w:rPr>
          <w:rFonts w:ascii="Verdana" w:eastAsia="MS Mincho" w:hAnsi="Verdana" w:cs="Times New Roman"/>
          <w:i/>
          <w:sz w:val="16"/>
          <w:szCs w:val="16"/>
          <w:lang w:val="en-US" w:eastAsia="es-ES" w:bidi="en-US"/>
        </w:rPr>
        <w:t xml:space="preserve"> </w:t>
      </w:r>
      <w:r w:rsidR="001902D2" w:rsidRPr="00C9465D">
        <w:rPr>
          <w:rFonts w:ascii="Verdana" w:eastAsia="MS Mincho" w:hAnsi="Verdana" w:cs="Times New Roman"/>
          <w:i/>
          <w:sz w:val="16"/>
          <w:szCs w:val="16"/>
          <w:lang w:val="en-US" w:eastAsia="es-ES" w:bidi="en-US"/>
        </w:rPr>
        <w:t>Peru</w:t>
      </w:r>
      <w:r w:rsidRPr="00C9465D">
        <w:rPr>
          <w:rFonts w:ascii="Verdana" w:eastAsia="MS Mincho" w:hAnsi="Verdana" w:cs="Times New Roman"/>
          <w:i/>
          <w:sz w:val="16"/>
          <w:szCs w:val="16"/>
          <w:lang w:val="en-US" w:eastAsia="es-ES" w:bidi="en-US"/>
        </w:rPr>
        <w:t xml:space="preserve">, </w:t>
      </w:r>
      <w:r w:rsidR="00CD6A67" w:rsidRPr="00C9465D">
        <w:rPr>
          <w:rFonts w:ascii="Verdana" w:eastAsia="MS Mincho" w:hAnsi="Verdana" w:cs="Times New Roman"/>
          <w:i/>
          <w:sz w:val="16"/>
          <w:szCs w:val="16"/>
          <w:lang w:val="en-US" w:eastAsia="es-ES" w:bidi="en-US"/>
        </w:rPr>
        <w:t>p</w:t>
      </w:r>
      <w:r w:rsidR="001E2003" w:rsidRPr="00C9465D">
        <w:rPr>
          <w:rFonts w:ascii="Verdana" w:hAnsi="Verdana"/>
          <w:i/>
          <w:iCs/>
          <w:sz w:val="16"/>
          <w:szCs w:val="16"/>
          <w:lang w:val="en-US"/>
        </w:rPr>
        <w:t>reliminary objections, merits, reparations and costs</w:t>
      </w:r>
      <w:r w:rsidR="00CD6A67" w:rsidRPr="00C9465D">
        <w:rPr>
          <w:rFonts w:ascii="Verdana" w:hAnsi="Verdana"/>
          <w:i/>
          <w:iCs/>
          <w:sz w:val="16"/>
          <w:szCs w:val="16"/>
          <w:lang w:val="en-US"/>
        </w:rPr>
        <w:t xml:space="preserve">. </w:t>
      </w:r>
      <w:r w:rsidR="00CD6A67" w:rsidRPr="00C9465D">
        <w:rPr>
          <w:rFonts w:ascii="Verdana" w:eastAsia="MS Mincho" w:hAnsi="Verdana" w:cs="Times New Roman"/>
          <w:iCs/>
          <w:sz w:val="16"/>
          <w:szCs w:val="16"/>
          <w:lang w:val="en-US" w:eastAsia="es-ES" w:bidi="en-US"/>
        </w:rPr>
        <w:t>Judgment of August 31, 2017</w:t>
      </w:r>
      <w:r w:rsidRPr="00C9465D">
        <w:rPr>
          <w:rFonts w:ascii="Verdana" w:eastAsia="MS Mincho" w:hAnsi="Verdana" w:cs="Times New Roman"/>
          <w:iCs/>
          <w:sz w:val="16"/>
          <w:szCs w:val="16"/>
          <w:lang w:val="en-US" w:eastAsia="es-ES" w:bidi="en-US"/>
        </w:rPr>
        <w:t>,</w:t>
      </w:r>
      <w:r w:rsidR="00193CBB" w:rsidRPr="00C9465D">
        <w:rPr>
          <w:rFonts w:ascii="Verdana" w:eastAsia="MS Mincho" w:hAnsi="Verdana" w:cs="Times New Roman"/>
          <w:iCs/>
          <w:sz w:val="16"/>
          <w:szCs w:val="16"/>
          <w:lang w:val="en-US" w:eastAsia="es-ES" w:bidi="en-US"/>
        </w:rPr>
        <w:t xml:space="preserve"> and </w:t>
      </w:r>
      <w:r w:rsidR="001E2003" w:rsidRPr="00C9465D">
        <w:rPr>
          <w:rFonts w:ascii="Verdana" w:eastAsia="MS Mincho" w:hAnsi="Verdana" w:cs="Times New Roman"/>
          <w:iCs/>
          <w:sz w:val="16"/>
          <w:szCs w:val="16"/>
          <w:lang w:val="en-US" w:eastAsia="es-ES" w:bidi="en-US"/>
        </w:rPr>
        <w:t>Separate opinion of</w:t>
      </w:r>
      <w:r w:rsidRPr="00C9465D">
        <w:rPr>
          <w:rFonts w:ascii="Verdana" w:eastAsia="MS Mincho" w:hAnsi="Verdana" w:cs="Times New Roman"/>
          <w:iCs/>
          <w:sz w:val="16"/>
          <w:szCs w:val="16"/>
          <w:lang w:val="en-US" w:eastAsia="es-ES" w:bidi="en-US"/>
        </w:rPr>
        <w:t xml:space="preserve"> </w:t>
      </w:r>
      <w:r w:rsidR="00193CBB" w:rsidRPr="00C9465D">
        <w:rPr>
          <w:rFonts w:ascii="Verdana" w:eastAsia="MS Mincho" w:hAnsi="Verdana" w:cs="Times New Roman"/>
          <w:iCs/>
          <w:sz w:val="16"/>
          <w:szCs w:val="16"/>
          <w:lang w:val="en-US" w:eastAsia="es-ES" w:bidi="en-US"/>
        </w:rPr>
        <w:t>Judge</w:t>
      </w:r>
      <w:r w:rsidRPr="00C9465D">
        <w:rPr>
          <w:rFonts w:ascii="Verdana" w:eastAsia="MS Mincho" w:hAnsi="Verdana" w:cs="Times New Roman"/>
          <w:iCs/>
          <w:sz w:val="16"/>
          <w:szCs w:val="16"/>
          <w:lang w:val="en-US" w:eastAsia="es-ES" w:bidi="en-US"/>
        </w:rPr>
        <w:t xml:space="preserve"> Eduardo Vio Grossi, </w:t>
      </w:r>
      <w:r w:rsidR="00BD26CF" w:rsidRPr="00C9465D">
        <w:rPr>
          <w:rFonts w:ascii="Verdana" w:eastAsia="MS Mincho" w:hAnsi="Verdana" w:cs="Times New Roman"/>
          <w:iCs/>
          <w:sz w:val="16"/>
          <w:szCs w:val="16"/>
          <w:lang w:val="en-US" w:eastAsia="es-ES" w:bidi="en-US"/>
        </w:rPr>
        <w:t xml:space="preserve">Inter-American Court of Human </w:t>
      </w:r>
      <w:r w:rsidR="001E2003" w:rsidRPr="00C9465D">
        <w:rPr>
          <w:rFonts w:ascii="Verdana" w:eastAsia="MS Mincho" w:hAnsi="Verdana" w:cs="Times New Roman"/>
          <w:iCs/>
          <w:sz w:val="16"/>
          <w:szCs w:val="16"/>
          <w:lang w:val="en-US" w:eastAsia="es-ES" w:bidi="en-US"/>
        </w:rPr>
        <w:t>Rights</w:t>
      </w:r>
      <w:r w:rsidR="00CD6A67" w:rsidRPr="00C9465D">
        <w:rPr>
          <w:rFonts w:ascii="Verdana" w:eastAsia="MS Mincho" w:hAnsi="Verdana" w:cs="Times New Roman"/>
          <w:iCs/>
          <w:sz w:val="16"/>
          <w:szCs w:val="16"/>
          <w:lang w:val="en-US" w:eastAsia="es-ES" w:bidi="en-US"/>
        </w:rPr>
        <w:t>,</w:t>
      </w:r>
      <w:r w:rsidR="001E2003" w:rsidRPr="00C9465D">
        <w:rPr>
          <w:rFonts w:ascii="Verdana" w:eastAsia="MS Mincho" w:hAnsi="Verdana" w:cs="Times New Roman"/>
          <w:i/>
          <w:sz w:val="16"/>
          <w:szCs w:val="16"/>
          <w:lang w:val="en-US" w:eastAsia="es-ES" w:bidi="en-US"/>
        </w:rPr>
        <w:t xml:space="preserve"> Case</w:t>
      </w:r>
      <w:r w:rsidR="00D8466F" w:rsidRPr="00C9465D">
        <w:rPr>
          <w:rFonts w:ascii="Verdana" w:eastAsia="MS Mincho" w:hAnsi="Verdana" w:cs="Times New Roman"/>
          <w:i/>
          <w:sz w:val="16"/>
          <w:szCs w:val="16"/>
          <w:lang w:val="en-US" w:eastAsia="es-ES" w:bidi="en-US"/>
        </w:rPr>
        <w:t xml:space="preserve"> of</w:t>
      </w:r>
      <w:r w:rsidRPr="00C9465D">
        <w:rPr>
          <w:rFonts w:ascii="Verdana" w:eastAsia="MS Mincho" w:hAnsi="Verdana" w:cs="Times New Roman"/>
          <w:i/>
          <w:sz w:val="16"/>
          <w:szCs w:val="16"/>
          <w:lang w:val="en-US" w:eastAsia="es-ES" w:bidi="en-US"/>
        </w:rPr>
        <w:t xml:space="preserve"> </w:t>
      </w:r>
      <w:r w:rsidR="00CD6A67" w:rsidRPr="00C9465D">
        <w:rPr>
          <w:rFonts w:ascii="Verdana" w:eastAsia="MS Mincho" w:hAnsi="Verdana" w:cs="Times New Roman"/>
          <w:i/>
          <w:sz w:val="16"/>
          <w:szCs w:val="16"/>
          <w:lang w:val="en-US" w:eastAsia="es-ES" w:bidi="en-US"/>
        </w:rPr>
        <w:t xml:space="preserve">the Dismissed Employees of </w:t>
      </w:r>
      <w:r w:rsidRPr="00C9465D">
        <w:rPr>
          <w:rFonts w:ascii="Verdana" w:eastAsia="MS Mincho" w:hAnsi="Verdana" w:cs="Times New Roman"/>
          <w:i/>
          <w:sz w:val="16"/>
          <w:szCs w:val="16"/>
          <w:lang w:val="en-US" w:eastAsia="es-ES" w:bidi="en-US"/>
        </w:rPr>
        <w:t>Petro</w:t>
      </w:r>
      <w:r w:rsidR="001902D2" w:rsidRPr="00C9465D">
        <w:rPr>
          <w:rFonts w:ascii="Verdana" w:eastAsia="MS Mincho" w:hAnsi="Verdana" w:cs="Times New Roman"/>
          <w:i/>
          <w:sz w:val="16"/>
          <w:szCs w:val="16"/>
          <w:lang w:val="en-US" w:eastAsia="es-ES" w:bidi="en-US"/>
        </w:rPr>
        <w:t>Peru</w:t>
      </w:r>
      <w:r w:rsidR="00193CBB" w:rsidRPr="00C9465D">
        <w:rPr>
          <w:rFonts w:ascii="Verdana" w:eastAsia="MS Mincho" w:hAnsi="Verdana" w:cs="Times New Roman"/>
          <w:i/>
          <w:sz w:val="16"/>
          <w:szCs w:val="16"/>
          <w:lang w:val="en-US" w:eastAsia="es-ES" w:bidi="en-US"/>
        </w:rPr>
        <w:t xml:space="preserve"> </w:t>
      </w:r>
      <w:r w:rsidR="00D8466F" w:rsidRPr="00C9465D">
        <w:rPr>
          <w:rFonts w:ascii="Verdana" w:eastAsia="MS Mincho" w:hAnsi="Verdana" w:cs="Times New Roman"/>
          <w:i/>
          <w:sz w:val="16"/>
          <w:szCs w:val="16"/>
          <w:lang w:val="en-US" w:eastAsia="es-ES" w:bidi="en-US"/>
        </w:rPr>
        <w:t>et al. v.</w:t>
      </w:r>
      <w:r w:rsidRPr="00C9465D">
        <w:rPr>
          <w:rFonts w:ascii="Verdana" w:eastAsia="MS Mincho" w:hAnsi="Verdana" w:cs="Times New Roman"/>
          <w:i/>
          <w:sz w:val="16"/>
          <w:szCs w:val="16"/>
          <w:lang w:val="en-US" w:eastAsia="es-ES" w:bidi="en-US"/>
        </w:rPr>
        <w:t xml:space="preserve"> </w:t>
      </w:r>
      <w:r w:rsidR="001902D2" w:rsidRPr="00C9465D">
        <w:rPr>
          <w:rFonts w:ascii="Verdana" w:eastAsia="MS Mincho" w:hAnsi="Verdana" w:cs="Times New Roman"/>
          <w:i/>
          <w:sz w:val="16"/>
          <w:szCs w:val="16"/>
          <w:lang w:val="en-US" w:eastAsia="es-ES" w:bidi="en-US"/>
        </w:rPr>
        <w:t>Peru</w:t>
      </w:r>
      <w:r w:rsidRPr="00C9465D">
        <w:rPr>
          <w:rFonts w:ascii="Verdana" w:eastAsia="MS Mincho" w:hAnsi="Verdana" w:cs="Times New Roman"/>
          <w:i/>
          <w:sz w:val="16"/>
          <w:szCs w:val="16"/>
          <w:lang w:val="en-US" w:eastAsia="es-ES" w:bidi="en-US"/>
        </w:rPr>
        <w:t xml:space="preserve">, </w:t>
      </w:r>
      <w:r w:rsidR="00CD6A67" w:rsidRPr="00C9465D">
        <w:rPr>
          <w:rFonts w:ascii="Verdana" w:eastAsia="MS Mincho" w:hAnsi="Verdana" w:cs="Times New Roman"/>
          <w:i/>
          <w:sz w:val="16"/>
          <w:szCs w:val="16"/>
          <w:lang w:val="en-US" w:eastAsia="es-ES" w:bidi="en-US"/>
        </w:rPr>
        <w:t xml:space="preserve">preliminary objections, merits, reparations and costs. </w:t>
      </w:r>
      <w:r w:rsidR="00D8466F" w:rsidRPr="00C9465D">
        <w:rPr>
          <w:rFonts w:ascii="Verdana" w:eastAsia="MS Mincho" w:hAnsi="Verdana" w:cs="Times New Roman"/>
          <w:iCs/>
          <w:sz w:val="16"/>
          <w:szCs w:val="16"/>
          <w:lang w:val="en-US" w:eastAsia="es-ES" w:bidi="en-US"/>
        </w:rPr>
        <w:t>Judgment of</w:t>
      </w:r>
      <w:r w:rsidRPr="00C9465D">
        <w:rPr>
          <w:rFonts w:ascii="Verdana" w:eastAsia="MS Mincho" w:hAnsi="Verdana" w:cs="Times New Roman"/>
          <w:iCs/>
          <w:sz w:val="16"/>
          <w:szCs w:val="16"/>
          <w:lang w:val="en-US" w:eastAsia="es-ES" w:bidi="en-US"/>
        </w:rPr>
        <w:t xml:space="preserve"> </w:t>
      </w:r>
      <w:r w:rsidR="00CD6A67" w:rsidRPr="00C9465D">
        <w:rPr>
          <w:rFonts w:ascii="Verdana" w:eastAsia="MS Mincho" w:hAnsi="Verdana" w:cs="Times New Roman"/>
          <w:iCs/>
          <w:sz w:val="16"/>
          <w:szCs w:val="16"/>
          <w:lang w:val="en-US" w:eastAsia="es-ES" w:bidi="en-US"/>
        </w:rPr>
        <w:t>November 23,</w:t>
      </w:r>
      <w:r w:rsidRPr="00C9465D">
        <w:rPr>
          <w:rFonts w:ascii="Verdana" w:eastAsia="MS Mincho" w:hAnsi="Verdana" w:cs="Times New Roman"/>
          <w:iCs/>
          <w:sz w:val="16"/>
          <w:szCs w:val="16"/>
          <w:lang w:val="en-US" w:eastAsia="es-ES" w:bidi="en-US"/>
        </w:rPr>
        <w:t xml:space="preserve"> 2017</w:t>
      </w:r>
      <w:r w:rsidR="00CD6A67" w:rsidRPr="00C9465D">
        <w:rPr>
          <w:rFonts w:ascii="Verdana" w:eastAsia="MS Mincho" w:hAnsi="Verdana" w:cs="Times New Roman"/>
          <w:i/>
          <w:sz w:val="16"/>
          <w:szCs w:val="16"/>
          <w:lang w:val="en-US" w:eastAsia="es-ES" w:bidi="en-US"/>
        </w:rPr>
        <w:t>.</w:t>
      </w:r>
    </w:p>
  </w:footnote>
  <w:footnote w:id="393">
    <w:p w14:paraId="620E668B" w14:textId="77777777" w:rsidR="00FB4DD9" w:rsidRPr="00C9465D" w:rsidRDefault="000A7745" w:rsidP="00FB4DD9">
      <w:pPr>
        <w:pStyle w:val="NormalWeb"/>
        <w:spacing w:after="60" w:line="240" w:lineRule="auto"/>
        <w:ind w:right="48"/>
        <w:jc w:val="both"/>
        <w:rPr>
          <w:rFonts w:ascii="Verdana" w:hAnsi="Verdana"/>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eastAsia="Verdana" w:hAnsi="Verdana"/>
          <w:color w:val="000000"/>
          <w:kern w:val="24"/>
          <w:sz w:val="16"/>
          <w:szCs w:val="16"/>
          <w:lang w:val="en-US" w:eastAsia="es-CL"/>
        </w:rPr>
        <w:t>“</w:t>
      </w:r>
      <w:r w:rsidR="00C74790" w:rsidRPr="00C9465D">
        <w:rPr>
          <w:rFonts w:ascii="Verdana" w:eastAsia="Verdana" w:hAnsi="Verdana"/>
          <w:color w:val="000000"/>
          <w:kern w:val="24"/>
          <w:sz w:val="16"/>
          <w:szCs w:val="16"/>
          <w:lang w:val="en-US" w:eastAsia="es-CL"/>
        </w:rPr>
        <w:t>The question whether a certain matter is or is not solely within the jurisdiction of a State is an essentially relative question; it depends upon the development of international relations. Thus, in the present state of international law, questions of nationality are, in the opinion of the Court, in principle within this reserved domain.</w:t>
      </w:r>
      <w:r w:rsidRPr="00C9465D">
        <w:rPr>
          <w:rFonts w:ascii="Verdana" w:eastAsia="Verdana" w:hAnsi="Verdana"/>
          <w:color w:val="000000"/>
          <w:kern w:val="24"/>
          <w:sz w:val="16"/>
          <w:szCs w:val="16"/>
          <w:lang w:val="en-US" w:eastAsia="es-CL"/>
        </w:rPr>
        <w:t xml:space="preserve">” </w:t>
      </w:r>
      <w:r w:rsidR="00C74790" w:rsidRPr="00C9465D">
        <w:rPr>
          <w:rFonts w:ascii="Verdana" w:eastAsia="Verdana" w:hAnsi="Verdana"/>
          <w:color w:val="000000"/>
          <w:kern w:val="24"/>
          <w:sz w:val="16"/>
          <w:szCs w:val="16"/>
          <w:lang w:val="en-US" w:eastAsia="es-CL"/>
        </w:rPr>
        <w:t xml:space="preserve">Permanent Court of International Justice, </w:t>
      </w:r>
      <w:r w:rsidR="00C8741F" w:rsidRPr="00C9465D">
        <w:rPr>
          <w:rFonts w:ascii="Verdana" w:eastAsia="Verdana" w:hAnsi="Verdana"/>
          <w:i/>
          <w:iCs/>
          <w:color w:val="000000"/>
          <w:kern w:val="24"/>
          <w:sz w:val="16"/>
          <w:szCs w:val="16"/>
          <w:lang w:val="en-US" w:eastAsia="es-CL"/>
        </w:rPr>
        <w:t>Advisory Opinion</w:t>
      </w:r>
      <w:r w:rsidR="00C74790" w:rsidRPr="00C9465D">
        <w:rPr>
          <w:rFonts w:ascii="Verdana" w:hAnsi="Verdana" w:cs="Helvetica"/>
          <w:i/>
          <w:iCs/>
          <w:color w:val="3F3F3F"/>
          <w:sz w:val="16"/>
          <w:szCs w:val="16"/>
          <w:lang w:val="en-US"/>
        </w:rPr>
        <w:t xml:space="preserve"> on Nationality Decrees Issued in Tunis and Morocco</w:t>
      </w:r>
      <w:r w:rsidR="00C74790" w:rsidRPr="00C9465D">
        <w:rPr>
          <w:rFonts w:ascii="Verdana" w:hAnsi="Verdana" w:cs="Helvetica"/>
          <w:color w:val="3F3F3F"/>
          <w:sz w:val="16"/>
          <w:szCs w:val="16"/>
          <w:shd w:val="clear" w:color="auto" w:fill="F9F9F9"/>
          <w:lang w:val="en-US"/>
        </w:rPr>
        <w:t>, </w:t>
      </w:r>
      <w:r w:rsidR="00E2299F" w:rsidRPr="00C9465D">
        <w:rPr>
          <w:rFonts w:ascii="Verdana" w:eastAsia="Verdana" w:hAnsi="Verdana"/>
          <w:color w:val="000000"/>
          <w:kern w:val="24"/>
          <w:sz w:val="16"/>
          <w:szCs w:val="16"/>
          <w:lang w:val="en-US" w:eastAsia="es-CL"/>
        </w:rPr>
        <w:t xml:space="preserve">Series </w:t>
      </w:r>
      <w:r w:rsidRPr="00C9465D">
        <w:rPr>
          <w:rFonts w:ascii="Verdana" w:eastAsia="Verdana" w:hAnsi="Verdana"/>
          <w:color w:val="000000"/>
          <w:kern w:val="24"/>
          <w:sz w:val="16"/>
          <w:szCs w:val="16"/>
          <w:lang w:val="en-US" w:eastAsia="es-CL"/>
        </w:rPr>
        <w:t xml:space="preserve">B </w:t>
      </w:r>
      <w:r w:rsidR="00D12C0E" w:rsidRPr="00C9465D">
        <w:rPr>
          <w:rFonts w:ascii="Verdana" w:eastAsia="Verdana" w:hAnsi="Verdana"/>
          <w:color w:val="000000"/>
          <w:kern w:val="24"/>
          <w:sz w:val="16"/>
          <w:szCs w:val="16"/>
          <w:lang w:val="en-US" w:eastAsia="es-CL"/>
        </w:rPr>
        <w:t>No.</w:t>
      </w:r>
      <w:r w:rsidRPr="00C9465D">
        <w:rPr>
          <w:rFonts w:ascii="Verdana" w:eastAsia="Verdana" w:hAnsi="Verdana"/>
          <w:color w:val="000000"/>
          <w:kern w:val="24"/>
          <w:sz w:val="16"/>
          <w:szCs w:val="16"/>
          <w:lang w:val="en-US" w:eastAsia="es-CL"/>
        </w:rPr>
        <w:t xml:space="preserve"> 4, p. 24. Protocol</w:t>
      </w:r>
      <w:r w:rsidR="00C74790" w:rsidRPr="00C9465D">
        <w:rPr>
          <w:rFonts w:ascii="Verdana" w:eastAsia="Verdana" w:hAnsi="Verdana"/>
          <w:color w:val="000000"/>
          <w:kern w:val="24"/>
          <w:sz w:val="16"/>
          <w:szCs w:val="16"/>
          <w:lang w:val="en-US" w:eastAsia="es-CL"/>
        </w:rPr>
        <w:t xml:space="preserve"> No. 15</w:t>
      </w:r>
      <w:r w:rsidRPr="00C9465D">
        <w:rPr>
          <w:rFonts w:ascii="Verdana" w:eastAsia="Verdana" w:hAnsi="Verdana"/>
          <w:color w:val="000000"/>
          <w:kern w:val="24"/>
          <w:sz w:val="16"/>
          <w:szCs w:val="16"/>
          <w:lang w:val="en-US" w:eastAsia="es-CL"/>
        </w:rPr>
        <w:t xml:space="preserve"> </w:t>
      </w:r>
      <w:r w:rsidR="00C74790" w:rsidRPr="00C9465D">
        <w:rPr>
          <w:rFonts w:ascii="Verdana" w:eastAsia="Verdana" w:hAnsi="Verdana"/>
          <w:color w:val="000000"/>
          <w:kern w:val="24"/>
          <w:sz w:val="16"/>
          <w:szCs w:val="16"/>
          <w:lang w:val="en-US" w:eastAsia="es-CL"/>
        </w:rPr>
        <w:t xml:space="preserve">amending the [European] Convention for the Protection of Human Rights and Fundamental Freedoms, Art. 1: </w:t>
      </w:r>
      <w:r w:rsidRPr="00C9465D">
        <w:rPr>
          <w:rFonts w:ascii="Verdana" w:eastAsia="Verdana" w:hAnsi="Verdana"/>
          <w:color w:val="000000"/>
          <w:kern w:val="24"/>
          <w:sz w:val="16"/>
          <w:szCs w:val="16"/>
          <w:lang w:val="en-US" w:eastAsia="es-CL"/>
        </w:rPr>
        <w:t>“</w:t>
      </w:r>
      <w:r w:rsidR="00FB4DD9" w:rsidRPr="00C9465D">
        <w:rPr>
          <w:rFonts w:ascii="Verdana" w:hAnsi="Verdana"/>
          <w:sz w:val="16"/>
          <w:szCs w:val="16"/>
          <w:lang w:val="en-US"/>
        </w:rPr>
        <w:t xml:space="preserve">At the end of the preamble to the Convention, a new recital shall be added, which shall read as follows: </w:t>
      </w:r>
    </w:p>
    <w:p w14:paraId="5F237E16" w14:textId="3424AB33" w:rsidR="000A7745" w:rsidRPr="00C9465D" w:rsidRDefault="00FB4DD9" w:rsidP="00FB4DD9">
      <w:pPr>
        <w:pStyle w:val="NormalWeb"/>
        <w:spacing w:after="120" w:line="240" w:lineRule="auto"/>
        <w:ind w:left="360" w:right="48"/>
        <w:jc w:val="both"/>
        <w:rPr>
          <w:rFonts w:ascii="Verdana" w:eastAsia="Verdana" w:hAnsi="Verdana"/>
          <w:color w:val="000000"/>
          <w:kern w:val="24"/>
          <w:sz w:val="16"/>
          <w:szCs w:val="16"/>
          <w:lang w:val="en-US" w:eastAsia="es-CL"/>
        </w:rPr>
      </w:pPr>
      <w:r w:rsidRPr="00C9465D">
        <w:rPr>
          <w:rFonts w:ascii="Verdana" w:hAnsi="Verdana"/>
          <w:sz w:val="16"/>
          <w:szCs w:val="16"/>
          <w:lang w:val="en-US"/>
        </w:rPr>
        <w:t>“Affirming that the High Contracting Parties, in accordance with the principle of subsidiarity, have the primary responsibility to secure the rights and freedoms defined in this Convention and the Protocols thereto, and that in doing so they enjoy a margin of appreciation, subject to the supervisory jurisdiction of the European Court of Human Rights established by this Convention.”</w:t>
      </w:r>
    </w:p>
  </w:footnote>
  <w:footnote w:id="394">
    <w:p w14:paraId="6FA9000F" w14:textId="6A567913" w:rsidR="000A7745" w:rsidRPr="00C9465D" w:rsidRDefault="000A7745" w:rsidP="00FB4DD9">
      <w:pPr>
        <w:pStyle w:val="NormalWeb"/>
        <w:spacing w:after="120" w:line="240" w:lineRule="auto"/>
        <w:ind w:right="44"/>
        <w:jc w:val="both"/>
        <w:rPr>
          <w:rFonts w:ascii="Verdana" w:hAnsi="Verdana"/>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Art. 2</w:t>
      </w:r>
      <w:r w:rsidR="00193CBB" w:rsidRPr="00C9465D">
        <w:rPr>
          <w:rFonts w:ascii="Verdana" w:hAnsi="Verdana"/>
          <w:sz w:val="16"/>
          <w:szCs w:val="16"/>
          <w:lang w:val="en-US"/>
        </w:rPr>
        <w:t xml:space="preserve"> of the </w:t>
      </w:r>
      <w:r w:rsidR="00FB4DD9" w:rsidRPr="00C9465D">
        <w:rPr>
          <w:rFonts w:ascii="Verdana" w:hAnsi="Verdana"/>
          <w:sz w:val="16"/>
          <w:szCs w:val="16"/>
          <w:lang w:val="en-US"/>
        </w:rPr>
        <w:t xml:space="preserve">Vienna </w:t>
      </w:r>
      <w:r w:rsidR="00193CBB" w:rsidRPr="00C9465D">
        <w:rPr>
          <w:rFonts w:ascii="Verdana" w:hAnsi="Verdana"/>
          <w:sz w:val="16"/>
          <w:szCs w:val="16"/>
          <w:lang w:val="en-US"/>
        </w:rPr>
        <w:t>Convention</w:t>
      </w:r>
      <w:r w:rsidRPr="00C9465D">
        <w:rPr>
          <w:rFonts w:ascii="Verdana" w:hAnsi="Verdana"/>
          <w:sz w:val="16"/>
          <w:szCs w:val="16"/>
          <w:lang w:val="en-US"/>
        </w:rPr>
        <w:t>: “</w:t>
      </w:r>
      <w:r w:rsidR="00FB4DD9" w:rsidRPr="00C9465D">
        <w:rPr>
          <w:rFonts w:ascii="Verdana" w:hAnsi="Verdana"/>
          <w:sz w:val="16"/>
          <w:szCs w:val="16"/>
          <w:lang w:val="en-US"/>
        </w:rPr>
        <w:t>Use of terms</w:t>
      </w:r>
      <w:r w:rsidRPr="00C9465D">
        <w:rPr>
          <w:rFonts w:ascii="Verdana" w:hAnsi="Verdana"/>
          <w:sz w:val="16"/>
          <w:szCs w:val="16"/>
          <w:lang w:val="en-US"/>
        </w:rPr>
        <w:t xml:space="preserve">. 1. </w:t>
      </w:r>
      <w:r w:rsidR="00FB4DD9" w:rsidRPr="00C9465D">
        <w:rPr>
          <w:rFonts w:ascii="Verdana" w:hAnsi="Verdana"/>
          <w:sz w:val="16"/>
          <w:szCs w:val="16"/>
          <w:lang w:val="en-US"/>
        </w:rPr>
        <w:t>For the purposes of the present Convention: (a) “treaty” means an international agreement concluded between States in written form and governed by international law, whether embodied in a single instrument or in two or more related instruments and whatever its particular designation.”</w:t>
      </w:r>
    </w:p>
  </w:footnote>
  <w:footnote w:id="395">
    <w:p w14:paraId="41743922" w14:textId="7AF3C240" w:rsidR="000A7745" w:rsidRPr="00C9465D" w:rsidRDefault="000A7745" w:rsidP="00BD26CF">
      <w:pPr>
        <w:autoSpaceDE w:val="0"/>
        <w:autoSpaceDN w:val="0"/>
        <w:adjustRightInd w:val="0"/>
        <w:spacing w:after="120" w:line="240" w:lineRule="auto"/>
        <w:ind w:right="48"/>
        <w:jc w:val="both"/>
        <w:rPr>
          <w:rFonts w:ascii="Verdana" w:hAnsi="Verdana"/>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005E2E1C" w:rsidRPr="00C9465D">
        <w:rPr>
          <w:rFonts w:ascii="Verdana" w:hAnsi="Verdana"/>
          <w:sz w:val="16"/>
          <w:szCs w:val="16"/>
          <w:lang w:val="en-US"/>
        </w:rPr>
        <w:t>“</w:t>
      </w:r>
      <w:r w:rsidR="00FB4DD9" w:rsidRPr="00C9465D">
        <w:rPr>
          <w:rFonts w:ascii="Verdana" w:hAnsi="Verdana"/>
          <w:sz w:val="16"/>
          <w:szCs w:val="16"/>
          <w:lang w:val="en-US"/>
        </w:rPr>
        <w:t>General rule of interpretation. 1.</w:t>
      </w:r>
      <w:r w:rsidRPr="00C9465D">
        <w:rPr>
          <w:rFonts w:ascii="Verdana" w:hAnsi="Verdana"/>
          <w:sz w:val="16"/>
          <w:szCs w:val="16"/>
          <w:lang w:val="en-US"/>
        </w:rPr>
        <w:t xml:space="preserve"> </w:t>
      </w:r>
      <w:r w:rsidR="00FB4DD9" w:rsidRPr="00C9465D">
        <w:rPr>
          <w:rFonts w:ascii="Verdana" w:hAnsi="Verdana" w:cs="Times New Roman"/>
          <w:sz w:val="16"/>
          <w:szCs w:val="16"/>
          <w:lang w:val="en-US"/>
        </w:rPr>
        <w:t>A treaty shall be interpreted in good faith in accordance with the ordinary meaning to be given to the terms of the treaty in their context and in the light of its object and purpose.</w:t>
      </w:r>
    </w:p>
    <w:p w14:paraId="3AC4E954" w14:textId="0F3B23FD" w:rsidR="00FB4DD9" w:rsidRPr="00C9465D" w:rsidRDefault="00FB4DD9" w:rsidP="00FB4DD9">
      <w:pPr>
        <w:pStyle w:val="NormalWeb"/>
        <w:spacing w:after="60" w:line="240" w:lineRule="auto"/>
        <w:jc w:val="both"/>
        <w:rPr>
          <w:rFonts w:ascii="Verdana" w:hAnsi="Verdana"/>
          <w:sz w:val="16"/>
          <w:szCs w:val="16"/>
          <w:lang w:val="en-US"/>
        </w:rPr>
      </w:pPr>
      <w:r w:rsidRPr="00C9465D">
        <w:rPr>
          <w:rFonts w:ascii="Verdana" w:hAnsi="Verdana"/>
          <w:sz w:val="16"/>
          <w:szCs w:val="16"/>
          <w:lang w:val="en-US"/>
        </w:rPr>
        <w:t>2. The context for the purpose of the interpretation of a treaty shall comprise, in addition to the text, including its preamble and annexes: (a) any agreement relating to the treaty which was made between all the parties in connection with the conclusion of the treaty; (b) any instrument which was made by one or more parties in connection with the conclusion of the treaty and accepted by the other parties as an instrument related to the treaty.</w:t>
      </w:r>
    </w:p>
    <w:p w14:paraId="2E3409C1" w14:textId="4822C55E" w:rsidR="00FB4DD9" w:rsidRPr="00C9465D" w:rsidRDefault="00FB4DD9" w:rsidP="00FB4DD9">
      <w:pPr>
        <w:pStyle w:val="NormalWeb"/>
        <w:spacing w:after="60" w:line="240" w:lineRule="auto"/>
        <w:jc w:val="both"/>
        <w:rPr>
          <w:rFonts w:ascii="Verdana" w:hAnsi="Verdana"/>
          <w:sz w:val="16"/>
          <w:szCs w:val="16"/>
          <w:lang w:val="en-US"/>
        </w:rPr>
      </w:pPr>
      <w:r w:rsidRPr="00C9465D">
        <w:rPr>
          <w:rFonts w:ascii="Verdana" w:hAnsi="Verdana"/>
          <w:sz w:val="16"/>
          <w:szCs w:val="16"/>
          <w:lang w:val="en-US"/>
        </w:rPr>
        <w:t>3. There shall be taken into account, together with the context: (a) any subsequent agreement between the parties regarding the interpretation of the treaty or the application of its provisions; (b) any subsequent practice in the application of the treaty which establishes the agreement of the parties regarding its interpretation; (c) any relevant rules of international law applicable in the relations between the parties.</w:t>
      </w:r>
    </w:p>
    <w:p w14:paraId="1D66EDCF" w14:textId="3987390B" w:rsidR="00FB4DD9" w:rsidRPr="00C9465D" w:rsidRDefault="00FB4DD9" w:rsidP="00FB4DD9">
      <w:pPr>
        <w:pStyle w:val="NormalWeb"/>
        <w:spacing w:after="120" w:line="240" w:lineRule="auto"/>
        <w:jc w:val="both"/>
        <w:rPr>
          <w:rFonts w:ascii="Verdana" w:hAnsi="Verdana"/>
          <w:sz w:val="16"/>
          <w:szCs w:val="16"/>
          <w:lang w:val="en-US"/>
        </w:rPr>
      </w:pPr>
      <w:r w:rsidRPr="00C9465D">
        <w:rPr>
          <w:rFonts w:ascii="Verdana" w:hAnsi="Verdana"/>
          <w:sz w:val="16"/>
          <w:szCs w:val="16"/>
          <w:lang w:val="en-US"/>
        </w:rPr>
        <w:t>4. A special meaning shall be given to a term if it is established that the parties so intended.</w:t>
      </w:r>
      <w:r w:rsidR="005E2E1C" w:rsidRPr="00C9465D">
        <w:rPr>
          <w:rFonts w:ascii="Verdana" w:hAnsi="Verdana"/>
          <w:sz w:val="16"/>
          <w:szCs w:val="16"/>
          <w:lang w:val="en-US"/>
        </w:rPr>
        <w:t>”</w:t>
      </w:r>
    </w:p>
    <w:p w14:paraId="6771ABCC" w14:textId="747019D7" w:rsidR="000A7745" w:rsidRPr="00C9465D" w:rsidRDefault="000A7745" w:rsidP="005E2E1C">
      <w:pPr>
        <w:pStyle w:val="NormalWeb"/>
        <w:spacing w:after="120" w:line="240" w:lineRule="auto"/>
        <w:jc w:val="both"/>
        <w:rPr>
          <w:rFonts w:ascii="Verdana" w:hAnsi="Verdana"/>
          <w:sz w:val="16"/>
          <w:szCs w:val="16"/>
          <w:lang w:val="en-US"/>
        </w:rPr>
      </w:pPr>
      <w:r w:rsidRPr="00C9465D">
        <w:rPr>
          <w:rFonts w:ascii="Verdana" w:hAnsi="Verdana"/>
          <w:sz w:val="16"/>
          <w:szCs w:val="16"/>
          <w:lang w:val="en-US"/>
        </w:rPr>
        <w:t xml:space="preserve">32. </w:t>
      </w:r>
      <w:r w:rsidR="00FB4DD9" w:rsidRPr="00C9465D">
        <w:rPr>
          <w:rFonts w:ascii="Verdana" w:hAnsi="Verdana"/>
          <w:sz w:val="16"/>
          <w:szCs w:val="16"/>
          <w:lang w:val="en-US"/>
        </w:rPr>
        <w:t>Supplementary means of interpretation. Recourse may be had to supplementary means of interpretation, including the preparatory work of the treaty and the circumstances of its conclusion, in order to confirm the meaning resulting from the application of article 31, or to determine the meaning when the interpretation according to article 31: (a) leaves the meaning ambiguous or obscure; or (b) leads to a result which is manifestly absurd or unreasonable.</w:t>
      </w:r>
      <w:r w:rsidR="005E2E1C" w:rsidRPr="00C9465D">
        <w:rPr>
          <w:rFonts w:ascii="Verdana" w:hAnsi="Verdana"/>
          <w:sz w:val="16"/>
          <w:szCs w:val="16"/>
          <w:lang w:val="en-US"/>
        </w:rPr>
        <w:t>”</w:t>
      </w:r>
    </w:p>
  </w:footnote>
  <w:footnote w:id="396">
    <w:p w14:paraId="0ED898E3" w14:textId="4E0D09EF" w:rsidR="000A7745" w:rsidRPr="00C9465D" w:rsidRDefault="000A7745" w:rsidP="005E2E1C">
      <w:pPr>
        <w:pStyle w:val="NormalWeb"/>
        <w:spacing w:after="120"/>
        <w:rPr>
          <w:rFonts w:ascii="Verdana" w:hAnsi="Verdana"/>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005E2E1C" w:rsidRPr="00C9465D">
        <w:rPr>
          <w:rFonts w:ascii="Verdana" w:hAnsi="Verdana"/>
          <w:sz w:val="16"/>
          <w:szCs w:val="16"/>
          <w:lang w:val="en-US"/>
        </w:rPr>
        <w:t>“Every treaty in force is binding upon the parties to it and must be performed by them in good faith.”</w:t>
      </w:r>
    </w:p>
  </w:footnote>
  <w:footnote w:id="397">
    <w:p w14:paraId="266E05E5" w14:textId="47A808EF" w:rsidR="000A7745" w:rsidRPr="00C9465D" w:rsidRDefault="000A7745" w:rsidP="00BD26CF">
      <w:pPr>
        <w:spacing w:after="120" w:line="240" w:lineRule="auto"/>
        <w:ind w:right="48"/>
        <w:jc w:val="both"/>
        <w:rPr>
          <w:rFonts w:ascii="Verdana" w:hAnsi="Verdana"/>
          <w:i/>
          <w:iCs/>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Art. 2: </w:t>
      </w:r>
      <w:r w:rsidR="005E2E1C" w:rsidRPr="00C9465D">
        <w:rPr>
          <w:rFonts w:ascii="Verdana" w:hAnsi="Verdana"/>
          <w:sz w:val="16"/>
          <w:szCs w:val="16"/>
          <w:lang w:val="en-US"/>
        </w:rPr>
        <w:t xml:space="preserve">“Domestic Legal Effects. </w:t>
      </w:r>
      <w:r w:rsidR="005E2E1C" w:rsidRPr="00C9465D">
        <w:rPr>
          <w:rFonts w:ascii="Verdana" w:hAnsi="Verdana"/>
          <w:spacing w:val="-3"/>
          <w:sz w:val="16"/>
          <w:szCs w:val="16"/>
          <w:lang w:val="en-US"/>
        </w:rPr>
        <w:t>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p>
  </w:footnote>
  <w:footnote w:id="398">
    <w:p w14:paraId="65E4FC54" w14:textId="10705ACF"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4</w:t>
      </w:r>
      <w:r w:rsidR="005E2E1C" w:rsidRPr="00C9465D">
        <w:rPr>
          <w:sz w:val="16"/>
          <w:szCs w:val="16"/>
          <w:lang w:val="en-US"/>
        </w:rPr>
        <w:t>:</w:t>
      </w:r>
      <w:r w:rsidRPr="00C9465D">
        <w:rPr>
          <w:sz w:val="16"/>
          <w:szCs w:val="16"/>
          <w:lang w:val="en-US"/>
        </w:rPr>
        <w:t xml:space="preserve"> </w:t>
      </w:r>
      <w:r w:rsidR="005E2E1C" w:rsidRPr="00C9465D">
        <w:rPr>
          <w:sz w:val="16"/>
          <w:szCs w:val="16"/>
          <w:lang w:val="en-US"/>
        </w:rPr>
        <w:t>“</w:t>
      </w:r>
      <w:r w:rsidR="005E2E1C" w:rsidRPr="00C9465D">
        <w:rPr>
          <w:spacing w:val="-3"/>
          <w:sz w:val="16"/>
          <w:szCs w:val="16"/>
          <w:lang w:val="en-US"/>
        </w:rPr>
        <w:t>Reiterating that, in accordance with the Universal Declaration of Human Rights, the ideal of free men enjoying freedom from fear and want can be achieved only if conditions are created whereby everyone may enjoy his economic, social, and cultural rights, as well as his civil and political rights.”</w:t>
      </w:r>
    </w:p>
  </w:footnote>
  <w:footnote w:id="399">
    <w:p w14:paraId="4FC1FEB8" w14:textId="518E25FD" w:rsidR="000A7745" w:rsidRPr="00C9465D" w:rsidRDefault="000A7745" w:rsidP="00BD26CF">
      <w:pPr>
        <w:pStyle w:val="FootnoteText"/>
        <w:spacing w:after="120"/>
        <w:ind w:right="48"/>
        <w:rPr>
          <w:i/>
          <w:iCs/>
          <w:sz w:val="16"/>
          <w:szCs w:val="16"/>
          <w:lang w:val="en-US"/>
        </w:rPr>
      </w:pPr>
      <w:r w:rsidRPr="00C9465D">
        <w:rPr>
          <w:rStyle w:val="FootnoteReference"/>
          <w:sz w:val="16"/>
          <w:szCs w:val="16"/>
          <w:lang w:val="en-US"/>
        </w:rPr>
        <w:footnoteRef/>
      </w:r>
      <w:r w:rsidRPr="00C9465D">
        <w:rPr>
          <w:sz w:val="16"/>
          <w:szCs w:val="16"/>
          <w:lang w:val="en-US"/>
        </w:rPr>
        <w:t xml:space="preserve"> </w:t>
      </w:r>
      <w:r w:rsidR="005E2E1C" w:rsidRPr="00C9465D">
        <w:rPr>
          <w:sz w:val="16"/>
          <w:szCs w:val="16"/>
          <w:lang w:val="en-US"/>
        </w:rPr>
        <w:t>Para. 5</w:t>
      </w:r>
      <w:r w:rsidRPr="00C9465D">
        <w:rPr>
          <w:sz w:val="16"/>
          <w:szCs w:val="16"/>
          <w:lang w:val="en-US"/>
        </w:rPr>
        <w:t xml:space="preserve">: </w:t>
      </w:r>
      <w:r w:rsidR="005E2E1C" w:rsidRPr="00C9465D">
        <w:rPr>
          <w:sz w:val="16"/>
          <w:szCs w:val="16"/>
          <w:lang w:val="en-US"/>
        </w:rPr>
        <w:t>“</w:t>
      </w:r>
      <w:r w:rsidRPr="00C9465D">
        <w:rPr>
          <w:sz w:val="16"/>
          <w:szCs w:val="16"/>
          <w:lang w:val="en-US"/>
        </w:rPr>
        <w:t>…</w:t>
      </w:r>
      <w:r w:rsidR="005E2E1C" w:rsidRPr="00C9465D">
        <w:rPr>
          <w:sz w:val="16"/>
          <w:szCs w:val="16"/>
          <w:lang w:val="en-US"/>
        </w:rPr>
        <w:t xml:space="preserve"> t</w:t>
      </w:r>
      <w:r w:rsidR="005E2E1C" w:rsidRPr="00C9465D">
        <w:rPr>
          <w:spacing w:val="-3"/>
          <w:sz w:val="16"/>
          <w:szCs w:val="16"/>
          <w:lang w:val="en-US"/>
        </w:rPr>
        <w:t>he Third Special Inter</w:t>
      </w:r>
      <w:r w:rsidR="005E2E1C" w:rsidRPr="00C9465D">
        <w:rPr>
          <w:spacing w:val="-3"/>
          <w:sz w:val="16"/>
          <w:szCs w:val="16"/>
          <w:lang w:val="en-US"/>
        </w:rPr>
        <w:noBreakHyphen/>
        <w:t>American Conference (Buenos Aires, 1967) approved the incorporation into the Charter of the Organization itself of broader standards with respect to economic, social, and educational rights and resolved that an inter</w:t>
      </w:r>
      <w:r w:rsidR="005E2E1C" w:rsidRPr="00C9465D">
        <w:rPr>
          <w:spacing w:val="-3"/>
          <w:sz w:val="16"/>
          <w:szCs w:val="16"/>
          <w:lang w:val="en-US"/>
        </w:rPr>
        <w:noBreakHyphen/>
        <w:t>American convention on human rights should determine the structure, competence, and procedure of the organs responsible for these matters.”</w:t>
      </w:r>
    </w:p>
  </w:footnote>
  <w:footnote w:id="400">
    <w:p w14:paraId="6055A891" w14:textId="24B9066B" w:rsidR="000A7745" w:rsidRPr="00C9465D" w:rsidRDefault="000A7745" w:rsidP="00BD26CF">
      <w:pPr>
        <w:spacing w:after="120" w:line="240" w:lineRule="auto"/>
        <w:ind w:right="48"/>
        <w:jc w:val="both"/>
        <w:rPr>
          <w:rFonts w:ascii="Verdana" w:hAnsi="Verdana"/>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005E2E1C" w:rsidRPr="00C9465D">
        <w:rPr>
          <w:rFonts w:ascii="Verdana" w:hAnsi="Verdana"/>
          <w:sz w:val="16"/>
          <w:szCs w:val="16"/>
          <w:lang w:val="en-US"/>
        </w:rPr>
        <w:t>Chapter</w:t>
      </w:r>
      <w:r w:rsidRPr="00C9465D">
        <w:rPr>
          <w:rFonts w:ascii="Verdana" w:hAnsi="Verdana"/>
          <w:sz w:val="16"/>
          <w:szCs w:val="16"/>
          <w:lang w:val="en-US"/>
        </w:rPr>
        <w:t xml:space="preserve"> IV </w:t>
      </w:r>
      <w:r w:rsidR="005E2E1C" w:rsidRPr="00C9465D">
        <w:rPr>
          <w:rFonts w:ascii="Verdana" w:hAnsi="Verdana"/>
          <w:sz w:val="16"/>
          <w:szCs w:val="16"/>
          <w:lang w:val="en-US"/>
        </w:rPr>
        <w:t xml:space="preserve">of Part </w:t>
      </w:r>
      <w:r w:rsidRPr="00C9465D">
        <w:rPr>
          <w:rFonts w:ascii="Verdana" w:hAnsi="Verdana"/>
          <w:sz w:val="16"/>
          <w:szCs w:val="16"/>
          <w:lang w:val="en-US"/>
        </w:rPr>
        <w:t xml:space="preserve">I </w:t>
      </w:r>
      <w:r w:rsidR="005E2E1C" w:rsidRPr="00C9465D">
        <w:rPr>
          <w:rFonts w:ascii="Verdana" w:hAnsi="Verdana"/>
          <w:sz w:val="16"/>
          <w:szCs w:val="16"/>
          <w:lang w:val="en-US"/>
        </w:rPr>
        <w:t>is entitled</w:t>
      </w:r>
      <w:r w:rsidRPr="00C9465D">
        <w:rPr>
          <w:rFonts w:ascii="Verdana" w:hAnsi="Verdana"/>
          <w:sz w:val="16"/>
          <w:szCs w:val="16"/>
          <w:lang w:val="en-US"/>
        </w:rPr>
        <w:t xml:space="preserve"> “</w:t>
      </w:r>
      <w:r w:rsidR="005E2E1C" w:rsidRPr="00C9465D">
        <w:rPr>
          <w:rFonts w:ascii="Verdana" w:hAnsi="Verdana"/>
          <w:sz w:val="16"/>
          <w:szCs w:val="16"/>
          <w:lang w:val="en-US"/>
        </w:rPr>
        <w:t>Suspension of Guarantees, Interpretation and Application</w:t>
      </w:r>
      <w:r w:rsidRPr="00C9465D">
        <w:rPr>
          <w:rFonts w:ascii="Verdana" w:hAnsi="Verdana"/>
          <w:sz w:val="16"/>
          <w:szCs w:val="16"/>
          <w:lang w:val="en-US"/>
        </w:rPr>
        <w:t>”</w:t>
      </w:r>
      <w:r w:rsidR="00193CBB" w:rsidRPr="00C9465D">
        <w:rPr>
          <w:rFonts w:ascii="Verdana" w:hAnsi="Verdana"/>
          <w:sz w:val="16"/>
          <w:szCs w:val="16"/>
          <w:lang w:val="en-US"/>
        </w:rPr>
        <w:t xml:space="preserve"> and </w:t>
      </w:r>
      <w:r w:rsidR="005E2E1C" w:rsidRPr="00C9465D">
        <w:rPr>
          <w:rFonts w:ascii="Verdana" w:hAnsi="Verdana"/>
          <w:sz w:val="16"/>
          <w:szCs w:val="16"/>
          <w:lang w:val="en-US"/>
        </w:rPr>
        <w:t>Chapter</w:t>
      </w:r>
      <w:r w:rsidRPr="00C9465D">
        <w:rPr>
          <w:rFonts w:ascii="Verdana" w:hAnsi="Verdana"/>
          <w:sz w:val="16"/>
          <w:szCs w:val="16"/>
          <w:lang w:val="en-US"/>
        </w:rPr>
        <w:t xml:space="preserve"> V </w:t>
      </w:r>
      <w:r w:rsidR="005E2E1C" w:rsidRPr="00C9465D">
        <w:rPr>
          <w:rFonts w:ascii="Verdana" w:hAnsi="Verdana"/>
          <w:sz w:val="16"/>
          <w:szCs w:val="16"/>
          <w:lang w:val="en-US"/>
        </w:rPr>
        <w:t>of Part I  “Personal Responsibilities.”</w:t>
      </w:r>
    </w:p>
  </w:footnote>
  <w:footnote w:id="401">
    <w:p w14:paraId="5D74182B" w14:textId="77777777" w:rsidR="00306D86" w:rsidRPr="00C9465D" w:rsidRDefault="00306D86" w:rsidP="00306D86">
      <w:pPr>
        <w:pStyle w:val="FootnoteText"/>
        <w:spacing w:after="120"/>
        <w:ind w:right="48"/>
        <w:rPr>
          <w:sz w:val="16"/>
          <w:szCs w:val="16"/>
        </w:rPr>
      </w:pPr>
      <w:r w:rsidRPr="00C9465D">
        <w:rPr>
          <w:rStyle w:val="FootnoteReference"/>
          <w:sz w:val="16"/>
          <w:szCs w:val="16"/>
          <w:lang w:val="en-US"/>
        </w:rPr>
        <w:footnoteRef/>
      </w:r>
      <w:r w:rsidRPr="00C9465D">
        <w:rPr>
          <w:sz w:val="16"/>
          <w:szCs w:val="16"/>
        </w:rPr>
        <w:t xml:space="preserve"> “</w:t>
      </w:r>
      <w:r w:rsidRPr="00C9465D">
        <w:rPr>
          <w:i/>
          <w:sz w:val="16"/>
          <w:szCs w:val="16"/>
        </w:rPr>
        <w:t>Derivar: Dicho de una cosa: Traer su origen de otra.”</w:t>
      </w:r>
      <w:r w:rsidRPr="00C9465D">
        <w:rPr>
          <w:sz w:val="16"/>
          <w:szCs w:val="16"/>
        </w:rPr>
        <w:t xml:space="preserve"> Diccionario de la Lengua Española, Real Academia Española, 2018.</w:t>
      </w:r>
    </w:p>
  </w:footnote>
  <w:footnote w:id="402">
    <w:p w14:paraId="57BE05C1" w14:textId="592DF563" w:rsidR="000A7745" w:rsidRPr="00C9465D" w:rsidRDefault="000A7745" w:rsidP="00BD26CF">
      <w:pPr>
        <w:pStyle w:val="FootnoteText"/>
        <w:spacing w:after="120"/>
        <w:ind w:right="48"/>
        <w:rPr>
          <w:sz w:val="16"/>
          <w:szCs w:val="16"/>
        </w:rPr>
      </w:pPr>
      <w:r w:rsidRPr="00C9465D">
        <w:rPr>
          <w:rStyle w:val="FootnoteReference"/>
          <w:sz w:val="16"/>
          <w:szCs w:val="16"/>
          <w:lang w:val="en-US"/>
        </w:rPr>
        <w:footnoteRef/>
      </w:r>
      <w:r w:rsidRPr="00C9465D">
        <w:rPr>
          <w:sz w:val="16"/>
          <w:szCs w:val="16"/>
        </w:rPr>
        <w:t xml:space="preserve"> “</w:t>
      </w:r>
      <w:r w:rsidRPr="00C9465D">
        <w:rPr>
          <w:i/>
          <w:sz w:val="16"/>
          <w:szCs w:val="16"/>
        </w:rPr>
        <w:t>Inferir: Deducir</w:t>
      </w:r>
      <w:r w:rsidRPr="00C9465D">
        <w:rPr>
          <w:rFonts w:eastAsia="Arial Unicode MS" w:cs="Arial Unicode MS"/>
          <w:i/>
          <w:spacing w:val="4"/>
          <w:sz w:val="16"/>
          <w:szCs w:val="16"/>
          <w:shd w:val="clear" w:color="auto" w:fill="FFFFFF"/>
        </w:rPr>
        <w:t xml:space="preserve"> </w:t>
      </w:r>
      <w:r w:rsidRPr="00C9465D">
        <w:rPr>
          <w:i/>
          <w:sz w:val="16"/>
          <w:szCs w:val="16"/>
        </w:rPr>
        <w:t>algo</w:t>
      </w:r>
      <w:r w:rsidRPr="00C9465D">
        <w:rPr>
          <w:rFonts w:eastAsia="Arial Unicode MS" w:cs="Arial Unicode MS"/>
          <w:i/>
          <w:spacing w:val="4"/>
          <w:sz w:val="16"/>
          <w:szCs w:val="16"/>
          <w:shd w:val="clear" w:color="auto" w:fill="FFFFFF"/>
        </w:rPr>
        <w:t xml:space="preserve"> </w:t>
      </w:r>
      <w:r w:rsidRPr="00C9465D">
        <w:rPr>
          <w:i/>
          <w:sz w:val="16"/>
          <w:szCs w:val="16"/>
        </w:rPr>
        <w:t>o</w:t>
      </w:r>
      <w:r w:rsidRPr="00C9465D">
        <w:rPr>
          <w:rFonts w:eastAsia="Arial Unicode MS" w:cs="Arial Unicode MS"/>
          <w:i/>
          <w:spacing w:val="4"/>
          <w:sz w:val="16"/>
          <w:szCs w:val="16"/>
          <w:shd w:val="clear" w:color="auto" w:fill="FFFFFF"/>
        </w:rPr>
        <w:t xml:space="preserve"> </w:t>
      </w:r>
      <w:r w:rsidRPr="00C9465D">
        <w:rPr>
          <w:i/>
          <w:sz w:val="16"/>
          <w:szCs w:val="16"/>
        </w:rPr>
        <w:t>sacarlo</w:t>
      </w:r>
      <w:r w:rsidRPr="00C9465D">
        <w:rPr>
          <w:rFonts w:eastAsia="Arial Unicode MS" w:cs="Arial Unicode MS"/>
          <w:i/>
          <w:spacing w:val="4"/>
          <w:sz w:val="16"/>
          <w:szCs w:val="16"/>
          <w:shd w:val="clear" w:color="auto" w:fill="FFFFFF"/>
        </w:rPr>
        <w:t xml:space="preserve"> </w:t>
      </w:r>
      <w:r w:rsidRPr="00C9465D">
        <w:rPr>
          <w:i/>
          <w:sz w:val="16"/>
          <w:szCs w:val="16"/>
        </w:rPr>
        <w:t>como</w:t>
      </w:r>
      <w:r w:rsidRPr="00C9465D">
        <w:rPr>
          <w:rFonts w:eastAsia="Arial Unicode MS" w:cs="Arial Unicode MS"/>
          <w:i/>
          <w:spacing w:val="4"/>
          <w:sz w:val="16"/>
          <w:szCs w:val="16"/>
          <w:shd w:val="clear" w:color="auto" w:fill="FFFFFF"/>
        </w:rPr>
        <w:t xml:space="preserve"> </w:t>
      </w:r>
      <w:r w:rsidRPr="00C9465D">
        <w:rPr>
          <w:i/>
          <w:sz w:val="16"/>
          <w:szCs w:val="16"/>
        </w:rPr>
        <w:t>conclusión</w:t>
      </w:r>
      <w:r w:rsidRPr="00C9465D">
        <w:rPr>
          <w:rFonts w:eastAsia="Arial Unicode MS" w:cs="Arial Unicode MS"/>
          <w:i/>
          <w:spacing w:val="4"/>
          <w:sz w:val="16"/>
          <w:szCs w:val="16"/>
          <w:shd w:val="clear" w:color="auto" w:fill="FFFFFF"/>
        </w:rPr>
        <w:t xml:space="preserve"> </w:t>
      </w:r>
      <w:r w:rsidRPr="00C9465D">
        <w:rPr>
          <w:i/>
          <w:sz w:val="16"/>
          <w:szCs w:val="16"/>
        </w:rPr>
        <w:t>de</w:t>
      </w:r>
      <w:r w:rsidRPr="00C9465D">
        <w:rPr>
          <w:rFonts w:eastAsia="Arial Unicode MS" w:cs="Arial Unicode MS"/>
          <w:i/>
          <w:spacing w:val="4"/>
          <w:sz w:val="16"/>
          <w:szCs w:val="16"/>
          <w:shd w:val="clear" w:color="auto" w:fill="FFFFFF"/>
        </w:rPr>
        <w:t xml:space="preserve"> </w:t>
      </w:r>
      <w:r w:rsidRPr="00C9465D">
        <w:rPr>
          <w:i/>
          <w:sz w:val="16"/>
          <w:szCs w:val="16"/>
        </w:rPr>
        <w:t>otra</w:t>
      </w:r>
      <w:r w:rsidRPr="00C9465D">
        <w:rPr>
          <w:rFonts w:eastAsia="Arial Unicode MS" w:cs="Arial Unicode MS"/>
          <w:i/>
          <w:spacing w:val="4"/>
          <w:sz w:val="16"/>
          <w:szCs w:val="16"/>
          <w:shd w:val="clear" w:color="auto" w:fill="FFFFFF"/>
        </w:rPr>
        <w:t xml:space="preserve"> </w:t>
      </w:r>
      <w:r w:rsidRPr="00C9465D">
        <w:rPr>
          <w:i/>
          <w:sz w:val="16"/>
          <w:szCs w:val="16"/>
        </w:rPr>
        <w:t>cosa</w:t>
      </w:r>
      <w:r w:rsidR="005E2E1C" w:rsidRPr="00C9465D">
        <w:rPr>
          <w:i/>
          <w:sz w:val="16"/>
          <w:szCs w:val="16"/>
        </w:rPr>
        <w:t>,</w:t>
      </w:r>
      <w:r w:rsidRPr="00C9465D">
        <w:rPr>
          <w:sz w:val="16"/>
          <w:szCs w:val="16"/>
        </w:rPr>
        <w:t xml:space="preserve">” </w:t>
      </w:r>
      <w:proofErr w:type="spellStart"/>
      <w:r w:rsidR="005E2E1C" w:rsidRPr="00C9465D">
        <w:rPr>
          <w:i/>
          <w:sz w:val="16"/>
          <w:szCs w:val="16"/>
        </w:rPr>
        <w:t>i</w:t>
      </w:r>
      <w:r w:rsidRPr="00C9465D">
        <w:rPr>
          <w:i/>
          <w:sz w:val="16"/>
          <w:szCs w:val="16"/>
        </w:rPr>
        <w:t>dem</w:t>
      </w:r>
      <w:proofErr w:type="spellEnd"/>
      <w:r w:rsidRPr="00C9465D">
        <w:rPr>
          <w:sz w:val="16"/>
          <w:szCs w:val="16"/>
        </w:rPr>
        <w:t>.</w:t>
      </w:r>
    </w:p>
  </w:footnote>
  <w:footnote w:id="403">
    <w:p w14:paraId="1659567D" w14:textId="532BC269"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00D8466F" w:rsidRPr="00C9465D">
        <w:rPr>
          <w:sz w:val="16"/>
          <w:szCs w:val="16"/>
          <w:lang w:val="en-US"/>
        </w:rPr>
        <w:t>Para.</w:t>
      </w:r>
      <w:r w:rsidR="005E2E1C" w:rsidRPr="00C9465D">
        <w:rPr>
          <w:sz w:val="16"/>
          <w:szCs w:val="16"/>
          <w:lang w:val="en-US"/>
        </w:rPr>
        <w:t xml:space="preserve"> </w:t>
      </w:r>
      <w:r w:rsidRPr="00C9465D">
        <w:rPr>
          <w:sz w:val="16"/>
          <w:szCs w:val="16"/>
          <w:lang w:val="en-US"/>
        </w:rPr>
        <w:t xml:space="preserve">97 </w:t>
      </w:r>
      <w:r w:rsidR="008F17CD" w:rsidRPr="00C9465D">
        <w:rPr>
          <w:sz w:val="16"/>
          <w:szCs w:val="16"/>
          <w:lang w:val="en-US"/>
        </w:rPr>
        <w:t>of the judgment</w:t>
      </w:r>
      <w:r w:rsidRPr="00C9465D">
        <w:rPr>
          <w:sz w:val="16"/>
          <w:szCs w:val="16"/>
          <w:lang w:val="en-US"/>
        </w:rPr>
        <w:t>.</w:t>
      </w:r>
    </w:p>
  </w:footnote>
  <w:footnote w:id="404">
    <w:p w14:paraId="20384987" w14:textId="2BCC181E" w:rsidR="009E222C" w:rsidRPr="00C9465D" w:rsidRDefault="000A7745" w:rsidP="009E222C">
      <w:pPr>
        <w:tabs>
          <w:tab w:val="left" w:pos="142"/>
        </w:tabs>
        <w:spacing w:after="120" w:line="240" w:lineRule="auto"/>
        <w:ind w:right="48"/>
        <w:jc w:val="both"/>
        <w:rPr>
          <w:rFonts w:ascii="Verdana" w:hAnsi="Verdana"/>
          <w:spacing w:val="-3"/>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eastAsia="Batang" w:hAnsi="Verdana"/>
          <w:sz w:val="16"/>
          <w:szCs w:val="16"/>
          <w:lang w:val="en-US"/>
        </w:rPr>
        <w:t>Art.</w:t>
      </w:r>
      <w:r w:rsidR="009E222C" w:rsidRPr="00C9465D">
        <w:rPr>
          <w:rFonts w:ascii="Verdana" w:eastAsia="Batang" w:hAnsi="Verdana"/>
          <w:sz w:val="16"/>
          <w:szCs w:val="16"/>
          <w:lang w:val="en-US"/>
        </w:rPr>
        <w:t xml:space="preserve"> </w:t>
      </w:r>
      <w:r w:rsidRPr="00C9465D">
        <w:rPr>
          <w:rFonts w:ascii="Verdana" w:eastAsia="Batang" w:hAnsi="Verdana"/>
          <w:sz w:val="16"/>
          <w:szCs w:val="16"/>
          <w:lang w:val="en-US"/>
        </w:rPr>
        <w:t>1</w:t>
      </w:r>
      <w:r w:rsidR="009E222C" w:rsidRPr="00C9465D">
        <w:rPr>
          <w:rFonts w:ascii="Verdana" w:eastAsia="Batang" w:hAnsi="Verdana"/>
          <w:sz w:val="16"/>
          <w:szCs w:val="16"/>
          <w:lang w:val="en-US"/>
        </w:rPr>
        <w:t>(</w:t>
      </w:r>
      <w:r w:rsidRPr="00C9465D">
        <w:rPr>
          <w:rFonts w:ascii="Verdana" w:eastAsia="Batang" w:hAnsi="Verdana"/>
          <w:sz w:val="16"/>
          <w:szCs w:val="16"/>
          <w:lang w:val="en-US"/>
        </w:rPr>
        <w:t>1</w:t>
      </w:r>
      <w:r w:rsidR="009E222C" w:rsidRPr="00C9465D">
        <w:rPr>
          <w:rFonts w:ascii="Verdana" w:eastAsia="Batang" w:hAnsi="Verdana"/>
          <w:sz w:val="16"/>
          <w:szCs w:val="16"/>
          <w:lang w:val="en-US"/>
        </w:rPr>
        <w:t>)</w:t>
      </w:r>
      <w:r w:rsidRPr="00C9465D">
        <w:rPr>
          <w:rFonts w:ascii="Verdana" w:eastAsia="Batang" w:hAnsi="Verdana"/>
          <w:sz w:val="16"/>
          <w:szCs w:val="16"/>
          <w:lang w:val="en-US"/>
        </w:rPr>
        <w:t xml:space="preserve">: </w:t>
      </w:r>
      <w:r w:rsidR="009E222C" w:rsidRPr="00C9465D">
        <w:rPr>
          <w:rFonts w:ascii="Verdana" w:eastAsia="Batang" w:hAnsi="Verdana"/>
          <w:sz w:val="16"/>
          <w:szCs w:val="16"/>
          <w:lang w:val="en-US"/>
        </w:rPr>
        <w:t xml:space="preserve">“Obligation to Respect Rights. 1. </w:t>
      </w:r>
      <w:r w:rsidR="009E222C" w:rsidRPr="00C9465D">
        <w:rPr>
          <w:rFonts w:ascii="Verdana" w:hAnsi="Verdana"/>
          <w:spacing w:val="-3"/>
          <w:sz w:val="16"/>
          <w:szCs w:val="16"/>
          <w:lang w:val="en-US"/>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p w14:paraId="079EA7FA" w14:textId="0A793893" w:rsidR="009E222C" w:rsidRPr="00C9465D" w:rsidRDefault="000A7745" w:rsidP="009E222C">
      <w:pPr>
        <w:tabs>
          <w:tab w:val="left" w:pos="480"/>
          <w:tab w:val="left" w:pos="1080"/>
          <w:tab w:val="left" w:pos="1680"/>
          <w:tab w:val="left" w:pos="5400"/>
        </w:tabs>
        <w:suppressAutoHyphens/>
        <w:jc w:val="both"/>
        <w:rPr>
          <w:rFonts w:ascii="Verdana" w:hAnsi="Verdana"/>
          <w:spacing w:val="-3"/>
          <w:sz w:val="16"/>
          <w:szCs w:val="16"/>
          <w:lang w:val="en-US"/>
        </w:rPr>
      </w:pPr>
      <w:r w:rsidRPr="00C9465D">
        <w:rPr>
          <w:rFonts w:ascii="Verdana" w:hAnsi="Verdana"/>
          <w:sz w:val="16"/>
          <w:szCs w:val="16"/>
          <w:lang w:val="en-US"/>
        </w:rPr>
        <w:t>Art.</w:t>
      </w:r>
      <w:r w:rsidR="009E222C" w:rsidRPr="00C9465D">
        <w:rPr>
          <w:rFonts w:ascii="Verdana" w:hAnsi="Verdana"/>
          <w:sz w:val="16"/>
          <w:szCs w:val="16"/>
          <w:lang w:val="en-US"/>
        </w:rPr>
        <w:t xml:space="preserve"> </w:t>
      </w:r>
      <w:r w:rsidRPr="00C9465D">
        <w:rPr>
          <w:rFonts w:ascii="Verdana" w:hAnsi="Verdana"/>
          <w:sz w:val="16"/>
          <w:szCs w:val="16"/>
          <w:lang w:val="en-US"/>
        </w:rPr>
        <w:t>22</w:t>
      </w:r>
      <w:r w:rsidR="009E222C" w:rsidRPr="00C9465D">
        <w:rPr>
          <w:rFonts w:ascii="Verdana" w:hAnsi="Verdana"/>
          <w:sz w:val="16"/>
          <w:szCs w:val="16"/>
          <w:lang w:val="en-US"/>
        </w:rPr>
        <w:t>(</w:t>
      </w:r>
      <w:r w:rsidRPr="00C9465D">
        <w:rPr>
          <w:rFonts w:ascii="Verdana" w:hAnsi="Verdana"/>
          <w:sz w:val="16"/>
          <w:szCs w:val="16"/>
          <w:lang w:val="en-US"/>
        </w:rPr>
        <w:t>4</w:t>
      </w:r>
      <w:r w:rsidR="009E222C" w:rsidRPr="00C9465D">
        <w:rPr>
          <w:rFonts w:ascii="Verdana" w:hAnsi="Verdana"/>
          <w:sz w:val="16"/>
          <w:szCs w:val="16"/>
          <w:lang w:val="en-US"/>
        </w:rPr>
        <w:t>)</w:t>
      </w:r>
      <w:r w:rsidRPr="00C9465D">
        <w:rPr>
          <w:rFonts w:ascii="Verdana" w:hAnsi="Verdana"/>
          <w:sz w:val="16"/>
          <w:szCs w:val="16"/>
          <w:lang w:val="en-US"/>
        </w:rPr>
        <w:t xml:space="preserve">: </w:t>
      </w:r>
      <w:r w:rsidRPr="00C9465D">
        <w:rPr>
          <w:rFonts w:ascii="Verdana" w:hAnsi="Verdana"/>
          <w:i/>
          <w:iCs/>
          <w:sz w:val="16"/>
          <w:szCs w:val="16"/>
          <w:lang w:val="en-US"/>
        </w:rPr>
        <w:t>“</w:t>
      </w:r>
      <w:r w:rsidR="009E222C" w:rsidRPr="00C9465D">
        <w:rPr>
          <w:rFonts w:ascii="Verdana" w:hAnsi="Verdana"/>
          <w:sz w:val="16"/>
          <w:szCs w:val="16"/>
          <w:lang w:val="en-US"/>
        </w:rPr>
        <w:t xml:space="preserve">Freedom of Movement and Residence. </w:t>
      </w:r>
      <w:r w:rsidR="009E222C" w:rsidRPr="00C9465D">
        <w:rPr>
          <w:rFonts w:ascii="Verdana" w:hAnsi="Verdana"/>
          <w:spacing w:val="-3"/>
          <w:sz w:val="16"/>
          <w:szCs w:val="16"/>
          <w:lang w:val="en-US"/>
        </w:rPr>
        <w:t>The exercise of the rights recognized in paragraph 1 may also be restricted by law in designated zones for reasons of public interest.”</w:t>
      </w:r>
    </w:p>
    <w:p w14:paraId="58EAA7F2" w14:textId="3D5881B9" w:rsidR="000A7745" w:rsidRPr="00C9465D" w:rsidRDefault="000A7745" w:rsidP="00BD26CF">
      <w:pPr>
        <w:spacing w:after="120" w:line="240" w:lineRule="auto"/>
        <w:ind w:right="48"/>
        <w:jc w:val="both"/>
        <w:rPr>
          <w:rFonts w:ascii="Verdana" w:hAnsi="Verdana"/>
          <w:i/>
          <w:iCs/>
          <w:sz w:val="16"/>
          <w:szCs w:val="16"/>
          <w:lang w:val="en-US"/>
        </w:rPr>
      </w:pPr>
      <w:r w:rsidRPr="00C9465D">
        <w:rPr>
          <w:rFonts w:ascii="Verdana" w:hAnsi="Verdana"/>
          <w:sz w:val="16"/>
          <w:szCs w:val="16"/>
          <w:lang w:val="en-US"/>
        </w:rPr>
        <w:t>Art.</w:t>
      </w:r>
      <w:r w:rsidR="009E222C" w:rsidRPr="00C9465D">
        <w:rPr>
          <w:rFonts w:ascii="Verdana" w:hAnsi="Verdana"/>
          <w:sz w:val="16"/>
          <w:szCs w:val="16"/>
          <w:lang w:val="en-US"/>
        </w:rPr>
        <w:t xml:space="preserve"> </w:t>
      </w:r>
      <w:r w:rsidRPr="00C9465D">
        <w:rPr>
          <w:rFonts w:ascii="Verdana" w:hAnsi="Verdana"/>
          <w:sz w:val="16"/>
          <w:szCs w:val="16"/>
          <w:lang w:val="en-US"/>
        </w:rPr>
        <w:t>2</w:t>
      </w:r>
      <w:r w:rsidR="00577DE0" w:rsidRPr="00C9465D">
        <w:rPr>
          <w:rFonts w:ascii="Verdana" w:hAnsi="Verdana"/>
          <w:sz w:val="16"/>
          <w:szCs w:val="16"/>
          <w:lang w:val="en-US"/>
        </w:rPr>
        <w:t>5(1)</w:t>
      </w:r>
      <w:r w:rsidRPr="00C9465D">
        <w:rPr>
          <w:rFonts w:ascii="Verdana" w:hAnsi="Verdana"/>
          <w:i/>
          <w:iCs/>
          <w:sz w:val="16"/>
          <w:szCs w:val="16"/>
          <w:lang w:val="en-US"/>
        </w:rPr>
        <w:t xml:space="preserve">: </w:t>
      </w:r>
      <w:r w:rsidR="009E222C" w:rsidRPr="00C9465D">
        <w:rPr>
          <w:rFonts w:ascii="Verdana" w:hAnsi="Verdana"/>
          <w:sz w:val="16"/>
          <w:szCs w:val="16"/>
          <w:lang w:val="en-US"/>
        </w:rPr>
        <w:t>“</w:t>
      </w:r>
      <w:r w:rsidR="00D12C0E" w:rsidRPr="00C9465D">
        <w:rPr>
          <w:rFonts w:ascii="Verdana" w:hAnsi="Verdana"/>
          <w:sz w:val="16"/>
          <w:szCs w:val="16"/>
          <w:lang w:val="en-US"/>
        </w:rPr>
        <w:t xml:space="preserve">Judicial </w:t>
      </w:r>
      <w:r w:rsidR="009E222C" w:rsidRPr="00C9465D">
        <w:rPr>
          <w:rFonts w:ascii="Verdana" w:hAnsi="Verdana"/>
          <w:sz w:val="16"/>
          <w:szCs w:val="16"/>
          <w:lang w:val="en-US"/>
        </w:rPr>
        <w:t>P</w:t>
      </w:r>
      <w:r w:rsidR="00D12C0E" w:rsidRPr="00C9465D">
        <w:rPr>
          <w:rFonts w:ascii="Verdana" w:hAnsi="Verdana"/>
          <w:sz w:val="16"/>
          <w:szCs w:val="16"/>
          <w:lang w:val="en-US"/>
        </w:rPr>
        <w:t>rotection</w:t>
      </w:r>
      <w:r w:rsidRPr="00C9465D">
        <w:rPr>
          <w:rFonts w:ascii="Verdana" w:hAnsi="Verdana"/>
          <w:sz w:val="16"/>
          <w:szCs w:val="16"/>
          <w:lang w:val="en-US"/>
        </w:rPr>
        <w:t xml:space="preserve">. </w:t>
      </w:r>
      <w:r w:rsidR="009E222C" w:rsidRPr="00C9465D">
        <w:rPr>
          <w:rFonts w:ascii="Verdana" w:hAnsi="Verdana"/>
          <w:spacing w:val="-3"/>
          <w:sz w:val="16"/>
          <w:szCs w:val="16"/>
          <w:lang w:val="en-US"/>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sidRPr="00C9465D">
        <w:rPr>
          <w:rFonts w:ascii="Verdana" w:hAnsi="Verdana"/>
          <w:i/>
          <w:iCs/>
          <w:sz w:val="16"/>
          <w:szCs w:val="16"/>
          <w:lang w:val="en-US"/>
        </w:rPr>
        <w:t>.</w:t>
      </w:r>
    </w:p>
    <w:p w14:paraId="2B2803BE" w14:textId="04277A08" w:rsidR="009E222C" w:rsidRPr="00C9465D" w:rsidRDefault="000A7745" w:rsidP="009E222C">
      <w:pPr>
        <w:tabs>
          <w:tab w:val="left" w:pos="480"/>
          <w:tab w:val="left" w:pos="1080"/>
          <w:tab w:val="left" w:pos="1680"/>
          <w:tab w:val="left" w:pos="5400"/>
        </w:tabs>
        <w:suppressAutoHyphens/>
        <w:spacing w:line="240" w:lineRule="auto"/>
        <w:jc w:val="both"/>
        <w:rPr>
          <w:rFonts w:ascii="Verdana" w:hAnsi="Verdana"/>
          <w:spacing w:val="-3"/>
          <w:sz w:val="16"/>
          <w:szCs w:val="16"/>
          <w:lang w:val="en-US"/>
        </w:rPr>
      </w:pPr>
      <w:r w:rsidRPr="00C9465D">
        <w:rPr>
          <w:rFonts w:ascii="Verdana" w:hAnsi="Verdana"/>
          <w:sz w:val="16"/>
          <w:szCs w:val="16"/>
          <w:lang w:val="en-US"/>
        </w:rPr>
        <w:t>Art.</w:t>
      </w:r>
      <w:r w:rsidR="009E222C" w:rsidRPr="00C9465D">
        <w:rPr>
          <w:rFonts w:ascii="Verdana" w:hAnsi="Verdana"/>
          <w:sz w:val="16"/>
          <w:szCs w:val="16"/>
          <w:lang w:val="en-US"/>
        </w:rPr>
        <w:t xml:space="preserve"> </w:t>
      </w:r>
      <w:r w:rsidRPr="00C9465D">
        <w:rPr>
          <w:rFonts w:ascii="Verdana" w:hAnsi="Verdana"/>
          <w:sz w:val="16"/>
          <w:szCs w:val="16"/>
          <w:lang w:val="en-US"/>
        </w:rPr>
        <w:t>29</w:t>
      </w:r>
      <w:r w:rsidR="009E222C" w:rsidRPr="00C9465D">
        <w:rPr>
          <w:rFonts w:ascii="Verdana" w:hAnsi="Verdana"/>
          <w:sz w:val="16"/>
          <w:szCs w:val="16"/>
          <w:lang w:val="en-US"/>
        </w:rPr>
        <w:t>(</w:t>
      </w:r>
      <w:r w:rsidRPr="00C9465D">
        <w:rPr>
          <w:rFonts w:ascii="Verdana" w:hAnsi="Verdana"/>
          <w:sz w:val="16"/>
          <w:szCs w:val="16"/>
          <w:lang w:val="en-US"/>
        </w:rPr>
        <w:t>a</w:t>
      </w:r>
      <w:r w:rsidRPr="00C9465D">
        <w:rPr>
          <w:rFonts w:ascii="Verdana" w:hAnsi="Verdana"/>
          <w:i/>
          <w:iCs/>
          <w:sz w:val="16"/>
          <w:szCs w:val="16"/>
          <w:lang w:val="en-US"/>
        </w:rPr>
        <w:t>):</w:t>
      </w:r>
      <w:r w:rsidR="009E222C" w:rsidRPr="00C9465D">
        <w:rPr>
          <w:rFonts w:ascii="Verdana" w:hAnsi="Verdana"/>
          <w:i/>
          <w:iCs/>
          <w:sz w:val="16"/>
          <w:szCs w:val="16"/>
          <w:lang w:val="en-US"/>
        </w:rPr>
        <w:t xml:space="preserve"> </w:t>
      </w:r>
      <w:r w:rsidR="009E222C" w:rsidRPr="00C9465D">
        <w:rPr>
          <w:rFonts w:ascii="Verdana" w:hAnsi="Verdana"/>
          <w:sz w:val="16"/>
          <w:szCs w:val="16"/>
          <w:lang w:val="en-US"/>
        </w:rPr>
        <w:t xml:space="preserve">“Restrictions regarding Interpretation. </w:t>
      </w:r>
      <w:r w:rsidR="009E222C" w:rsidRPr="00C9465D">
        <w:rPr>
          <w:rFonts w:ascii="Verdana" w:hAnsi="Verdana"/>
          <w:spacing w:val="-3"/>
          <w:sz w:val="16"/>
          <w:szCs w:val="16"/>
          <w:lang w:val="en-US"/>
        </w:rPr>
        <w:t>No provision of this Convention shall be interpreted as: (a) permitting any State Party, group, or person to suppress the enjoyment or exercise of the rights and freedoms recognized in this Convention or to restrict them to a greater extent than is provided for herein.”</w:t>
      </w:r>
    </w:p>
    <w:p w14:paraId="1AD5DBE1" w14:textId="7BB09734" w:rsidR="009E222C" w:rsidRPr="00C9465D" w:rsidRDefault="000A7745" w:rsidP="009E222C">
      <w:pPr>
        <w:tabs>
          <w:tab w:val="left" w:pos="480"/>
          <w:tab w:val="left" w:pos="1080"/>
          <w:tab w:val="left" w:pos="1680"/>
          <w:tab w:val="left" w:pos="5400"/>
        </w:tabs>
        <w:suppressAutoHyphens/>
        <w:spacing w:line="240" w:lineRule="auto"/>
        <w:jc w:val="both"/>
        <w:rPr>
          <w:rFonts w:ascii="Verdana" w:hAnsi="Verdana"/>
          <w:spacing w:val="-3"/>
          <w:sz w:val="16"/>
          <w:szCs w:val="16"/>
          <w:lang w:val="en-US"/>
        </w:rPr>
      </w:pPr>
      <w:r w:rsidRPr="00C9465D">
        <w:rPr>
          <w:rFonts w:ascii="Verdana" w:hAnsi="Verdana"/>
          <w:sz w:val="16"/>
          <w:szCs w:val="16"/>
          <w:lang w:val="en-US"/>
        </w:rPr>
        <w:t>Art.</w:t>
      </w:r>
      <w:r w:rsidR="009E222C" w:rsidRPr="00C9465D">
        <w:rPr>
          <w:rFonts w:ascii="Verdana" w:hAnsi="Verdana"/>
          <w:sz w:val="16"/>
          <w:szCs w:val="16"/>
          <w:lang w:val="en-US"/>
        </w:rPr>
        <w:t xml:space="preserve"> </w:t>
      </w:r>
      <w:r w:rsidRPr="00C9465D">
        <w:rPr>
          <w:rFonts w:ascii="Verdana" w:hAnsi="Verdana"/>
          <w:sz w:val="16"/>
          <w:szCs w:val="16"/>
          <w:lang w:val="en-US"/>
        </w:rPr>
        <w:t>30:</w:t>
      </w:r>
      <w:r w:rsidR="009E222C" w:rsidRPr="00C9465D">
        <w:rPr>
          <w:rFonts w:ascii="Verdana" w:hAnsi="Verdana"/>
          <w:sz w:val="16"/>
          <w:szCs w:val="16"/>
          <w:lang w:val="en-US"/>
        </w:rPr>
        <w:t xml:space="preserve"> “Scope of Restrictions. </w:t>
      </w:r>
      <w:r w:rsidR="009E222C" w:rsidRPr="00C9465D">
        <w:rPr>
          <w:rFonts w:ascii="Verdana" w:hAnsi="Verdana"/>
          <w:spacing w:val="-3"/>
          <w:sz w:val="16"/>
          <w:szCs w:val="16"/>
          <w:lang w:val="en-US"/>
        </w:rPr>
        <w:t>The restrictions that, pursuant to this Convention, may be placed on the enjoyment or exercise of the rights or freedoms recognized herein may not be applied except in accordance with laws enacted for reasons of general interest and in accordance with the purpose for which such restrictions have been established.”</w:t>
      </w:r>
    </w:p>
    <w:p w14:paraId="0ED43195" w14:textId="47D444FB" w:rsidR="000A7745" w:rsidRPr="00C9465D" w:rsidRDefault="000A7745" w:rsidP="00BD26CF">
      <w:pPr>
        <w:spacing w:after="120" w:line="240" w:lineRule="auto"/>
        <w:ind w:right="48"/>
        <w:jc w:val="both"/>
        <w:rPr>
          <w:rFonts w:ascii="Verdana" w:hAnsi="Verdana"/>
          <w:i/>
          <w:iCs/>
          <w:sz w:val="16"/>
          <w:szCs w:val="16"/>
          <w:lang w:val="en-US"/>
        </w:rPr>
      </w:pPr>
      <w:r w:rsidRPr="00C9465D">
        <w:rPr>
          <w:rFonts w:ascii="Verdana" w:hAnsi="Verdana"/>
          <w:sz w:val="16"/>
          <w:szCs w:val="16"/>
          <w:lang w:val="en-US"/>
        </w:rPr>
        <w:t>Art.31:</w:t>
      </w:r>
      <w:r w:rsidR="00A529A8" w:rsidRPr="00C9465D">
        <w:rPr>
          <w:rFonts w:ascii="Verdana" w:hAnsi="Verdana"/>
          <w:sz w:val="16"/>
          <w:szCs w:val="16"/>
          <w:lang w:val="en-US"/>
        </w:rPr>
        <w:t xml:space="preserve"> “Recognition of Other Rights. </w:t>
      </w:r>
      <w:r w:rsidR="00A529A8" w:rsidRPr="00C9465D">
        <w:rPr>
          <w:rFonts w:ascii="Verdana" w:hAnsi="Verdana"/>
          <w:spacing w:val="-3"/>
          <w:sz w:val="16"/>
          <w:szCs w:val="16"/>
          <w:lang w:val="en-US"/>
        </w:rPr>
        <w:t>Other rights and freedoms recognized in accordance with the procedures established in Articles 76 and 77 may be included in the system of protection of this Convention.”</w:t>
      </w:r>
    </w:p>
    <w:p w14:paraId="30D904F9" w14:textId="77777777" w:rsidR="00A529A8" w:rsidRPr="00C9465D" w:rsidRDefault="000A7745" w:rsidP="00A529A8">
      <w:pPr>
        <w:spacing w:after="0" w:line="240" w:lineRule="auto"/>
        <w:jc w:val="both"/>
        <w:rPr>
          <w:rFonts w:ascii="Verdana" w:hAnsi="Verdana"/>
          <w:i/>
          <w:sz w:val="16"/>
          <w:szCs w:val="16"/>
          <w:lang w:val="en-US"/>
        </w:rPr>
      </w:pPr>
      <w:r w:rsidRPr="00C9465D">
        <w:rPr>
          <w:rFonts w:ascii="Verdana" w:hAnsi="Verdana"/>
          <w:sz w:val="16"/>
          <w:szCs w:val="16"/>
          <w:lang w:val="en-US"/>
        </w:rPr>
        <w:t>Art.4</w:t>
      </w:r>
      <w:r w:rsidR="00577DE0" w:rsidRPr="00C9465D">
        <w:rPr>
          <w:rFonts w:ascii="Verdana" w:hAnsi="Verdana"/>
          <w:sz w:val="16"/>
          <w:szCs w:val="16"/>
          <w:lang w:val="en-US"/>
        </w:rPr>
        <w:t>8(1)</w:t>
      </w:r>
      <w:r w:rsidR="00A529A8" w:rsidRPr="00C9465D">
        <w:rPr>
          <w:rFonts w:ascii="Verdana" w:hAnsi="Verdana"/>
          <w:sz w:val="16"/>
          <w:szCs w:val="16"/>
          <w:lang w:val="en-US"/>
        </w:rPr>
        <w:t>(</w:t>
      </w:r>
      <w:r w:rsidRPr="00C9465D">
        <w:rPr>
          <w:rFonts w:ascii="Verdana" w:hAnsi="Verdana"/>
          <w:sz w:val="16"/>
          <w:szCs w:val="16"/>
          <w:lang w:val="en-US"/>
        </w:rPr>
        <w:t>f):</w:t>
      </w:r>
      <w:r w:rsidR="00A529A8" w:rsidRPr="00C9465D">
        <w:rPr>
          <w:rFonts w:ascii="Verdana" w:hAnsi="Verdana"/>
          <w:sz w:val="16"/>
          <w:szCs w:val="16"/>
          <w:lang w:val="en-US"/>
        </w:rPr>
        <w:t xml:space="preserve"> “1</w:t>
      </w:r>
      <w:r w:rsidR="00A529A8" w:rsidRPr="00C9465D">
        <w:rPr>
          <w:rFonts w:ascii="Verdana" w:hAnsi="Verdana"/>
          <w:i/>
          <w:sz w:val="16"/>
          <w:szCs w:val="16"/>
          <w:lang w:val="en-US"/>
        </w:rPr>
        <w:t>.</w:t>
      </w:r>
      <w:r w:rsidR="00A529A8" w:rsidRPr="00C9465D">
        <w:rPr>
          <w:rFonts w:ascii="Verdana" w:hAnsi="Verdana"/>
          <w:spacing w:val="-3"/>
          <w:sz w:val="16"/>
          <w:szCs w:val="16"/>
          <w:lang w:val="en-US"/>
        </w:rPr>
        <w:t xml:space="preserve"> When the Commission receives a petition or communication alleging violation of any of the rights protected by this Convention, it shall proceed as follows</w:t>
      </w:r>
      <w:r w:rsidR="00A529A8" w:rsidRPr="00C9465D">
        <w:rPr>
          <w:rFonts w:ascii="Verdana" w:hAnsi="Verdana"/>
          <w:i/>
          <w:sz w:val="16"/>
          <w:szCs w:val="16"/>
          <w:lang w:val="en-US"/>
        </w:rPr>
        <w:t>:…</w:t>
      </w:r>
    </w:p>
    <w:p w14:paraId="7D7ECC82" w14:textId="5424059A" w:rsidR="000A7745" w:rsidRPr="00C9465D" w:rsidRDefault="00A529A8" w:rsidP="00A529A8">
      <w:pPr>
        <w:pStyle w:val="FootnoteText"/>
        <w:spacing w:after="120"/>
        <w:rPr>
          <w:spacing w:val="-3"/>
          <w:sz w:val="16"/>
          <w:szCs w:val="16"/>
          <w:lang w:val="en-US"/>
        </w:rPr>
      </w:pPr>
      <w:r w:rsidRPr="00C9465D">
        <w:rPr>
          <w:spacing w:val="-3"/>
          <w:sz w:val="16"/>
          <w:szCs w:val="16"/>
          <w:lang w:val="en-US"/>
        </w:rPr>
        <w:t>The Commission shall place itself at the disposal of the parties concerned with a view to reaching a friendly settlement of the matter on the basis of respect for the human rights recognized in this Convention.”</w:t>
      </w:r>
    </w:p>
  </w:footnote>
  <w:footnote w:id="405">
    <w:p w14:paraId="04789DF4" w14:textId="654B9441"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4</w:t>
      </w:r>
      <w:r w:rsidR="00577DE0" w:rsidRPr="00C9465D">
        <w:rPr>
          <w:sz w:val="16"/>
          <w:szCs w:val="16"/>
          <w:lang w:val="en-US"/>
        </w:rPr>
        <w:t>5(1)</w:t>
      </w:r>
      <w:r w:rsidRPr="00C9465D">
        <w:rPr>
          <w:sz w:val="16"/>
          <w:szCs w:val="16"/>
          <w:lang w:val="en-US"/>
        </w:rPr>
        <w:t xml:space="preserve">: </w:t>
      </w:r>
      <w:r w:rsidR="00A529A8" w:rsidRPr="00C9465D">
        <w:rPr>
          <w:sz w:val="16"/>
          <w:szCs w:val="16"/>
          <w:lang w:val="en-US"/>
        </w:rPr>
        <w:t xml:space="preserve">“Any State Party may, when it deposits its instrument of ratification of or adherence to this Convention, or at any later time, declare that it recognizes the competence of the Commission to receive and examine communications in which a State Party alleges that another State Party has committed a violation of a human right set forth in this Convention.”  </w:t>
      </w:r>
    </w:p>
  </w:footnote>
  <w:footnote w:id="406">
    <w:p w14:paraId="22503D89" w14:textId="049C8E3C"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00A529A8" w:rsidRPr="00C9465D">
        <w:rPr>
          <w:sz w:val="16"/>
          <w:szCs w:val="16"/>
          <w:lang w:val="en-US"/>
        </w:rPr>
        <w:t xml:space="preserve">Art. 47(b): “The Commission shall consider inadmissible any petition or communication submitted under Articles 44 or 45 if:… the petition or communication does not state facts that tend to establish a violation of the rights guaranteed by this Convention.”  </w:t>
      </w:r>
    </w:p>
  </w:footnote>
  <w:footnote w:id="407">
    <w:p w14:paraId="7B556477" w14:textId="49993773" w:rsidR="000A7745" w:rsidRPr="00C9465D" w:rsidRDefault="000A7745" w:rsidP="00BD26CF">
      <w:pPr>
        <w:pStyle w:val="FootnoteText"/>
        <w:spacing w:after="120"/>
        <w:ind w:right="48"/>
        <w:rPr>
          <w:i/>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i/>
          <w:iCs/>
          <w:sz w:val="16"/>
          <w:szCs w:val="16"/>
          <w:lang w:val="en-US"/>
        </w:rPr>
        <w:t>Supra</w:t>
      </w:r>
      <w:r w:rsidRPr="00C9465D">
        <w:rPr>
          <w:sz w:val="16"/>
          <w:szCs w:val="16"/>
          <w:lang w:val="en-US"/>
        </w:rPr>
        <w:t>, art.4</w:t>
      </w:r>
      <w:r w:rsidR="00577DE0" w:rsidRPr="00C9465D">
        <w:rPr>
          <w:sz w:val="16"/>
          <w:szCs w:val="16"/>
          <w:lang w:val="en-US"/>
        </w:rPr>
        <w:t>8(1)</w:t>
      </w:r>
      <w:r w:rsidR="00A529A8" w:rsidRPr="00C9465D">
        <w:rPr>
          <w:sz w:val="16"/>
          <w:szCs w:val="16"/>
          <w:lang w:val="en-US"/>
        </w:rPr>
        <w:t>(</w:t>
      </w:r>
      <w:r w:rsidRPr="00C9465D">
        <w:rPr>
          <w:sz w:val="16"/>
          <w:szCs w:val="16"/>
          <w:lang w:val="en-US"/>
        </w:rPr>
        <w:t xml:space="preserve">f), </w:t>
      </w:r>
      <w:r w:rsidR="00A529A8" w:rsidRPr="00C9465D">
        <w:rPr>
          <w:sz w:val="16"/>
          <w:szCs w:val="16"/>
          <w:lang w:val="en-US"/>
        </w:rPr>
        <w:t>footnote</w:t>
      </w:r>
      <w:r w:rsidRPr="00C9465D">
        <w:rPr>
          <w:sz w:val="16"/>
          <w:szCs w:val="16"/>
          <w:lang w:val="en-US"/>
        </w:rPr>
        <w:t xml:space="preserve"> 19.</w:t>
      </w:r>
    </w:p>
  </w:footnote>
  <w:footnote w:id="408">
    <w:p w14:paraId="05605D3A" w14:textId="39A62F35" w:rsidR="00A529A8" w:rsidRPr="00C9465D" w:rsidRDefault="000A7745" w:rsidP="00A529A8">
      <w:pPr>
        <w:tabs>
          <w:tab w:val="left" w:pos="480"/>
          <w:tab w:val="left" w:pos="1080"/>
          <w:tab w:val="left" w:pos="1680"/>
          <w:tab w:val="left" w:pos="5400"/>
        </w:tabs>
        <w:suppressAutoHyphens/>
        <w:jc w:val="both"/>
        <w:rPr>
          <w:rFonts w:ascii="Verdana" w:hAnsi="Verdana"/>
          <w:spacing w:val="-3"/>
          <w:sz w:val="16"/>
          <w:szCs w:val="16"/>
          <w:lang w:val="en-US"/>
        </w:rPr>
      </w:pPr>
      <w:r w:rsidRPr="00C9465D">
        <w:rPr>
          <w:rStyle w:val="FootnoteReference"/>
          <w:rFonts w:ascii="Verdana" w:hAnsi="Verdana"/>
          <w:sz w:val="16"/>
          <w:szCs w:val="16"/>
          <w:lang w:val="en-US"/>
        </w:rPr>
        <w:footnoteRef/>
      </w:r>
      <w:r w:rsidRPr="00C9465D">
        <w:rPr>
          <w:rFonts w:ascii="Verdana" w:eastAsia="Batang" w:hAnsi="Verdana"/>
          <w:sz w:val="16"/>
          <w:szCs w:val="16"/>
          <w:lang w:val="en-US"/>
        </w:rPr>
        <w:t xml:space="preserve"> Art.</w:t>
      </w:r>
      <w:r w:rsidR="00577DE0" w:rsidRPr="00C9465D">
        <w:rPr>
          <w:rFonts w:ascii="Verdana" w:eastAsia="Batang" w:hAnsi="Verdana"/>
          <w:sz w:val="16"/>
          <w:szCs w:val="16"/>
          <w:lang w:val="en-US"/>
        </w:rPr>
        <w:t>4(1)</w:t>
      </w:r>
      <w:r w:rsidRPr="00C9465D">
        <w:rPr>
          <w:rFonts w:ascii="Verdana" w:eastAsia="Batang" w:hAnsi="Verdana"/>
          <w:sz w:val="16"/>
          <w:szCs w:val="16"/>
          <w:lang w:val="en-US"/>
        </w:rPr>
        <w:t>: “</w:t>
      </w:r>
      <w:r w:rsidR="00A529A8" w:rsidRPr="00C9465D">
        <w:rPr>
          <w:rFonts w:ascii="Verdana" w:hAnsi="Verdana"/>
          <w:sz w:val="16"/>
          <w:szCs w:val="16"/>
          <w:lang w:val="en-US"/>
        </w:rPr>
        <w:t>Right to Life</w:t>
      </w:r>
      <w:r w:rsidRPr="00C9465D">
        <w:rPr>
          <w:rFonts w:ascii="Verdana" w:hAnsi="Verdana"/>
          <w:sz w:val="16"/>
          <w:szCs w:val="16"/>
          <w:lang w:val="en-US"/>
        </w:rPr>
        <w:t xml:space="preserve">. </w:t>
      </w:r>
      <w:r w:rsidR="00A529A8" w:rsidRPr="00C9465D">
        <w:rPr>
          <w:rFonts w:ascii="Verdana" w:hAnsi="Verdana"/>
          <w:spacing w:val="-3"/>
          <w:sz w:val="16"/>
          <w:szCs w:val="16"/>
          <w:lang w:val="en-US"/>
        </w:rPr>
        <w:t>Every person has the right to have his life respected.  This right shall be protected by law and, in general, from the moment of conception.  No one shall be arbitrarily deprived of his life.”</w:t>
      </w:r>
    </w:p>
    <w:p w14:paraId="07B70317" w14:textId="695F50F5" w:rsidR="000A7745" w:rsidRPr="00C9465D" w:rsidRDefault="000A7745" w:rsidP="00BD26CF">
      <w:pPr>
        <w:spacing w:after="120" w:line="240" w:lineRule="auto"/>
        <w:ind w:right="48"/>
        <w:jc w:val="both"/>
        <w:rPr>
          <w:rFonts w:ascii="Verdana" w:hAnsi="Verdana"/>
          <w:i/>
          <w:iCs/>
          <w:sz w:val="16"/>
          <w:szCs w:val="16"/>
          <w:lang w:val="en-US"/>
        </w:rPr>
      </w:pPr>
      <w:r w:rsidRPr="00C9465D">
        <w:rPr>
          <w:rFonts w:ascii="Verdana" w:hAnsi="Verdana"/>
          <w:sz w:val="16"/>
          <w:szCs w:val="16"/>
          <w:lang w:val="en-US"/>
        </w:rPr>
        <w:t xml:space="preserve">Art. </w:t>
      </w:r>
      <w:r w:rsidR="00E16CC3" w:rsidRPr="00C9465D">
        <w:rPr>
          <w:rFonts w:ascii="Verdana" w:hAnsi="Verdana"/>
          <w:sz w:val="16"/>
          <w:szCs w:val="16"/>
          <w:lang w:val="en-US"/>
        </w:rPr>
        <w:t>63(1): “If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r w:rsidR="00E16CC3" w:rsidRPr="00C9465D">
        <w:rPr>
          <w:rFonts w:ascii="Verdana" w:hAnsi="Verdana"/>
          <w:i/>
          <w:sz w:val="16"/>
          <w:szCs w:val="16"/>
          <w:lang w:val="en-US"/>
        </w:rPr>
        <w:t>.”</w:t>
      </w:r>
    </w:p>
  </w:footnote>
  <w:footnote w:id="409">
    <w:p w14:paraId="12FE3950" w14:textId="7BF8537D"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97 </w:t>
      </w:r>
      <w:r w:rsidR="008F17CD" w:rsidRPr="00C9465D">
        <w:rPr>
          <w:sz w:val="16"/>
          <w:szCs w:val="16"/>
          <w:lang w:val="en-US"/>
        </w:rPr>
        <w:t>of the judgment</w:t>
      </w:r>
      <w:r w:rsidRPr="00C9465D">
        <w:rPr>
          <w:sz w:val="16"/>
          <w:szCs w:val="16"/>
          <w:lang w:val="en-US"/>
        </w:rPr>
        <w:t>.</w:t>
      </w:r>
    </w:p>
  </w:footnote>
  <w:footnote w:id="410">
    <w:p w14:paraId="3DE96F21" w14:textId="3C29EBAD"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iCs/>
          <w:sz w:val="16"/>
          <w:szCs w:val="16"/>
          <w:lang w:val="en-US"/>
        </w:rPr>
        <w:t>Part III, “</w:t>
      </w:r>
      <w:r w:rsidR="00E16CC3" w:rsidRPr="00C9465D">
        <w:rPr>
          <w:iCs/>
          <w:sz w:val="16"/>
          <w:szCs w:val="16"/>
          <w:lang w:val="en-US"/>
        </w:rPr>
        <w:t>General and Transitory Provisions.</w:t>
      </w:r>
      <w:r w:rsidRPr="00C9465D">
        <w:rPr>
          <w:iCs/>
          <w:sz w:val="16"/>
          <w:szCs w:val="16"/>
          <w:lang w:val="en-US"/>
        </w:rPr>
        <w:t>”</w:t>
      </w:r>
    </w:p>
  </w:footnote>
  <w:footnote w:id="411">
    <w:p w14:paraId="3F592040" w14:textId="3BFF0D64" w:rsidR="000A7745" w:rsidRPr="00C9465D" w:rsidRDefault="000A7745" w:rsidP="00BD26CF">
      <w:pPr>
        <w:spacing w:after="120" w:line="240" w:lineRule="auto"/>
        <w:ind w:right="48"/>
        <w:jc w:val="both"/>
        <w:rPr>
          <w:rFonts w:ascii="Verdana" w:hAnsi="Verdana"/>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i/>
          <w:sz w:val="16"/>
          <w:szCs w:val="16"/>
          <w:lang w:val="en-US"/>
        </w:rPr>
        <w:t>Supra</w:t>
      </w:r>
      <w:r w:rsidRPr="00C9465D">
        <w:rPr>
          <w:rFonts w:ascii="Verdana" w:hAnsi="Verdana"/>
          <w:sz w:val="16"/>
          <w:szCs w:val="16"/>
          <w:lang w:val="en-US"/>
        </w:rPr>
        <w:t xml:space="preserve">, </w:t>
      </w:r>
      <w:r w:rsidR="00E16CC3" w:rsidRPr="00C9465D">
        <w:rPr>
          <w:rFonts w:ascii="Verdana" w:hAnsi="Verdana"/>
          <w:sz w:val="16"/>
          <w:szCs w:val="16"/>
          <w:lang w:val="en-US"/>
        </w:rPr>
        <w:t>footnote</w:t>
      </w:r>
      <w:r w:rsidRPr="00C9465D">
        <w:rPr>
          <w:rFonts w:ascii="Verdana" w:hAnsi="Verdana"/>
          <w:sz w:val="16"/>
          <w:szCs w:val="16"/>
          <w:lang w:val="en-US"/>
        </w:rPr>
        <w:t xml:space="preserve"> 19, Art.</w:t>
      </w:r>
      <w:r w:rsidR="00E16CC3" w:rsidRPr="00C9465D">
        <w:rPr>
          <w:rFonts w:ascii="Verdana" w:hAnsi="Verdana"/>
          <w:sz w:val="16"/>
          <w:szCs w:val="16"/>
          <w:lang w:val="en-US"/>
        </w:rPr>
        <w:t xml:space="preserve"> </w:t>
      </w:r>
      <w:r w:rsidRPr="00C9465D">
        <w:rPr>
          <w:rFonts w:ascii="Verdana" w:hAnsi="Verdana"/>
          <w:sz w:val="16"/>
          <w:szCs w:val="16"/>
          <w:lang w:val="en-US"/>
        </w:rPr>
        <w:t>1</w:t>
      </w:r>
      <w:r w:rsidR="00E16CC3" w:rsidRPr="00C9465D">
        <w:rPr>
          <w:rFonts w:ascii="Verdana" w:hAnsi="Verdana"/>
          <w:sz w:val="16"/>
          <w:szCs w:val="16"/>
          <w:lang w:val="en-US"/>
        </w:rPr>
        <w:t>(</w:t>
      </w:r>
      <w:r w:rsidRPr="00C9465D">
        <w:rPr>
          <w:rFonts w:ascii="Verdana" w:hAnsi="Verdana"/>
          <w:sz w:val="16"/>
          <w:szCs w:val="16"/>
          <w:lang w:val="en-US"/>
        </w:rPr>
        <w:t>1</w:t>
      </w:r>
      <w:r w:rsidR="00E16CC3" w:rsidRPr="00C9465D">
        <w:rPr>
          <w:rFonts w:ascii="Verdana" w:hAnsi="Verdana"/>
          <w:sz w:val="16"/>
          <w:szCs w:val="16"/>
          <w:lang w:val="en-US"/>
        </w:rPr>
        <w:t>)</w:t>
      </w:r>
      <w:r w:rsidRPr="00C9465D">
        <w:rPr>
          <w:rFonts w:ascii="Verdana" w:hAnsi="Verdana"/>
          <w:sz w:val="16"/>
          <w:szCs w:val="16"/>
          <w:lang w:val="en-US"/>
        </w:rPr>
        <w:t xml:space="preserve">. </w:t>
      </w:r>
    </w:p>
  </w:footnote>
  <w:footnote w:id="412">
    <w:p w14:paraId="59371A3B" w14:textId="4B5C7708" w:rsidR="000A7745" w:rsidRPr="00C9465D" w:rsidRDefault="000A7745" w:rsidP="00BD26CF">
      <w:pPr>
        <w:spacing w:after="120" w:line="240" w:lineRule="auto"/>
        <w:ind w:right="48"/>
        <w:jc w:val="both"/>
        <w:rPr>
          <w:rFonts w:ascii="Verdana" w:hAnsi="Verdana"/>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i/>
          <w:iCs/>
          <w:sz w:val="16"/>
          <w:szCs w:val="16"/>
          <w:lang w:val="en-US"/>
        </w:rPr>
        <w:t>Supra,</w:t>
      </w:r>
      <w:r w:rsidRPr="00C9465D">
        <w:rPr>
          <w:rFonts w:ascii="Verdana" w:hAnsi="Verdana"/>
          <w:sz w:val="16"/>
          <w:szCs w:val="16"/>
          <w:lang w:val="en-US"/>
        </w:rPr>
        <w:t xml:space="preserve"> </w:t>
      </w:r>
      <w:r w:rsidR="00E16CC3" w:rsidRPr="00C9465D">
        <w:rPr>
          <w:rFonts w:ascii="Verdana" w:hAnsi="Verdana"/>
          <w:sz w:val="16"/>
          <w:szCs w:val="16"/>
          <w:lang w:val="en-US"/>
        </w:rPr>
        <w:t xml:space="preserve">footnote </w:t>
      </w:r>
      <w:r w:rsidRPr="00C9465D">
        <w:rPr>
          <w:rFonts w:ascii="Verdana" w:hAnsi="Verdana"/>
          <w:sz w:val="16"/>
          <w:szCs w:val="16"/>
          <w:lang w:val="en-US"/>
        </w:rPr>
        <w:t>12.</w:t>
      </w:r>
    </w:p>
  </w:footnote>
  <w:footnote w:id="413">
    <w:p w14:paraId="31F62140" w14:textId="6ED5BD3B" w:rsidR="000A7745" w:rsidRPr="00C9465D" w:rsidRDefault="000A7745" w:rsidP="00E16CC3">
      <w:pPr>
        <w:pStyle w:val="FootnoteText"/>
        <w:spacing w:after="120"/>
        <w:ind w:right="51"/>
        <w:rPr>
          <w:sz w:val="16"/>
          <w:szCs w:val="16"/>
          <w:lang w:val="en-US"/>
        </w:rPr>
      </w:pPr>
      <w:r w:rsidRPr="00C9465D">
        <w:rPr>
          <w:rStyle w:val="FootnoteReference"/>
          <w:sz w:val="16"/>
          <w:szCs w:val="16"/>
          <w:lang w:val="en-US"/>
        </w:rPr>
        <w:footnoteRef/>
      </w:r>
      <w:r w:rsidRPr="00C9465D">
        <w:rPr>
          <w:sz w:val="16"/>
          <w:szCs w:val="16"/>
          <w:lang w:val="en-US"/>
        </w:rPr>
        <w:t xml:space="preserve"> </w:t>
      </w:r>
      <w:r w:rsidR="00E16CC3" w:rsidRPr="00C9465D">
        <w:rPr>
          <w:rStyle w:val="FootnoteReference"/>
          <w:sz w:val="16"/>
          <w:szCs w:val="16"/>
          <w:lang w:val="en-US"/>
        </w:rPr>
        <w:footnoteRef/>
      </w:r>
      <w:r w:rsidR="00E16CC3" w:rsidRPr="00C9465D">
        <w:rPr>
          <w:sz w:val="16"/>
          <w:szCs w:val="16"/>
          <w:lang w:val="en-US"/>
        </w:rPr>
        <w:t xml:space="preserve"> Part I, Chapter II, Arts. 3 to 25. Right to recognition of juridical personality (Art. 3), Right to life, (Art. 4), Right to personal integrity (Art. 5), Freedom from slavery (Art. 6), Right to personal liberty (Art. 7), Right to a fair trial (Art. 8), Freedom from </w:t>
      </w:r>
      <w:r w:rsidR="00E16CC3" w:rsidRPr="00C9465D">
        <w:rPr>
          <w:i/>
          <w:iCs/>
          <w:sz w:val="16"/>
          <w:szCs w:val="16"/>
          <w:lang w:val="en-US"/>
        </w:rPr>
        <w:t xml:space="preserve">ex-post facto </w:t>
      </w:r>
      <w:r w:rsidR="00E16CC3" w:rsidRPr="00C9465D">
        <w:rPr>
          <w:sz w:val="16"/>
          <w:szCs w:val="16"/>
          <w:lang w:val="en-US"/>
        </w:rPr>
        <w:t>laws (Art. 9), Right to compensation (Art. 10), Right to privacy (Art. 11), Freedom of conscience and religion (Art. 12), Freedom of thought and expression (Art. 13), Right of reply (Art. 14), Right of assembly (Art. 15), Freedom of association (Art. 16), Rights of the family (Art. 17), Right to a name (Art. 18), Rights of the child (Art. 19), Right to nationality (Art. 20), Right to property (Art. 21), Freedom of movement and residence (Art. 22), Right to participate in government (Art. 23), Right to equal protection (Art. 24) and Right to judicial protection (Art. 25).</w:t>
      </w:r>
    </w:p>
  </w:footnote>
  <w:footnote w:id="414">
    <w:p w14:paraId="4A666998" w14:textId="3FC421D1"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i/>
          <w:iCs/>
          <w:sz w:val="16"/>
          <w:szCs w:val="16"/>
          <w:lang w:val="en-US"/>
        </w:rPr>
        <w:t>Supra,</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15, Art.</w:t>
      </w:r>
      <w:r w:rsidR="00E16CC3" w:rsidRPr="00C9465D">
        <w:rPr>
          <w:sz w:val="16"/>
          <w:szCs w:val="16"/>
          <w:lang w:val="en-US"/>
        </w:rPr>
        <w:t xml:space="preserve"> </w:t>
      </w:r>
      <w:r w:rsidRPr="00C9465D">
        <w:rPr>
          <w:sz w:val="16"/>
          <w:szCs w:val="16"/>
          <w:lang w:val="en-US"/>
        </w:rPr>
        <w:t>26</w:t>
      </w:r>
      <w:r w:rsidR="00E16CC3" w:rsidRPr="00C9465D">
        <w:rPr>
          <w:i/>
          <w:iCs/>
          <w:sz w:val="16"/>
          <w:szCs w:val="16"/>
          <w:lang w:val="en-US"/>
        </w:rPr>
        <w:t>.</w:t>
      </w:r>
    </w:p>
  </w:footnote>
  <w:footnote w:id="415">
    <w:p w14:paraId="7C438AF7" w14:textId="77777777" w:rsidR="00E16CC3" w:rsidRPr="00C9465D" w:rsidRDefault="000A7745" w:rsidP="00E16CC3">
      <w:pPr>
        <w:autoSpaceDE w:val="0"/>
        <w:autoSpaceDN w:val="0"/>
        <w:adjustRightInd w:val="0"/>
        <w:spacing w:after="0" w:line="240" w:lineRule="auto"/>
        <w:jc w:val="both"/>
        <w:rPr>
          <w:rFonts w:ascii="Verdana" w:hAnsi="Verdana" w:cs="Verdana"/>
          <w:color w:val="000000"/>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Pr="00C9465D">
        <w:rPr>
          <w:rFonts w:ascii="Verdana" w:hAnsi="Verdana"/>
          <w:iCs/>
          <w:sz w:val="16"/>
          <w:szCs w:val="16"/>
          <w:lang w:val="en-US"/>
        </w:rPr>
        <w:t>Art. 33:</w:t>
      </w:r>
      <w:r w:rsidRPr="00C9465D">
        <w:rPr>
          <w:rFonts w:ascii="Verdana" w:hAnsi="Verdana"/>
          <w:i/>
          <w:sz w:val="16"/>
          <w:szCs w:val="16"/>
          <w:lang w:val="en-US"/>
        </w:rPr>
        <w:t xml:space="preserve"> </w:t>
      </w:r>
      <w:r w:rsidR="00E16CC3" w:rsidRPr="00C9465D">
        <w:rPr>
          <w:rFonts w:ascii="Verdana" w:hAnsi="Verdana" w:cs="Verdana"/>
          <w:color w:val="000000"/>
          <w:sz w:val="16"/>
          <w:szCs w:val="16"/>
          <w:lang w:val="en-US"/>
        </w:rPr>
        <w:t xml:space="preserve">: “The following organs shall have competence with respect to matters relating to the fulfillment of the commitments made by the States Parties to this Convention: </w:t>
      </w:r>
    </w:p>
    <w:p w14:paraId="46372E1A" w14:textId="77777777" w:rsidR="00E16CC3" w:rsidRPr="00C9465D" w:rsidRDefault="00E16CC3" w:rsidP="00E16CC3">
      <w:pPr>
        <w:autoSpaceDE w:val="0"/>
        <w:autoSpaceDN w:val="0"/>
        <w:adjustRightInd w:val="0"/>
        <w:spacing w:after="0" w:line="240" w:lineRule="auto"/>
        <w:jc w:val="both"/>
        <w:rPr>
          <w:rFonts w:ascii="Verdana" w:hAnsi="Verdana" w:cs="Verdana"/>
          <w:color w:val="000000"/>
          <w:sz w:val="16"/>
          <w:szCs w:val="16"/>
          <w:lang w:val="en-US"/>
        </w:rPr>
      </w:pPr>
      <w:r w:rsidRPr="00C9465D">
        <w:rPr>
          <w:rFonts w:ascii="Verdana" w:hAnsi="Verdana" w:cs="Verdana"/>
          <w:color w:val="000000"/>
          <w:sz w:val="16"/>
          <w:szCs w:val="16"/>
          <w:lang w:val="en-US"/>
        </w:rPr>
        <w:t xml:space="preserve">a. the Inter-American Commission on Human Rights, referred to as “The Commission;” and </w:t>
      </w:r>
    </w:p>
    <w:p w14:paraId="55EDC1C9" w14:textId="29421412" w:rsidR="000A7745" w:rsidRPr="00C9465D" w:rsidRDefault="00E16CC3" w:rsidP="00E16CC3">
      <w:pPr>
        <w:tabs>
          <w:tab w:val="left" w:pos="142"/>
        </w:tabs>
        <w:spacing w:after="120" w:line="240" w:lineRule="auto"/>
        <w:ind w:right="51"/>
        <w:jc w:val="both"/>
        <w:rPr>
          <w:rFonts w:ascii="Verdana" w:hAnsi="Verdana"/>
          <w:i/>
          <w:sz w:val="16"/>
          <w:szCs w:val="16"/>
          <w:lang w:val="en-US"/>
        </w:rPr>
      </w:pPr>
      <w:r w:rsidRPr="00C9465D">
        <w:rPr>
          <w:rFonts w:ascii="Verdana" w:hAnsi="Verdana" w:cs="Verdana"/>
          <w:color w:val="000000"/>
          <w:sz w:val="16"/>
          <w:szCs w:val="16"/>
          <w:lang w:val="en-US"/>
        </w:rPr>
        <w:t>b. the Inter-American Court of Human Rights, referred to as “The Court.”</w:t>
      </w:r>
    </w:p>
  </w:footnote>
  <w:footnote w:id="416">
    <w:p w14:paraId="43218F6C" w14:textId="77777777" w:rsidR="00AD2AAC" w:rsidRPr="00C9465D" w:rsidRDefault="00AD2AAC" w:rsidP="00AD2AAC">
      <w:pPr>
        <w:pStyle w:val="Default"/>
        <w:spacing w:after="120"/>
        <w:jc w:val="both"/>
        <w:rPr>
          <w:rFonts w:eastAsiaTheme="minorHAnsi"/>
          <w:sz w:val="16"/>
          <w:szCs w:val="16"/>
          <w:lang w:val="en-US" w:eastAsia="en-US"/>
        </w:rPr>
      </w:pPr>
      <w:r w:rsidRPr="00C9465D">
        <w:rPr>
          <w:rStyle w:val="FootnoteReference"/>
          <w:sz w:val="16"/>
          <w:szCs w:val="16"/>
          <w:lang w:val="en-US"/>
        </w:rPr>
        <w:footnoteRef/>
      </w:r>
      <w:r w:rsidRPr="00C9465D">
        <w:rPr>
          <w:sz w:val="16"/>
          <w:szCs w:val="16"/>
          <w:lang w:val="en-US"/>
        </w:rPr>
        <w:t xml:space="preserve"> Art.41: “</w:t>
      </w:r>
      <w:r w:rsidRPr="00C9465D">
        <w:rPr>
          <w:rFonts w:eastAsiaTheme="minorHAnsi"/>
          <w:sz w:val="16"/>
          <w:szCs w:val="16"/>
          <w:lang w:val="en-US" w:eastAsia="en-US"/>
        </w:rPr>
        <w:t xml:space="preserve">“The main function of the Commission shall be to promote respect for and defense of human rights. In the exercise of its mandate, it shall have the following functions and powers: </w:t>
      </w:r>
      <w:r w:rsidRPr="00C9465D">
        <w:rPr>
          <w:sz w:val="16"/>
          <w:szCs w:val="16"/>
          <w:lang w:val="en-US"/>
        </w:rPr>
        <w:t>(</w:t>
      </w:r>
      <w:r w:rsidRPr="00C9465D">
        <w:rPr>
          <w:rFonts w:eastAsiaTheme="minorHAnsi"/>
          <w:sz w:val="16"/>
          <w:szCs w:val="16"/>
          <w:lang w:val="en-US"/>
        </w:rPr>
        <w:t>a) to develop an awareness of human rights among the peoples of America; (b) to make recommendations to the governments of the member states, when it considers such action advisable, for the adoption of progressive measures in favor of human rights within the framework of their domestic law and constitutional provisions as well as appropriate measures to further the observance of those rights; (c) to prepare such studies or reports as it considers advisable in the performance of its duties; (d) to request the governments of the member states to supply it with information on the measures adopted by them in matters of human rights; (e) to respond, through the General Secretariat of the Organization of American States, to inquiries made by the member states on matters related to human rights and, within the limits of its possibilities, to provide those states with the advisory services they request; (f) to take action on petitions and other communications pursuant to its authority under the provisions of Articles 44 through 51 of this Convention; and (</w:t>
      </w:r>
      <w:r w:rsidRPr="00C9465D">
        <w:rPr>
          <w:sz w:val="16"/>
          <w:szCs w:val="16"/>
          <w:lang w:val="en-US"/>
        </w:rPr>
        <w:t xml:space="preserve">g) to submit an annual report to the General Assembly of the Organization of American States.  </w:t>
      </w:r>
    </w:p>
  </w:footnote>
  <w:footnote w:id="417">
    <w:p w14:paraId="5B418DE2" w14:textId="609BCDBD" w:rsidR="000A7745" w:rsidRPr="00C9465D" w:rsidRDefault="000A7745" w:rsidP="00E16CC3">
      <w:pPr>
        <w:tabs>
          <w:tab w:val="left" w:pos="480"/>
          <w:tab w:val="left" w:pos="1080"/>
          <w:tab w:val="left" w:pos="1680"/>
          <w:tab w:val="left" w:pos="5400"/>
        </w:tabs>
        <w:suppressAutoHyphens/>
        <w:spacing w:after="120" w:line="240" w:lineRule="auto"/>
        <w:jc w:val="both"/>
        <w:rPr>
          <w:rFonts w:ascii="Verdana" w:hAnsi="Verdana"/>
          <w:spacing w:val="-3"/>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Art.</w:t>
      </w:r>
      <w:r w:rsidR="00E16CC3" w:rsidRPr="00C9465D">
        <w:rPr>
          <w:rFonts w:ascii="Verdana" w:hAnsi="Verdana"/>
          <w:sz w:val="16"/>
          <w:szCs w:val="16"/>
          <w:lang w:val="en-US"/>
        </w:rPr>
        <w:t xml:space="preserve"> </w:t>
      </w:r>
      <w:r w:rsidRPr="00C9465D">
        <w:rPr>
          <w:rFonts w:ascii="Verdana" w:hAnsi="Verdana"/>
          <w:sz w:val="16"/>
          <w:szCs w:val="16"/>
          <w:lang w:val="en-US"/>
        </w:rPr>
        <w:t>62</w:t>
      </w:r>
      <w:r w:rsidR="00E16CC3" w:rsidRPr="00C9465D">
        <w:rPr>
          <w:rFonts w:ascii="Verdana" w:hAnsi="Verdana"/>
          <w:sz w:val="16"/>
          <w:szCs w:val="16"/>
          <w:lang w:val="en-US"/>
        </w:rPr>
        <w:t>(</w:t>
      </w:r>
      <w:r w:rsidRPr="00C9465D">
        <w:rPr>
          <w:rFonts w:ascii="Verdana" w:hAnsi="Verdana"/>
          <w:sz w:val="16"/>
          <w:szCs w:val="16"/>
          <w:lang w:val="en-US"/>
        </w:rPr>
        <w:t>3</w:t>
      </w:r>
      <w:r w:rsidR="00E16CC3" w:rsidRPr="00C9465D">
        <w:rPr>
          <w:rFonts w:ascii="Verdana" w:hAnsi="Verdana"/>
          <w:sz w:val="16"/>
          <w:szCs w:val="16"/>
          <w:lang w:val="en-US"/>
        </w:rPr>
        <w:t>)</w:t>
      </w:r>
      <w:r w:rsidRPr="00C9465D">
        <w:rPr>
          <w:rFonts w:ascii="Verdana" w:hAnsi="Verdana"/>
          <w:i/>
          <w:iCs/>
          <w:sz w:val="16"/>
          <w:szCs w:val="16"/>
          <w:lang w:val="en-US"/>
        </w:rPr>
        <w:t>:</w:t>
      </w:r>
      <w:r w:rsidR="00E16CC3" w:rsidRPr="00C9465D">
        <w:rPr>
          <w:rFonts w:ascii="Verdana" w:hAnsi="Verdana"/>
          <w:i/>
          <w:iCs/>
          <w:sz w:val="16"/>
          <w:szCs w:val="16"/>
          <w:lang w:val="en-US"/>
        </w:rPr>
        <w:t xml:space="preserve"> </w:t>
      </w:r>
      <w:r w:rsidR="00E16CC3" w:rsidRPr="00C9465D">
        <w:rPr>
          <w:rFonts w:ascii="Verdana" w:hAnsi="Verdana"/>
          <w:sz w:val="16"/>
          <w:szCs w:val="16"/>
          <w:lang w:val="en-US"/>
        </w:rPr>
        <w:t>“</w:t>
      </w:r>
      <w:r w:rsidR="00E16CC3" w:rsidRPr="00C9465D">
        <w:rPr>
          <w:rFonts w:ascii="Verdana" w:hAnsi="Verdana"/>
          <w:spacing w:val="-3"/>
          <w:sz w:val="16"/>
          <w:szCs w:val="16"/>
          <w:lang w:val="en-US"/>
        </w:rPr>
        <w:t>The jurisdiction of the Court shall comprise all cases concerning the interpretation and application of the provisions of this Convention that are submitted to it, provided that the States Parties to the case recognize or have recognized such jurisdiction, whether by special declaration pursuant to the preceding paragraphs, or by a special agreement.”</w:t>
      </w:r>
    </w:p>
  </w:footnote>
  <w:footnote w:id="418">
    <w:p w14:paraId="29B315EA" w14:textId="3318A6D2" w:rsidR="000A7745" w:rsidRPr="00C9465D" w:rsidRDefault="000A7745" w:rsidP="00BD26CF">
      <w:pPr>
        <w:spacing w:after="120" w:line="240" w:lineRule="auto"/>
        <w:ind w:right="48"/>
        <w:jc w:val="both"/>
        <w:rPr>
          <w:rFonts w:ascii="Verdana" w:hAnsi="Verdana"/>
          <w:i/>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Art. 65: “</w:t>
      </w:r>
      <w:r w:rsidR="00E16CC3" w:rsidRPr="00C9465D">
        <w:rPr>
          <w:rFonts w:ascii="Verdana" w:hAnsi="Verdana"/>
          <w:spacing w:val="-3"/>
          <w:sz w:val="16"/>
          <w:szCs w:val="16"/>
          <w:lang w:val="en-US"/>
        </w:rPr>
        <w:t>To each regular session of the General Assembly of the Organization of American States the Court shall submit, for the Assembly's consideration, a report on its work during the previous year.  It shall specify, in particular, the cases in which a state has not complied with its judgments, making any pertinent recommendations.”</w:t>
      </w:r>
    </w:p>
  </w:footnote>
  <w:footnote w:id="419">
    <w:p w14:paraId="565C6F60" w14:textId="0CF44048"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00F45280" w:rsidRPr="00C9465D">
        <w:rPr>
          <w:sz w:val="16"/>
          <w:szCs w:val="16"/>
          <w:lang w:val="en-US"/>
        </w:rPr>
        <w:t>So-called by legal doctrine</w:t>
      </w:r>
      <w:r w:rsidRPr="00C9465D">
        <w:rPr>
          <w:sz w:val="16"/>
          <w:szCs w:val="16"/>
          <w:lang w:val="en-US"/>
        </w:rPr>
        <w:t>.</w:t>
      </w:r>
    </w:p>
  </w:footnote>
  <w:footnote w:id="420">
    <w:p w14:paraId="4A3AA133" w14:textId="07DA890F" w:rsidR="00E16CC3" w:rsidRPr="00C9465D" w:rsidRDefault="000A7745" w:rsidP="00E16CC3">
      <w:pPr>
        <w:pStyle w:val="Default"/>
        <w:spacing w:after="60"/>
        <w:jc w:val="both"/>
        <w:rPr>
          <w:rFonts w:eastAsiaTheme="minorHAnsi"/>
          <w:sz w:val="16"/>
          <w:szCs w:val="16"/>
          <w:lang w:val="en-US" w:eastAsia="en-US"/>
        </w:rPr>
      </w:pPr>
      <w:r w:rsidRPr="00C9465D">
        <w:rPr>
          <w:rStyle w:val="FootnoteReference"/>
          <w:sz w:val="16"/>
          <w:szCs w:val="16"/>
          <w:lang w:val="en-US"/>
        </w:rPr>
        <w:footnoteRef/>
      </w:r>
      <w:r w:rsidR="00E16CC3" w:rsidRPr="00C9465D">
        <w:rPr>
          <w:sz w:val="16"/>
          <w:szCs w:val="16"/>
          <w:lang w:val="en-US"/>
        </w:rPr>
        <w:t xml:space="preserve"> Article 38 of the Statute of the International Court of Justice: “1. The Court, whose function is to decide in  </w:t>
      </w:r>
      <w:r w:rsidR="00E16CC3" w:rsidRPr="00C9465D">
        <w:rPr>
          <w:rFonts w:eastAsiaTheme="minorHAnsi"/>
          <w:sz w:val="16"/>
          <w:szCs w:val="16"/>
          <w:lang w:val="en-US" w:eastAsia="en-US"/>
        </w:rPr>
        <w:t xml:space="preserve">accordance with international law such disputes as are submitted to it, shall apply: </w:t>
      </w:r>
      <w:r w:rsidR="00E16CC3" w:rsidRPr="00C9465D">
        <w:rPr>
          <w:rFonts w:eastAsiaTheme="minorHAnsi"/>
          <w:sz w:val="16"/>
          <w:szCs w:val="16"/>
          <w:lang w:val="en-US"/>
        </w:rPr>
        <w:t xml:space="preserve">(a) international conventions, whether general or particular, establishing rules expressly recognized by the contesting states; (b) international custom, as evidence of a general practice accepted as law; (c) the general principles of law recognized by civilized nations; (d) subject to the provisions of Article 59, judicial decisions and the teachings of the most highly qualified publicists of the various nations, as subsidiary means for the determination of rules of law. </w:t>
      </w:r>
    </w:p>
    <w:p w14:paraId="40EAEE81" w14:textId="3858B4CC" w:rsidR="000A7745" w:rsidRPr="00C9465D" w:rsidRDefault="00E16CC3" w:rsidP="00E16CC3">
      <w:pPr>
        <w:pStyle w:val="FootnoteText"/>
        <w:ind w:right="51"/>
        <w:rPr>
          <w:i/>
          <w:iCs/>
          <w:sz w:val="16"/>
          <w:szCs w:val="16"/>
          <w:lang w:val="en-US"/>
        </w:rPr>
      </w:pPr>
      <w:r w:rsidRPr="00C9465D">
        <w:rPr>
          <w:rFonts w:cs="Verdana"/>
          <w:color w:val="000000"/>
          <w:sz w:val="16"/>
          <w:szCs w:val="16"/>
          <w:lang w:val="en-US"/>
        </w:rPr>
        <w:t xml:space="preserve">2. This provision shall not prejudice the power of the Court to decide a case </w:t>
      </w:r>
      <w:r w:rsidRPr="00C9465D">
        <w:rPr>
          <w:rFonts w:cs="Verdana"/>
          <w:i/>
          <w:iCs/>
          <w:color w:val="000000"/>
          <w:sz w:val="16"/>
          <w:szCs w:val="16"/>
          <w:lang w:val="en-US"/>
        </w:rPr>
        <w:t xml:space="preserve">ex aequo </w:t>
      </w:r>
      <w:r w:rsidRPr="00C9465D">
        <w:rPr>
          <w:rFonts w:cs="Verdana"/>
          <w:color w:val="000000"/>
          <w:sz w:val="16"/>
          <w:szCs w:val="16"/>
          <w:lang w:val="en-US"/>
        </w:rPr>
        <w:t>if the parties agree thereto.”</w:t>
      </w:r>
    </w:p>
  </w:footnote>
  <w:footnote w:id="421">
    <w:p w14:paraId="1F3A6EC3" w14:textId="415B77AD" w:rsidR="000A7745" w:rsidRPr="00C9465D" w:rsidRDefault="000A7745" w:rsidP="00E16CC3">
      <w:pPr>
        <w:tabs>
          <w:tab w:val="left" w:pos="480"/>
          <w:tab w:val="left" w:pos="1080"/>
          <w:tab w:val="left" w:pos="1680"/>
          <w:tab w:val="left" w:pos="5400"/>
        </w:tabs>
        <w:suppressAutoHyphens/>
        <w:spacing w:after="120" w:line="240" w:lineRule="auto"/>
        <w:jc w:val="both"/>
        <w:rPr>
          <w:rFonts w:ascii="Verdana" w:hAnsi="Verdana"/>
          <w:spacing w:val="-3"/>
          <w:sz w:val="16"/>
          <w:szCs w:val="16"/>
          <w:lang w:val="en-US"/>
        </w:rPr>
      </w:pPr>
      <w:r w:rsidRPr="00C9465D">
        <w:rPr>
          <w:rStyle w:val="FootnoteReference"/>
          <w:rFonts w:ascii="Verdana" w:hAnsi="Verdana"/>
          <w:i/>
          <w:iCs/>
          <w:sz w:val="16"/>
          <w:szCs w:val="16"/>
          <w:lang w:val="en-US"/>
        </w:rPr>
        <w:footnoteRef/>
      </w:r>
      <w:r w:rsidRPr="00C9465D">
        <w:rPr>
          <w:rFonts w:ascii="Verdana" w:hAnsi="Verdana"/>
          <w:i/>
          <w:iCs/>
          <w:sz w:val="16"/>
          <w:szCs w:val="16"/>
          <w:lang w:val="en-US"/>
        </w:rPr>
        <w:t xml:space="preserve"> </w:t>
      </w:r>
      <w:r w:rsidR="00E16CC3" w:rsidRPr="00C9465D">
        <w:rPr>
          <w:rFonts w:ascii="Verdana" w:hAnsi="Verdana"/>
          <w:spacing w:val="-3"/>
          <w:sz w:val="16"/>
          <w:szCs w:val="16"/>
          <w:lang w:val="en-US"/>
        </w:rPr>
        <w:t>No provision of this Convention shall be interpreted as: (a) permitting any State Party, group, or person to suppress the enjoyment or exercise of the rights and freedoms recognized in this Convention or to restrict them to a greater extent than is provided for herein; (b) restricting the enjoyment or exercise of any right or freedom recognized by virtue of the laws of any State Party or by virtue of another convention to which one of the said states is a party; (c) precluding other rights or guarantees that are inherent in the human personality or derived from representative democracy as a form of government; or (d) excluding or limiting the effect that the American Declaration of the Rights and Duties of Man and other international acts of the same nature may have.</w:t>
      </w:r>
    </w:p>
  </w:footnote>
  <w:footnote w:id="422">
    <w:p w14:paraId="4939A18B" w14:textId="08EDCBE7" w:rsidR="00917BF6" w:rsidRPr="00C9465D" w:rsidRDefault="00917BF6" w:rsidP="00917BF6">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Para. 1 of the Preamble</w:t>
      </w:r>
    </w:p>
  </w:footnote>
  <w:footnote w:id="423">
    <w:p w14:paraId="706301B4" w14:textId="25B40CB9" w:rsidR="000A7745" w:rsidRPr="00C9465D" w:rsidRDefault="000A7745" w:rsidP="00917BF6">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i/>
          <w:iCs/>
          <w:sz w:val="16"/>
          <w:szCs w:val="16"/>
          <w:lang w:val="en-US"/>
        </w:rPr>
        <w:t>Supra</w:t>
      </w:r>
      <w:r w:rsidR="00174BAE" w:rsidRPr="00C9465D">
        <w:rPr>
          <w:sz w:val="16"/>
          <w:szCs w:val="16"/>
          <w:lang w:val="en-US"/>
        </w:rPr>
        <w:t xml:space="preserve">, footnote </w:t>
      </w:r>
      <w:r w:rsidRPr="00C9465D">
        <w:rPr>
          <w:sz w:val="16"/>
          <w:szCs w:val="16"/>
          <w:lang w:val="en-US"/>
        </w:rPr>
        <w:t>14.</w:t>
      </w:r>
    </w:p>
  </w:footnote>
  <w:footnote w:id="424">
    <w:p w14:paraId="21453B19" w14:textId="44DE2513"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106 </w:t>
      </w:r>
      <w:r w:rsidR="008F17CD" w:rsidRPr="00C9465D">
        <w:rPr>
          <w:sz w:val="16"/>
          <w:szCs w:val="16"/>
          <w:lang w:val="en-US"/>
        </w:rPr>
        <w:t>of the judgment</w:t>
      </w:r>
      <w:r w:rsidRPr="00C9465D">
        <w:rPr>
          <w:sz w:val="16"/>
          <w:szCs w:val="16"/>
          <w:lang w:val="en-US"/>
        </w:rPr>
        <w:t>.</w:t>
      </w:r>
    </w:p>
  </w:footnote>
  <w:footnote w:id="425">
    <w:p w14:paraId="77F8E65A" w14:textId="77777777" w:rsidR="000A7745" w:rsidRPr="00C9465D" w:rsidRDefault="000A7745" w:rsidP="00BD26CF">
      <w:pPr>
        <w:pStyle w:val="FootnoteText"/>
        <w:spacing w:after="120"/>
        <w:ind w:right="48"/>
        <w:rPr>
          <w:i/>
          <w:iCs/>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i/>
          <w:iCs/>
          <w:sz w:val="16"/>
          <w:szCs w:val="16"/>
          <w:lang w:val="en-US"/>
        </w:rPr>
        <w:t>Idem.</w:t>
      </w:r>
    </w:p>
  </w:footnote>
  <w:footnote w:id="426">
    <w:p w14:paraId="403C5895" w14:textId="5EB10BD1" w:rsidR="00174BAE" w:rsidRPr="00C9465D" w:rsidRDefault="000A7745" w:rsidP="00174BAE">
      <w:pPr>
        <w:pStyle w:val="FootnoteText"/>
        <w:spacing w:after="60"/>
        <w:ind w:right="51"/>
        <w:rPr>
          <w:sz w:val="16"/>
          <w:szCs w:val="16"/>
          <w:lang w:val="en-US"/>
        </w:rPr>
      </w:pPr>
      <w:r w:rsidRPr="00C9465D">
        <w:rPr>
          <w:rStyle w:val="FootnoteReference"/>
          <w:sz w:val="16"/>
          <w:szCs w:val="16"/>
          <w:lang w:val="en-US"/>
        </w:rPr>
        <w:footnoteRef/>
      </w:r>
      <w:r w:rsidRPr="00C9465D">
        <w:rPr>
          <w:sz w:val="16"/>
          <w:szCs w:val="16"/>
          <w:lang w:val="en-US"/>
        </w:rPr>
        <w:t xml:space="preserve"> Art.31</w:t>
      </w:r>
      <w:bookmarkStart w:id="166" w:name="_Hlk34664244"/>
      <w:bookmarkStart w:id="167" w:name="_Hlk34665139"/>
      <w:r w:rsidRPr="00C9465D">
        <w:rPr>
          <w:sz w:val="16"/>
          <w:szCs w:val="16"/>
          <w:lang w:val="en-US"/>
        </w:rPr>
        <w:t xml:space="preserve">: </w:t>
      </w:r>
      <w:r w:rsidR="00174BAE" w:rsidRPr="00C9465D">
        <w:rPr>
          <w:sz w:val="16"/>
          <w:szCs w:val="16"/>
          <w:lang w:val="en-US"/>
        </w:rPr>
        <w:t xml:space="preserve">“Recognition of Other Rights. Other rights and freedoms recognized in accordance with the procedures established in Articles 76 and 77 may be included in the system of protection of this Convention.”  </w:t>
      </w:r>
    </w:p>
    <w:p w14:paraId="661F2EF5" w14:textId="7104B995" w:rsidR="00174BAE" w:rsidRPr="00C9465D" w:rsidRDefault="00174BAE" w:rsidP="00174BAE">
      <w:pPr>
        <w:autoSpaceDE w:val="0"/>
        <w:autoSpaceDN w:val="0"/>
        <w:adjustRightInd w:val="0"/>
        <w:spacing w:after="60" w:line="240" w:lineRule="auto"/>
        <w:jc w:val="both"/>
        <w:rPr>
          <w:rFonts w:ascii="Verdana" w:hAnsi="Verdana" w:cs="Verdana"/>
          <w:color w:val="000000"/>
          <w:sz w:val="16"/>
          <w:szCs w:val="16"/>
          <w:lang w:val="en-US"/>
        </w:rPr>
      </w:pPr>
      <w:r w:rsidRPr="00C9465D">
        <w:rPr>
          <w:rFonts w:ascii="Verdana" w:hAnsi="Verdana" w:cs="Verdana"/>
          <w:color w:val="000000"/>
          <w:sz w:val="16"/>
          <w:szCs w:val="16"/>
          <w:lang w:val="en-US"/>
        </w:rPr>
        <w:t xml:space="preserve">Art. 76: “1. Proposals to amend this Convention may be submitted to the General Assembly for the action it deems appropriate by any State Party directly, and by the Commission or the Court through the Secretary General. 2. </w:t>
      </w:r>
      <w:r w:rsidRPr="00C9465D">
        <w:rPr>
          <w:rFonts w:ascii="Verdana" w:hAnsi="Verdana"/>
          <w:spacing w:val="-3"/>
          <w:sz w:val="16"/>
          <w:szCs w:val="16"/>
          <w:lang w:val="en-US"/>
        </w:rPr>
        <w:t>Amendments shall enter into force for the States ratifying them on the date when two</w:t>
      </w:r>
      <w:r w:rsidRPr="00C9465D">
        <w:rPr>
          <w:rFonts w:ascii="Verdana" w:hAnsi="Verdana"/>
          <w:spacing w:val="-3"/>
          <w:sz w:val="16"/>
          <w:szCs w:val="16"/>
          <w:lang w:val="en-US"/>
        </w:rPr>
        <w:noBreakHyphen/>
        <w:t>thirds of the States Parties to this Convention have deposited their respective instruments of ratification.  With respect to the other States Parties, the amendments shall enter into force on the dates on which they deposit their respective instruments of ratification.”</w:t>
      </w:r>
      <w:r w:rsidRPr="00C9465D">
        <w:rPr>
          <w:rFonts w:ascii="Verdana" w:hAnsi="Verdana" w:cs="Verdana"/>
          <w:color w:val="000000"/>
          <w:sz w:val="16"/>
          <w:szCs w:val="16"/>
          <w:lang w:val="en-US"/>
        </w:rPr>
        <w:t xml:space="preserve"> </w:t>
      </w:r>
    </w:p>
    <w:p w14:paraId="6CAECB9D" w14:textId="04B419F8" w:rsidR="000A7745" w:rsidRPr="00C9465D" w:rsidRDefault="00174BAE" w:rsidP="00174BAE">
      <w:pPr>
        <w:pStyle w:val="FootnoteText"/>
        <w:spacing w:after="120"/>
        <w:ind w:right="51"/>
        <w:rPr>
          <w:rFonts w:cs="Verdana"/>
          <w:color w:val="000000"/>
          <w:sz w:val="16"/>
          <w:szCs w:val="16"/>
          <w:lang w:val="en-US"/>
        </w:rPr>
      </w:pPr>
      <w:r w:rsidRPr="00C9465D">
        <w:rPr>
          <w:rFonts w:cs="Verdana"/>
          <w:color w:val="000000"/>
          <w:sz w:val="16"/>
          <w:szCs w:val="16"/>
          <w:lang w:val="en-US"/>
        </w:rPr>
        <w:t xml:space="preserve">Art. 77: “1. In accordance with Article 31, any State Party and the Commission may submit proposed protocols to this Convention for consideration by the States Parties at the General Assembly with a view to gradually including other rights and freedoms within its system of protection. 2. </w:t>
      </w:r>
      <w:r w:rsidRPr="00C9465D">
        <w:rPr>
          <w:spacing w:val="-3"/>
          <w:sz w:val="16"/>
          <w:szCs w:val="16"/>
          <w:lang w:val="en-US"/>
        </w:rPr>
        <w:t>Each protocol shall determine the manner of its entry into force and shall be applied only among the States Parties to it.”</w:t>
      </w:r>
      <w:bookmarkEnd w:id="166"/>
      <w:bookmarkEnd w:id="167"/>
    </w:p>
  </w:footnote>
  <w:footnote w:id="427">
    <w:p w14:paraId="08C63083" w14:textId="186B85BB"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i/>
          <w:iCs/>
          <w:sz w:val="16"/>
          <w:szCs w:val="16"/>
          <w:lang w:val="en-US"/>
        </w:rPr>
        <w:t>Supra</w:t>
      </w:r>
      <w:r w:rsidRPr="00C9465D">
        <w:rPr>
          <w:sz w:val="16"/>
          <w:szCs w:val="16"/>
          <w:lang w:val="en-US"/>
        </w:rPr>
        <w:t xml:space="preserve">, </w:t>
      </w:r>
      <w:r w:rsidR="00174BAE" w:rsidRPr="00C9465D">
        <w:rPr>
          <w:sz w:val="16"/>
          <w:szCs w:val="16"/>
          <w:lang w:val="en-US"/>
        </w:rPr>
        <w:t xml:space="preserve">footnote </w:t>
      </w:r>
      <w:r w:rsidRPr="00C9465D">
        <w:rPr>
          <w:sz w:val="16"/>
          <w:szCs w:val="16"/>
          <w:lang w:val="en-US"/>
        </w:rPr>
        <w:t xml:space="preserve">19, Art.1. </w:t>
      </w:r>
    </w:p>
  </w:footnote>
  <w:footnote w:id="428">
    <w:p w14:paraId="363FC96A" w14:textId="62654E38"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i/>
          <w:iCs/>
          <w:sz w:val="16"/>
          <w:szCs w:val="16"/>
          <w:lang w:val="en-US"/>
        </w:rPr>
        <w:t>Supra</w:t>
      </w:r>
      <w:r w:rsidRPr="00C9465D">
        <w:rPr>
          <w:sz w:val="16"/>
          <w:szCs w:val="16"/>
          <w:lang w:val="en-US"/>
        </w:rPr>
        <w:t xml:space="preserve">, </w:t>
      </w:r>
      <w:r w:rsidR="00174BAE" w:rsidRPr="00C9465D">
        <w:rPr>
          <w:sz w:val="16"/>
          <w:szCs w:val="16"/>
          <w:lang w:val="en-US"/>
        </w:rPr>
        <w:t xml:space="preserve">footnote </w:t>
      </w:r>
      <w:r w:rsidRPr="00C9465D">
        <w:rPr>
          <w:sz w:val="16"/>
          <w:szCs w:val="16"/>
          <w:lang w:val="en-US"/>
        </w:rPr>
        <w:t>12, Art.2.</w:t>
      </w:r>
    </w:p>
  </w:footnote>
  <w:footnote w:id="429">
    <w:p w14:paraId="481EA759" w14:textId="73708A58"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0091026A" w:rsidRPr="00C9465D">
        <w:rPr>
          <w:sz w:val="16"/>
          <w:szCs w:val="16"/>
          <w:lang w:val="en-US"/>
        </w:rPr>
        <w:t xml:space="preserve">Proceedings of the </w:t>
      </w:r>
      <w:r w:rsidR="0091026A" w:rsidRPr="00C9465D">
        <w:rPr>
          <w:spacing w:val="-3"/>
          <w:sz w:val="16"/>
          <w:szCs w:val="16"/>
          <w:lang w:val="en-US"/>
        </w:rPr>
        <w:t>Inter</w:t>
      </w:r>
      <w:r w:rsidR="0091026A" w:rsidRPr="00C9465D">
        <w:rPr>
          <w:spacing w:val="-3"/>
          <w:sz w:val="16"/>
          <w:szCs w:val="16"/>
          <w:lang w:val="en-US"/>
        </w:rPr>
        <w:noBreakHyphen/>
        <w:t>American Specialized Conference on Human Rights</w:t>
      </w:r>
      <w:r w:rsidRPr="00C9465D">
        <w:rPr>
          <w:sz w:val="16"/>
          <w:szCs w:val="16"/>
          <w:lang w:val="en-US"/>
        </w:rPr>
        <w:t xml:space="preserve">, </w:t>
      </w:r>
      <w:r w:rsidR="00153C9F" w:rsidRPr="00C9465D">
        <w:rPr>
          <w:sz w:val="16"/>
          <w:szCs w:val="16"/>
          <w:lang w:val="en-US"/>
        </w:rPr>
        <w:t>November</w:t>
      </w:r>
      <w:r w:rsidR="0091026A" w:rsidRPr="00C9465D">
        <w:rPr>
          <w:sz w:val="16"/>
          <w:szCs w:val="16"/>
          <w:lang w:val="en-US"/>
        </w:rPr>
        <w:t xml:space="preserve"> 7 to</w:t>
      </w:r>
      <w:r w:rsidR="00153C9F" w:rsidRPr="00C9465D">
        <w:rPr>
          <w:sz w:val="16"/>
          <w:szCs w:val="16"/>
          <w:lang w:val="en-US"/>
        </w:rPr>
        <w:t xml:space="preserve"> </w:t>
      </w:r>
      <w:r w:rsidR="0091026A" w:rsidRPr="00C9465D">
        <w:rPr>
          <w:sz w:val="16"/>
          <w:szCs w:val="16"/>
          <w:lang w:val="en-US"/>
        </w:rPr>
        <w:t>2</w:t>
      </w:r>
      <w:r w:rsidR="00153C9F" w:rsidRPr="00C9465D">
        <w:rPr>
          <w:sz w:val="16"/>
          <w:szCs w:val="16"/>
          <w:lang w:val="en-US"/>
        </w:rPr>
        <w:t>2,</w:t>
      </w:r>
      <w:r w:rsidRPr="00C9465D">
        <w:rPr>
          <w:sz w:val="16"/>
          <w:szCs w:val="16"/>
          <w:lang w:val="en-US"/>
        </w:rPr>
        <w:t xml:space="preserve"> 1969, OEA/Ser.K/XVI/1.2, p. 318.</w:t>
      </w:r>
    </w:p>
  </w:footnote>
  <w:footnote w:id="430">
    <w:p w14:paraId="5B06D1E1" w14:textId="65CF9F41"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0091026A" w:rsidRPr="00C9465D">
        <w:rPr>
          <w:sz w:val="16"/>
          <w:szCs w:val="16"/>
          <w:lang w:val="en-US"/>
        </w:rPr>
        <w:t xml:space="preserve">Proceedings of the </w:t>
      </w:r>
      <w:r w:rsidR="0091026A" w:rsidRPr="00C9465D">
        <w:rPr>
          <w:spacing w:val="-3"/>
          <w:sz w:val="16"/>
          <w:szCs w:val="16"/>
          <w:lang w:val="en-US"/>
        </w:rPr>
        <w:t>Inter</w:t>
      </w:r>
      <w:r w:rsidR="0091026A" w:rsidRPr="00C9465D">
        <w:rPr>
          <w:spacing w:val="-3"/>
          <w:sz w:val="16"/>
          <w:szCs w:val="16"/>
          <w:lang w:val="en-US"/>
        </w:rPr>
        <w:noBreakHyphen/>
        <w:t>American Specialized Conference on Human Rights</w:t>
      </w:r>
      <w:r w:rsidR="0091026A" w:rsidRPr="00C9465D">
        <w:rPr>
          <w:sz w:val="16"/>
          <w:szCs w:val="16"/>
          <w:lang w:val="en-US"/>
        </w:rPr>
        <w:t xml:space="preserve">, November 7 to 22, 1969, OEA/Ser.K/XVI/1.2, </w:t>
      </w:r>
      <w:r w:rsidRPr="00C9465D">
        <w:rPr>
          <w:sz w:val="16"/>
          <w:szCs w:val="16"/>
          <w:lang w:val="en-US"/>
        </w:rPr>
        <w:t>p. 448.</w:t>
      </w:r>
    </w:p>
  </w:footnote>
  <w:footnote w:id="431">
    <w:p w14:paraId="2FAE88B2" w14:textId="54DADDDC"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0091026A" w:rsidRPr="00C9465D">
        <w:rPr>
          <w:sz w:val="16"/>
          <w:szCs w:val="16"/>
          <w:lang w:val="en-US"/>
        </w:rPr>
        <w:t xml:space="preserve">Concurring opinion of Judge Alberto Pérez Pérez, </w:t>
      </w:r>
      <w:r w:rsidR="0091026A" w:rsidRPr="00C9465D">
        <w:rPr>
          <w:i/>
          <w:sz w:val="16"/>
          <w:szCs w:val="16"/>
          <w:lang w:val="en-US"/>
        </w:rPr>
        <w:t>Case of Gonzales Lluy et al. v. Ecuador,</w:t>
      </w:r>
      <w:r w:rsidR="0091026A" w:rsidRPr="00C9465D">
        <w:rPr>
          <w:sz w:val="16"/>
          <w:szCs w:val="16"/>
          <w:lang w:val="en-US"/>
        </w:rPr>
        <w:t xml:space="preserve"> </w:t>
      </w:r>
      <w:r w:rsidR="0091026A" w:rsidRPr="00C9465D">
        <w:rPr>
          <w:i/>
          <w:iCs/>
          <w:sz w:val="16"/>
          <w:szCs w:val="16"/>
          <w:lang w:val="en-US"/>
        </w:rPr>
        <w:t>preliminary objections, merits, reparations and costs.</w:t>
      </w:r>
      <w:r w:rsidR="0091026A" w:rsidRPr="00C9465D">
        <w:rPr>
          <w:sz w:val="16"/>
          <w:szCs w:val="16"/>
          <w:lang w:val="en-US"/>
        </w:rPr>
        <w:t xml:space="preserve"> Judgment of September 1, 2015.</w:t>
      </w:r>
    </w:p>
  </w:footnote>
  <w:footnote w:id="432">
    <w:p w14:paraId="55BED3FA" w14:textId="22445F08" w:rsidR="000A7745" w:rsidRPr="00C9465D" w:rsidRDefault="000A7745" w:rsidP="00BD26CF">
      <w:pPr>
        <w:pStyle w:val="FootnoteText"/>
        <w:tabs>
          <w:tab w:val="left" w:pos="567"/>
        </w:tabs>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0091026A" w:rsidRPr="00C9465D">
        <w:rPr>
          <w:sz w:val="16"/>
          <w:szCs w:val="16"/>
          <w:lang w:val="en-US"/>
        </w:rPr>
        <w:t>“The Member States agree that equality of opportunity, the elimination of extreme poverty, equitable distribution of wealth and income and the full participation of their peoples in decisions relating to their own development are, among others, basic objectives of integral development. To achieve them, they likewise agree to devote their utmost efforts to accomplishing the following basic goals:</w:t>
      </w:r>
      <w:r w:rsidR="0091026A" w:rsidRPr="00C9465D">
        <w:rPr>
          <w:i/>
          <w:sz w:val="16"/>
          <w:szCs w:val="16"/>
          <w:lang w:val="en-US"/>
        </w:rPr>
        <w:t xml:space="preserve">… </w:t>
      </w:r>
      <w:r w:rsidR="0091026A" w:rsidRPr="00C9465D">
        <w:rPr>
          <w:sz w:val="16"/>
          <w:szCs w:val="16"/>
          <w:lang w:val="en-US"/>
        </w:rPr>
        <w:t>(i) Protection of man's potential through the extension and application of modern medical science</w:t>
      </w:r>
      <w:r w:rsidR="0091026A" w:rsidRPr="00C9465D">
        <w:rPr>
          <w:i/>
          <w:sz w:val="16"/>
          <w:szCs w:val="16"/>
          <w:lang w:val="en-US"/>
        </w:rPr>
        <w:t>.”</w:t>
      </w:r>
    </w:p>
  </w:footnote>
  <w:footnote w:id="433">
    <w:p w14:paraId="14D70A52" w14:textId="4B8938BF" w:rsidR="000A7745" w:rsidRPr="00C9465D" w:rsidRDefault="000A7745" w:rsidP="00BD26CF">
      <w:pPr>
        <w:pStyle w:val="FootnoteText"/>
        <w:tabs>
          <w:tab w:val="left" w:pos="567"/>
        </w:tabs>
        <w:spacing w:after="120"/>
        <w:ind w:right="48"/>
        <w:rPr>
          <w:sz w:val="16"/>
          <w:szCs w:val="16"/>
          <w:lang w:val="en-US"/>
        </w:rPr>
      </w:pPr>
      <w:r w:rsidRPr="00C9465D">
        <w:rPr>
          <w:rStyle w:val="FootnoteReference"/>
          <w:sz w:val="16"/>
          <w:szCs w:val="16"/>
          <w:lang w:val="en-US"/>
        </w:rPr>
        <w:footnoteRef/>
      </w:r>
      <w:r w:rsidR="0091026A" w:rsidRPr="00C9465D">
        <w:rPr>
          <w:sz w:val="16"/>
          <w:szCs w:val="16"/>
          <w:lang w:val="en-US"/>
        </w:rPr>
        <w:t xml:space="preserve"> “The Member States agree that equality of opportunity, the elimination of extreme poverty, equitable distribution of wealth and income and the full participation of their peoples in decisions relating to their own development are, among others, basic objectives of integral development. To achieve them, they likewise agree to devote their utmost efforts to accomplishing the following basic goals:</w:t>
      </w:r>
      <w:r w:rsidR="0091026A" w:rsidRPr="00C9465D">
        <w:rPr>
          <w:i/>
          <w:sz w:val="16"/>
          <w:szCs w:val="16"/>
          <w:lang w:val="en-US"/>
        </w:rPr>
        <w:t xml:space="preserve">… </w:t>
      </w:r>
      <w:r w:rsidR="0091026A" w:rsidRPr="00C9465D">
        <w:rPr>
          <w:sz w:val="16"/>
          <w:szCs w:val="16"/>
          <w:lang w:val="en-US"/>
        </w:rPr>
        <w:t>(l) Urban conditions that offer the opportunity for a healthful, productive, and full life.”</w:t>
      </w:r>
    </w:p>
  </w:footnote>
  <w:footnote w:id="434">
    <w:p w14:paraId="18B39FDE" w14:textId="47DA52BD" w:rsidR="000A7745" w:rsidRPr="00C9465D" w:rsidRDefault="000A7745" w:rsidP="00BD26CF">
      <w:pPr>
        <w:pStyle w:val="FootnoteText"/>
        <w:tabs>
          <w:tab w:val="left" w:pos="567"/>
        </w:tabs>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0091026A" w:rsidRPr="00C9465D">
        <w:rPr>
          <w:sz w:val="16"/>
          <w:szCs w:val="16"/>
          <w:lang w:val="en-US"/>
        </w:rPr>
        <w:t>The Member States, convinced that man can only achieve the full realization of his aspirations within a just social order, along with economic development and true peace, agree to dedicate every effort to the application of the following principles and mechanisms</w:t>
      </w:r>
      <w:r w:rsidR="0091026A" w:rsidRPr="00C9465D">
        <w:rPr>
          <w:i/>
          <w:sz w:val="16"/>
          <w:szCs w:val="16"/>
          <w:lang w:val="en-US"/>
        </w:rPr>
        <w:t>:…</w:t>
      </w:r>
      <w:r w:rsidR="0091026A" w:rsidRPr="00C9465D">
        <w:rPr>
          <w:iCs/>
          <w:sz w:val="16"/>
          <w:szCs w:val="16"/>
          <w:lang w:val="en-US"/>
        </w:rPr>
        <w:t>(h)</w:t>
      </w:r>
      <w:r w:rsidR="0091026A" w:rsidRPr="00C9465D">
        <w:rPr>
          <w:i/>
          <w:sz w:val="16"/>
          <w:szCs w:val="16"/>
          <w:lang w:val="en-US"/>
        </w:rPr>
        <w:t xml:space="preserve"> </w:t>
      </w:r>
      <w:r w:rsidR="0091026A" w:rsidRPr="00C9465D">
        <w:rPr>
          <w:sz w:val="16"/>
          <w:szCs w:val="16"/>
          <w:lang w:val="en-US"/>
        </w:rPr>
        <w:t>Development of an efficient social security policy.”</w:t>
      </w:r>
    </w:p>
  </w:footnote>
  <w:footnote w:id="435">
    <w:p w14:paraId="3E08C457" w14:textId="1DA5003E"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00D8466F" w:rsidRPr="00C9465D">
        <w:rPr>
          <w:sz w:val="16"/>
          <w:szCs w:val="16"/>
          <w:lang w:val="en-US"/>
        </w:rPr>
        <w:t>Para.</w:t>
      </w:r>
      <w:r w:rsidR="0091026A" w:rsidRPr="00C9465D">
        <w:rPr>
          <w:sz w:val="16"/>
          <w:szCs w:val="16"/>
          <w:lang w:val="en-US"/>
        </w:rPr>
        <w:t xml:space="preserve"> </w:t>
      </w:r>
      <w:r w:rsidRPr="00C9465D">
        <w:rPr>
          <w:sz w:val="16"/>
          <w:szCs w:val="16"/>
          <w:lang w:val="en-US"/>
        </w:rPr>
        <w:t xml:space="preserve">97 </w:t>
      </w:r>
      <w:r w:rsidR="008F17CD" w:rsidRPr="00C9465D">
        <w:rPr>
          <w:sz w:val="16"/>
          <w:szCs w:val="16"/>
          <w:lang w:val="en-US"/>
        </w:rPr>
        <w:t>of the judgment</w:t>
      </w:r>
      <w:r w:rsidRPr="00C9465D">
        <w:rPr>
          <w:sz w:val="16"/>
          <w:szCs w:val="16"/>
          <w:lang w:val="en-US"/>
        </w:rPr>
        <w:t>.</w:t>
      </w:r>
    </w:p>
  </w:footnote>
  <w:footnote w:id="436">
    <w:p w14:paraId="427BBBEF" w14:textId="7ED48D44" w:rsidR="002E0781" w:rsidRPr="00C9465D" w:rsidRDefault="002E0781" w:rsidP="002E0781">
      <w:pPr>
        <w:pStyle w:val="FootnoteText"/>
        <w:spacing w:after="120"/>
        <w:ind w:right="48"/>
        <w:rPr>
          <w:i/>
          <w:iCs/>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i/>
          <w:iCs/>
          <w:sz w:val="16"/>
          <w:szCs w:val="16"/>
          <w:lang w:val="en-US"/>
        </w:rPr>
        <w:t>Idem.</w:t>
      </w:r>
    </w:p>
  </w:footnote>
  <w:footnote w:id="437">
    <w:p w14:paraId="358AF98D" w14:textId="5E070D5C" w:rsidR="000A7745" w:rsidRPr="00C9465D" w:rsidRDefault="000A7745" w:rsidP="002E0781">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00D8466F" w:rsidRPr="00C9465D">
        <w:rPr>
          <w:sz w:val="16"/>
          <w:szCs w:val="16"/>
          <w:lang w:val="en-US"/>
        </w:rPr>
        <w:t>Para.</w:t>
      </w:r>
      <w:r w:rsidR="0091026A" w:rsidRPr="00C9465D">
        <w:rPr>
          <w:sz w:val="16"/>
          <w:szCs w:val="16"/>
          <w:lang w:val="en-US"/>
        </w:rPr>
        <w:t xml:space="preserve"> </w:t>
      </w:r>
      <w:r w:rsidRPr="00C9465D">
        <w:rPr>
          <w:sz w:val="16"/>
          <w:szCs w:val="16"/>
          <w:lang w:val="en-US"/>
        </w:rPr>
        <w:t xml:space="preserve">98 </w:t>
      </w:r>
      <w:r w:rsidR="008F17CD" w:rsidRPr="00C9465D">
        <w:rPr>
          <w:sz w:val="16"/>
          <w:szCs w:val="16"/>
          <w:lang w:val="en-US"/>
        </w:rPr>
        <w:t>of the judgment</w:t>
      </w:r>
      <w:r w:rsidRPr="00C9465D">
        <w:rPr>
          <w:sz w:val="16"/>
          <w:szCs w:val="16"/>
          <w:lang w:val="en-US"/>
        </w:rPr>
        <w:t>.</w:t>
      </w:r>
    </w:p>
  </w:footnote>
  <w:footnote w:id="438">
    <w:p w14:paraId="2F946C2B" w14:textId="1E1DB2A3"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106 </w:t>
      </w:r>
      <w:r w:rsidR="008F17CD" w:rsidRPr="00C9465D">
        <w:rPr>
          <w:sz w:val="16"/>
          <w:szCs w:val="16"/>
          <w:lang w:val="en-US"/>
        </w:rPr>
        <w:t>of the judgment</w:t>
      </w:r>
      <w:r w:rsidRPr="00C9465D">
        <w:rPr>
          <w:sz w:val="16"/>
          <w:szCs w:val="16"/>
          <w:lang w:val="en-US"/>
        </w:rPr>
        <w:t>.</w:t>
      </w:r>
    </w:p>
  </w:footnote>
  <w:footnote w:id="439">
    <w:p w14:paraId="6C066E35" w14:textId="05DC1008"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00D8466F" w:rsidRPr="00C9465D">
        <w:rPr>
          <w:sz w:val="16"/>
          <w:szCs w:val="16"/>
          <w:lang w:val="en-US"/>
        </w:rPr>
        <w:t>Para.</w:t>
      </w:r>
      <w:r w:rsidR="0091026A" w:rsidRPr="00C9465D">
        <w:rPr>
          <w:sz w:val="16"/>
          <w:szCs w:val="16"/>
          <w:lang w:val="en-US"/>
        </w:rPr>
        <w:t xml:space="preserve"> </w:t>
      </w:r>
      <w:r w:rsidRPr="00C9465D">
        <w:rPr>
          <w:sz w:val="16"/>
          <w:szCs w:val="16"/>
          <w:lang w:val="en-US"/>
        </w:rPr>
        <w:t xml:space="preserve">161 </w:t>
      </w:r>
      <w:r w:rsidR="008F17CD" w:rsidRPr="00C9465D">
        <w:rPr>
          <w:sz w:val="16"/>
          <w:szCs w:val="16"/>
          <w:lang w:val="en-US"/>
        </w:rPr>
        <w:t>of the judgment</w:t>
      </w:r>
      <w:r w:rsidRPr="00C9465D">
        <w:rPr>
          <w:sz w:val="16"/>
          <w:szCs w:val="16"/>
          <w:lang w:val="en-US"/>
        </w:rPr>
        <w:t>.</w:t>
      </w:r>
    </w:p>
  </w:footnote>
  <w:footnote w:id="440">
    <w:p w14:paraId="4DBED71F" w14:textId="5C367E77"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r w:rsidR="0091026A" w:rsidRPr="00C9465D">
        <w:rPr>
          <w:sz w:val="16"/>
          <w:szCs w:val="16"/>
          <w:lang w:val="en-US"/>
        </w:rPr>
        <w:t>Hereinafter, the Protocol</w:t>
      </w:r>
      <w:r w:rsidRPr="00C9465D">
        <w:rPr>
          <w:sz w:val="16"/>
          <w:szCs w:val="16"/>
          <w:lang w:val="en-US"/>
        </w:rPr>
        <w:t>.</w:t>
      </w:r>
    </w:p>
  </w:footnote>
  <w:footnote w:id="441">
    <w:p w14:paraId="2D4FA172" w14:textId="319E80AF" w:rsidR="000A7745" w:rsidRPr="00C9465D" w:rsidRDefault="000A7745" w:rsidP="00BD26CF">
      <w:pPr>
        <w:spacing w:after="120" w:line="240" w:lineRule="auto"/>
        <w:ind w:right="48"/>
        <w:jc w:val="both"/>
        <w:rPr>
          <w:rFonts w:ascii="Verdana" w:hAnsi="Verdana"/>
          <w:i/>
          <w:iCs/>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vertAlign w:val="superscript"/>
          <w:lang w:val="en-US"/>
        </w:rPr>
        <w:t xml:space="preserve"> </w:t>
      </w:r>
      <w:r w:rsidRPr="00C9465D">
        <w:rPr>
          <w:rFonts w:ascii="Verdana" w:hAnsi="Verdana"/>
          <w:i/>
          <w:iCs/>
          <w:sz w:val="16"/>
          <w:szCs w:val="16"/>
          <w:lang w:val="en-US"/>
        </w:rPr>
        <w:t>Supra</w:t>
      </w:r>
      <w:r w:rsidRPr="00C9465D">
        <w:rPr>
          <w:rFonts w:ascii="Verdana" w:hAnsi="Verdana"/>
          <w:sz w:val="16"/>
          <w:szCs w:val="16"/>
          <w:lang w:val="en-US"/>
        </w:rPr>
        <w:t xml:space="preserve">, </w:t>
      </w:r>
      <w:r w:rsidR="00174BAE" w:rsidRPr="00C9465D">
        <w:rPr>
          <w:rFonts w:ascii="Verdana" w:hAnsi="Verdana"/>
          <w:sz w:val="16"/>
          <w:szCs w:val="16"/>
          <w:lang w:val="en-US"/>
        </w:rPr>
        <w:t>footnote</w:t>
      </w:r>
      <w:r w:rsidRPr="00C9465D">
        <w:rPr>
          <w:rFonts w:ascii="Verdana" w:hAnsi="Verdana"/>
          <w:sz w:val="16"/>
          <w:szCs w:val="16"/>
          <w:lang w:val="en-US"/>
        </w:rPr>
        <w:t xml:space="preserve"> 40.</w:t>
      </w:r>
    </w:p>
    <w:p w14:paraId="62F15C71" w14:textId="77777777" w:rsidR="000A7745" w:rsidRPr="00C9465D" w:rsidRDefault="000A7745" w:rsidP="00BD26CF">
      <w:pPr>
        <w:pStyle w:val="FootnoteText"/>
        <w:spacing w:after="120"/>
        <w:ind w:right="48"/>
        <w:rPr>
          <w:sz w:val="16"/>
          <w:szCs w:val="16"/>
          <w:lang w:val="en-US"/>
        </w:rPr>
      </w:pPr>
    </w:p>
  </w:footnote>
  <w:footnote w:id="442">
    <w:p w14:paraId="49729A47" w14:textId="150ECC01" w:rsidR="009F3B9A" w:rsidRPr="00C9465D" w:rsidRDefault="000A7745" w:rsidP="009F3B9A">
      <w:pPr>
        <w:spacing w:before="90" w:after="45" w:line="240" w:lineRule="auto"/>
        <w:jc w:val="both"/>
        <w:rPr>
          <w:rFonts w:ascii="Verdana" w:eastAsia="Times New Roman" w:hAnsi="Verdana" w:cs="Times New Roman"/>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Art. 1: </w:t>
      </w:r>
      <w:r w:rsidR="009F3B9A" w:rsidRPr="00C9465D">
        <w:rPr>
          <w:rFonts w:ascii="Verdana" w:hAnsi="Verdana"/>
          <w:sz w:val="16"/>
          <w:szCs w:val="16"/>
          <w:lang w:val="en-US"/>
        </w:rPr>
        <w:t xml:space="preserve">“Obligation to Adopt Measures. </w:t>
      </w:r>
      <w:r w:rsidR="009F3B9A" w:rsidRPr="00C9465D">
        <w:rPr>
          <w:rFonts w:ascii="Verdana" w:eastAsia="Times New Roman" w:hAnsi="Verdana" w:cs="Tahoma"/>
          <w:sz w:val="16"/>
          <w:szCs w:val="16"/>
          <w:lang w:val="en-US"/>
        </w:rPr>
        <w:t>The States Parties to this Additional Protocol to the American Convention on Human Rights undertake to adopt the necessary measures, both domestically and through international cooperation, especially economic and technical, to the extent allowed by their available resources, and taking into account their degree of development, for the purpose of achieving progressively and pursuant to their internal legislations, the full observance of the rights recognized in this Protocol.”</w:t>
      </w:r>
    </w:p>
    <w:p w14:paraId="67C441FA" w14:textId="6F9E1590" w:rsidR="000A7745" w:rsidRPr="00C9465D" w:rsidRDefault="000A7745" w:rsidP="009F3B9A">
      <w:pPr>
        <w:spacing w:after="120" w:line="240" w:lineRule="auto"/>
        <w:jc w:val="both"/>
        <w:rPr>
          <w:rFonts w:ascii="Verdana" w:eastAsia="Times New Roman" w:hAnsi="Verdana" w:cs="Times New Roman"/>
          <w:sz w:val="16"/>
          <w:szCs w:val="16"/>
          <w:lang w:val="en-US"/>
        </w:rPr>
      </w:pPr>
      <w:r w:rsidRPr="00C9465D">
        <w:rPr>
          <w:rFonts w:ascii="Verdana" w:hAnsi="Verdana"/>
          <w:sz w:val="16"/>
          <w:szCs w:val="16"/>
          <w:lang w:val="en-US"/>
        </w:rPr>
        <w:t>Art.</w:t>
      </w:r>
      <w:r w:rsidR="009F3B9A" w:rsidRPr="00C9465D">
        <w:rPr>
          <w:rFonts w:ascii="Verdana" w:hAnsi="Verdana"/>
          <w:sz w:val="16"/>
          <w:szCs w:val="16"/>
          <w:lang w:val="en-US"/>
        </w:rPr>
        <w:t xml:space="preserve"> </w:t>
      </w:r>
      <w:r w:rsidRPr="00C9465D">
        <w:rPr>
          <w:rFonts w:ascii="Verdana" w:hAnsi="Verdana"/>
          <w:sz w:val="16"/>
          <w:szCs w:val="16"/>
          <w:lang w:val="en-US"/>
        </w:rPr>
        <w:t>4:</w:t>
      </w:r>
      <w:r w:rsidR="009F3B9A" w:rsidRPr="00C9465D">
        <w:rPr>
          <w:rFonts w:ascii="Verdana" w:hAnsi="Verdana"/>
          <w:sz w:val="16"/>
          <w:szCs w:val="16"/>
          <w:lang w:val="en-US"/>
        </w:rPr>
        <w:t xml:space="preserve"> “Inadmissibility of Restrictions. </w:t>
      </w:r>
      <w:r w:rsidR="009F3B9A" w:rsidRPr="00C9465D">
        <w:rPr>
          <w:rFonts w:ascii="Verdana" w:eastAsia="Times New Roman" w:hAnsi="Verdana" w:cs="Tahoma"/>
          <w:sz w:val="16"/>
          <w:szCs w:val="16"/>
          <w:lang w:val="en-US"/>
        </w:rPr>
        <w:t>A right which is recognized or in effect in a State by virtue of its internal legislation or international conventions may not be restricted or curtailed on the pretext that this Protocol does not recognize the right or recognizes it to a lesser degree.”</w:t>
      </w:r>
    </w:p>
  </w:footnote>
  <w:footnote w:id="443">
    <w:p w14:paraId="2BA9BA53" w14:textId="4696E491" w:rsidR="009F3B9A" w:rsidRPr="00C9465D" w:rsidRDefault="000A7745" w:rsidP="009F3B9A">
      <w:pPr>
        <w:spacing w:after="45" w:line="240" w:lineRule="auto"/>
        <w:jc w:val="both"/>
        <w:rPr>
          <w:rFonts w:ascii="Verdana" w:eastAsia="Times New Roman" w:hAnsi="Verdana" w:cs="Tahoma"/>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Art.</w:t>
      </w:r>
      <w:r w:rsidR="009F3B9A" w:rsidRPr="00C9465D">
        <w:rPr>
          <w:rFonts w:ascii="Verdana" w:hAnsi="Verdana"/>
          <w:sz w:val="16"/>
          <w:szCs w:val="16"/>
          <w:lang w:val="en-US"/>
        </w:rPr>
        <w:t xml:space="preserve"> </w:t>
      </w:r>
      <w:r w:rsidRPr="00C9465D">
        <w:rPr>
          <w:rFonts w:ascii="Verdana" w:hAnsi="Verdana"/>
          <w:sz w:val="16"/>
          <w:szCs w:val="16"/>
          <w:lang w:val="en-US"/>
        </w:rPr>
        <w:t>5:</w:t>
      </w:r>
      <w:r w:rsidR="009F3B9A" w:rsidRPr="00C9465D">
        <w:rPr>
          <w:rFonts w:ascii="Verdana" w:hAnsi="Verdana"/>
          <w:sz w:val="16"/>
          <w:szCs w:val="16"/>
          <w:lang w:val="en-US"/>
        </w:rPr>
        <w:t xml:space="preserve"> “Scope of Restrictions and Limitations. </w:t>
      </w:r>
      <w:r w:rsidR="009F3B9A" w:rsidRPr="00C9465D">
        <w:rPr>
          <w:rFonts w:ascii="Verdana" w:eastAsia="Times New Roman" w:hAnsi="Verdana" w:cs="Tahoma"/>
          <w:sz w:val="16"/>
          <w:szCs w:val="16"/>
          <w:lang w:val="en-US"/>
        </w:rPr>
        <w:t>The State Parties may establish restrictions and limitations on the enjoyment and exercise of the rights established herein by means of laws promulgated for the purpose of preserving the general welfare in a democratic society only to the extent that they are not incompatible with the purpose and reason underlying those rights.”</w:t>
      </w:r>
    </w:p>
    <w:p w14:paraId="2B41C3EC" w14:textId="5C705EBC" w:rsidR="000A7745" w:rsidRPr="00C9465D" w:rsidRDefault="000A7745" w:rsidP="009F3B9A">
      <w:pPr>
        <w:pStyle w:val="FootnoteText"/>
        <w:spacing w:after="120"/>
        <w:ind w:right="48"/>
        <w:rPr>
          <w:rFonts w:eastAsia="Times New Roman" w:cs="Tahoma"/>
          <w:sz w:val="16"/>
          <w:szCs w:val="16"/>
          <w:lang w:val="en-US"/>
        </w:rPr>
      </w:pPr>
      <w:r w:rsidRPr="00C9465D">
        <w:rPr>
          <w:sz w:val="16"/>
          <w:szCs w:val="16"/>
          <w:lang w:val="en-US"/>
        </w:rPr>
        <w:t>Art.</w:t>
      </w:r>
      <w:r w:rsidR="009F3B9A" w:rsidRPr="00C9465D">
        <w:rPr>
          <w:sz w:val="16"/>
          <w:szCs w:val="16"/>
          <w:lang w:val="en-US"/>
        </w:rPr>
        <w:t xml:space="preserve"> </w:t>
      </w:r>
      <w:r w:rsidRPr="00C9465D">
        <w:rPr>
          <w:sz w:val="16"/>
          <w:szCs w:val="16"/>
          <w:lang w:val="en-US"/>
        </w:rPr>
        <w:t>19</w:t>
      </w:r>
      <w:r w:rsidR="009F3B9A" w:rsidRPr="00C9465D">
        <w:rPr>
          <w:sz w:val="16"/>
          <w:szCs w:val="16"/>
          <w:lang w:val="en-US"/>
        </w:rPr>
        <w:t>(</w:t>
      </w:r>
      <w:r w:rsidRPr="00C9465D">
        <w:rPr>
          <w:sz w:val="16"/>
          <w:szCs w:val="16"/>
          <w:lang w:val="en-US"/>
        </w:rPr>
        <w:t>6</w:t>
      </w:r>
      <w:r w:rsidR="009F3B9A" w:rsidRPr="00C9465D">
        <w:rPr>
          <w:sz w:val="16"/>
          <w:szCs w:val="16"/>
          <w:lang w:val="en-US"/>
        </w:rPr>
        <w:t>)</w:t>
      </w:r>
      <w:r w:rsidRPr="00C9465D">
        <w:rPr>
          <w:sz w:val="16"/>
          <w:szCs w:val="16"/>
          <w:lang w:val="en-US"/>
        </w:rPr>
        <w:t>:</w:t>
      </w:r>
      <w:r w:rsidR="009F3B9A" w:rsidRPr="00C9465D">
        <w:rPr>
          <w:sz w:val="16"/>
          <w:szCs w:val="16"/>
          <w:lang w:val="en-US"/>
        </w:rPr>
        <w:t xml:space="preserve"> “Means of Protection. </w:t>
      </w:r>
      <w:r w:rsidR="009F3B9A" w:rsidRPr="00C9465D">
        <w:rPr>
          <w:rFonts w:eastAsia="Times New Roman" w:cs="Tahoma"/>
          <w:sz w:val="16"/>
          <w:szCs w:val="16"/>
          <w:lang w:val="en-US"/>
        </w:rPr>
        <w:t>Any instance in which the rights established in paragraph a) of Article 8 and in Article 13 are violated by action directly attributable to a State Party to this Protocol may give rise, through participation of the Inter-American Commission on Human Rights and, when applicable, of the Inter-American Court of Human Rights, to application of the system of individual petitions governed by Article 44 through 51 and 61 through 69 of the American Convention on Human Rights.”</w:t>
      </w:r>
    </w:p>
  </w:footnote>
  <w:footnote w:id="444">
    <w:p w14:paraId="1744D472" w14:textId="77777777" w:rsidR="006F051B" w:rsidRPr="00C9465D" w:rsidRDefault="000A7745" w:rsidP="009F3B9A">
      <w:pPr>
        <w:spacing w:after="120" w:line="240" w:lineRule="auto"/>
        <w:jc w:val="both"/>
        <w:rPr>
          <w:rFonts w:ascii="Verdana" w:eastAsia="Times New Roman" w:hAnsi="Verdana" w:cs="Tahoma"/>
          <w:sz w:val="16"/>
          <w:szCs w:val="16"/>
          <w:lang w:val="en-US"/>
        </w:rPr>
      </w:pPr>
      <w:r w:rsidRPr="00C9465D">
        <w:rPr>
          <w:rStyle w:val="FootnoteReference"/>
          <w:rFonts w:ascii="Verdana" w:hAnsi="Verdana"/>
          <w:i/>
          <w:iCs/>
          <w:sz w:val="16"/>
          <w:szCs w:val="16"/>
          <w:lang w:val="en-US"/>
        </w:rPr>
        <w:footnoteRef/>
      </w:r>
      <w:r w:rsidRPr="00C9465D">
        <w:rPr>
          <w:rFonts w:ascii="Verdana" w:hAnsi="Verdana"/>
          <w:i/>
          <w:iCs/>
          <w:sz w:val="16"/>
          <w:szCs w:val="16"/>
          <w:lang w:val="en-US"/>
        </w:rPr>
        <w:t xml:space="preserve"> </w:t>
      </w:r>
      <w:r w:rsidR="006F051B" w:rsidRPr="00C9465D">
        <w:rPr>
          <w:rFonts w:ascii="Verdana" w:hAnsi="Verdana"/>
          <w:sz w:val="16"/>
          <w:szCs w:val="16"/>
          <w:lang w:val="en-US"/>
        </w:rPr>
        <w:t>Art. 2</w:t>
      </w:r>
      <w:r w:rsidR="006F051B" w:rsidRPr="00C9465D">
        <w:rPr>
          <w:rFonts w:ascii="Verdana" w:hAnsi="Verdana"/>
          <w:i/>
          <w:iCs/>
          <w:sz w:val="16"/>
          <w:szCs w:val="16"/>
          <w:lang w:val="en-US"/>
        </w:rPr>
        <w:t>:</w:t>
      </w:r>
      <w:r w:rsidR="006F051B" w:rsidRPr="00C9465D">
        <w:rPr>
          <w:rFonts w:ascii="Verdana" w:hAnsi="Verdana"/>
          <w:sz w:val="16"/>
          <w:szCs w:val="16"/>
          <w:lang w:val="en-US"/>
        </w:rPr>
        <w:t xml:space="preserve"> “Obligation to Enact Domestic Legislation. </w:t>
      </w:r>
      <w:r w:rsidR="006F051B" w:rsidRPr="00C9465D">
        <w:rPr>
          <w:rFonts w:ascii="Verdana" w:eastAsia="Times New Roman" w:hAnsi="Verdana" w:cs="Tahoma"/>
          <w:sz w:val="16"/>
          <w:szCs w:val="16"/>
          <w:lang w:val="en-US"/>
        </w:rPr>
        <w:t>If the exercise of the rights set forth in this Protocol is not already guaranteed by legislative or other provisions, the States Parties undertake to adopt, in accordance with their constitutional processes and the provisions of this Protocol, such legislative or other measures as may be necessary for making those rights a reality.”</w:t>
      </w:r>
    </w:p>
    <w:p w14:paraId="15060A01" w14:textId="44E4C420" w:rsidR="000A7745" w:rsidRPr="00C9465D" w:rsidRDefault="000A7745" w:rsidP="009F3B9A">
      <w:pPr>
        <w:spacing w:after="120" w:line="240" w:lineRule="auto"/>
        <w:jc w:val="both"/>
        <w:rPr>
          <w:rFonts w:ascii="Verdana" w:eastAsia="Times New Roman" w:hAnsi="Verdana" w:cs="Times New Roman"/>
          <w:sz w:val="16"/>
          <w:szCs w:val="16"/>
          <w:lang w:val="en-US"/>
        </w:rPr>
      </w:pPr>
      <w:r w:rsidRPr="00C9465D">
        <w:rPr>
          <w:rFonts w:ascii="Verdana" w:hAnsi="Verdana"/>
          <w:sz w:val="16"/>
          <w:szCs w:val="16"/>
          <w:lang w:val="en-US"/>
        </w:rPr>
        <w:t>Art.</w:t>
      </w:r>
      <w:r w:rsidR="009F3B9A" w:rsidRPr="00C9465D">
        <w:rPr>
          <w:rFonts w:ascii="Verdana" w:hAnsi="Verdana"/>
          <w:sz w:val="16"/>
          <w:szCs w:val="16"/>
          <w:lang w:val="en-US"/>
        </w:rPr>
        <w:t xml:space="preserve"> </w:t>
      </w:r>
      <w:r w:rsidRPr="00C9465D">
        <w:rPr>
          <w:rFonts w:ascii="Verdana" w:hAnsi="Verdana"/>
          <w:sz w:val="16"/>
          <w:szCs w:val="16"/>
          <w:lang w:val="en-US"/>
        </w:rPr>
        <w:t>3:</w:t>
      </w:r>
      <w:r w:rsidR="009F3B9A" w:rsidRPr="00C9465D">
        <w:rPr>
          <w:rFonts w:ascii="Verdana" w:hAnsi="Verdana"/>
          <w:sz w:val="16"/>
          <w:szCs w:val="16"/>
          <w:lang w:val="en-US"/>
        </w:rPr>
        <w:t xml:space="preserve"> “Obligation of Nondiscrimination. </w:t>
      </w:r>
      <w:r w:rsidR="009F3B9A" w:rsidRPr="00C9465D">
        <w:rPr>
          <w:rFonts w:ascii="Verdana" w:eastAsia="Times New Roman" w:hAnsi="Verdana" w:cs="Tahoma"/>
          <w:sz w:val="16"/>
          <w:szCs w:val="16"/>
          <w:lang w:val="en-US"/>
        </w:rPr>
        <w:t>The State Parties to this Protocol undertake to guarantee the exercise of the rights set forth herein without discrimination of any kind for reasons related to race, color, sex, language, religion, political or other opinions, national or social origin, economic status, birth or any other social condition.”</w:t>
      </w:r>
    </w:p>
  </w:footnote>
  <w:footnote w:id="445">
    <w:p w14:paraId="483E49F6" w14:textId="46E437F9" w:rsidR="000A7745" w:rsidRPr="00C9465D" w:rsidRDefault="000A7745" w:rsidP="009F3B9A">
      <w:pPr>
        <w:pStyle w:val="FootnoteText"/>
        <w:spacing w:after="120"/>
        <w:ind w:right="48"/>
        <w:rPr>
          <w:i/>
          <w:iCs/>
          <w:sz w:val="16"/>
          <w:szCs w:val="16"/>
          <w:lang w:val="en-US"/>
        </w:rPr>
      </w:pPr>
      <w:r w:rsidRPr="00C9465D">
        <w:rPr>
          <w:rStyle w:val="FootnoteReference"/>
          <w:sz w:val="16"/>
          <w:szCs w:val="16"/>
          <w:lang w:val="en-US"/>
        </w:rPr>
        <w:footnoteRef/>
      </w:r>
      <w:r w:rsidRPr="00C9465D">
        <w:rPr>
          <w:sz w:val="16"/>
          <w:szCs w:val="16"/>
          <w:lang w:val="en-US"/>
        </w:rPr>
        <w:t xml:space="preserve"> Art.</w:t>
      </w:r>
      <w:r w:rsidR="009F3B9A" w:rsidRPr="00C9465D">
        <w:rPr>
          <w:sz w:val="16"/>
          <w:szCs w:val="16"/>
          <w:lang w:val="en-US"/>
        </w:rPr>
        <w:t xml:space="preserve"> 19</w:t>
      </w:r>
      <w:r w:rsidRPr="00C9465D">
        <w:rPr>
          <w:sz w:val="16"/>
          <w:szCs w:val="16"/>
          <w:lang w:val="en-US"/>
        </w:rPr>
        <w:t>:</w:t>
      </w:r>
      <w:r w:rsidR="009F3B9A" w:rsidRPr="00C9465D">
        <w:rPr>
          <w:sz w:val="16"/>
          <w:szCs w:val="16"/>
          <w:lang w:val="en-US"/>
        </w:rPr>
        <w:t xml:space="preserve"> “Means of Protection. </w:t>
      </w:r>
      <w:r w:rsidR="004828D2" w:rsidRPr="00C9465D">
        <w:rPr>
          <w:sz w:val="16"/>
          <w:szCs w:val="16"/>
          <w:lang w:val="en-US"/>
        </w:rPr>
        <w:t xml:space="preserve">1. </w:t>
      </w:r>
      <w:r w:rsidR="009F3B9A" w:rsidRPr="00C9465D">
        <w:rPr>
          <w:rFonts w:eastAsia="Times New Roman" w:cs="Tahoma"/>
          <w:sz w:val="16"/>
          <w:szCs w:val="16"/>
          <w:lang w:val="en-US"/>
        </w:rPr>
        <w:t>Pursuant to the provisions of this article and the corresponding rules to be formulated for this purpose by the General Assembly of the Organization of American States, the States Parties to this Protocol undertake to submit periodic reports on the progressive measures they have taken to ensure due respect for the rights set forth in this Protocol.</w:t>
      </w:r>
      <w:r w:rsidR="009F3B9A" w:rsidRPr="00C9465D">
        <w:rPr>
          <w:sz w:val="16"/>
          <w:szCs w:val="16"/>
          <w:lang w:val="en-US"/>
        </w:rPr>
        <w:t>”</w:t>
      </w:r>
    </w:p>
  </w:footnote>
  <w:footnote w:id="446">
    <w:p w14:paraId="57402661" w14:textId="0D3A1C5E" w:rsidR="009F3B9A" w:rsidRPr="00C9465D" w:rsidRDefault="000A7745" w:rsidP="004E6DB8">
      <w:pPr>
        <w:autoSpaceDE w:val="0"/>
        <w:autoSpaceDN w:val="0"/>
        <w:adjustRightInd w:val="0"/>
        <w:spacing w:after="60" w:line="240" w:lineRule="auto"/>
        <w:ind w:right="48"/>
        <w:jc w:val="both"/>
        <w:rPr>
          <w:rFonts w:ascii="Verdana" w:hAnsi="Verdana"/>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w:t>
      </w:r>
      <w:r w:rsidR="009F3B9A" w:rsidRPr="00C9465D">
        <w:rPr>
          <w:rFonts w:ascii="Verdana" w:hAnsi="Verdana"/>
          <w:sz w:val="16"/>
          <w:szCs w:val="16"/>
          <w:lang w:val="en-US"/>
        </w:rPr>
        <w:t xml:space="preserve">Art. 19: “Means of Protection. 1. </w:t>
      </w:r>
      <w:r w:rsidR="009F3B9A" w:rsidRPr="00C9465D">
        <w:rPr>
          <w:rFonts w:ascii="Verdana" w:eastAsia="Times New Roman" w:hAnsi="Verdana" w:cs="Tahoma"/>
          <w:sz w:val="16"/>
          <w:szCs w:val="16"/>
          <w:lang w:val="en-US"/>
        </w:rPr>
        <w:t>Pursuant to the provisions of this article and the corresponding rules to be formulated for this purpose by the General Assembly of the Organization of American States, the States Parties to this Protocol undertake to submit periodic reports on the progressive measures they have taken to ensure due respect for the rights set forth in this Protocol.</w:t>
      </w:r>
      <w:r w:rsidR="009F3B9A" w:rsidRPr="00C9465D">
        <w:rPr>
          <w:rFonts w:ascii="Verdana" w:hAnsi="Verdana"/>
          <w:sz w:val="16"/>
          <w:szCs w:val="16"/>
          <w:lang w:val="en-US"/>
        </w:rPr>
        <w:t>”</w:t>
      </w:r>
    </w:p>
    <w:p w14:paraId="57A2D986" w14:textId="77777777" w:rsidR="009F3B9A" w:rsidRPr="00C9465D" w:rsidRDefault="009F3B9A" w:rsidP="009F3B9A">
      <w:pPr>
        <w:spacing w:before="90" w:after="45" w:line="240" w:lineRule="auto"/>
        <w:rPr>
          <w:rFonts w:ascii="Verdana" w:eastAsia="Times New Roman" w:hAnsi="Verdana" w:cs="Times New Roman"/>
          <w:sz w:val="16"/>
          <w:szCs w:val="16"/>
          <w:lang w:val="en-US"/>
        </w:rPr>
      </w:pPr>
      <w:r w:rsidRPr="00C9465D">
        <w:rPr>
          <w:rFonts w:ascii="Verdana" w:eastAsia="Times New Roman" w:hAnsi="Verdana" w:cs="Tahoma"/>
          <w:sz w:val="16"/>
          <w:szCs w:val="16"/>
          <w:lang w:val="en-US"/>
        </w:rPr>
        <w:t>2. All reports shall be submitted to the Secretary General of the OAS, who shall transmit them to the Inter-American Economic and Social Council and the Inter-American Council for Education, Science and Culture so that they may examine them in accordance with the provisions of this article. The Secretary General shall send a copy of such reports to the Inter-American Commission on Human Rights.</w:t>
      </w:r>
    </w:p>
    <w:p w14:paraId="1D7FD6B4" w14:textId="77777777" w:rsidR="009F3B9A" w:rsidRPr="00C9465D" w:rsidRDefault="009F3B9A" w:rsidP="009F3B9A">
      <w:pPr>
        <w:spacing w:before="90" w:after="45" w:line="240" w:lineRule="auto"/>
        <w:rPr>
          <w:rFonts w:ascii="Verdana" w:eastAsia="Times New Roman" w:hAnsi="Verdana" w:cs="Times New Roman"/>
          <w:sz w:val="16"/>
          <w:szCs w:val="16"/>
          <w:lang w:val="en-US"/>
        </w:rPr>
      </w:pPr>
      <w:r w:rsidRPr="00C9465D">
        <w:rPr>
          <w:rFonts w:ascii="Verdana" w:eastAsia="Times New Roman" w:hAnsi="Verdana" w:cs="Tahoma"/>
          <w:sz w:val="16"/>
          <w:szCs w:val="16"/>
          <w:lang w:val="en-US"/>
        </w:rPr>
        <w:t>3. The Secretary General of the Organization of American States shall also transmit to the specialized organizations of the inter-American system of which the States Parties to the present Protocol are members, copies or pertinent portions of the reports submitted, insofar as they relate to matters within the purview of those organizations, as established by their constituent instruments.</w:t>
      </w:r>
    </w:p>
    <w:p w14:paraId="4C5C75E1" w14:textId="77777777" w:rsidR="009F3B9A" w:rsidRPr="00C9465D" w:rsidRDefault="009F3B9A" w:rsidP="009F3B9A">
      <w:pPr>
        <w:spacing w:before="90" w:after="45" w:line="240" w:lineRule="auto"/>
        <w:rPr>
          <w:rFonts w:ascii="Verdana" w:eastAsia="Times New Roman" w:hAnsi="Verdana" w:cs="Times New Roman"/>
          <w:sz w:val="16"/>
          <w:szCs w:val="16"/>
          <w:lang w:val="en-US"/>
        </w:rPr>
      </w:pPr>
      <w:r w:rsidRPr="00C9465D">
        <w:rPr>
          <w:rFonts w:ascii="Verdana" w:eastAsia="Times New Roman" w:hAnsi="Verdana" w:cs="Tahoma"/>
          <w:sz w:val="16"/>
          <w:szCs w:val="16"/>
          <w:lang w:val="en-US"/>
        </w:rPr>
        <w:t>4. The specialized organizations of the inter-American system may submit reports to the Inter-American Economic and Social Council and the Inter-American Council for Education, Science and Culture relative to compliance with the provisions of the present Protocol in their fields of activity.</w:t>
      </w:r>
    </w:p>
    <w:p w14:paraId="12232550" w14:textId="77777777" w:rsidR="009F3B9A" w:rsidRPr="00C9465D" w:rsidRDefault="009F3B9A" w:rsidP="009F3B9A">
      <w:pPr>
        <w:spacing w:before="90" w:after="45" w:line="240" w:lineRule="auto"/>
        <w:rPr>
          <w:rFonts w:ascii="Verdana" w:eastAsia="Times New Roman" w:hAnsi="Verdana" w:cs="Times New Roman"/>
          <w:sz w:val="16"/>
          <w:szCs w:val="16"/>
          <w:lang w:val="en-US"/>
        </w:rPr>
      </w:pPr>
      <w:r w:rsidRPr="00C9465D">
        <w:rPr>
          <w:rFonts w:ascii="Verdana" w:eastAsia="Times New Roman" w:hAnsi="Verdana" w:cs="Tahoma"/>
          <w:sz w:val="16"/>
          <w:szCs w:val="16"/>
          <w:lang w:val="en-US"/>
        </w:rPr>
        <w:t>5. The annual reports submitted to the General Assembly by the Inter-American Economic and Social Council and the Inter-American Council for Education, Science and Culture shall contain a summary of the information received from the States Parties to the present Protocol and the specialized organizations concerning the progressive measures adopted in order to ensure respect for the rights acknowledged in the Protocol itself and the general recommendations they consider to be appropriate in this respect.</w:t>
      </w:r>
    </w:p>
    <w:p w14:paraId="695B291B" w14:textId="77777777" w:rsidR="009F3B9A" w:rsidRPr="00C9465D" w:rsidRDefault="009F3B9A" w:rsidP="009F3B9A">
      <w:pPr>
        <w:spacing w:before="90" w:after="45" w:line="240" w:lineRule="auto"/>
        <w:rPr>
          <w:rFonts w:ascii="Verdana" w:eastAsia="Times New Roman" w:hAnsi="Verdana" w:cs="Times New Roman"/>
          <w:sz w:val="16"/>
          <w:szCs w:val="16"/>
          <w:lang w:val="en-US"/>
        </w:rPr>
      </w:pPr>
      <w:r w:rsidRPr="00C9465D">
        <w:rPr>
          <w:rFonts w:ascii="Verdana" w:eastAsia="Times New Roman" w:hAnsi="Verdana" w:cs="Tahoma"/>
          <w:sz w:val="16"/>
          <w:szCs w:val="16"/>
          <w:lang w:val="en-US"/>
        </w:rPr>
        <w:t>6. Any instance in which the rights established in paragraph a) of Article 8 and in Article 13 are violated by action directly attributable to a State Party to this Protocol may give rise, through participation of the Inter-American Commission on Human Rights and, when applicable, of the Inter-American Court of Human Rights, to application of the system of individual petitions governed by Article 44 through 51 and 61 through 69 of the American Convention on Human Rights.</w:t>
      </w:r>
    </w:p>
    <w:p w14:paraId="6944CFBE" w14:textId="77777777" w:rsidR="009F3B9A" w:rsidRPr="00C9465D" w:rsidRDefault="009F3B9A" w:rsidP="009F3B9A">
      <w:pPr>
        <w:spacing w:before="90" w:after="45" w:line="240" w:lineRule="auto"/>
        <w:rPr>
          <w:rFonts w:ascii="Verdana" w:eastAsia="Times New Roman" w:hAnsi="Verdana" w:cs="Times New Roman"/>
          <w:sz w:val="16"/>
          <w:szCs w:val="16"/>
          <w:lang w:val="en-US"/>
        </w:rPr>
      </w:pPr>
      <w:r w:rsidRPr="00C9465D">
        <w:rPr>
          <w:rFonts w:ascii="Verdana" w:eastAsia="Times New Roman" w:hAnsi="Verdana" w:cs="Tahoma"/>
          <w:sz w:val="16"/>
          <w:szCs w:val="16"/>
          <w:lang w:val="en-US"/>
        </w:rPr>
        <w:t>7. Without prejudice to the provisions of the preceding paragraph, the Inter-American Commission on Human Rights may formulate such observations and recommendations as it deems pertinent concerning the status of the economic, social and cultural rights established in the present Protocol in all or some of the States Parties, which it may include in its Annual Report to the General Assembly or in a special report, whichever it considers more appropriate.</w:t>
      </w:r>
    </w:p>
    <w:p w14:paraId="2EF1073F" w14:textId="0F56FF88" w:rsidR="000A7745" w:rsidRPr="00C9465D" w:rsidRDefault="009F3B9A" w:rsidP="004E6DB8">
      <w:pPr>
        <w:spacing w:after="120" w:line="240" w:lineRule="auto"/>
        <w:rPr>
          <w:rFonts w:ascii="Verdana" w:eastAsia="Times New Roman" w:hAnsi="Verdana" w:cs="Times New Roman"/>
          <w:sz w:val="16"/>
          <w:szCs w:val="16"/>
          <w:lang w:val="en-US"/>
        </w:rPr>
      </w:pPr>
      <w:r w:rsidRPr="00C9465D">
        <w:rPr>
          <w:rFonts w:ascii="Verdana" w:eastAsia="Times New Roman" w:hAnsi="Verdana" w:cs="Tahoma"/>
          <w:sz w:val="16"/>
          <w:szCs w:val="16"/>
          <w:lang w:val="en-US"/>
        </w:rPr>
        <w:t>8. The Councils and the Inter-American Commission on Human Rights, in discharging the functions conferred upon them in this article, shall take into account the progressive nature of the observance of the rights subject to protection by this Protocol.</w:t>
      </w:r>
      <w:r w:rsidR="004E6DB8" w:rsidRPr="00C9465D">
        <w:rPr>
          <w:rFonts w:ascii="Verdana" w:eastAsia="Times New Roman" w:hAnsi="Verdana" w:cs="Times New Roman"/>
          <w:sz w:val="16"/>
          <w:szCs w:val="16"/>
          <w:lang w:val="en-US"/>
        </w:rPr>
        <w:t>”</w:t>
      </w:r>
    </w:p>
  </w:footnote>
  <w:footnote w:id="447">
    <w:p w14:paraId="6FAFBB46" w14:textId="70838173"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w:t>
      </w:r>
      <w:hyperlink r:id="rId16" w:history="1">
        <w:r w:rsidRPr="00C9465D">
          <w:rPr>
            <w:sz w:val="16"/>
            <w:szCs w:val="16"/>
            <w:shd w:val="clear" w:color="auto" w:fill="F9F9F9"/>
            <w:lang w:val="en-US"/>
          </w:rPr>
          <w:t>AG/RES. 2262 (XXXVII-O/07)</w:t>
        </w:r>
      </w:hyperlink>
      <w:r w:rsidR="00B80A25" w:rsidRPr="00C9465D">
        <w:rPr>
          <w:sz w:val="16"/>
          <w:szCs w:val="16"/>
          <w:lang w:val="en-US"/>
        </w:rPr>
        <w:t xml:space="preserve"> of June 5, 2007.</w:t>
      </w:r>
    </w:p>
  </w:footnote>
  <w:footnote w:id="448">
    <w:p w14:paraId="70D0A791" w14:textId="77777777" w:rsidR="00A62BBE" w:rsidRPr="00C9465D" w:rsidRDefault="00A62BBE" w:rsidP="00A62BBE">
      <w:pPr>
        <w:spacing w:before="90" w:after="45" w:line="240" w:lineRule="auto"/>
        <w:jc w:val="both"/>
        <w:rPr>
          <w:rFonts w:ascii="Verdana" w:eastAsia="Times New Roman" w:hAnsi="Verdana" w:cs="Times New Roman"/>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Art. 8: “Trade Union Rights. </w:t>
      </w:r>
      <w:r w:rsidRPr="00C9465D">
        <w:rPr>
          <w:rFonts w:ascii="Verdana" w:eastAsia="Times New Roman" w:hAnsi="Verdana" w:cs="Tahoma"/>
          <w:sz w:val="16"/>
          <w:szCs w:val="16"/>
          <w:lang w:val="en-US"/>
        </w:rPr>
        <w:t>1. The States Parties shall ensure:</w:t>
      </w:r>
      <w:r w:rsidRPr="00C9465D">
        <w:rPr>
          <w:rFonts w:ascii="Verdana" w:eastAsia="Times New Roman" w:hAnsi="Verdana" w:cs="Times New Roman"/>
          <w:sz w:val="16"/>
          <w:szCs w:val="16"/>
          <w:lang w:val="en-US"/>
        </w:rPr>
        <w:t xml:space="preserve"> (</w:t>
      </w:r>
      <w:r w:rsidRPr="00C9465D">
        <w:rPr>
          <w:rFonts w:ascii="Verdana" w:eastAsia="Times New Roman" w:hAnsi="Verdana" w:cs="Tahoma"/>
          <w:sz w:val="16"/>
          <w:szCs w:val="16"/>
          <w:lang w:val="en-US"/>
        </w:rPr>
        <w:t>a) The right of workers to organize trade unions and to join the union of their choice for the purpose of protecting and promoting their interests. As an extension of that right, the States Parties shall permit trade unions to establish national federations or confederations, or to affiliate with those that already exist, as well as to form international trade union organizations and to affiliate with that of their choice. The States Parties shall also permit trade unions, federations and confederations to function freely.”</w:t>
      </w:r>
    </w:p>
  </w:footnote>
  <w:footnote w:id="449">
    <w:p w14:paraId="32389C6B" w14:textId="77777777" w:rsidR="00A62BBE" w:rsidRPr="00C9465D" w:rsidRDefault="00A62BBE" w:rsidP="00A62BBE">
      <w:pPr>
        <w:spacing w:after="60" w:line="240" w:lineRule="auto"/>
        <w:jc w:val="both"/>
        <w:rPr>
          <w:rFonts w:ascii="Verdana" w:eastAsia="Times New Roman" w:hAnsi="Verdana" w:cs="Times New Roman"/>
          <w:sz w:val="16"/>
          <w:szCs w:val="16"/>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 xml:space="preserve"> Art. 13: “Right to Education. </w:t>
      </w:r>
      <w:r w:rsidRPr="00C9465D">
        <w:rPr>
          <w:rFonts w:ascii="Verdana" w:eastAsia="Times New Roman" w:hAnsi="Verdana" w:cs="Tahoma"/>
          <w:sz w:val="16"/>
          <w:szCs w:val="16"/>
          <w:lang w:val="en-US"/>
        </w:rPr>
        <w:t>1. Everyone has the right to education.</w:t>
      </w:r>
      <w:r w:rsidRPr="00C9465D">
        <w:rPr>
          <w:rFonts w:ascii="Verdana" w:eastAsia="Times New Roman" w:hAnsi="Verdana" w:cs="Times New Roman"/>
          <w:sz w:val="16"/>
          <w:szCs w:val="16"/>
          <w:lang w:val="en-US"/>
        </w:rPr>
        <w:t xml:space="preserve"> </w:t>
      </w:r>
      <w:r w:rsidRPr="00C9465D">
        <w:rPr>
          <w:rFonts w:ascii="Verdana" w:eastAsia="Times New Roman" w:hAnsi="Verdana" w:cs="Tahoma"/>
          <w:sz w:val="16"/>
          <w:szCs w:val="16"/>
          <w:lang w:val="en-US"/>
        </w:rPr>
        <w:t>2. The States Parties to this Protocol agree that education should be directed towards the full development of the human personality and human dignity and should strengthen respect for human rights, ideological pluralism, fundamental freedoms, justice and peace. They further agree that education ought to enable everyone to participate effectively in a democratic and pluralistic society and achieve a decent existence and should foster understanding, tolerance and friendship among all nations and all racial, ethnic or religious groups and promote activities for the maintenance of peace.</w:t>
      </w:r>
    </w:p>
    <w:p w14:paraId="40D582DF" w14:textId="77777777" w:rsidR="00A62BBE" w:rsidRPr="00C9465D" w:rsidRDefault="00A62BBE" w:rsidP="00A62BBE">
      <w:pPr>
        <w:spacing w:after="60" w:line="240" w:lineRule="auto"/>
        <w:jc w:val="both"/>
        <w:rPr>
          <w:rFonts w:ascii="Verdana" w:eastAsia="Times New Roman" w:hAnsi="Verdana" w:cs="Times New Roman"/>
          <w:sz w:val="16"/>
          <w:szCs w:val="16"/>
          <w:lang w:val="en-US"/>
        </w:rPr>
      </w:pPr>
      <w:r w:rsidRPr="00C9465D">
        <w:rPr>
          <w:rFonts w:ascii="Verdana" w:eastAsia="Times New Roman" w:hAnsi="Verdana" w:cs="Tahoma"/>
          <w:sz w:val="16"/>
          <w:szCs w:val="16"/>
          <w:lang w:val="en-US"/>
        </w:rPr>
        <w:t>3. The States Parties to this Protocol recognize that in order to achieve the full exercise of the right to education:</w:t>
      </w:r>
      <w:r w:rsidRPr="00C9465D">
        <w:rPr>
          <w:rFonts w:ascii="Verdana" w:eastAsia="Times New Roman" w:hAnsi="Verdana" w:cs="Times New Roman"/>
          <w:sz w:val="16"/>
          <w:szCs w:val="16"/>
          <w:lang w:val="en-US"/>
        </w:rPr>
        <w:t xml:space="preserve"> (</w:t>
      </w:r>
      <w:r w:rsidRPr="00C9465D">
        <w:rPr>
          <w:rFonts w:ascii="Verdana" w:eastAsia="Times New Roman" w:hAnsi="Verdana" w:cs="Tahoma"/>
          <w:sz w:val="16"/>
          <w:szCs w:val="16"/>
          <w:lang w:val="en-US"/>
        </w:rPr>
        <w:t>a) Primary education should be compulsory and accessible to all without cost;</w:t>
      </w:r>
      <w:r w:rsidRPr="00C9465D">
        <w:rPr>
          <w:rFonts w:ascii="Verdana" w:eastAsia="Times New Roman" w:hAnsi="Verdana" w:cs="Times New Roman"/>
          <w:sz w:val="16"/>
          <w:szCs w:val="16"/>
          <w:lang w:val="en-US"/>
        </w:rPr>
        <w:t xml:space="preserve"> (</w:t>
      </w:r>
      <w:r w:rsidRPr="00C9465D">
        <w:rPr>
          <w:rFonts w:ascii="Verdana" w:eastAsia="Times New Roman" w:hAnsi="Verdana" w:cs="Tahoma"/>
          <w:sz w:val="16"/>
          <w:szCs w:val="16"/>
          <w:lang w:val="en-US"/>
        </w:rPr>
        <w:t>b) Secondary education in its different forms, including technical and vocational secondary education, should be made generally available and accessible to all by every appropriate means, and in particular, by the progressive introduction of free education;</w:t>
      </w:r>
      <w:r w:rsidRPr="00C9465D">
        <w:rPr>
          <w:rFonts w:ascii="Verdana" w:eastAsia="Times New Roman" w:hAnsi="Verdana" w:cs="Times New Roman"/>
          <w:sz w:val="16"/>
          <w:szCs w:val="16"/>
          <w:lang w:val="en-US"/>
        </w:rPr>
        <w:t xml:space="preserve"> (</w:t>
      </w:r>
      <w:r w:rsidRPr="00C9465D">
        <w:rPr>
          <w:rFonts w:ascii="Verdana" w:eastAsia="Times New Roman" w:hAnsi="Verdana" w:cs="Tahoma"/>
          <w:sz w:val="16"/>
          <w:szCs w:val="16"/>
          <w:lang w:val="en-US"/>
        </w:rPr>
        <w:t>c) Higher education should be made equally accessible to all, on the basis of individual capacity, by every appropriate means, and in particular, by the progressive introduction of free education;</w:t>
      </w:r>
      <w:r w:rsidRPr="00C9465D">
        <w:rPr>
          <w:rFonts w:ascii="Verdana" w:eastAsia="Times New Roman" w:hAnsi="Verdana" w:cs="Times New Roman"/>
          <w:sz w:val="16"/>
          <w:szCs w:val="16"/>
          <w:lang w:val="en-US"/>
        </w:rPr>
        <w:t xml:space="preserve"> (</w:t>
      </w:r>
      <w:r w:rsidRPr="00C9465D">
        <w:rPr>
          <w:rFonts w:ascii="Verdana" w:eastAsia="Times New Roman" w:hAnsi="Verdana" w:cs="Tahoma"/>
          <w:sz w:val="16"/>
          <w:szCs w:val="16"/>
          <w:lang w:val="en-US"/>
        </w:rPr>
        <w:t>d) Basic education should be encouraged or intensified as far as possible for those persons who have not received or completed the whole cycle of primary instruction;</w:t>
      </w:r>
      <w:r w:rsidRPr="00C9465D">
        <w:rPr>
          <w:rFonts w:ascii="Verdana" w:eastAsia="Times New Roman" w:hAnsi="Verdana" w:cs="Times New Roman"/>
          <w:sz w:val="16"/>
          <w:szCs w:val="16"/>
          <w:lang w:val="en-US"/>
        </w:rPr>
        <w:t xml:space="preserve"> (</w:t>
      </w:r>
      <w:r w:rsidRPr="00C9465D">
        <w:rPr>
          <w:rFonts w:ascii="Verdana" w:eastAsia="Times New Roman" w:hAnsi="Verdana" w:cs="Tahoma"/>
          <w:sz w:val="16"/>
          <w:szCs w:val="16"/>
          <w:lang w:val="en-US"/>
        </w:rPr>
        <w:t>e) Programs of special education should be established for the handicapped, so as to provide special instruction and training to persons with physical disabilities or mental deficiencies.</w:t>
      </w:r>
    </w:p>
    <w:p w14:paraId="5A0A8239" w14:textId="77777777" w:rsidR="00A62BBE" w:rsidRPr="00C9465D" w:rsidRDefault="00A62BBE" w:rsidP="00A62BBE">
      <w:pPr>
        <w:pStyle w:val="FootnoteText"/>
        <w:spacing w:after="60"/>
        <w:ind w:right="48"/>
        <w:rPr>
          <w:i/>
          <w:iCs/>
          <w:sz w:val="16"/>
          <w:szCs w:val="16"/>
          <w:lang w:val="en-US"/>
        </w:rPr>
      </w:pPr>
      <w:r w:rsidRPr="00C9465D">
        <w:rPr>
          <w:rFonts w:eastAsia="Times New Roman" w:cs="Tahoma"/>
          <w:sz w:val="16"/>
          <w:szCs w:val="16"/>
          <w:lang w:val="en-US"/>
        </w:rPr>
        <w:t>4. In conformity with the domestic legislation of the States Parties, parents should have the right to select the type of education to be given to their children, provided that it conforms to the principles set forth above</w:t>
      </w:r>
      <w:r w:rsidRPr="00C9465D">
        <w:rPr>
          <w:i/>
          <w:iCs/>
          <w:sz w:val="16"/>
          <w:szCs w:val="16"/>
          <w:lang w:val="en-US"/>
        </w:rPr>
        <w:t xml:space="preserve">. </w:t>
      </w:r>
    </w:p>
    <w:p w14:paraId="60329D0C" w14:textId="77777777" w:rsidR="00A62BBE" w:rsidRPr="00C9465D" w:rsidRDefault="00A62BBE" w:rsidP="00A62BBE">
      <w:pPr>
        <w:pStyle w:val="FootnoteText"/>
        <w:spacing w:after="60"/>
        <w:ind w:right="48"/>
        <w:rPr>
          <w:i/>
          <w:iCs/>
          <w:sz w:val="16"/>
          <w:szCs w:val="16"/>
          <w:lang w:val="en-US"/>
        </w:rPr>
      </w:pPr>
      <w:r w:rsidRPr="00C9465D">
        <w:rPr>
          <w:rFonts w:eastAsia="Times New Roman" w:cs="Tahoma"/>
          <w:sz w:val="16"/>
          <w:szCs w:val="16"/>
          <w:lang w:val="en-US"/>
        </w:rPr>
        <w:t>5. Nothing in this Protocol shall be interpreted as a restriction of the freedom of individuals and entities to establish and direct educational institutions in accordance with the domestic legislation of the States Parties.”</w:t>
      </w:r>
    </w:p>
  </w:footnote>
  <w:footnote w:id="450">
    <w:p w14:paraId="746A1C10" w14:textId="64019A8D" w:rsidR="000A7745" w:rsidRPr="00C9465D" w:rsidRDefault="000A7745" w:rsidP="00BD26CF">
      <w:pPr>
        <w:pStyle w:val="FootnoteText"/>
        <w:spacing w:after="120"/>
        <w:ind w:right="48"/>
        <w:rPr>
          <w:sz w:val="16"/>
          <w:szCs w:val="16"/>
        </w:rPr>
      </w:pPr>
      <w:r w:rsidRPr="00C9465D">
        <w:rPr>
          <w:rStyle w:val="FootnoteReference"/>
          <w:sz w:val="16"/>
          <w:szCs w:val="16"/>
          <w:lang w:val="en-US"/>
        </w:rPr>
        <w:footnoteRef/>
      </w:r>
      <w:r w:rsidRPr="00C9465D">
        <w:rPr>
          <w:sz w:val="16"/>
          <w:szCs w:val="16"/>
        </w:rPr>
        <w:t xml:space="preserve"> </w:t>
      </w:r>
      <w:r w:rsidRPr="00C9465D">
        <w:rPr>
          <w:i/>
          <w:iCs/>
          <w:sz w:val="16"/>
          <w:szCs w:val="16"/>
        </w:rPr>
        <w:t>Supra</w:t>
      </w:r>
      <w:r w:rsidRPr="00C9465D">
        <w:rPr>
          <w:sz w:val="16"/>
          <w:szCs w:val="16"/>
        </w:rPr>
        <w:t xml:space="preserve">, </w:t>
      </w:r>
      <w:proofErr w:type="spellStart"/>
      <w:r w:rsidR="00174BAE" w:rsidRPr="00C9465D">
        <w:rPr>
          <w:sz w:val="16"/>
          <w:szCs w:val="16"/>
        </w:rPr>
        <w:t>footnote</w:t>
      </w:r>
      <w:proofErr w:type="spellEnd"/>
      <w:r w:rsidR="00174BAE" w:rsidRPr="00C9465D">
        <w:rPr>
          <w:sz w:val="16"/>
          <w:szCs w:val="16"/>
        </w:rPr>
        <w:t xml:space="preserve"> </w:t>
      </w:r>
      <w:r w:rsidRPr="00C9465D">
        <w:rPr>
          <w:sz w:val="16"/>
          <w:szCs w:val="16"/>
        </w:rPr>
        <w:t>40</w:t>
      </w:r>
    </w:p>
  </w:footnote>
  <w:footnote w:id="451">
    <w:p w14:paraId="25C3837B" w14:textId="71B27167" w:rsidR="000A7745" w:rsidRPr="00C9465D" w:rsidRDefault="000A7745" w:rsidP="00BD26CF">
      <w:pPr>
        <w:pStyle w:val="FootnoteText"/>
        <w:spacing w:after="120"/>
        <w:ind w:right="48"/>
        <w:rPr>
          <w:sz w:val="16"/>
          <w:szCs w:val="16"/>
        </w:rPr>
      </w:pPr>
      <w:r w:rsidRPr="00C9465D">
        <w:rPr>
          <w:rStyle w:val="FootnoteReference"/>
          <w:sz w:val="16"/>
          <w:szCs w:val="16"/>
          <w:lang w:val="en-US"/>
        </w:rPr>
        <w:footnoteRef/>
      </w:r>
      <w:r w:rsidRPr="00C9465D">
        <w:rPr>
          <w:i/>
          <w:iCs/>
          <w:sz w:val="16"/>
          <w:szCs w:val="16"/>
        </w:rPr>
        <w:t xml:space="preserve"> Supra</w:t>
      </w:r>
      <w:r w:rsidRPr="00C9465D">
        <w:rPr>
          <w:sz w:val="16"/>
          <w:szCs w:val="16"/>
        </w:rPr>
        <w:t xml:space="preserve">, </w:t>
      </w:r>
      <w:r w:rsidR="004E6DB8" w:rsidRPr="00C9465D">
        <w:rPr>
          <w:sz w:val="16"/>
          <w:szCs w:val="16"/>
        </w:rPr>
        <w:t>p</w:t>
      </w:r>
      <w:r w:rsidR="00D8466F" w:rsidRPr="00C9465D">
        <w:rPr>
          <w:sz w:val="16"/>
          <w:szCs w:val="16"/>
        </w:rPr>
        <w:t>ara.</w:t>
      </w:r>
      <w:r w:rsidRPr="00C9465D">
        <w:rPr>
          <w:sz w:val="16"/>
          <w:szCs w:val="16"/>
        </w:rPr>
        <w:t>73.</w:t>
      </w:r>
    </w:p>
  </w:footnote>
  <w:footnote w:id="452">
    <w:p w14:paraId="5897CE4A" w14:textId="2D4A0A30" w:rsidR="000A7745" w:rsidRPr="00C9465D" w:rsidRDefault="000A7745" w:rsidP="00BD26CF">
      <w:pPr>
        <w:pStyle w:val="FootnoteText"/>
        <w:spacing w:after="120"/>
        <w:ind w:right="48"/>
        <w:rPr>
          <w:sz w:val="16"/>
          <w:szCs w:val="16"/>
        </w:rPr>
      </w:pPr>
      <w:r w:rsidRPr="00C9465D">
        <w:rPr>
          <w:rStyle w:val="FootnoteReference"/>
          <w:sz w:val="16"/>
          <w:szCs w:val="16"/>
          <w:lang w:val="en-US"/>
        </w:rPr>
        <w:footnoteRef/>
      </w:r>
      <w:r w:rsidRPr="00C9465D">
        <w:rPr>
          <w:sz w:val="16"/>
          <w:szCs w:val="16"/>
        </w:rPr>
        <w:t xml:space="preserve"> </w:t>
      </w:r>
      <w:r w:rsidRPr="00C9465D">
        <w:rPr>
          <w:i/>
          <w:iCs/>
          <w:sz w:val="16"/>
          <w:szCs w:val="16"/>
        </w:rPr>
        <w:t>Supra</w:t>
      </w:r>
      <w:r w:rsidRPr="00C9465D">
        <w:rPr>
          <w:sz w:val="16"/>
          <w:szCs w:val="16"/>
        </w:rPr>
        <w:t xml:space="preserve">, </w:t>
      </w:r>
      <w:proofErr w:type="spellStart"/>
      <w:r w:rsidR="00174BAE" w:rsidRPr="00C9465D">
        <w:rPr>
          <w:sz w:val="16"/>
          <w:szCs w:val="16"/>
        </w:rPr>
        <w:t>footnote</w:t>
      </w:r>
      <w:proofErr w:type="spellEnd"/>
      <w:r w:rsidR="00174BAE" w:rsidRPr="00C9465D">
        <w:rPr>
          <w:sz w:val="16"/>
          <w:szCs w:val="16"/>
        </w:rPr>
        <w:t xml:space="preserve"> </w:t>
      </w:r>
      <w:r w:rsidRPr="00C9465D">
        <w:rPr>
          <w:sz w:val="16"/>
          <w:szCs w:val="16"/>
        </w:rPr>
        <w:t>2.</w:t>
      </w:r>
      <w:r w:rsidRPr="00C9465D">
        <w:rPr>
          <w:sz w:val="16"/>
          <w:szCs w:val="16"/>
        </w:rPr>
        <w:tab/>
      </w:r>
      <w:r w:rsidRPr="00C9465D">
        <w:rPr>
          <w:sz w:val="16"/>
          <w:szCs w:val="16"/>
        </w:rPr>
        <w:tab/>
      </w:r>
      <w:r w:rsidRPr="00C9465D">
        <w:rPr>
          <w:sz w:val="16"/>
          <w:szCs w:val="16"/>
        </w:rPr>
        <w:tab/>
      </w:r>
      <w:r w:rsidRPr="00C9465D">
        <w:rPr>
          <w:sz w:val="16"/>
          <w:szCs w:val="16"/>
        </w:rPr>
        <w:tab/>
      </w:r>
      <w:r w:rsidRPr="00C9465D">
        <w:rPr>
          <w:sz w:val="16"/>
          <w:szCs w:val="16"/>
        </w:rPr>
        <w:tab/>
      </w:r>
      <w:r w:rsidRPr="00C9465D">
        <w:rPr>
          <w:sz w:val="16"/>
          <w:szCs w:val="16"/>
        </w:rPr>
        <w:tab/>
      </w:r>
      <w:r w:rsidRPr="00C9465D">
        <w:rPr>
          <w:sz w:val="16"/>
          <w:szCs w:val="16"/>
        </w:rPr>
        <w:tab/>
      </w:r>
      <w:r w:rsidRPr="00C9465D">
        <w:rPr>
          <w:sz w:val="16"/>
          <w:szCs w:val="16"/>
        </w:rPr>
        <w:tab/>
      </w:r>
    </w:p>
  </w:footnote>
  <w:footnote w:id="453">
    <w:p w14:paraId="52D1C718" w14:textId="41B255C1" w:rsidR="000A7745" w:rsidRPr="00C9465D" w:rsidRDefault="000A7745" w:rsidP="00BD26CF">
      <w:pPr>
        <w:pStyle w:val="FootnoteText"/>
        <w:spacing w:after="120"/>
        <w:ind w:right="48"/>
        <w:rPr>
          <w:sz w:val="16"/>
          <w:szCs w:val="16"/>
          <w:lang w:val="en-US"/>
        </w:rPr>
      </w:pPr>
      <w:r w:rsidRPr="00C9465D">
        <w:rPr>
          <w:rStyle w:val="FootnoteReference"/>
          <w:sz w:val="16"/>
          <w:szCs w:val="16"/>
          <w:lang w:val="en-US"/>
        </w:rPr>
        <w:footnoteRef/>
      </w:r>
      <w:r w:rsidRPr="00C9465D">
        <w:rPr>
          <w:sz w:val="16"/>
          <w:szCs w:val="16"/>
          <w:lang w:val="en-US"/>
        </w:rPr>
        <w:t xml:space="preserve"> Adopt</w:t>
      </w:r>
      <w:r w:rsidR="004E6DB8" w:rsidRPr="00C9465D">
        <w:rPr>
          <w:sz w:val="16"/>
          <w:szCs w:val="16"/>
          <w:lang w:val="en-US"/>
        </w:rPr>
        <w:t xml:space="preserve">ed at the twenty-eighth special session of the OAS General Assembly, September 11, </w:t>
      </w:r>
      <w:r w:rsidRPr="00C9465D">
        <w:rPr>
          <w:sz w:val="16"/>
          <w:szCs w:val="16"/>
          <w:lang w:val="en-US"/>
        </w:rPr>
        <w:t xml:space="preserve">2001, Lima, </w:t>
      </w:r>
      <w:r w:rsidR="001902D2" w:rsidRPr="00C9465D">
        <w:rPr>
          <w:sz w:val="16"/>
          <w:szCs w:val="16"/>
          <w:lang w:val="en-US"/>
        </w:rPr>
        <w:t>Peru</w:t>
      </w:r>
      <w:r w:rsidRPr="00C9465D">
        <w:rPr>
          <w:sz w:val="16"/>
          <w:szCs w:val="16"/>
          <w:lang w:val="en-US"/>
        </w:rPr>
        <w:t xml:space="preserve">. </w:t>
      </w:r>
    </w:p>
  </w:footnote>
  <w:footnote w:id="454">
    <w:p w14:paraId="54CFD83B" w14:textId="16D92D3F" w:rsidR="000A7745" w:rsidRPr="00C9465D" w:rsidRDefault="000A7745" w:rsidP="00BD26CF">
      <w:pPr>
        <w:pStyle w:val="FootnoteText"/>
        <w:spacing w:after="120"/>
        <w:ind w:right="48"/>
        <w:rPr>
          <w:sz w:val="16"/>
          <w:szCs w:val="16"/>
        </w:rPr>
      </w:pPr>
      <w:r w:rsidRPr="00C9465D">
        <w:rPr>
          <w:rStyle w:val="FootnoteReference"/>
          <w:sz w:val="16"/>
          <w:szCs w:val="16"/>
          <w:lang w:val="en-US"/>
        </w:rPr>
        <w:footnoteRef/>
      </w:r>
      <w:r w:rsidRPr="00C9465D">
        <w:rPr>
          <w:sz w:val="16"/>
          <w:szCs w:val="16"/>
        </w:rPr>
        <w:t xml:space="preserve"> </w:t>
      </w:r>
      <w:r w:rsidRPr="00C9465D">
        <w:rPr>
          <w:i/>
          <w:iCs/>
          <w:sz w:val="16"/>
          <w:szCs w:val="16"/>
        </w:rPr>
        <w:t>Supra</w:t>
      </w:r>
      <w:r w:rsidRPr="00C9465D">
        <w:rPr>
          <w:sz w:val="16"/>
          <w:szCs w:val="16"/>
        </w:rPr>
        <w:t xml:space="preserve">, </w:t>
      </w:r>
      <w:proofErr w:type="spellStart"/>
      <w:r w:rsidR="00174BAE" w:rsidRPr="00C9465D">
        <w:rPr>
          <w:sz w:val="16"/>
          <w:szCs w:val="16"/>
        </w:rPr>
        <w:t>footnote</w:t>
      </w:r>
      <w:proofErr w:type="spellEnd"/>
      <w:r w:rsidR="00174BAE" w:rsidRPr="00C9465D">
        <w:rPr>
          <w:sz w:val="16"/>
          <w:szCs w:val="16"/>
        </w:rPr>
        <w:t xml:space="preserve"> </w:t>
      </w:r>
      <w:r w:rsidRPr="00C9465D">
        <w:rPr>
          <w:sz w:val="16"/>
          <w:szCs w:val="16"/>
        </w:rPr>
        <w:t>10</w:t>
      </w:r>
    </w:p>
  </w:footnote>
  <w:footnote w:id="455">
    <w:p w14:paraId="32AE7473" w14:textId="0DCB8842" w:rsidR="000A7745" w:rsidRPr="00C9465D" w:rsidRDefault="000A7745" w:rsidP="006A5339">
      <w:pPr>
        <w:pStyle w:val="FootnoteText"/>
        <w:tabs>
          <w:tab w:val="left" w:pos="720"/>
        </w:tabs>
        <w:spacing w:after="120"/>
        <w:rPr>
          <w:sz w:val="16"/>
          <w:szCs w:val="16"/>
          <w:shd w:val="clear" w:color="auto" w:fill="FFFFFF"/>
          <w:lang w:val="en-US"/>
        </w:rPr>
      </w:pPr>
      <w:r w:rsidRPr="00C9465D">
        <w:rPr>
          <w:rStyle w:val="FootnoteReference"/>
          <w:sz w:val="16"/>
          <w:szCs w:val="16"/>
          <w:lang w:val="en-US"/>
        </w:rPr>
        <w:footnoteRef/>
      </w:r>
      <w:r w:rsidRPr="00C9465D">
        <w:rPr>
          <w:sz w:val="16"/>
          <w:szCs w:val="16"/>
        </w:rPr>
        <w:tab/>
      </w:r>
      <w:r w:rsidR="00E2299F" w:rsidRPr="00C9465D">
        <w:rPr>
          <w:i/>
          <w:sz w:val="16"/>
          <w:szCs w:val="16"/>
        </w:rPr>
        <w:t>Cf.</w:t>
      </w:r>
      <w:r w:rsidRPr="00C9465D">
        <w:rPr>
          <w:sz w:val="16"/>
          <w:szCs w:val="16"/>
        </w:rPr>
        <w:t xml:space="preserve"> </w:t>
      </w:r>
      <w:r w:rsidR="00D8466F" w:rsidRPr="00C9465D">
        <w:rPr>
          <w:rStyle w:val="Strong"/>
          <w:b w:val="0"/>
          <w:i/>
          <w:sz w:val="16"/>
          <w:szCs w:val="16"/>
        </w:rPr>
        <w:t>Case of</w:t>
      </w:r>
      <w:r w:rsidRPr="00C9465D">
        <w:rPr>
          <w:rStyle w:val="Strong"/>
          <w:b w:val="0"/>
          <w:i/>
          <w:sz w:val="16"/>
          <w:szCs w:val="16"/>
        </w:rPr>
        <w:t xml:space="preserve"> Lagos del Campo </w:t>
      </w:r>
      <w:r w:rsidR="00193CBB" w:rsidRPr="00C9465D">
        <w:rPr>
          <w:rStyle w:val="Strong"/>
          <w:b w:val="0"/>
          <w:i/>
          <w:sz w:val="16"/>
          <w:szCs w:val="16"/>
        </w:rPr>
        <w:t>v.</w:t>
      </w:r>
      <w:r w:rsidRPr="00C9465D">
        <w:rPr>
          <w:rStyle w:val="Strong"/>
          <w:b w:val="0"/>
          <w:i/>
          <w:sz w:val="16"/>
          <w:szCs w:val="16"/>
        </w:rPr>
        <w:t xml:space="preserve"> </w:t>
      </w:r>
      <w:proofErr w:type="spellStart"/>
      <w:r w:rsidR="001902D2" w:rsidRPr="00C9465D">
        <w:rPr>
          <w:rStyle w:val="Strong"/>
          <w:b w:val="0"/>
          <w:i/>
          <w:sz w:val="16"/>
          <w:szCs w:val="16"/>
        </w:rPr>
        <w:t>Peru</w:t>
      </w:r>
      <w:proofErr w:type="spellEnd"/>
      <w:r w:rsidRPr="00C9465D">
        <w:rPr>
          <w:rStyle w:val="Strong"/>
          <w:b w:val="0"/>
          <w:i/>
          <w:sz w:val="16"/>
          <w:szCs w:val="16"/>
        </w:rPr>
        <w:t xml:space="preserve">. </w:t>
      </w:r>
      <w:r w:rsidR="00D8466F" w:rsidRPr="00C9465D">
        <w:rPr>
          <w:i/>
          <w:sz w:val="16"/>
          <w:szCs w:val="16"/>
          <w:lang w:val="en-US"/>
        </w:rPr>
        <w:t>Preliminary objections, merits</w:t>
      </w:r>
      <w:r w:rsidR="00193CBB" w:rsidRPr="00C9465D">
        <w:rPr>
          <w:i/>
          <w:sz w:val="16"/>
          <w:szCs w:val="16"/>
          <w:lang w:val="en-US"/>
        </w:rPr>
        <w:t>, reparations and costs</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9B4E86" w:rsidRPr="00C9465D">
        <w:rPr>
          <w:sz w:val="16"/>
          <w:szCs w:val="16"/>
          <w:lang w:val="en-US"/>
        </w:rPr>
        <w:t>August 31,</w:t>
      </w:r>
      <w:r w:rsidRPr="00C9465D">
        <w:rPr>
          <w:sz w:val="16"/>
          <w:szCs w:val="16"/>
          <w:lang w:val="en-US"/>
        </w:rPr>
        <w:t xml:space="preserve"> 2017. </w:t>
      </w:r>
      <w:r w:rsidR="00E2299F" w:rsidRPr="00C9465D">
        <w:rPr>
          <w:sz w:val="16"/>
          <w:szCs w:val="16"/>
          <w:lang w:val="en-US"/>
        </w:rPr>
        <w:t xml:space="preserve">Series </w:t>
      </w:r>
      <w:r w:rsidRPr="00C9465D">
        <w:rPr>
          <w:sz w:val="16"/>
          <w:szCs w:val="16"/>
          <w:lang w:val="en-US"/>
        </w:rPr>
        <w:t>C No. 340.</w:t>
      </w:r>
      <w:r w:rsidRPr="00C9465D">
        <w:rPr>
          <w:i/>
          <w:sz w:val="16"/>
          <w:szCs w:val="16"/>
          <w:lang w:val="en-US"/>
        </w:rPr>
        <w:t xml:space="preserve"> </w:t>
      </w:r>
      <w:r w:rsidR="001E2003" w:rsidRPr="00C9465D">
        <w:rPr>
          <w:rStyle w:val="Strong"/>
          <w:b w:val="0"/>
          <w:sz w:val="16"/>
          <w:szCs w:val="16"/>
          <w:lang w:val="en-US"/>
        </w:rPr>
        <w:t>Partially dissenting opinion of</w:t>
      </w:r>
      <w:r w:rsidRPr="00C9465D">
        <w:rPr>
          <w:rStyle w:val="Strong"/>
          <w:b w:val="0"/>
          <w:sz w:val="16"/>
          <w:szCs w:val="16"/>
          <w:lang w:val="en-US"/>
        </w:rPr>
        <w:t xml:space="preserve"> </w:t>
      </w:r>
      <w:r w:rsidR="00193CBB" w:rsidRPr="00C9465D">
        <w:rPr>
          <w:rStyle w:val="Strong"/>
          <w:b w:val="0"/>
          <w:sz w:val="16"/>
          <w:szCs w:val="16"/>
          <w:lang w:val="en-US"/>
        </w:rPr>
        <w:t>Judge</w:t>
      </w:r>
      <w:r w:rsidRPr="00C9465D">
        <w:rPr>
          <w:rStyle w:val="Strong"/>
          <w:b w:val="0"/>
          <w:sz w:val="16"/>
          <w:szCs w:val="16"/>
          <w:lang w:val="en-US"/>
        </w:rPr>
        <w:t xml:space="preserve"> Humberto Antonio Sierra Porto.</w:t>
      </w:r>
      <w:r w:rsidRPr="00C9465D">
        <w:rPr>
          <w:rStyle w:val="Strong"/>
          <w:b w:val="0"/>
          <w:sz w:val="16"/>
          <w:szCs w:val="16"/>
          <w:shd w:val="clear" w:color="auto" w:fill="FFFFFF"/>
          <w:lang w:val="en-US"/>
        </w:rPr>
        <w:t xml:space="preserve"> </w:t>
      </w:r>
    </w:p>
  </w:footnote>
  <w:footnote w:id="456">
    <w:p w14:paraId="69B6369E" w14:textId="1BFA892D" w:rsidR="000A7745" w:rsidRPr="00C9465D" w:rsidRDefault="000A7745" w:rsidP="006A5339">
      <w:pPr>
        <w:pStyle w:val="FootnoteText"/>
        <w:tabs>
          <w:tab w:val="left" w:pos="720"/>
        </w:tabs>
        <w:spacing w:after="120"/>
        <w:rPr>
          <w:rFonts w:eastAsia="Calibri"/>
          <w:sz w:val="16"/>
          <w:szCs w:val="16"/>
          <w:shd w:val="clear" w:color="auto" w:fill="FFFFFF"/>
          <w:lang w:val="en-US"/>
        </w:rPr>
      </w:pPr>
      <w:r w:rsidRPr="00C9465D">
        <w:rPr>
          <w:rStyle w:val="FootnoteReference"/>
          <w:sz w:val="16"/>
          <w:szCs w:val="16"/>
          <w:lang w:val="en-US"/>
        </w:rPr>
        <w:footnoteRef/>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 xml:space="preserve">Case </w:t>
      </w:r>
      <w:r w:rsidR="009B4E86" w:rsidRPr="00C9465D">
        <w:rPr>
          <w:i/>
          <w:sz w:val="16"/>
          <w:szCs w:val="16"/>
          <w:lang w:val="en-US"/>
        </w:rPr>
        <w:t>of Dismissed Employees of</w:t>
      </w:r>
      <w:r w:rsidRPr="00C9465D">
        <w:rPr>
          <w:i/>
          <w:sz w:val="16"/>
          <w:szCs w:val="16"/>
          <w:lang w:val="en-US"/>
        </w:rPr>
        <w:t xml:space="preserve"> Petro</w:t>
      </w:r>
      <w:r w:rsidR="001902D2" w:rsidRPr="00C9465D">
        <w:rPr>
          <w:i/>
          <w:sz w:val="16"/>
          <w:szCs w:val="16"/>
          <w:lang w:val="en-US"/>
        </w:rPr>
        <w:t>Peru</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w:t>
      </w:r>
      <w:r w:rsidR="001902D2" w:rsidRPr="00C9465D">
        <w:rPr>
          <w:i/>
          <w:sz w:val="16"/>
          <w:szCs w:val="16"/>
          <w:lang w:val="en-US"/>
        </w:rPr>
        <w:t>Peru</w:t>
      </w:r>
      <w:r w:rsidRPr="00C9465D">
        <w:rPr>
          <w:i/>
          <w:sz w:val="16"/>
          <w:szCs w:val="16"/>
          <w:lang w:val="en-US"/>
        </w:rPr>
        <w:t xml:space="preserve">. </w:t>
      </w:r>
      <w:r w:rsidR="00D8466F" w:rsidRPr="00C9465D">
        <w:rPr>
          <w:i/>
          <w:sz w:val="16"/>
          <w:szCs w:val="16"/>
          <w:lang w:val="en-US"/>
        </w:rPr>
        <w:t>Preliminary objections, merits</w:t>
      </w:r>
      <w:r w:rsidR="00193CBB" w:rsidRPr="00C9465D">
        <w:rPr>
          <w:i/>
          <w:sz w:val="16"/>
          <w:szCs w:val="16"/>
          <w:lang w:val="en-US"/>
        </w:rPr>
        <w:t>, reparations and costs</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9B4E86" w:rsidRPr="00C9465D">
        <w:rPr>
          <w:sz w:val="16"/>
          <w:szCs w:val="16"/>
          <w:lang w:val="en-US"/>
        </w:rPr>
        <w:t>November 23,</w:t>
      </w:r>
      <w:r w:rsidRPr="00C9465D">
        <w:rPr>
          <w:sz w:val="16"/>
          <w:szCs w:val="16"/>
          <w:lang w:val="en-US"/>
        </w:rPr>
        <w:t xml:space="preserve"> 2017. </w:t>
      </w:r>
      <w:r w:rsidR="00E2299F" w:rsidRPr="00C9465D">
        <w:rPr>
          <w:sz w:val="16"/>
          <w:szCs w:val="16"/>
          <w:lang w:val="en-US"/>
        </w:rPr>
        <w:t xml:space="preserve">Series </w:t>
      </w:r>
      <w:r w:rsidRPr="00C9465D">
        <w:rPr>
          <w:sz w:val="16"/>
          <w:szCs w:val="16"/>
          <w:lang w:val="en-US"/>
        </w:rPr>
        <w:t>C No. 344</w:t>
      </w:r>
      <w:r w:rsidRPr="00C9465D">
        <w:rPr>
          <w:i/>
          <w:sz w:val="16"/>
          <w:szCs w:val="16"/>
          <w:lang w:val="en-US"/>
        </w:rPr>
        <w:t>.</w:t>
      </w:r>
      <w:r w:rsidRPr="00C9465D">
        <w:rPr>
          <w:sz w:val="16"/>
          <w:szCs w:val="16"/>
          <w:lang w:val="en-US"/>
        </w:rPr>
        <w:t xml:space="preserve"> </w:t>
      </w:r>
      <w:r w:rsidR="001E2003" w:rsidRPr="00C9465D">
        <w:rPr>
          <w:rStyle w:val="Strong"/>
          <w:b w:val="0"/>
          <w:sz w:val="16"/>
          <w:szCs w:val="16"/>
          <w:lang w:val="en-US"/>
        </w:rPr>
        <w:t>Partially dissenting opinion of</w:t>
      </w:r>
      <w:r w:rsidRPr="00C9465D">
        <w:rPr>
          <w:rStyle w:val="Strong"/>
          <w:b w:val="0"/>
          <w:sz w:val="16"/>
          <w:szCs w:val="16"/>
          <w:lang w:val="en-US"/>
        </w:rPr>
        <w:t xml:space="preserve"> </w:t>
      </w:r>
      <w:r w:rsidR="00193CBB" w:rsidRPr="00C9465D">
        <w:rPr>
          <w:rStyle w:val="Strong"/>
          <w:b w:val="0"/>
          <w:sz w:val="16"/>
          <w:szCs w:val="16"/>
          <w:lang w:val="en-US"/>
        </w:rPr>
        <w:t>Judge</w:t>
      </w:r>
      <w:r w:rsidRPr="00C9465D">
        <w:rPr>
          <w:rStyle w:val="Strong"/>
          <w:b w:val="0"/>
          <w:sz w:val="16"/>
          <w:szCs w:val="16"/>
          <w:lang w:val="en-US"/>
        </w:rPr>
        <w:t xml:space="preserve"> Humberto</w:t>
      </w:r>
      <w:r w:rsidRPr="00C9465D">
        <w:rPr>
          <w:rStyle w:val="Strong"/>
          <w:b w:val="0"/>
          <w:sz w:val="16"/>
          <w:szCs w:val="16"/>
          <w:shd w:val="clear" w:color="auto" w:fill="FFFFFF"/>
          <w:lang w:val="en-US"/>
        </w:rPr>
        <w:t xml:space="preserve"> </w:t>
      </w:r>
      <w:r w:rsidRPr="00C9465D">
        <w:rPr>
          <w:rStyle w:val="Strong"/>
          <w:b w:val="0"/>
          <w:sz w:val="16"/>
          <w:szCs w:val="16"/>
          <w:lang w:val="en-US"/>
        </w:rPr>
        <w:t>Antonio Sierra Porto.</w:t>
      </w:r>
      <w:r w:rsidRPr="00C9465D">
        <w:rPr>
          <w:rStyle w:val="Strong"/>
          <w:b w:val="0"/>
          <w:sz w:val="16"/>
          <w:szCs w:val="16"/>
          <w:shd w:val="clear" w:color="auto" w:fill="FFFFFF"/>
          <w:lang w:val="en-US"/>
        </w:rPr>
        <w:t xml:space="preserve"> </w:t>
      </w:r>
    </w:p>
  </w:footnote>
  <w:footnote w:id="457">
    <w:p w14:paraId="0E5A393F" w14:textId="40DCB62B" w:rsidR="000A7745" w:rsidRPr="00C9465D" w:rsidRDefault="000A7745" w:rsidP="006A5339">
      <w:pPr>
        <w:pStyle w:val="FootnoteText"/>
        <w:tabs>
          <w:tab w:val="left" w:pos="720"/>
        </w:tabs>
        <w:spacing w:after="120"/>
        <w:rPr>
          <w:sz w:val="16"/>
          <w:szCs w:val="16"/>
          <w:lang w:val="en-US"/>
        </w:rPr>
      </w:pPr>
      <w:r w:rsidRPr="00C9465D">
        <w:rPr>
          <w:rStyle w:val="FootnoteReference"/>
          <w:sz w:val="16"/>
          <w:szCs w:val="16"/>
          <w:lang w:val="en-US"/>
        </w:rPr>
        <w:footnoteRef/>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rStyle w:val="Strong"/>
          <w:b w:val="0"/>
          <w:i/>
          <w:sz w:val="16"/>
          <w:szCs w:val="16"/>
          <w:lang w:val="en-US"/>
        </w:rPr>
        <w:t>Case of</w:t>
      </w:r>
      <w:r w:rsidRPr="00C9465D">
        <w:rPr>
          <w:rStyle w:val="Strong"/>
          <w:b w:val="0"/>
          <w:i/>
          <w:sz w:val="16"/>
          <w:szCs w:val="16"/>
          <w:lang w:val="en-US"/>
        </w:rPr>
        <w:t xml:space="preserve"> San Miguel Sosa</w:t>
      </w:r>
      <w:r w:rsidR="00193CBB" w:rsidRPr="00C9465D">
        <w:rPr>
          <w:rStyle w:val="Strong"/>
          <w:b w:val="0"/>
          <w:i/>
          <w:sz w:val="16"/>
          <w:szCs w:val="16"/>
          <w:lang w:val="en-US"/>
        </w:rPr>
        <w:t xml:space="preserve"> </w:t>
      </w:r>
      <w:r w:rsidR="009B4E86" w:rsidRPr="00C9465D">
        <w:rPr>
          <w:rStyle w:val="Strong"/>
          <w:b w:val="0"/>
          <w:i/>
          <w:sz w:val="16"/>
          <w:szCs w:val="16"/>
          <w:lang w:val="en-US"/>
        </w:rPr>
        <w:t>et al.</w:t>
      </w:r>
      <w:r w:rsidRPr="00C9465D">
        <w:rPr>
          <w:rStyle w:val="Strong"/>
          <w:b w:val="0"/>
          <w:i/>
          <w:sz w:val="16"/>
          <w:szCs w:val="16"/>
          <w:lang w:val="en-US"/>
        </w:rPr>
        <w:t xml:space="preserve"> </w:t>
      </w:r>
      <w:r w:rsidR="00193CBB" w:rsidRPr="00C9465D">
        <w:rPr>
          <w:rStyle w:val="Strong"/>
          <w:b w:val="0"/>
          <w:i/>
          <w:sz w:val="16"/>
          <w:szCs w:val="16"/>
          <w:lang w:val="en-US"/>
        </w:rPr>
        <w:t>v.</w:t>
      </w:r>
      <w:r w:rsidRPr="00C9465D">
        <w:rPr>
          <w:rStyle w:val="Strong"/>
          <w:b w:val="0"/>
          <w:i/>
          <w:sz w:val="16"/>
          <w:szCs w:val="16"/>
          <w:lang w:val="en-US"/>
        </w:rPr>
        <w:t xml:space="preserve"> Venezuela. </w:t>
      </w:r>
      <w:r w:rsidR="00193CBB" w:rsidRPr="00C9465D">
        <w:rPr>
          <w:rStyle w:val="Strong"/>
          <w:b w:val="0"/>
          <w:i/>
          <w:sz w:val="16"/>
          <w:szCs w:val="16"/>
          <w:lang w:val="en-US"/>
        </w:rPr>
        <w:t>Merits, reparations and costs</w:t>
      </w:r>
      <w:r w:rsidRPr="00C9465D">
        <w:rPr>
          <w:rStyle w:val="Strong"/>
          <w:b w:val="0"/>
          <w:i/>
          <w:sz w:val="16"/>
          <w:szCs w:val="16"/>
          <w:lang w:val="en-US"/>
        </w:rPr>
        <w:t>.</w:t>
      </w:r>
      <w:r w:rsidRPr="00C9465D">
        <w:rPr>
          <w:rStyle w:val="Strong"/>
          <w:b w:val="0"/>
          <w:sz w:val="16"/>
          <w:szCs w:val="16"/>
          <w:lang w:val="en-US"/>
        </w:rPr>
        <w:t xml:space="preserve"> </w:t>
      </w:r>
      <w:r w:rsidR="00D8466F" w:rsidRPr="00C9465D">
        <w:rPr>
          <w:rStyle w:val="Strong"/>
          <w:b w:val="0"/>
          <w:sz w:val="16"/>
          <w:szCs w:val="16"/>
          <w:lang w:val="en-US"/>
        </w:rPr>
        <w:t>Judgment of</w:t>
      </w:r>
      <w:r w:rsidRPr="00C9465D">
        <w:rPr>
          <w:rStyle w:val="Strong"/>
          <w:b w:val="0"/>
          <w:sz w:val="16"/>
          <w:szCs w:val="16"/>
          <w:lang w:val="en-US"/>
        </w:rPr>
        <w:t xml:space="preserve"> </w:t>
      </w:r>
      <w:r w:rsidR="009B4E86" w:rsidRPr="00C9465D">
        <w:rPr>
          <w:rStyle w:val="Strong"/>
          <w:b w:val="0"/>
          <w:sz w:val="16"/>
          <w:szCs w:val="16"/>
          <w:lang w:val="en-US"/>
        </w:rPr>
        <w:t>February 8,</w:t>
      </w:r>
      <w:r w:rsidRPr="00C9465D">
        <w:rPr>
          <w:rStyle w:val="Strong"/>
          <w:b w:val="0"/>
          <w:sz w:val="16"/>
          <w:szCs w:val="16"/>
          <w:shd w:val="clear" w:color="auto" w:fill="FFFFFF"/>
          <w:lang w:val="en-US"/>
        </w:rPr>
        <w:t xml:space="preserve"> </w:t>
      </w:r>
      <w:r w:rsidRPr="00C9465D">
        <w:rPr>
          <w:rStyle w:val="Strong"/>
          <w:b w:val="0"/>
          <w:sz w:val="16"/>
          <w:szCs w:val="16"/>
          <w:lang w:val="en-US"/>
        </w:rPr>
        <w:t xml:space="preserve">2018. </w:t>
      </w:r>
      <w:r w:rsidR="00E2299F" w:rsidRPr="00C9465D">
        <w:rPr>
          <w:rStyle w:val="Strong"/>
          <w:b w:val="0"/>
          <w:sz w:val="16"/>
          <w:szCs w:val="16"/>
          <w:lang w:val="en-US"/>
        </w:rPr>
        <w:t xml:space="preserve">Series </w:t>
      </w:r>
      <w:r w:rsidRPr="00C9465D">
        <w:rPr>
          <w:rStyle w:val="Strong"/>
          <w:b w:val="0"/>
          <w:sz w:val="16"/>
          <w:szCs w:val="16"/>
          <w:lang w:val="en-US"/>
        </w:rPr>
        <w:t xml:space="preserve">C No. 348. </w:t>
      </w:r>
      <w:r w:rsidR="001E2003" w:rsidRPr="00C9465D">
        <w:rPr>
          <w:rStyle w:val="Strong"/>
          <w:b w:val="0"/>
          <w:sz w:val="16"/>
          <w:szCs w:val="16"/>
          <w:lang w:val="en-US"/>
        </w:rPr>
        <w:t>Partially dissenting opinion of</w:t>
      </w:r>
      <w:r w:rsidRPr="00C9465D">
        <w:rPr>
          <w:rStyle w:val="Strong"/>
          <w:b w:val="0"/>
          <w:sz w:val="16"/>
          <w:szCs w:val="16"/>
          <w:lang w:val="en-US"/>
        </w:rPr>
        <w:t xml:space="preserve"> </w:t>
      </w:r>
      <w:r w:rsidR="00193CBB" w:rsidRPr="00C9465D">
        <w:rPr>
          <w:rStyle w:val="Strong"/>
          <w:b w:val="0"/>
          <w:sz w:val="16"/>
          <w:szCs w:val="16"/>
          <w:lang w:val="en-US"/>
        </w:rPr>
        <w:t>Judge</w:t>
      </w:r>
      <w:r w:rsidRPr="00C9465D">
        <w:rPr>
          <w:rStyle w:val="Strong"/>
          <w:b w:val="0"/>
          <w:sz w:val="16"/>
          <w:szCs w:val="16"/>
          <w:lang w:val="en-US"/>
        </w:rPr>
        <w:t xml:space="preserve"> Humberto Antonio Sierra Porto.</w:t>
      </w:r>
    </w:p>
  </w:footnote>
  <w:footnote w:id="458">
    <w:p w14:paraId="3652E44E" w14:textId="47DDD9C3" w:rsidR="000A7745" w:rsidRPr="00C9465D" w:rsidRDefault="000A7745" w:rsidP="006A5339">
      <w:pPr>
        <w:pStyle w:val="FootnoteText"/>
        <w:tabs>
          <w:tab w:val="left" w:pos="720"/>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D8466F" w:rsidRPr="00C9465D">
        <w:rPr>
          <w:i/>
          <w:sz w:val="16"/>
          <w:szCs w:val="16"/>
          <w:lang w:val="en-US"/>
        </w:rPr>
        <w:t>Case of</w:t>
      </w:r>
      <w:r w:rsidRPr="00C9465D">
        <w:rPr>
          <w:i/>
          <w:sz w:val="16"/>
          <w:szCs w:val="16"/>
          <w:lang w:val="en-US"/>
        </w:rPr>
        <w:t xml:space="preserve"> Cuscul Pivaral</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Guatemala. </w:t>
      </w:r>
      <w:r w:rsidR="00D8466F" w:rsidRPr="00C9465D">
        <w:rPr>
          <w:i/>
          <w:sz w:val="16"/>
          <w:szCs w:val="16"/>
          <w:lang w:val="en-US"/>
        </w:rPr>
        <w:t>Preliminary objection, merits</w:t>
      </w:r>
      <w:r w:rsidR="00193CBB" w:rsidRPr="00C9465D">
        <w:rPr>
          <w:i/>
          <w:sz w:val="16"/>
          <w:szCs w:val="16"/>
          <w:lang w:val="en-US"/>
        </w:rPr>
        <w:t>, reparations and costs</w:t>
      </w:r>
      <w:r w:rsidRPr="00C9465D">
        <w:rPr>
          <w:i/>
          <w:sz w:val="16"/>
          <w:szCs w:val="16"/>
          <w:lang w:val="en-US"/>
        </w:rPr>
        <w:t>.</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9B4E86" w:rsidRPr="00C9465D">
        <w:rPr>
          <w:sz w:val="16"/>
          <w:szCs w:val="16"/>
          <w:lang w:val="en-US"/>
        </w:rPr>
        <w:t>August 23,</w:t>
      </w:r>
      <w:r w:rsidRPr="00C9465D">
        <w:rPr>
          <w:sz w:val="16"/>
          <w:szCs w:val="16"/>
          <w:lang w:val="en-US"/>
        </w:rPr>
        <w:t xml:space="preserve"> 2018. </w:t>
      </w:r>
      <w:r w:rsidR="00E2299F" w:rsidRPr="00C9465D">
        <w:rPr>
          <w:sz w:val="16"/>
          <w:szCs w:val="16"/>
          <w:lang w:val="en-US"/>
        </w:rPr>
        <w:t xml:space="preserve">Series </w:t>
      </w:r>
      <w:r w:rsidRPr="00C9465D">
        <w:rPr>
          <w:sz w:val="16"/>
          <w:szCs w:val="16"/>
          <w:lang w:val="en-US"/>
        </w:rPr>
        <w:t xml:space="preserve">C No. 359. </w:t>
      </w:r>
      <w:r w:rsidR="001E2003" w:rsidRPr="00C9465D">
        <w:rPr>
          <w:rStyle w:val="Strong"/>
          <w:b w:val="0"/>
          <w:sz w:val="16"/>
          <w:szCs w:val="16"/>
          <w:lang w:val="en-US"/>
        </w:rPr>
        <w:t>Partially dissenting opinion of</w:t>
      </w:r>
      <w:r w:rsidRPr="00C9465D">
        <w:rPr>
          <w:rStyle w:val="Strong"/>
          <w:b w:val="0"/>
          <w:sz w:val="16"/>
          <w:szCs w:val="16"/>
          <w:lang w:val="en-US"/>
        </w:rPr>
        <w:t xml:space="preserve"> </w:t>
      </w:r>
      <w:r w:rsidR="00193CBB" w:rsidRPr="00C9465D">
        <w:rPr>
          <w:rStyle w:val="Strong"/>
          <w:b w:val="0"/>
          <w:sz w:val="16"/>
          <w:szCs w:val="16"/>
          <w:lang w:val="en-US"/>
        </w:rPr>
        <w:t>Judge</w:t>
      </w:r>
      <w:r w:rsidRPr="00C9465D">
        <w:rPr>
          <w:rStyle w:val="Strong"/>
          <w:b w:val="0"/>
          <w:sz w:val="16"/>
          <w:szCs w:val="16"/>
          <w:lang w:val="en-US"/>
        </w:rPr>
        <w:t xml:space="preserve"> Humberto Antonio Sierra Porto.</w:t>
      </w:r>
    </w:p>
  </w:footnote>
  <w:footnote w:id="459">
    <w:p w14:paraId="250D4394" w14:textId="2D989972" w:rsidR="000A7745" w:rsidRPr="00C9465D" w:rsidRDefault="000A7745" w:rsidP="006A5339">
      <w:pPr>
        <w:pStyle w:val="FootnoteText"/>
        <w:tabs>
          <w:tab w:val="left" w:pos="720"/>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Muelle Flores </w:t>
      </w:r>
      <w:r w:rsidR="00193CBB" w:rsidRPr="00C9465D">
        <w:rPr>
          <w:i/>
          <w:sz w:val="16"/>
          <w:szCs w:val="16"/>
          <w:lang w:val="en-US"/>
        </w:rPr>
        <w:t>v.</w:t>
      </w:r>
      <w:r w:rsidRPr="00C9465D">
        <w:rPr>
          <w:i/>
          <w:sz w:val="16"/>
          <w:szCs w:val="16"/>
          <w:lang w:val="en-US"/>
        </w:rPr>
        <w:t xml:space="preserve"> </w:t>
      </w:r>
      <w:r w:rsidR="001902D2" w:rsidRPr="00C9465D">
        <w:rPr>
          <w:i/>
          <w:sz w:val="16"/>
          <w:szCs w:val="16"/>
          <w:lang w:val="en-US"/>
        </w:rPr>
        <w:t>Peru</w:t>
      </w:r>
      <w:r w:rsidRPr="00C9465D">
        <w:rPr>
          <w:i/>
          <w:sz w:val="16"/>
          <w:szCs w:val="16"/>
          <w:lang w:val="en-US"/>
        </w:rPr>
        <w:t xml:space="preserve">. </w:t>
      </w:r>
      <w:r w:rsidR="00D8466F" w:rsidRPr="00C9465D">
        <w:rPr>
          <w:i/>
          <w:sz w:val="16"/>
          <w:szCs w:val="16"/>
          <w:lang w:val="en-US"/>
        </w:rPr>
        <w:t>Preliminary objections, merits</w:t>
      </w:r>
      <w:r w:rsidR="00193CBB" w:rsidRPr="00C9465D">
        <w:rPr>
          <w:i/>
          <w:sz w:val="16"/>
          <w:szCs w:val="16"/>
          <w:lang w:val="en-US"/>
        </w:rPr>
        <w:t>, reparations and costs</w:t>
      </w:r>
      <w:r w:rsidRPr="00C9465D">
        <w:rPr>
          <w:i/>
          <w:sz w:val="16"/>
          <w:szCs w:val="16"/>
          <w:lang w:val="en-US"/>
        </w:rPr>
        <w:t>.</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9B4E86" w:rsidRPr="00C9465D">
        <w:rPr>
          <w:sz w:val="16"/>
          <w:szCs w:val="16"/>
          <w:lang w:val="en-US"/>
        </w:rPr>
        <w:t>March 6,</w:t>
      </w:r>
      <w:r w:rsidRPr="00C9465D">
        <w:rPr>
          <w:sz w:val="16"/>
          <w:szCs w:val="16"/>
          <w:lang w:val="en-US"/>
        </w:rPr>
        <w:t xml:space="preserve"> 2019. </w:t>
      </w:r>
      <w:r w:rsidR="00E2299F" w:rsidRPr="00C9465D">
        <w:rPr>
          <w:sz w:val="16"/>
          <w:szCs w:val="16"/>
          <w:lang w:val="en-US"/>
        </w:rPr>
        <w:t xml:space="preserve">Series </w:t>
      </w:r>
      <w:r w:rsidRPr="00C9465D">
        <w:rPr>
          <w:sz w:val="16"/>
          <w:szCs w:val="16"/>
          <w:lang w:val="en-US"/>
        </w:rPr>
        <w:t xml:space="preserve">C No. 375. </w:t>
      </w:r>
      <w:r w:rsidR="001E2003" w:rsidRPr="00C9465D">
        <w:rPr>
          <w:rStyle w:val="Strong"/>
          <w:b w:val="0"/>
          <w:sz w:val="16"/>
          <w:szCs w:val="16"/>
          <w:lang w:val="en-US"/>
        </w:rPr>
        <w:t>Partially dissenting opinion of</w:t>
      </w:r>
      <w:r w:rsidRPr="00C9465D">
        <w:rPr>
          <w:rStyle w:val="Strong"/>
          <w:b w:val="0"/>
          <w:sz w:val="16"/>
          <w:szCs w:val="16"/>
          <w:lang w:val="en-US"/>
        </w:rPr>
        <w:t xml:space="preserve"> </w:t>
      </w:r>
      <w:r w:rsidR="00193CBB" w:rsidRPr="00C9465D">
        <w:rPr>
          <w:rStyle w:val="Strong"/>
          <w:b w:val="0"/>
          <w:sz w:val="16"/>
          <w:szCs w:val="16"/>
          <w:lang w:val="en-US"/>
        </w:rPr>
        <w:t>Judge</w:t>
      </w:r>
      <w:r w:rsidRPr="00C9465D">
        <w:rPr>
          <w:rStyle w:val="Strong"/>
          <w:b w:val="0"/>
          <w:sz w:val="16"/>
          <w:szCs w:val="16"/>
          <w:lang w:val="en-US"/>
        </w:rPr>
        <w:t xml:space="preserve"> Humberto Antonio Sierra Porto.</w:t>
      </w:r>
    </w:p>
  </w:footnote>
  <w:footnote w:id="460">
    <w:p w14:paraId="08E643EF" w14:textId="1112D739" w:rsidR="000A7745" w:rsidRPr="00C9465D" w:rsidRDefault="000A7745" w:rsidP="006A5339">
      <w:pPr>
        <w:pStyle w:val="FootnoteText"/>
        <w:tabs>
          <w:tab w:val="left" w:pos="720"/>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w:t>
      </w:r>
      <w:r w:rsidR="009B4E86" w:rsidRPr="00C9465D">
        <w:rPr>
          <w:i/>
          <w:sz w:val="16"/>
          <w:szCs w:val="16"/>
          <w:lang w:val="en-US"/>
        </w:rPr>
        <w:t>Case of the National Association of Discharged and Retired Employees of the National Tax Administration Superintendence</w:t>
      </w:r>
      <w:r w:rsidRPr="00C9465D">
        <w:rPr>
          <w:i/>
          <w:sz w:val="16"/>
          <w:szCs w:val="16"/>
          <w:lang w:val="en-US"/>
        </w:rPr>
        <w:t xml:space="preserve"> (ANCEJUB-SUNAT) </w:t>
      </w:r>
      <w:r w:rsidR="00193CBB" w:rsidRPr="00C9465D">
        <w:rPr>
          <w:i/>
          <w:sz w:val="16"/>
          <w:szCs w:val="16"/>
          <w:lang w:val="en-US"/>
        </w:rPr>
        <w:t>v.</w:t>
      </w:r>
      <w:r w:rsidRPr="00C9465D">
        <w:rPr>
          <w:i/>
          <w:sz w:val="16"/>
          <w:szCs w:val="16"/>
          <w:lang w:val="en-US"/>
        </w:rPr>
        <w:t xml:space="preserve"> </w:t>
      </w:r>
      <w:r w:rsidR="001902D2" w:rsidRPr="00C9465D">
        <w:rPr>
          <w:i/>
          <w:sz w:val="16"/>
          <w:szCs w:val="16"/>
          <w:lang w:val="en-US"/>
        </w:rPr>
        <w:t>Peru</w:t>
      </w:r>
      <w:r w:rsidRPr="00C9465D">
        <w:rPr>
          <w:i/>
          <w:sz w:val="16"/>
          <w:szCs w:val="16"/>
          <w:lang w:val="en-US"/>
        </w:rPr>
        <w:t xml:space="preserve">. </w:t>
      </w:r>
      <w:r w:rsidR="00D8466F" w:rsidRPr="00C9465D">
        <w:rPr>
          <w:i/>
          <w:sz w:val="16"/>
          <w:szCs w:val="16"/>
          <w:lang w:val="en-US"/>
        </w:rPr>
        <w:t>Preliminary objections, merits</w:t>
      </w:r>
      <w:r w:rsidR="00193CBB" w:rsidRPr="00C9465D">
        <w:rPr>
          <w:i/>
          <w:sz w:val="16"/>
          <w:szCs w:val="16"/>
          <w:lang w:val="en-US"/>
        </w:rPr>
        <w:t>, reparations and costs</w:t>
      </w:r>
      <w:r w:rsidRPr="00C9465D">
        <w:rPr>
          <w:i/>
          <w:sz w:val="16"/>
          <w:szCs w:val="16"/>
          <w:lang w:val="en-US"/>
        </w:rPr>
        <w:t>.</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9B4E86" w:rsidRPr="00C9465D">
        <w:rPr>
          <w:sz w:val="16"/>
          <w:szCs w:val="16"/>
          <w:lang w:val="en-US"/>
        </w:rPr>
        <w:t>November 21,</w:t>
      </w:r>
      <w:r w:rsidRPr="00C9465D">
        <w:rPr>
          <w:sz w:val="16"/>
          <w:szCs w:val="16"/>
          <w:lang w:val="en-US"/>
        </w:rPr>
        <w:t xml:space="preserve"> 2019. </w:t>
      </w:r>
      <w:r w:rsidR="00E2299F" w:rsidRPr="00C9465D">
        <w:rPr>
          <w:sz w:val="16"/>
          <w:szCs w:val="16"/>
          <w:lang w:val="en-US"/>
        </w:rPr>
        <w:t xml:space="preserve">Series </w:t>
      </w:r>
      <w:r w:rsidRPr="00C9465D">
        <w:rPr>
          <w:sz w:val="16"/>
          <w:szCs w:val="16"/>
          <w:lang w:val="en-US"/>
        </w:rPr>
        <w:t xml:space="preserve">C No. 394. </w:t>
      </w:r>
      <w:r w:rsidR="001E2003" w:rsidRPr="00C9465D">
        <w:rPr>
          <w:rStyle w:val="Strong"/>
          <w:b w:val="0"/>
          <w:sz w:val="16"/>
          <w:szCs w:val="16"/>
          <w:lang w:val="en-US"/>
        </w:rPr>
        <w:t>Partially dissenting opinion of</w:t>
      </w:r>
      <w:r w:rsidRPr="00C9465D">
        <w:rPr>
          <w:rStyle w:val="Strong"/>
          <w:b w:val="0"/>
          <w:sz w:val="16"/>
          <w:szCs w:val="16"/>
          <w:lang w:val="en-US"/>
        </w:rPr>
        <w:t xml:space="preserve"> </w:t>
      </w:r>
      <w:r w:rsidR="00193CBB" w:rsidRPr="00C9465D">
        <w:rPr>
          <w:rStyle w:val="Strong"/>
          <w:b w:val="0"/>
          <w:sz w:val="16"/>
          <w:szCs w:val="16"/>
          <w:lang w:val="en-US"/>
        </w:rPr>
        <w:t>Judge</w:t>
      </w:r>
      <w:r w:rsidRPr="00C9465D">
        <w:rPr>
          <w:rStyle w:val="Strong"/>
          <w:b w:val="0"/>
          <w:sz w:val="16"/>
          <w:szCs w:val="16"/>
          <w:lang w:val="en-US"/>
        </w:rPr>
        <w:t xml:space="preserve"> Humberto Antonio Sierra Porto.</w:t>
      </w:r>
    </w:p>
  </w:footnote>
  <w:footnote w:id="461">
    <w:p w14:paraId="04C8E006" w14:textId="773F1432" w:rsidR="000A7745" w:rsidRPr="00C9465D" w:rsidRDefault="000A7745" w:rsidP="006A5339">
      <w:pPr>
        <w:pStyle w:val="FootnoteText"/>
        <w:tabs>
          <w:tab w:val="left" w:pos="720"/>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Hernández </w:t>
      </w:r>
      <w:r w:rsidR="00193CBB" w:rsidRPr="00C9465D">
        <w:rPr>
          <w:i/>
          <w:sz w:val="16"/>
          <w:szCs w:val="16"/>
          <w:lang w:val="en-US"/>
        </w:rPr>
        <w:t>v.</w:t>
      </w:r>
      <w:r w:rsidRPr="00C9465D">
        <w:rPr>
          <w:i/>
          <w:sz w:val="16"/>
          <w:szCs w:val="16"/>
          <w:lang w:val="en-US"/>
        </w:rPr>
        <w:t xml:space="preserve"> Argentina. </w:t>
      </w:r>
      <w:r w:rsidR="00D8466F" w:rsidRPr="00C9465D">
        <w:rPr>
          <w:i/>
          <w:sz w:val="16"/>
          <w:szCs w:val="16"/>
          <w:lang w:val="en-US"/>
        </w:rPr>
        <w:t>Preliminary objection, merits</w:t>
      </w:r>
      <w:r w:rsidR="00193CBB" w:rsidRPr="00C9465D">
        <w:rPr>
          <w:i/>
          <w:sz w:val="16"/>
          <w:szCs w:val="16"/>
          <w:lang w:val="en-US"/>
        </w:rPr>
        <w:t>, reparations and costs</w:t>
      </w:r>
      <w:r w:rsidRPr="00C9465D">
        <w:rPr>
          <w:i/>
          <w:sz w:val="16"/>
          <w:szCs w:val="16"/>
          <w:lang w:val="en-US"/>
        </w:rPr>
        <w:t>.</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2</w:t>
      </w:r>
      <w:r w:rsidR="00153C9F" w:rsidRPr="00C9465D">
        <w:rPr>
          <w:sz w:val="16"/>
          <w:szCs w:val="16"/>
          <w:lang w:val="en-US"/>
        </w:rPr>
        <w:t xml:space="preserve">on November </w:t>
      </w:r>
      <w:r w:rsidR="00D750CC" w:rsidRPr="00C9465D">
        <w:rPr>
          <w:sz w:val="16"/>
          <w:szCs w:val="16"/>
          <w:lang w:val="en-US"/>
        </w:rPr>
        <w:t>2</w:t>
      </w:r>
      <w:r w:rsidR="00153C9F" w:rsidRPr="00C9465D">
        <w:rPr>
          <w:sz w:val="16"/>
          <w:szCs w:val="16"/>
          <w:lang w:val="en-US"/>
        </w:rPr>
        <w:t>2,</w:t>
      </w:r>
      <w:r w:rsidRPr="00C9465D">
        <w:rPr>
          <w:sz w:val="16"/>
          <w:szCs w:val="16"/>
          <w:lang w:val="en-US"/>
        </w:rPr>
        <w:t xml:space="preserve"> 2019. </w:t>
      </w:r>
      <w:r w:rsidR="00E2299F" w:rsidRPr="00C9465D">
        <w:rPr>
          <w:sz w:val="16"/>
          <w:szCs w:val="16"/>
          <w:lang w:val="en-US"/>
        </w:rPr>
        <w:t xml:space="preserve">Series </w:t>
      </w:r>
      <w:r w:rsidRPr="00C9465D">
        <w:rPr>
          <w:sz w:val="16"/>
          <w:szCs w:val="16"/>
          <w:lang w:val="en-US"/>
        </w:rPr>
        <w:t xml:space="preserve">C No. 395. </w:t>
      </w:r>
      <w:r w:rsidR="001E2003" w:rsidRPr="00C9465D">
        <w:rPr>
          <w:rStyle w:val="Strong"/>
          <w:b w:val="0"/>
          <w:sz w:val="16"/>
          <w:szCs w:val="16"/>
          <w:lang w:val="en-US"/>
        </w:rPr>
        <w:t>Partially dissenting opinion of</w:t>
      </w:r>
      <w:r w:rsidRPr="00C9465D">
        <w:rPr>
          <w:rStyle w:val="Strong"/>
          <w:b w:val="0"/>
          <w:sz w:val="16"/>
          <w:szCs w:val="16"/>
          <w:lang w:val="en-US"/>
        </w:rPr>
        <w:t xml:space="preserve"> </w:t>
      </w:r>
      <w:r w:rsidR="00193CBB" w:rsidRPr="00C9465D">
        <w:rPr>
          <w:rStyle w:val="Strong"/>
          <w:b w:val="0"/>
          <w:sz w:val="16"/>
          <w:szCs w:val="16"/>
          <w:lang w:val="en-US"/>
        </w:rPr>
        <w:t>Judge</w:t>
      </w:r>
      <w:r w:rsidRPr="00C9465D">
        <w:rPr>
          <w:rStyle w:val="Strong"/>
          <w:b w:val="0"/>
          <w:sz w:val="16"/>
          <w:szCs w:val="16"/>
          <w:lang w:val="en-US"/>
        </w:rPr>
        <w:t xml:space="preserve"> Humberto Antonio Sierra Porto.</w:t>
      </w:r>
    </w:p>
  </w:footnote>
  <w:footnote w:id="462">
    <w:p w14:paraId="29470280" w14:textId="2B1D2A29" w:rsidR="000A7745" w:rsidRPr="00C9465D" w:rsidRDefault="000A7745" w:rsidP="006A5339">
      <w:pPr>
        <w:pStyle w:val="FootnoteText"/>
        <w:tabs>
          <w:tab w:val="left" w:pos="720"/>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 xml:space="preserve">Case </w:t>
      </w:r>
      <w:r w:rsidR="00BD26CF" w:rsidRPr="00C9465D">
        <w:rPr>
          <w:i/>
          <w:sz w:val="16"/>
          <w:szCs w:val="16"/>
          <w:lang w:val="en-US"/>
        </w:rPr>
        <w:t>of the Indigenous Communities of the Lhaka Honhat (Our Land) Association</w:t>
      </w:r>
      <w:r w:rsidRPr="00C9465D">
        <w:rPr>
          <w:i/>
          <w:sz w:val="16"/>
          <w:szCs w:val="16"/>
          <w:lang w:val="en-US"/>
        </w:rPr>
        <w:t xml:space="preserve"> </w:t>
      </w:r>
      <w:r w:rsidR="00193CBB" w:rsidRPr="00C9465D">
        <w:rPr>
          <w:i/>
          <w:sz w:val="16"/>
          <w:szCs w:val="16"/>
          <w:lang w:val="en-US"/>
        </w:rPr>
        <w:t>v.</w:t>
      </w:r>
      <w:r w:rsidRPr="00C9465D">
        <w:rPr>
          <w:i/>
          <w:sz w:val="16"/>
          <w:szCs w:val="16"/>
          <w:lang w:val="en-US"/>
        </w:rPr>
        <w:t xml:space="preserve"> Argentina. </w:t>
      </w:r>
      <w:r w:rsidR="00193CBB" w:rsidRPr="00C9465D">
        <w:rPr>
          <w:i/>
          <w:sz w:val="16"/>
          <w:szCs w:val="16"/>
          <w:lang w:val="en-US"/>
        </w:rPr>
        <w:t>Merits, reparations and costs</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BD26CF" w:rsidRPr="00C9465D">
        <w:rPr>
          <w:sz w:val="16"/>
          <w:szCs w:val="16"/>
          <w:lang w:val="en-US"/>
        </w:rPr>
        <w:t>February 6,</w:t>
      </w:r>
      <w:r w:rsidRPr="00C9465D">
        <w:rPr>
          <w:sz w:val="16"/>
          <w:szCs w:val="16"/>
          <w:lang w:val="en-US"/>
        </w:rPr>
        <w:t xml:space="preserve"> 2020. </w:t>
      </w:r>
      <w:r w:rsidR="00E2299F" w:rsidRPr="00C9465D">
        <w:rPr>
          <w:sz w:val="16"/>
          <w:szCs w:val="16"/>
          <w:lang w:val="en-US"/>
        </w:rPr>
        <w:t xml:space="preserve">Series </w:t>
      </w:r>
      <w:r w:rsidRPr="00C9465D">
        <w:rPr>
          <w:sz w:val="16"/>
          <w:szCs w:val="16"/>
          <w:lang w:val="en-US"/>
        </w:rPr>
        <w:t xml:space="preserve">C No. 400. </w:t>
      </w:r>
      <w:r w:rsidR="001E2003" w:rsidRPr="00C9465D">
        <w:rPr>
          <w:rStyle w:val="Strong"/>
          <w:b w:val="0"/>
          <w:sz w:val="16"/>
          <w:szCs w:val="16"/>
          <w:lang w:val="en-US"/>
        </w:rPr>
        <w:t>Partially dissenting opinion of</w:t>
      </w:r>
      <w:r w:rsidRPr="00C9465D">
        <w:rPr>
          <w:rStyle w:val="Strong"/>
          <w:b w:val="0"/>
          <w:sz w:val="16"/>
          <w:szCs w:val="16"/>
          <w:lang w:val="en-US"/>
        </w:rPr>
        <w:t xml:space="preserve"> </w:t>
      </w:r>
      <w:r w:rsidR="00193CBB" w:rsidRPr="00C9465D">
        <w:rPr>
          <w:rStyle w:val="Strong"/>
          <w:b w:val="0"/>
          <w:sz w:val="16"/>
          <w:szCs w:val="16"/>
          <w:lang w:val="en-US"/>
        </w:rPr>
        <w:t>Judge</w:t>
      </w:r>
      <w:r w:rsidRPr="00C9465D">
        <w:rPr>
          <w:rStyle w:val="Strong"/>
          <w:b w:val="0"/>
          <w:sz w:val="16"/>
          <w:szCs w:val="16"/>
          <w:lang w:val="en-US"/>
        </w:rPr>
        <w:t xml:space="preserve"> Humberto Antonio Sierra Porto.</w:t>
      </w:r>
    </w:p>
  </w:footnote>
  <w:footnote w:id="463">
    <w:p w14:paraId="2437A472" w14:textId="5A5ADDD1" w:rsidR="000A7745" w:rsidRPr="00C9465D" w:rsidRDefault="000A7745" w:rsidP="006A5339">
      <w:pPr>
        <w:pStyle w:val="FootnoteText"/>
        <w:tabs>
          <w:tab w:val="left" w:pos="720"/>
        </w:tabs>
        <w:spacing w:after="120"/>
        <w:rPr>
          <w:sz w:val="16"/>
          <w:szCs w:val="16"/>
          <w:shd w:val="clear" w:color="auto" w:fill="FFFFFF"/>
          <w:lang w:val="en-US"/>
        </w:rPr>
      </w:pPr>
      <w:r w:rsidRPr="00C9465D">
        <w:rPr>
          <w:rStyle w:val="FootnoteReference"/>
          <w:sz w:val="16"/>
          <w:szCs w:val="16"/>
          <w:lang w:val="en-US"/>
        </w:rPr>
        <w:footnoteRef/>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rStyle w:val="Strong"/>
          <w:b w:val="0"/>
          <w:i/>
          <w:sz w:val="16"/>
          <w:szCs w:val="16"/>
          <w:lang w:val="en-US"/>
        </w:rPr>
        <w:t>Case of</w:t>
      </w:r>
      <w:r w:rsidRPr="00C9465D">
        <w:rPr>
          <w:rStyle w:val="Strong"/>
          <w:b w:val="0"/>
          <w:i/>
          <w:sz w:val="16"/>
          <w:szCs w:val="16"/>
          <w:lang w:val="en-US"/>
        </w:rPr>
        <w:t xml:space="preserve"> Gonzales Lluy</w:t>
      </w:r>
      <w:r w:rsidR="00193CBB" w:rsidRPr="00C9465D">
        <w:rPr>
          <w:rStyle w:val="Strong"/>
          <w:b w:val="0"/>
          <w:i/>
          <w:sz w:val="16"/>
          <w:szCs w:val="16"/>
          <w:lang w:val="en-US"/>
        </w:rPr>
        <w:t xml:space="preserve"> </w:t>
      </w:r>
      <w:r w:rsidR="00D8466F" w:rsidRPr="00C9465D">
        <w:rPr>
          <w:rStyle w:val="Strong"/>
          <w:b w:val="0"/>
          <w:i/>
          <w:sz w:val="16"/>
          <w:szCs w:val="16"/>
          <w:lang w:val="en-US"/>
        </w:rPr>
        <w:t>et al. v.</w:t>
      </w:r>
      <w:r w:rsidRPr="00C9465D">
        <w:rPr>
          <w:rStyle w:val="Strong"/>
          <w:b w:val="0"/>
          <w:i/>
          <w:sz w:val="16"/>
          <w:szCs w:val="16"/>
          <w:lang w:val="en-US"/>
        </w:rPr>
        <w:t xml:space="preserve"> Ecuador. </w:t>
      </w:r>
      <w:r w:rsidR="00D8466F" w:rsidRPr="00C9465D">
        <w:rPr>
          <w:i/>
          <w:sz w:val="16"/>
          <w:szCs w:val="16"/>
          <w:lang w:val="en-US"/>
        </w:rPr>
        <w:t>Preliminary objections, merits</w:t>
      </w:r>
      <w:r w:rsidR="00193CBB" w:rsidRPr="00C9465D">
        <w:rPr>
          <w:i/>
          <w:sz w:val="16"/>
          <w:szCs w:val="16"/>
          <w:lang w:val="en-US"/>
        </w:rPr>
        <w:t>, reparations and costs</w:t>
      </w:r>
      <w:r w:rsidRPr="00C9465D">
        <w:rPr>
          <w:i/>
          <w:sz w:val="16"/>
          <w:szCs w:val="16"/>
          <w:lang w:val="en-US"/>
        </w:rPr>
        <w:t xml:space="preserve">. </w:t>
      </w:r>
      <w:r w:rsidR="00D8466F" w:rsidRPr="00C9465D">
        <w:rPr>
          <w:sz w:val="16"/>
          <w:szCs w:val="16"/>
          <w:lang w:val="en-US"/>
        </w:rPr>
        <w:t>Judgment of</w:t>
      </w:r>
      <w:r w:rsidRPr="00C9465D">
        <w:rPr>
          <w:sz w:val="16"/>
          <w:szCs w:val="16"/>
          <w:shd w:val="clear" w:color="auto" w:fill="FFFFFF"/>
          <w:lang w:val="en-US"/>
        </w:rPr>
        <w:t xml:space="preserve"> </w:t>
      </w:r>
      <w:r w:rsidR="009B4E86" w:rsidRPr="00C9465D">
        <w:rPr>
          <w:sz w:val="16"/>
          <w:szCs w:val="16"/>
          <w:lang w:val="en-US"/>
        </w:rPr>
        <w:t>September 1,</w:t>
      </w:r>
      <w:r w:rsidRPr="00C9465D">
        <w:rPr>
          <w:sz w:val="16"/>
          <w:szCs w:val="16"/>
          <w:lang w:val="en-US"/>
        </w:rPr>
        <w:t xml:space="preserve"> 2015. </w:t>
      </w:r>
      <w:r w:rsidR="00E2299F" w:rsidRPr="00C9465D">
        <w:rPr>
          <w:sz w:val="16"/>
          <w:szCs w:val="16"/>
          <w:lang w:val="en-US"/>
        </w:rPr>
        <w:t xml:space="preserve">Series </w:t>
      </w:r>
      <w:r w:rsidRPr="00C9465D">
        <w:rPr>
          <w:sz w:val="16"/>
          <w:szCs w:val="16"/>
          <w:lang w:val="en-US"/>
        </w:rPr>
        <w:t>C No. 298.</w:t>
      </w:r>
      <w:r w:rsidRPr="00C9465D">
        <w:rPr>
          <w:rStyle w:val="Strong"/>
          <w:b w:val="0"/>
          <w:sz w:val="16"/>
          <w:szCs w:val="16"/>
          <w:lang w:val="en-US"/>
        </w:rPr>
        <w:t xml:space="preserve"> </w:t>
      </w:r>
      <w:r w:rsidR="009B4E86" w:rsidRPr="00C9465D">
        <w:rPr>
          <w:rStyle w:val="Strong"/>
          <w:b w:val="0"/>
          <w:sz w:val="16"/>
          <w:szCs w:val="16"/>
          <w:lang w:val="en-US"/>
        </w:rPr>
        <w:t>Concurring opinion of</w:t>
      </w:r>
      <w:r w:rsidRPr="00C9465D">
        <w:rPr>
          <w:rStyle w:val="Strong"/>
          <w:b w:val="0"/>
          <w:sz w:val="16"/>
          <w:szCs w:val="16"/>
          <w:lang w:val="en-US"/>
        </w:rPr>
        <w:t xml:space="preserve"> </w:t>
      </w:r>
      <w:r w:rsidR="00193CBB" w:rsidRPr="00C9465D">
        <w:rPr>
          <w:rStyle w:val="Strong"/>
          <w:b w:val="0"/>
          <w:sz w:val="16"/>
          <w:szCs w:val="16"/>
          <w:lang w:val="en-US"/>
        </w:rPr>
        <w:t>Judge</w:t>
      </w:r>
      <w:r w:rsidRPr="00C9465D">
        <w:rPr>
          <w:rStyle w:val="Strong"/>
          <w:b w:val="0"/>
          <w:sz w:val="16"/>
          <w:szCs w:val="16"/>
          <w:lang w:val="en-US"/>
        </w:rPr>
        <w:t xml:space="preserve"> Humberto Antonio Sierra Porto.</w:t>
      </w:r>
      <w:r w:rsidRPr="00C9465D">
        <w:rPr>
          <w:rStyle w:val="Strong"/>
          <w:b w:val="0"/>
          <w:sz w:val="16"/>
          <w:szCs w:val="16"/>
          <w:shd w:val="clear" w:color="auto" w:fill="FFFFFF"/>
          <w:lang w:val="en-US"/>
        </w:rPr>
        <w:t xml:space="preserve"> </w:t>
      </w:r>
    </w:p>
  </w:footnote>
  <w:footnote w:id="464">
    <w:p w14:paraId="05AC68E2" w14:textId="4289ACED" w:rsidR="000A7745" w:rsidRPr="00C9465D" w:rsidRDefault="000A7745" w:rsidP="006A5339">
      <w:pPr>
        <w:tabs>
          <w:tab w:val="left" w:pos="567"/>
          <w:tab w:val="left" w:pos="720"/>
        </w:tabs>
        <w:spacing w:after="120"/>
        <w:jc w:val="both"/>
        <w:rPr>
          <w:rFonts w:ascii="Verdana" w:hAnsi="Verdana"/>
          <w:sz w:val="16"/>
          <w:szCs w:val="16"/>
          <w:shd w:val="clear" w:color="auto" w:fill="FFFFFF"/>
          <w:lang w:val="en-US"/>
        </w:rPr>
      </w:pPr>
      <w:r w:rsidRPr="00C9465D">
        <w:rPr>
          <w:rStyle w:val="FootnoteReference"/>
          <w:rFonts w:ascii="Verdana" w:hAnsi="Verdana"/>
          <w:sz w:val="16"/>
          <w:szCs w:val="16"/>
          <w:lang w:val="en-US"/>
        </w:rPr>
        <w:footnoteRef/>
      </w:r>
      <w:r w:rsidRPr="00C9465D">
        <w:rPr>
          <w:rFonts w:ascii="Verdana" w:hAnsi="Verdana"/>
          <w:sz w:val="16"/>
          <w:szCs w:val="16"/>
          <w:lang w:val="en-US"/>
        </w:rPr>
        <w:tab/>
      </w:r>
      <w:r w:rsidR="006A5339" w:rsidRPr="00C9465D">
        <w:rPr>
          <w:rFonts w:ascii="Verdana" w:hAnsi="Verdana"/>
          <w:sz w:val="16"/>
          <w:szCs w:val="16"/>
          <w:lang w:val="en-US"/>
        </w:rPr>
        <w:tab/>
      </w:r>
      <w:r w:rsidR="00E2299F" w:rsidRPr="00C9465D">
        <w:rPr>
          <w:rFonts w:ascii="Verdana" w:hAnsi="Verdana"/>
          <w:i/>
          <w:sz w:val="16"/>
          <w:szCs w:val="16"/>
          <w:lang w:val="en-US"/>
        </w:rPr>
        <w:t>Cf.</w:t>
      </w:r>
      <w:r w:rsidRPr="00C9465D">
        <w:rPr>
          <w:rFonts w:ascii="Verdana" w:hAnsi="Verdana"/>
          <w:i/>
          <w:sz w:val="16"/>
          <w:szCs w:val="16"/>
          <w:lang w:val="en-US"/>
        </w:rPr>
        <w:t xml:space="preserve"> </w:t>
      </w:r>
      <w:r w:rsidR="00D8466F" w:rsidRPr="00C9465D">
        <w:rPr>
          <w:rStyle w:val="Strong"/>
          <w:rFonts w:ascii="Verdana" w:hAnsi="Verdana" w:cs="Verdana"/>
          <w:b w:val="0"/>
          <w:i/>
          <w:sz w:val="16"/>
          <w:szCs w:val="16"/>
          <w:lang w:val="en-US"/>
        </w:rPr>
        <w:t>Case of</w:t>
      </w:r>
      <w:r w:rsidRPr="00C9465D">
        <w:rPr>
          <w:rStyle w:val="Strong"/>
          <w:rFonts w:ascii="Verdana" w:hAnsi="Verdana" w:cs="Verdana"/>
          <w:b w:val="0"/>
          <w:i/>
          <w:sz w:val="16"/>
          <w:szCs w:val="16"/>
          <w:lang w:val="en-US"/>
        </w:rPr>
        <w:t xml:space="preserve"> Poblete Vilches</w:t>
      </w:r>
      <w:r w:rsidR="00193CBB" w:rsidRPr="00C9465D">
        <w:rPr>
          <w:rStyle w:val="Strong"/>
          <w:rFonts w:ascii="Verdana" w:hAnsi="Verdana" w:cs="Verdana"/>
          <w:b w:val="0"/>
          <w:i/>
          <w:sz w:val="16"/>
          <w:szCs w:val="16"/>
          <w:lang w:val="en-US"/>
        </w:rPr>
        <w:t xml:space="preserve"> </w:t>
      </w:r>
      <w:r w:rsidR="00D8466F" w:rsidRPr="00C9465D">
        <w:rPr>
          <w:rStyle w:val="Strong"/>
          <w:rFonts w:ascii="Verdana" w:hAnsi="Verdana" w:cs="Verdana"/>
          <w:b w:val="0"/>
          <w:i/>
          <w:sz w:val="16"/>
          <w:szCs w:val="16"/>
          <w:lang w:val="en-US"/>
        </w:rPr>
        <w:t>et al. v.</w:t>
      </w:r>
      <w:r w:rsidRPr="00C9465D">
        <w:rPr>
          <w:rStyle w:val="Strong"/>
          <w:rFonts w:ascii="Verdana" w:hAnsi="Verdana" w:cs="Verdana"/>
          <w:b w:val="0"/>
          <w:i/>
          <w:sz w:val="16"/>
          <w:szCs w:val="16"/>
          <w:lang w:val="en-US"/>
        </w:rPr>
        <w:t xml:space="preserve"> Chile. </w:t>
      </w:r>
      <w:r w:rsidR="00193CBB" w:rsidRPr="00C9465D">
        <w:rPr>
          <w:rStyle w:val="Strong"/>
          <w:rFonts w:ascii="Verdana" w:hAnsi="Verdana" w:cs="Verdana"/>
          <w:b w:val="0"/>
          <w:i/>
          <w:sz w:val="16"/>
          <w:szCs w:val="16"/>
          <w:lang w:val="en-US"/>
        </w:rPr>
        <w:t>Merits, reparations and costs</w:t>
      </w:r>
      <w:r w:rsidRPr="00C9465D">
        <w:rPr>
          <w:rStyle w:val="Strong"/>
          <w:rFonts w:ascii="Verdana" w:hAnsi="Verdana" w:cs="Verdana"/>
          <w:b w:val="0"/>
          <w:sz w:val="16"/>
          <w:szCs w:val="16"/>
          <w:lang w:val="en-US"/>
        </w:rPr>
        <w:t xml:space="preserve">. </w:t>
      </w:r>
      <w:r w:rsidR="00D8466F" w:rsidRPr="00C9465D">
        <w:rPr>
          <w:rStyle w:val="Strong"/>
          <w:rFonts w:ascii="Verdana" w:hAnsi="Verdana" w:cs="Verdana"/>
          <w:b w:val="0"/>
          <w:sz w:val="16"/>
          <w:szCs w:val="16"/>
          <w:lang w:val="en-US"/>
        </w:rPr>
        <w:t>Judgment of</w:t>
      </w:r>
      <w:r w:rsidRPr="00C9465D">
        <w:rPr>
          <w:rStyle w:val="Strong"/>
          <w:rFonts w:ascii="Verdana" w:hAnsi="Verdana" w:cs="Verdana"/>
          <w:b w:val="0"/>
          <w:sz w:val="16"/>
          <w:szCs w:val="16"/>
          <w:lang w:val="en-US"/>
        </w:rPr>
        <w:t xml:space="preserve"> </w:t>
      </w:r>
      <w:r w:rsidR="009B4E86" w:rsidRPr="00C9465D">
        <w:rPr>
          <w:rStyle w:val="Strong"/>
          <w:rFonts w:ascii="Verdana" w:hAnsi="Verdana" w:cs="Verdana"/>
          <w:b w:val="0"/>
          <w:sz w:val="16"/>
          <w:szCs w:val="16"/>
          <w:lang w:val="en-US"/>
        </w:rPr>
        <w:t>March 8,</w:t>
      </w:r>
      <w:r w:rsidRPr="00C9465D">
        <w:rPr>
          <w:rStyle w:val="Strong"/>
          <w:rFonts w:ascii="Verdana" w:hAnsi="Verdana" w:cs="Verdana"/>
          <w:b w:val="0"/>
          <w:sz w:val="16"/>
          <w:szCs w:val="16"/>
          <w:lang w:val="en-US"/>
        </w:rPr>
        <w:t xml:space="preserve"> 2018. </w:t>
      </w:r>
      <w:r w:rsidR="00E2299F" w:rsidRPr="00C9465D">
        <w:rPr>
          <w:rStyle w:val="Strong"/>
          <w:rFonts w:ascii="Verdana" w:hAnsi="Verdana" w:cs="Verdana"/>
          <w:b w:val="0"/>
          <w:sz w:val="16"/>
          <w:szCs w:val="16"/>
          <w:lang w:val="en-US"/>
        </w:rPr>
        <w:t xml:space="preserve">Series </w:t>
      </w:r>
      <w:r w:rsidRPr="00C9465D">
        <w:rPr>
          <w:rStyle w:val="Strong"/>
          <w:rFonts w:ascii="Verdana" w:hAnsi="Verdana" w:cs="Verdana"/>
          <w:b w:val="0"/>
          <w:sz w:val="16"/>
          <w:szCs w:val="16"/>
          <w:lang w:val="en-US"/>
        </w:rPr>
        <w:t>C No. 349.</w:t>
      </w:r>
      <w:r w:rsidRPr="00C9465D">
        <w:rPr>
          <w:rStyle w:val="Strong"/>
          <w:rFonts w:ascii="Verdana" w:hAnsi="Verdana"/>
          <w:b w:val="0"/>
          <w:sz w:val="16"/>
          <w:szCs w:val="16"/>
          <w:lang w:val="en-US"/>
        </w:rPr>
        <w:t xml:space="preserve"> </w:t>
      </w:r>
      <w:r w:rsidR="009B4E86" w:rsidRPr="00C9465D">
        <w:rPr>
          <w:rStyle w:val="Strong"/>
          <w:rFonts w:ascii="Verdana" w:hAnsi="Verdana"/>
          <w:b w:val="0"/>
          <w:sz w:val="16"/>
          <w:szCs w:val="16"/>
          <w:lang w:val="en-US"/>
        </w:rPr>
        <w:t>Concurring opinion of</w:t>
      </w:r>
      <w:r w:rsidRPr="00C9465D">
        <w:rPr>
          <w:rStyle w:val="Strong"/>
          <w:rFonts w:ascii="Verdana" w:hAnsi="Verdana"/>
          <w:b w:val="0"/>
          <w:sz w:val="16"/>
          <w:szCs w:val="16"/>
          <w:lang w:val="en-US"/>
        </w:rPr>
        <w:t xml:space="preserve"> </w:t>
      </w:r>
      <w:r w:rsidR="00193CBB" w:rsidRPr="00C9465D">
        <w:rPr>
          <w:rStyle w:val="Strong"/>
          <w:rFonts w:ascii="Verdana" w:hAnsi="Verdana"/>
          <w:b w:val="0"/>
          <w:sz w:val="16"/>
          <w:szCs w:val="16"/>
          <w:lang w:val="en-US"/>
        </w:rPr>
        <w:t>Judge</w:t>
      </w:r>
      <w:r w:rsidRPr="00C9465D">
        <w:rPr>
          <w:rStyle w:val="Strong"/>
          <w:rFonts w:ascii="Verdana" w:hAnsi="Verdana"/>
          <w:b w:val="0"/>
          <w:sz w:val="16"/>
          <w:szCs w:val="16"/>
          <w:lang w:val="en-US"/>
        </w:rPr>
        <w:t xml:space="preserve"> Humberto Antonio Sierra Porto.</w:t>
      </w:r>
    </w:p>
  </w:footnote>
  <w:footnote w:id="465">
    <w:p w14:paraId="424053CF" w14:textId="53FE198C" w:rsidR="000A7745" w:rsidRPr="00C9465D" w:rsidRDefault="000A7745" w:rsidP="006A5339">
      <w:pPr>
        <w:pStyle w:val="FootnoteText"/>
        <w:tabs>
          <w:tab w:val="left" w:pos="720"/>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006A5339" w:rsidRPr="00C9465D">
        <w:rPr>
          <w:sz w:val="16"/>
          <w:szCs w:val="16"/>
          <w:lang w:val="en-US"/>
        </w:rPr>
        <w:tab/>
      </w:r>
      <w:r w:rsidR="00D8466F" w:rsidRPr="00C9465D">
        <w:rPr>
          <w:i/>
          <w:iCs/>
          <w:sz w:val="16"/>
          <w:szCs w:val="16"/>
          <w:lang w:val="en-US"/>
        </w:rPr>
        <w:t>Case of</w:t>
      </w:r>
      <w:r w:rsidRPr="00C9465D">
        <w:rPr>
          <w:i/>
          <w:iCs/>
          <w:sz w:val="16"/>
          <w:szCs w:val="16"/>
          <w:lang w:val="en-US"/>
        </w:rPr>
        <w:t xml:space="preserve"> Muelle Flores </w:t>
      </w:r>
      <w:r w:rsidR="00193CBB" w:rsidRPr="00C9465D">
        <w:rPr>
          <w:i/>
          <w:iCs/>
          <w:sz w:val="16"/>
          <w:szCs w:val="16"/>
          <w:lang w:val="en-US"/>
        </w:rPr>
        <w:t>v.</w:t>
      </w:r>
      <w:r w:rsidRPr="00C9465D">
        <w:rPr>
          <w:i/>
          <w:iCs/>
          <w:sz w:val="16"/>
          <w:szCs w:val="16"/>
          <w:lang w:val="en-US"/>
        </w:rPr>
        <w:t xml:space="preserve"> </w:t>
      </w:r>
      <w:r w:rsidR="001902D2" w:rsidRPr="00C9465D">
        <w:rPr>
          <w:i/>
          <w:iCs/>
          <w:sz w:val="16"/>
          <w:szCs w:val="16"/>
          <w:lang w:val="en-US"/>
        </w:rPr>
        <w:t>Peru</w:t>
      </w:r>
      <w:r w:rsidRPr="00C9465D">
        <w:rPr>
          <w:i/>
          <w:iCs/>
          <w:sz w:val="16"/>
          <w:szCs w:val="16"/>
          <w:lang w:val="en-US"/>
        </w:rPr>
        <w:t xml:space="preserve">. </w:t>
      </w:r>
      <w:r w:rsidR="00D8466F" w:rsidRPr="00C9465D">
        <w:rPr>
          <w:i/>
          <w:iCs/>
          <w:sz w:val="16"/>
          <w:szCs w:val="16"/>
          <w:lang w:val="en-US"/>
        </w:rPr>
        <w:t>Preliminary objections, merits</w:t>
      </w:r>
      <w:r w:rsidR="00193CBB" w:rsidRPr="00C9465D">
        <w:rPr>
          <w:i/>
          <w:iCs/>
          <w:sz w:val="16"/>
          <w:szCs w:val="16"/>
          <w:lang w:val="en-US"/>
        </w:rPr>
        <w:t>, reparations and costs</w:t>
      </w:r>
      <w:r w:rsidRPr="00C9465D">
        <w:rPr>
          <w:i/>
          <w:iCs/>
          <w:sz w:val="16"/>
          <w:szCs w:val="16"/>
          <w:lang w:val="en-US"/>
        </w:rPr>
        <w:t>.</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9B4E86" w:rsidRPr="00C9465D">
        <w:rPr>
          <w:sz w:val="16"/>
          <w:szCs w:val="16"/>
          <w:lang w:val="en-US"/>
        </w:rPr>
        <w:t>March 6,</w:t>
      </w:r>
      <w:r w:rsidRPr="00C9465D">
        <w:rPr>
          <w:sz w:val="16"/>
          <w:szCs w:val="16"/>
          <w:lang w:val="en-US"/>
        </w:rPr>
        <w:t xml:space="preserve"> 2019. </w:t>
      </w:r>
      <w:r w:rsidR="00E2299F" w:rsidRPr="00C9465D">
        <w:rPr>
          <w:sz w:val="16"/>
          <w:szCs w:val="16"/>
          <w:lang w:val="en-US"/>
        </w:rPr>
        <w:t xml:space="preserve">Series </w:t>
      </w:r>
      <w:r w:rsidRPr="00C9465D">
        <w:rPr>
          <w:sz w:val="16"/>
          <w:szCs w:val="16"/>
          <w:lang w:val="en-US"/>
        </w:rPr>
        <w:t xml:space="preserve">C No. 375. </w:t>
      </w:r>
    </w:p>
  </w:footnote>
  <w:footnote w:id="466">
    <w:p w14:paraId="38DBFE65" w14:textId="5626E367" w:rsidR="000A7745" w:rsidRPr="00C9465D" w:rsidRDefault="000A7745" w:rsidP="006A5339">
      <w:pPr>
        <w:pStyle w:val="FootnoteText"/>
        <w:tabs>
          <w:tab w:val="left" w:pos="720"/>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006A5339" w:rsidRPr="00C9465D">
        <w:rPr>
          <w:sz w:val="16"/>
          <w:szCs w:val="16"/>
          <w:lang w:val="en-US"/>
        </w:rPr>
        <w:tab/>
      </w:r>
      <w:r w:rsidR="00D8466F" w:rsidRPr="00C9465D">
        <w:rPr>
          <w:i/>
          <w:iCs/>
          <w:sz w:val="16"/>
          <w:szCs w:val="16"/>
          <w:lang w:val="en-US"/>
        </w:rPr>
        <w:t>Case of</w:t>
      </w:r>
      <w:r w:rsidRPr="00C9465D">
        <w:rPr>
          <w:i/>
          <w:iCs/>
          <w:sz w:val="16"/>
          <w:szCs w:val="16"/>
          <w:lang w:val="en-US"/>
        </w:rPr>
        <w:t xml:space="preserve"> Cuscul Pivaral</w:t>
      </w:r>
      <w:r w:rsidR="00193CBB" w:rsidRPr="00C9465D">
        <w:rPr>
          <w:i/>
          <w:iCs/>
          <w:sz w:val="16"/>
          <w:szCs w:val="16"/>
          <w:lang w:val="en-US"/>
        </w:rPr>
        <w:t xml:space="preserve"> </w:t>
      </w:r>
      <w:r w:rsidR="00D8466F" w:rsidRPr="00C9465D">
        <w:rPr>
          <w:i/>
          <w:iCs/>
          <w:sz w:val="16"/>
          <w:szCs w:val="16"/>
          <w:lang w:val="en-US"/>
        </w:rPr>
        <w:t>et al. v.</w:t>
      </w:r>
      <w:r w:rsidRPr="00C9465D">
        <w:rPr>
          <w:i/>
          <w:iCs/>
          <w:sz w:val="16"/>
          <w:szCs w:val="16"/>
          <w:lang w:val="en-US"/>
        </w:rPr>
        <w:t xml:space="preserve"> Guatemala. </w:t>
      </w:r>
      <w:r w:rsidR="00D8466F" w:rsidRPr="00C9465D">
        <w:rPr>
          <w:i/>
          <w:iCs/>
          <w:sz w:val="16"/>
          <w:szCs w:val="16"/>
          <w:lang w:val="en-US"/>
        </w:rPr>
        <w:t>Preliminary objection, merits</w:t>
      </w:r>
      <w:r w:rsidR="00193CBB" w:rsidRPr="00C9465D">
        <w:rPr>
          <w:i/>
          <w:iCs/>
          <w:sz w:val="16"/>
          <w:szCs w:val="16"/>
          <w:lang w:val="en-US"/>
        </w:rPr>
        <w:t>, reparations and costs</w:t>
      </w:r>
      <w:r w:rsidRPr="00C9465D">
        <w:rPr>
          <w:i/>
          <w:iCs/>
          <w:sz w:val="16"/>
          <w:szCs w:val="16"/>
          <w:lang w:val="en-US"/>
        </w:rPr>
        <w:t>.</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9B4E86" w:rsidRPr="00C9465D">
        <w:rPr>
          <w:sz w:val="16"/>
          <w:szCs w:val="16"/>
          <w:lang w:val="en-US"/>
        </w:rPr>
        <w:t>August 23,</w:t>
      </w:r>
      <w:r w:rsidRPr="00C9465D">
        <w:rPr>
          <w:sz w:val="16"/>
          <w:szCs w:val="16"/>
          <w:lang w:val="en-US"/>
        </w:rPr>
        <w:t xml:space="preserve"> 2018. </w:t>
      </w:r>
      <w:r w:rsidR="00E2299F" w:rsidRPr="00C9465D">
        <w:rPr>
          <w:sz w:val="16"/>
          <w:szCs w:val="16"/>
          <w:lang w:val="en-US"/>
        </w:rPr>
        <w:t xml:space="preserve">Series </w:t>
      </w:r>
      <w:r w:rsidRPr="00C9465D">
        <w:rPr>
          <w:sz w:val="16"/>
          <w:szCs w:val="16"/>
          <w:lang w:val="en-US"/>
        </w:rPr>
        <w:t xml:space="preserve">C No. 359. </w:t>
      </w:r>
    </w:p>
  </w:footnote>
  <w:footnote w:id="467">
    <w:p w14:paraId="6ABB4C7E" w14:textId="2CEED490" w:rsidR="000A7745" w:rsidRPr="00C9465D" w:rsidRDefault="000A7745" w:rsidP="006A5339">
      <w:pPr>
        <w:pStyle w:val="FootnoteText"/>
        <w:tabs>
          <w:tab w:val="left" w:pos="720"/>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006A5339" w:rsidRPr="00C9465D">
        <w:rPr>
          <w:sz w:val="16"/>
          <w:szCs w:val="16"/>
          <w:lang w:val="en-US"/>
        </w:rPr>
        <w:tab/>
      </w:r>
      <w:r w:rsidR="00D8466F" w:rsidRPr="00C9465D">
        <w:rPr>
          <w:i/>
          <w:iCs/>
          <w:sz w:val="16"/>
          <w:szCs w:val="16"/>
          <w:lang w:val="en-US"/>
        </w:rPr>
        <w:t>Case of</w:t>
      </w:r>
      <w:r w:rsidRPr="00C9465D">
        <w:rPr>
          <w:i/>
          <w:iCs/>
          <w:sz w:val="16"/>
          <w:szCs w:val="16"/>
          <w:lang w:val="en-US"/>
        </w:rPr>
        <w:t xml:space="preserve"> Poblete Vilches</w:t>
      </w:r>
      <w:r w:rsidR="00193CBB" w:rsidRPr="00C9465D">
        <w:rPr>
          <w:i/>
          <w:iCs/>
          <w:sz w:val="16"/>
          <w:szCs w:val="16"/>
          <w:lang w:val="en-US"/>
        </w:rPr>
        <w:t xml:space="preserve"> </w:t>
      </w:r>
      <w:r w:rsidR="00D8466F" w:rsidRPr="00C9465D">
        <w:rPr>
          <w:i/>
          <w:iCs/>
          <w:sz w:val="16"/>
          <w:szCs w:val="16"/>
          <w:lang w:val="en-US"/>
        </w:rPr>
        <w:t>et al. v.</w:t>
      </w:r>
      <w:r w:rsidRPr="00C9465D">
        <w:rPr>
          <w:i/>
          <w:iCs/>
          <w:sz w:val="16"/>
          <w:szCs w:val="16"/>
          <w:lang w:val="en-US"/>
        </w:rPr>
        <w:t xml:space="preserve"> Chile. </w:t>
      </w:r>
      <w:r w:rsidR="00193CBB" w:rsidRPr="00C9465D">
        <w:rPr>
          <w:i/>
          <w:iCs/>
          <w:sz w:val="16"/>
          <w:szCs w:val="16"/>
          <w:lang w:val="en-US"/>
        </w:rPr>
        <w:t>Merits, reparations and costs</w:t>
      </w:r>
      <w:r w:rsidRPr="00C9465D">
        <w:rPr>
          <w:i/>
          <w:iCs/>
          <w:sz w:val="16"/>
          <w:szCs w:val="16"/>
          <w:lang w:val="en-US"/>
        </w:rPr>
        <w:t>.</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9B4E86" w:rsidRPr="00C9465D">
        <w:rPr>
          <w:sz w:val="16"/>
          <w:szCs w:val="16"/>
          <w:lang w:val="en-US"/>
        </w:rPr>
        <w:t>March 8,</w:t>
      </w:r>
      <w:r w:rsidRPr="00C9465D">
        <w:rPr>
          <w:sz w:val="16"/>
          <w:szCs w:val="16"/>
          <w:lang w:val="en-US"/>
        </w:rPr>
        <w:t xml:space="preserve"> 2018. </w:t>
      </w:r>
      <w:r w:rsidR="00E2299F" w:rsidRPr="00C9465D">
        <w:rPr>
          <w:sz w:val="16"/>
          <w:szCs w:val="16"/>
          <w:lang w:val="en-US"/>
        </w:rPr>
        <w:t xml:space="preserve">Series </w:t>
      </w:r>
      <w:r w:rsidRPr="00C9465D">
        <w:rPr>
          <w:sz w:val="16"/>
          <w:szCs w:val="16"/>
          <w:lang w:val="en-US"/>
        </w:rPr>
        <w:t xml:space="preserve">C No. 349. </w:t>
      </w:r>
    </w:p>
  </w:footnote>
  <w:footnote w:id="468">
    <w:p w14:paraId="2E727BE1" w14:textId="615D7299" w:rsidR="000A7745" w:rsidRPr="00C9465D" w:rsidRDefault="000A7745" w:rsidP="006A5339">
      <w:pPr>
        <w:pStyle w:val="FootnoteText"/>
        <w:tabs>
          <w:tab w:val="left" w:pos="720"/>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006A5339" w:rsidRPr="00C9465D">
        <w:rPr>
          <w:sz w:val="16"/>
          <w:szCs w:val="16"/>
          <w:lang w:val="en-US"/>
        </w:rPr>
        <w:tab/>
      </w:r>
      <w:r w:rsidR="00D8466F" w:rsidRPr="00C9465D">
        <w:rPr>
          <w:i/>
          <w:iCs/>
          <w:sz w:val="16"/>
          <w:szCs w:val="16"/>
          <w:lang w:val="en-US"/>
        </w:rPr>
        <w:t xml:space="preserve">Case </w:t>
      </w:r>
      <w:r w:rsidR="009B4E86" w:rsidRPr="00C9465D">
        <w:rPr>
          <w:i/>
          <w:iCs/>
          <w:sz w:val="16"/>
          <w:szCs w:val="16"/>
          <w:lang w:val="en-US"/>
        </w:rPr>
        <w:t>of the Dismissed Employees of</w:t>
      </w:r>
      <w:r w:rsidRPr="00C9465D">
        <w:rPr>
          <w:i/>
          <w:iCs/>
          <w:sz w:val="16"/>
          <w:szCs w:val="16"/>
          <w:lang w:val="en-US"/>
        </w:rPr>
        <w:t xml:space="preserve"> Petro</w:t>
      </w:r>
      <w:r w:rsidR="001902D2" w:rsidRPr="00C9465D">
        <w:rPr>
          <w:i/>
          <w:iCs/>
          <w:sz w:val="16"/>
          <w:szCs w:val="16"/>
          <w:lang w:val="en-US"/>
        </w:rPr>
        <w:t>Peru</w:t>
      </w:r>
      <w:r w:rsidR="00193CBB" w:rsidRPr="00C9465D">
        <w:rPr>
          <w:i/>
          <w:iCs/>
          <w:sz w:val="16"/>
          <w:szCs w:val="16"/>
          <w:lang w:val="en-US"/>
        </w:rPr>
        <w:t xml:space="preserve"> </w:t>
      </w:r>
      <w:r w:rsidR="00D8466F" w:rsidRPr="00C9465D">
        <w:rPr>
          <w:i/>
          <w:iCs/>
          <w:sz w:val="16"/>
          <w:szCs w:val="16"/>
          <w:lang w:val="en-US"/>
        </w:rPr>
        <w:t>et al. v.</w:t>
      </w:r>
      <w:r w:rsidRPr="00C9465D">
        <w:rPr>
          <w:i/>
          <w:iCs/>
          <w:sz w:val="16"/>
          <w:szCs w:val="16"/>
          <w:lang w:val="en-US"/>
        </w:rPr>
        <w:t xml:space="preserve"> </w:t>
      </w:r>
      <w:r w:rsidR="001902D2" w:rsidRPr="00C9465D">
        <w:rPr>
          <w:i/>
          <w:iCs/>
          <w:sz w:val="16"/>
          <w:szCs w:val="16"/>
          <w:lang w:val="en-US"/>
        </w:rPr>
        <w:t>Peru</w:t>
      </w:r>
      <w:r w:rsidRPr="00C9465D">
        <w:rPr>
          <w:i/>
          <w:iCs/>
          <w:sz w:val="16"/>
          <w:szCs w:val="16"/>
          <w:lang w:val="en-US"/>
        </w:rPr>
        <w:t xml:space="preserve">. </w:t>
      </w:r>
      <w:r w:rsidR="00D8466F" w:rsidRPr="00C9465D">
        <w:rPr>
          <w:i/>
          <w:iCs/>
          <w:sz w:val="16"/>
          <w:szCs w:val="16"/>
          <w:lang w:val="en-US"/>
        </w:rPr>
        <w:t>Preliminary objections, merits</w:t>
      </w:r>
      <w:r w:rsidR="00193CBB" w:rsidRPr="00C9465D">
        <w:rPr>
          <w:i/>
          <w:iCs/>
          <w:sz w:val="16"/>
          <w:szCs w:val="16"/>
          <w:lang w:val="en-US"/>
        </w:rPr>
        <w:t>, reparations and costs</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9B4E86" w:rsidRPr="00C9465D">
        <w:rPr>
          <w:sz w:val="16"/>
          <w:szCs w:val="16"/>
          <w:lang w:val="en-US"/>
        </w:rPr>
        <w:t>November 23,</w:t>
      </w:r>
      <w:r w:rsidRPr="00C9465D">
        <w:rPr>
          <w:sz w:val="16"/>
          <w:szCs w:val="16"/>
          <w:lang w:val="en-US"/>
        </w:rPr>
        <w:t xml:space="preserve"> 2017. </w:t>
      </w:r>
      <w:r w:rsidR="00E2299F" w:rsidRPr="00C9465D">
        <w:rPr>
          <w:sz w:val="16"/>
          <w:szCs w:val="16"/>
          <w:lang w:val="en-US"/>
        </w:rPr>
        <w:t xml:space="preserve">Series </w:t>
      </w:r>
      <w:r w:rsidRPr="00C9465D">
        <w:rPr>
          <w:sz w:val="16"/>
          <w:szCs w:val="16"/>
          <w:lang w:val="en-US"/>
        </w:rPr>
        <w:t xml:space="preserve">C No. 344. </w:t>
      </w:r>
    </w:p>
  </w:footnote>
  <w:footnote w:id="469">
    <w:p w14:paraId="7907351C" w14:textId="51575F53" w:rsidR="000A7745" w:rsidRPr="00C9465D" w:rsidRDefault="000A7745" w:rsidP="006A5339">
      <w:pPr>
        <w:pStyle w:val="FootnoteText"/>
        <w:tabs>
          <w:tab w:val="left" w:pos="720"/>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w:t>
      </w:r>
      <w:r w:rsidR="009B4E86" w:rsidRPr="00C9465D">
        <w:rPr>
          <w:i/>
          <w:sz w:val="16"/>
          <w:szCs w:val="16"/>
          <w:lang w:val="en-US"/>
        </w:rPr>
        <w:t>Case of the National Association of Discharged and Retired Employees of the National Tax Administration Superintendence</w:t>
      </w:r>
      <w:r w:rsidRPr="00C9465D">
        <w:rPr>
          <w:i/>
          <w:sz w:val="16"/>
          <w:szCs w:val="16"/>
          <w:lang w:val="en-US"/>
        </w:rPr>
        <w:t xml:space="preserve"> (ANCEJUB-SUNAT) </w:t>
      </w:r>
      <w:r w:rsidR="00193CBB" w:rsidRPr="00C9465D">
        <w:rPr>
          <w:i/>
          <w:sz w:val="16"/>
          <w:szCs w:val="16"/>
          <w:lang w:val="en-US"/>
        </w:rPr>
        <w:t>v.</w:t>
      </w:r>
      <w:r w:rsidRPr="00C9465D">
        <w:rPr>
          <w:i/>
          <w:sz w:val="16"/>
          <w:szCs w:val="16"/>
          <w:lang w:val="en-US"/>
        </w:rPr>
        <w:t xml:space="preserve"> </w:t>
      </w:r>
      <w:r w:rsidR="001902D2" w:rsidRPr="00C9465D">
        <w:rPr>
          <w:i/>
          <w:sz w:val="16"/>
          <w:szCs w:val="16"/>
          <w:lang w:val="en-US"/>
        </w:rPr>
        <w:t>Peru</w:t>
      </w:r>
      <w:r w:rsidRPr="00C9465D">
        <w:rPr>
          <w:i/>
          <w:sz w:val="16"/>
          <w:szCs w:val="16"/>
          <w:lang w:val="en-US"/>
        </w:rPr>
        <w:t xml:space="preserve">. </w:t>
      </w:r>
      <w:r w:rsidR="00D8466F" w:rsidRPr="00C9465D">
        <w:rPr>
          <w:i/>
          <w:sz w:val="16"/>
          <w:szCs w:val="16"/>
          <w:lang w:val="en-US"/>
        </w:rPr>
        <w:t>Preliminary objections, merits</w:t>
      </w:r>
      <w:r w:rsidR="00193CBB" w:rsidRPr="00C9465D">
        <w:rPr>
          <w:i/>
          <w:sz w:val="16"/>
          <w:szCs w:val="16"/>
          <w:lang w:val="en-US"/>
        </w:rPr>
        <w:t>, reparations and costs</w:t>
      </w:r>
      <w:r w:rsidRPr="00C9465D">
        <w:rPr>
          <w:i/>
          <w:sz w:val="16"/>
          <w:szCs w:val="16"/>
          <w:lang w:val="en-US"/>
        </w:rPr>
        <w:t>.</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9B4E86" w:rsidRPr="00C9465D">
        <w:rPr>
          <w:sz w:val="16"/>
          <w:szCs w:val="16"/>
          <w:lang w:val="en-US"/>
        </w:rPr>
        <w:t>November 21,</w:t>
      </w:r>
      <w:r w:rsidRPr="00C9465D">
        <w:rPr>
          <w:sz w:val="16"/>
          <w:szCs w:val="16"/>
          <w:lang w:val="en-US"/>
        </w:rPr>
        <w:t xml:space="preserve"> 2019. </w:t>
      </w:r>
      <w:r w:rsidR="00E2299F" w:rsidRPr="00C9465D">
        <w:rPr>
          <w:sz w:val="16"/>
          <w:szCs w:val="16"/>
          <w:lang w:val="en-US"/>
        </w:rPr>
        <w:t xml:space="preserve">Series </w:t>
      </w:r>
      <w:r w:rsidRPr="00C9465D">
        <w:rPr>
          <w:sz w:val="16"/>
          <w:szCs w:val="16"/>
          <w:lang w:val="en-US"/>
        </w:rPr>
        <w:t xml:space="preserve">C No. 394. </w:t>
      </w:r>
      <w:r w:rsidR="001E2003" w:rsidRPr="00C9465D">
        <w:rPr>
          <w:rStyle w:val="Strong"/>
          <w:b w:val="0"/>
          <w:sz w:val="16"/>
          <w:szCs w:val="16"/>
          <w:lang w:val="en-US"/>
        </w:rPr>
        <w:t>Partially dissenting opinion of</w:t>
      </w:r>
      <w:r w:rsidRPr="00C9465D">
        <w:rPr>
          <w:rStyle w:val="Strong"/>
          <w:b w:val="0"/>
          <w:sz w:val="16"/>
          <w:szCs w:val="16"/>
          <w:lang w:val="en-US"/>
        </w:rPr>
        <w:t xml:space="preserve"> </w:t>
      </w:r>
      <w:r w:rsidR="00193CBB" w:rsidRPr="00C9465D">
        <w:rPr>
          <w:rStyle w:val="Strong"/>
          <w:b w:val="0"/>
          <w:sz w:val="16"/>
          <w:szCs w:val="16"/>
          <w:lang w:val="en-US"/>
        </w:rPr>
        <w:t>Judge</w:t>
      </w:r>
      <w:r w:rsidRPr="00C9465D">
        <w:rPr>
          <w:rStyle w:val="Strong"/>
          <w:b w:val="0"/>
          <w:sz w:val="16"/>
          <w:szCs w:val="16"/>
          <w:lang w:val="en-US"/>
        </w:rPr>
        <w:t xml:space="preserve"> Humberto Antonio Sierra Porto, </w:t>
      </w:r>
      <w:r w:rsidR="00D8466F" w:rsidRPr="00C9465D">
        <w:rPr>
          <w:rStyle w:val="Strong"/>
          <w:b w:val="0"/>
          <w:sz w:val="16"/>
          <w:szCs w:val="16"/>
          <w:lang w:val="en-US"/>
        </w:rPr>
        <w:t>para.</w:t>
      </w:r>
      <w:r w:rsidRPr="00C9465D">
        <w:rPr>
          <w:rStyle w:val="Strong"/>
          <w:b w:val="0"/>
          <w:sz w:val="16"/>
          <w:szCs w:val="16"/>
          <w:lang w:val="en-US"/>
        </w:rPr>
        <w:t xml:space="preserve"> 6.</w:t>
      </w:r>
    </w:p>
  </w:footnote>
  <w:footnote w:id="470">
    <w:p w14:paraId="248D733A" w14:textId="3D6B8C9A" w:rsidR="000A7745" w:rsidRPr="00C9465D" w:rsidRDefault="000A7745" w:rsidP="00BD26CF">
      <w:pPr>
        <w:pStyle w:val="FootnoteText"/>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Hernández </w:t>
      </w:r>
      <w:r w:rsidR="00193CBB" w:rsidRPr="00C9465D">
        <w:rPr>
          <w:i/>
          <w:sz w:val="16"/>
          <w:szCs w:val="16"/>
          <w:lang w:val="en-US"/>
        </w:rPr>
        <w:t>v.</w:t>
      </w:r>
      <w:r w:rsidRPr="00C9465D">
        <w:rPr>
          <w:i/>
          <w:sz w:val="16"/>
          <w:szCs w:val="16"/>
          <w:lang w:val="en-US"/>
        </w:rPr>
        <w:t xml:space="preserve"> Argentina. </w:t>
      </w:r>
      <w:r w:rsidR="00D8466F" w:rsidRPr="00C9465D">
        <w:rPr>
          <w:i/>
          <w:sz w:val="16"/>
          <w:szCs w:val="16"/>
          <w:lang w:val="en-US"/>
        </w:rPr>
        <w:t>Preliminary objection, merits</w:t>
      </w:r>
      <w:r w:rsidR="00193CBB" w:rsidRPr="00C9465D">
        <w:rPr>
          <w:i/>
          <w:sz w:val="16"/>
          <w:szCs w:val="16"/>
          <w:lang w:val="en-US"/>
        </w:rPr>
        <w:t>, reparations and costs</w:t>
      </w:r>
      <w:r w:rsidRPr="00C9465D">
        <w:rPr>
          <w:i/>
          <w:sz w:val="16"/>
          <w:szCs w:val="16"/>
          <w:lang w:val="en-US"/>
        </w:rPr>
        <w:t>.</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153C9F" w:rsidRPr="00C9465D">
        <w:rPr>
          <w:sz w:val="16"/>
          <w:szCs w:val="16"/>
          <w:lang w:val="en-US"/>
        </w:rPr>
        <w:t xml:space="preserve">November </w:t>
      </w:r>
      <w:r w:rsidR="006A5339" w:rsidRPr="00C9465D">
        <w:rPr>
          <w:sz w:val="16"/>
          <w:szCs w:val="16"/>
          <w:lang w:val="en-US"/>
        </w:rPr>
        <w:t>2</w:t>
      </w:r>
      <w:r w:rsidR="00153C9F" w:rsidRPr="00C9465D">
        <w:rPr>
          <w:sz w:val="16"/>
          <w:szCs w:val="16"/>
          <w:lang w:val="en-US"/>
        </w:rPr>
        <w:t>2,</w:t>
      </w:r>
      <w:r w:rsidRPr="00C9465D">
        <w:rPr>
          <w:sz w:val="16"/>
          <w:szCs w:val="16"/>
          <w:lang w:val="en-US"/>
        </w:rPr>
        <w:t xml:space="preserve"> 2019. </w:t>
      </w:r>
      <w:r w:rsidR="00E2299F" w:rsidRPr="00C9465D">
        <w:rPr>
          <w:sz w:val="16"/>
          <w:szCs w:val="16"/>
          <w:lang w:val="en-US"/>
        </w:rPr>
        <w:t xml:space="preserve">Series </w:t>
      </w:r>
      <w:r w:rsidRPr="00C9465D">
        <w:rPr>
          <w:sz w:val="16"/>
          <w:szCs w:val="16"/>
          <w:lang w:val="en-US"/>
        </w:rPr>
        <w:t xml:space="preserve">C No. 395. </w:t>
      </w:r>
      <w:r w:rsidR="001E2003" w:rsidRPr="00C9465D">
        <w:rPr>
          <w:rStyle w:val="Strong"/>
          <w:b w:val="0"/>
          <w:sz w:val="16"/>
          <w:szCs w:val="16"/>
          <w:lang w:val="en-US"/>
        </w:rPr>
        <w:t>Partially dissenting opinion of</w:t>
      </w:r>
      <w:r w:rsidRPr="00C9465D">
        <w:rPr>
          <w:rStyle w:val="Strong"/>
          <w:b w:val="0"/>
          <w:sz w:val="16"/>
          <w:szCs w:val="16"/>
          <w:lang w:val="en-US"/>
        </w:rPr>
        <w:t xml:space="preserve"> </w:t>
      </w:r>
      <w:r w:rsidR="00193CBB" w:rsidRPr="00C9465D">
        <w:rPr>
          <w:rStyle w:val="Strong"/>
          <w:b w:val="0"/>
          <w:sz w:val="16"/>
          <w:szCs w:val="16"/>
          <w:lang w:val="en-US"/>
        </w:rPr>
        <w:t>Judge</w:t>
      </w:r>
      <w:r w:rsidRPr="00C9465D">
        <w:rPr>
          <w:rStyle w:val="Strong"/>
          <w:b w:val="0"/>
          <w:sz w:val="16"/>
          <w:szCs w:val="16"/>
          <w:lang w:val="en-US"/>
        </w:rPr>
        <w:t xml:space="preserve"> Humberto Antonio Sierra Porto, </w:t>
      </w:r>
      <w:r w:rsidR="00D8466F" w:rsidRPr="00C9465D">
        <w:rPr>
          <w:rStyle w:val="Strong"/>
          <w:b w:val="0"/>
          <w:sz w:val="16"/>
          <w:szCs w:val="16"/>
          <w:lang w:val="en-US"/>
        </w:rPr>
        <w:t>para.</w:t>
      </w:r>
      <w:r w:rsidRPr="00C9465D">
        <w:rPr>
          <w:rStyle w:val="Strong"/>
          <w:b w:val="0"/>
          <w:sz w:val="16"/>
          <w:szCs w:val="16"/>
          <w:lang w:val="en-US"/>
        </w:rPr>
        <w:t xml:space="preserve"> 17.</w:t>
      </w:r>
    </w:p>
  </w:footnote>
  <w:footnote w:id="471">
    <w:p w14:paraId="618A3BE1" w14:textId="40665424" w:rsidR="000A7745" w:rsidRPr="00C9465D" w:rsidRDefault="000A7745" w:rsidP="00BD26CF">
      <w:pPr>
        <w:pStyle w:val="FootnoteText"/>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sz w:val="16"/>
          <w:szCs w:val="16"/>
          <w:lang w:val="en-US"/>
        </w:rPr>
        <w:t>Cf.</w:t>
      </w:r>
      <w:r w:rsidRPr="00C9465D">
        <w:rPr>
          <w:sz w:val="16"/>
          <w:szCs w:val="16"/>
          <w:lang w:val="en-US"/>
        </w:rPr>
        <w:t xml:space="preserve"> </w:t>
      </w:r>
      <w:r w:rsidR="00D8466F" w:rsidRPr="00C9465D">
        <w:rPr>
          <w:i/>
          <w:iCs/>
          <w:sz w:val="16"/>
          <w:szCs w:val="16"/>
          <w:lang w:val="en-US"/>
        </w:rPr>
        <w:t>Case of</w:t>
      </w:r>
      <w:r w:rsidRPr="00C9465D">
        <w:rPr>
          <w:i/>
          <w:iCs/>
          <w:sz w:val="16"/>
          <w:szCs w:val="16"/>
          <w:lang w:val="en-US"/>
        </w:rPr>
        <w:t xml:space="preserve"> Casa Nina </w:t>
      </w:r>
      <w:r w:rsidR="00193CBB" w:rsidRPr="00C9465D">
        <w:rPr>
          <w:i/>
          <w:iCs/>
          <w:sz w:val="16"/>
          <w:szCs w:val="16"/>
          <w:lang w:val="en-US"/>
        </w:rPr>
        <w:t>v.</w:t>
      </w:r>
      <w:r w:rsidRPr="00C9465D">
        <w:rPr>
          <w:i/>
          <w:iCs/>
          <w:sz w:val="16"/>
          <w:szCs w:val="16"/>
          <w:lang w:val="en-US"/>
        </w:rPr>
        <w:t xml:space="preserve"> </w:t>
      </w:r>
      <w:r w:rsidR="001902D2" w:rsidRPr="00C9465D">
        <w:rPr>
          <w:i/>
          <w:iCs/>
          <w:sz w:val="16"/>
          <w:szCs w:val="16"/>
          <w:lang w:val="en-US"/>
        </w:rPr>
        <w:t>Peru</w:t>
      </w:r>
      <w:r w:rsidRPr="00C9465D">
        <w:rPr>
          <w:i/>
          <w:iCs/>
          <w:sz w:val="16"/>
          <w:szCs w:val="16"/>
          <w:lang w:val="en-US"/>
        </w:rPr>
        <w:t xml:space="preserve">. </w:t>
      </w:r>
      <w:r w:rsidR="00D8466F" w:rsidRPr="00C9465D">
        <w:rPr>
          <w:i/>
          <w:iCs/>
          <w:sz w:val="16"/>
          <w:szCs w:val="16"/>
          <w:lang w:val="en-US"/>
        </w:rPr>
        <w:t>Preliminary objections, merits</w:t>
      </w:r>
      <w:r w:rsidR="00193CBB" w:rsidRPr="00C9465D">
        <w:rPr>
          <w:i/>
          <w:iCs/>
          <w:sz w:val="16"/>
          <w:szCs w:val="16"/>
          <w:lang w:val="en-US"/>
        </w:rPr>
        <w:t>, reparations and costs</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6A5339" w:rsidRPr="00C9465D">
        <w:rPr>
          <w:sz w:val="16"/>
          <w:szCs w:val="16"/>
          <w:lang w:val="en-US"/>
        </w:rPr>
        <w:t>November 24,</w:t>
      </w:r>
      <w:r w:rsidRPr="00C9465D">
        <w:rPr>
          <w:sz w:val="16"/>
          <w:szCs w:val="16"/>
          <w:lang w:val="en-US"/>
        </w:rPr>
        <w:t xml:space="preserve"> 2020. </w:t>
      </w:r>
      <w:r w:rsidR="00E2299F" w:rsidRPr="00C9465D">
        <w:rPr>
          <w:sz w:val="16"/>
          <w:szCs w:val="16"/>
          <w:lang w:val="en-US"/>
        </w:rPr>
        <w:t xml:space="preserve">Series </w:t>
      </w:r>
      <w:r w:rsidRPr="00C9465D">
        <w:rPr>
          <w:sz w:val="16"/>
          <w:szCs w:val="16"/>
          <w:lang w:val="en-US"/>
        </w:rPr>
        <w:t xml:space="preserve">C No. 419. </w:t>
      </w:r>
      <w:r w:rsidR="001E2003" w:rsidRPr="00C9465D">
        <w:rPr>
          <w:rStyle w:val="Strong"/>
          <w:b w:val="0"/>
          <w:sz w:val="16"/>
          <w:szCs w:val="16"/>
          <w:lang w:val="en-US"/>
        </w:rPr>
        <w:t>Partially dissenting opinion of</w:t>
      </w:r>
      <w:r w:rsidRPr="00C9465D">
        <w:rPr>
          <w:rStyle w:val="Strong"/>
          <w:b w:val="0"/>
          <w:sz w:val="16"/>
          <w:szCs w:val="16"/>
          <w:lang w:val="en-US"/>
        </w:rPr>
        <w:t xml:space="preserve"> </w:t>
      </w:r>
      <w:r w:rsidR="00193CBB" w:rsidRPr="00C9465D">
        <w:rPr>
          <w:rStyle w:val="Strong"/>
          <w:b w:val="0"/>
          <w:sz w:val="16"/>
          <w:szCs w:val="16"/>
          <w:lang w:val="en-US"/>
        </w:rPr>
        <w:t>Judge</w:t>
      </w:r>
      <w:r w:rsidRPr="00C9465D">
        <w:rPr>
          <w:rStyle w:val="Strong"/>
          <w:b w:val="0"/>
          <w:sz w:val="16"/>
          <w:szCs w:val="16"/>
          <w:lang w:val="en-US"/>
        </w:rPr>
        <w:t xml:space="preserve"> Humberto Antonio Sierra Porto, </w:t>
      </w:r>
      <w:r w:rsidR="00D8466F" w:rsidRPr="00C9465D">
        <w:rPr>
          <w:rStyle w:val="Strong"/>
          <w:b w:val="0"/>
          <w:sz w:val="16"/>
          <w:szCs w:val="16"/>
          <w:lang w:val="en-US"/>
        </w:rPr>
        <w:t>para.</w:t>
      </w:r>
      <w:r w:rsidRPr="00C9465D">
        <w:rPr>
          <w:rStyle w:val="Strong"/>
          <w:b w:val="0"/>
          <w:sz w:val="16"/>
          <w:szCs w:val="16"/>
          <w:lang w:val="en-US"/>
        </w:rPr>
        <w:t xml:space="preserve"> 7.</w:t>
      </w:r>
    </w:p>
  </w:footnote>
  <w:footnote w:id="472">
    <w:p w14:paraId="0F280F57" w14:textId="6F5A4E84" w:rsidR="000A7745" w:rsidRPr="00C9465D" w:rsidRDefault="000A7745" w:rsidP="00BD26CF">
      <w:pPr>
        <w:pStyle w:val="FootnoteText"/>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rStyle w:val="Strong"/>
          <w:b w:val="0"/>
          <w:i/>
          <w:sz w:val="16"/>
          <w:szCs w:val="16"/>
          <w:lang w:val="en-US"/>
        </w:rPr>
        <w:t>Case of</w:t>
      </w:r>
      <w:r w:rsidRPr="00C9465D">
        <w:rPr>
          <w:rStyle w:val="Strong"/>
          <w:b w:val="0"/>
          <w:i/>
          <w:sz w:val="16"/>
          <w:szCs w:val="16"/>
          <w:lang w:val="en-US"/>
        </w:rPr>
        <w:t xml:space="preserve"> Poblete Vilches</w:t>
      </w:r>
      <w:r w:rsidR="00193CBB" w:rsidRPr="00C9465D">
        <w:rPr>
          <w:rStyle w:val="Strong"/>
          <w:b w:val="0"/>
          <w:i/>
          <w:sz w:val="16"/>
          <w:szCs w:val="16"/>
          <w:lang w:val="en-US"/>
        </w:rPr>
        <w:t xml:space="preserve"> </w:t>
      </w:r>
      <w:r w:rsidR="00D8466F" w:rsidRPr="00C9465D">
        <w:rPr>
          <w:rStyle w:val="Strong"/>
          <w:b w:val="0"/>
          <w:i/>
          <w:sz w:val="16"/>
          <w:szCs w:val="16"/>
          <w:lang w:val="en-US"/>
        </w:rPr>
        <w:t>et al. v.</w:t>
      </w:r>
      <w:r w:rsidRPr="00C9465D">
        <w:rPr>
          <w:rStyle w:val="Strong"/>
          <w:b w:val="0"/>
          <w:i/>
          <w:sz w:val="16"/>
          <w:szCs w:val="16"/>
          <w:lang w:val="en-US"/>
        </w:rPr>
        <w:t xml:space="preserve"> Chile. </w:t>
      </w:r>
      <w:r w:rsidR="00193CBB" w:rsidRPr="00C9465D">
        <w:rPr>
          <w:rStyle w:val="Strong"/>
          <w:b w:val="0"/>
          <w:i/>
          <w:sz w:val="16"/>
          <w:szCs w:val="16"/>
          <w:lang w:val="en-US"/>
        </w:rPr>
        <w:t>Merits, reparations and costs</w:t>
      </w:r>
      <w:r w:rsidRPr="00C9465D">
        <w:rPr>
          <w:rStyle w:val="Strong"/>
          <w:b w:val="0"/>
          <w:sz w:val="16"/>
          <w:szCs w:val="16"/>
          <w:lang w:val="en-US"/>
        </w:rPr>
        <w:t xml:space="preserve">. </w:t>
      </w:r>
      <w:r w:rsidR="00D8466F" w:rsidRPr="00C9465D">
        <w:rPr>
          <w:rStyle w:val="Strong"/>
          <w:b w:val="0"/>
          <w:sz w:val="16"/>
          <w:szCs w:val="16"/>
          <w:lang w:val="en-US"/>
        </w:rPr>
        <w:t>Judgment of</w:t>
      </w:r>
      <w:r w:rsidRPr="00C9465D">
        <w:rPr>
          <w:rStyle w:val="Strong"/>
          <w:b w:val="0"/>
          <w:sz w:val="16"/>
          <w:szCs w:val="16"/>
          <w:lang w:val="en-US"/>
        </w:rPr>
        <w:t xml:space="preserve"> </w:t>
      </w:r>
      <w:r w:rsidR="009B4E86" w:rsidRPr="00C9465D">
        <w:rPr>
          <w:rStyle w:val="Strong"/>
          <w:b w:val="0"/>
          <w:sz w:val="16"/>
          <w:szCs w:val="16"/>
          <w:lang w:val="en-US"/>
        </w:rPr>
        <w:t>March 8,</w:t>
      </w:r>
      <w:r w:rsidRPr="00C9465D">
        <w:rPr>
          <w:rStyle w:val="Strong"/>
          <w:b w:val="0"/>
          <w:sz w:val="16"/>
          <w:szCs w:val="16"/>
          <w:lang w:val="en-US"/>
        </w:rPr>
        <w:t xml:space="preserve"> 2018. </w:t>
      </w:r>
      <w:r w:rsidR="00E2299F" w:rsidRPr="00C9465D">
        <w:rPr>
          <w:rStyle w:val="Strong"/>
          <w:b w:val="0"/>
          <w:sz w:val="16"/>
          <w:szCs w:val="16"/>
          <w:lang w:val="en-US"/>
        </w:rPr>
        <w:t xml:space="preserve">Series </w:t>
      </w:r>
      <w:r w:rsidRPr="00C9465D">
        <w:rPr>
          <w:rStyle w:val="Strong"/>
          <w:b w:val="0"/>
          <w:sz w:val="16"/>
          <w:szCs w:val="16"/>
          <w:lang w:val="en-US"/>
        </w:rPr>
        <w:t xml:space="preserve">C No. 349., </w:t>
      </w:r>
      <w:r w:rsidR="00D8466F" w:rsidRPr="00C9465D">
        <w:rPr>
          <w:rStyle w:val="Strong"/>
          <w:b w:val="0"/>
          <w:sz w:val="16"/>
          <w:szCs w:val="16"/>
          <w:lang w:val="en-US"/>
        </w:rPr>
        <w:t>para.</w:t>
      </w:r>
      <w:r w:rsidRPr="00C9465D">
        <w:rPr>
          <w:rStyle w:val="Strong"/>
          <w:b w:val="0"/>
          <w:sz w:val="16"/>
          <w:szCs w:val="16"/>
          <w:lang w:val="en-US"/>
        </w:rPr>
        <w:t xml:space="preserve"> 103,</w:t>
      </w:r>
    </w:p>
  </w:footnote>
  <w:footnote w:id="473">
    <w:p w14:paraId="0EE145F7" w14:textId="1B052DF7" w:rsidR="000A7745" w:rsidRPr="00C9465D" w:rsidRDefault="000A7745" w:rsidP="00BD26CF">
      <w:pPr>
        <w:pStyle w:val="FootnoteText"/>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D8466F" w:rsidRPr="00C9465D">
        <w:rPr>
          <w:rStyle w:val="Strong"/>
          <w:b w:val="0"/>
          <w:sz w:val="16"/>
          <w:szCs w:val="16"/>
          <w:lang w:val="en-US"/>
        </w:rPr>
        <w:t>Case of</w:t>
      </w:r>
      <w:r w:rsidRPr="00C9465D">
        <w:rPr>
          <w:rStyle w:val="Strong"/>
          <w:b w:val="0"/>
          <w:sz w:val="16"/>
          <w:szCs w:val="16"/>
          <w:lang w:val="en-US"/>
        </w:rPr>
        <w:t xml:space="preserve"> Cuscul Pivaral</w:t>
      </w:r>
      <w:r w:rsidR="00193CBB" w:rsidRPr="00C9465D">
        <w:rPr>
          <w:rStyle w:val="Strong"/>
          <w:b w:val="0"/>
          <w:sz w:val="16"/>
          <w:szCs w:val="16"/>
          <w:lang w:val="en-US"/>
        </w:rPr>
        <w:t xml:space="preserve"> </w:t>
      </w:r>
      <w:r w:rsidR="00D8466F" w:rsidRPr="00C9465D">
        <w:rPr>
          <w:rStyle w:val="Strong"/>
          <w:b w:val="0"/>
          <w:sz w:val="16"/>
          <w:szCs w:val="16"/>
          <w:lang w:val="en-US"/>
        </w:rPr>
        <w:t>et al. v.</w:t>
      </w:r>
      <w:r w:rsidRPr="00C9465D">
        <w:rPr>
          <w:rStyle w:val="Strong"/>
          <w:b w:val="0"/>
          <w:sz w:val="16"/>
          <w:szCs w:val="16"/>
          <w:lang w:val="en-US"/>
        </w:rPr>
        <w:t xml:space="preserve"> Guatemala. </w:t>
      </w:r>
      <w:r w:rsidR="00D8466F" w:rsidRPr="00C9465D">
        <w:rPr>
          <w:rStyle w:val="Strong"/>
          <w:b w:val="0"/>
          <w:sz w:val="16"/>
          <w:szCs w:val="16"/>
          <w:lang w:val="en-US"/>
        </w:rPr>
        <w:t>Preliminary objection, merits</w:t>
      </w:r>
      <w:r w:rsidR="00193CBB" w:rsidRPr="00C9465D">
        <w:rPr>
          <w:rStyle w:val="Strong"/>
          <w:b w:val="0"/>
          <w:sz w:val="16"/>
          <w:szCs w:val="16"/>
          <w:lang w:val="en-US"/>
        </w:rPr>
        <w:t>, reparations and costs</w:t>
      </w:r>
      <w:r w:rsidRPr="00C9465D">
        <w:rPr>
          <w:rStyle w:val="Strong"/>
          <w:b w:val="0"/>
          <w:sz w:val="16"/>
          <w:szCs w:val="16"/>
          <w:lang w:val="en-US"/>
        </w:rPr>
        <w:t xml:space="preserve">. </w:t>
      </w:r>
      <w:r w:rsidR="00D8466F" w:rsidRPr="00C9465D">
        <w:rPr>
          <w:rStyle w:val="Strong"/>
          <w:b w:val="0"/>
          <w:sz w:val="16"/>
          <w:szCs w:val="16"/>
          <w:lang w:val="en-US"/>
        </w:rPr>
        <w:t>Judgment of</w:t>
      </w:r>
      <w:r w:rsidRPr="00C9465D">
        <w:rPr>
          <w:rStyle w:val="Strong"/>
          <w:b w:val="0"/>
          <w:sz w:val="16"/>
          <w:szCs w:val="16"/>
          <w:lang w:val="en-US"/>
        </w:rPr>
        <w:t xml:space="preserve"> </w:t>
      </w:r>
      <w:r w:rsidR="009B4E86" w:rsidRPr="00C9465D">
        <w:rPr>
          <w:rStyle w:val="Strong"/>
          <w:b w:val="0"/>
          <w:sz w:val="16"/>
          <w:szCs w:val="16"/>
          <w:lang w:val="en-US"/>
        </w:rPr>
        <w:t>August 23,</w:t>
      </w:r>
      <w:r w:rsidRPr="00C9465D">
        <w:rPr>
          <w:rStyle w:val="Strong"/>
          <w:b w:val="0"/>
          <w:sz w:val="16"/>
          <w:szCs w:val="16"/>
          <w:lang w:val="en-US"/>
        </w:rPr>
        <w:t xml:space="preserve"> 2018. </w:t>
      </w:r>
      <w:r w:rsidR="00E2299F" w:rsidRPr="00C9465D">
        <w:rPr>
          <w:rStyle w:val="Strong"/>
          <w:b w:val="0"/>
          <w:sz w:val="16"/>
          <w:szCs w:val="16"/>
          <w:lang w:val="en-US"/>
        </w:rPr>
        <w:t xml:space="preserve">Series </w:t>
      </w:r>
      <w:r w:rsidRPr="00C9465D">
        <w:rPr>
          <w:rStyle w:val="Strong"/>
          <w:b w:val="0"/>
          <w:sz w:val="16"/>
          <w:szCs w:val="16"/>
          <w:lang w:val="en-US"/>
        </w:rPr>
        <w:t>C No. 359</w:t>
      </w:r>
      <w:r w:rsidRPr="00C9465D">
        <w:rPr>
          <w:sz w:val="16"/>
          <w:szCs w:val="16"/>
          <w:lang w:val="en-US"/>
        </w:rPr>
        <w:t>,</w:t>
      </w:r>
      <w:r w:rsidRPr="00C9465D">
        <w:rPr>
          <w:i/>
          <w:sz w:val="16"/>
          <w:szCs w:val="16"/>
          <w:lang w:val="en-US"/>
        </w:rPr>
        <w:t xml:space="preserve"> </w:t>
      </w:r>
      <w:r w:rsidR="00D8466F" w:rsidRPr="00C9465D">
        <w:rPr>
          <w:sz w:val="16"/>
          <w:szCs w:val="16"/>
          <w:lang w:val="en-US"/>
        </w:rPr>
        <w:t>para.</w:t>
      </w:r>
      <w:r w:rsidRPr="00C9465D">
        <w:rPr>
          <w:sz w:val="16"/>
          <w:szCs w:val="16"/>
          <w:lang w:val="en-US"/>
        </w:rPr>
        <w:t xml:space="preserve"> 73,</w:t>
      </w:r>
    </w:p>
  </w:footnote>
  <w:footnote w:id="474">
    <w:p w14:paraId="7345C189" w14:textId="49F6AC1D" w:rsidR="000A7745" w:rsidRPr="00C9465D" w:rsidRDefault="000A7745" w:rsidP="00BD26CF">
      <w:pPr>
        <w:pStyle w:val="FootnoteText"/>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rStyle w:val="Strong"/>
          <w:b w:val="0"/>
          <w:i/>
          <w:sz w:val="16"/>
          <w:szCs w:val="16"/>
          <w:lang w:val="en-US"/>
        </w:rPr>
        <w:t>Case of</w:t>
      </w:r>
      <w:r w:rsidRPr="00C9465D">
        <w:rPr>
          <w:rStyle w:val="Strong"/>
          <w:b w:val="0"/>
          <w:i/>
          <w:sz w:val="16"/>
          <w:szCs w:val="16"/>
          <w:lang w:val="en-US"/>
        </w:rPr>
        <w:t xml:space="preserve"> Hernández </w:t>
      </w:r>
      <w:r w:rsidR="00193CBB" w:rsidRPr="00C9465D">
        <w:rPr>
          <w:rStyle w:val="Strong"/>
          <w:b w:val="0"/>
          <w:i/>
          <w:sz w:val="16"/>
          <w:szCs w:val="16"/>
          <w:lang w:val="en-US"/>
        </w:rPr>
        <w:t>v.</w:t>
      </w:r>
      <w:r w:rsidRPr="00C9465D">
        <w:rPr>
          <w:rStyle w:val="Strong"/>
          <w:b w:val="0"/>
          <w:i/>
          <w:sz w:val="16"/>
          <w:szCs w:val="16"/>
          <w:lang w:val="en-US"/>
        </w:rPr>
        <w:t xml:space="preserve"> Argentina. </w:t>
      </w:r>
      <w:r w:rsidR="00D8466F" w:rsidRPr="00C9465D">
        <w:rPr>
          <w:rStyle w:val="Strong"/>
          <w:b w:val="0"/>
          <w:i/>
          <w:sz w:val="16"/>
          <w:szCs w:val="16"/>
          <w:lang w:val="en-US"/>
        </w:rPr>
        <w:t>Preliminary objection, merits</w:t>
      </w:r>
      <w:r w:rsidR="00193CBB" w:rsidRPr="00C9465D">
        <w:rPr>
          <w:rStyle w:val="Strong"/>
          <w:b w:val="0"/>
          <w:i/>
          <w:sz w:val="16"/>
          <w:szCs w:val="16"/>
          <w:lang w:val="en-US"/>
        </w:rPr>
        <w:t>, reparations and costs</w:t>
      </w:r>
      <w:r w:rsidRPr="00C9465D">
        <w:rPr>
          <w:rStyle w:val="Strong"/>
          <w:b w:val="0"/>
          <w:i/>
          <w:sz w:val="16"/>
          <w:szCs w:val="16"/>
          <w:lang w:val="en-US"/>
        </w:rPr>
        <w:t xml:space="preserve">. </w:t>
      </w:r>
      <w:r w:rsidR="00D8466F" w:rsidRPr="00C9465D">
        <w:rPr>
          <w:rStyle w:val="Strong"/>
          <w:b w:val="0"/>
          <w:sz w:val="16"/>
          <w:szCs w:val="16"/>
          <w:lang w:val="en-US"/>
        </w:rPr>
        <w:t>Judgment of</w:t>
      </w:r>
      <w:r w:rsidRPr="00C9465D">
        <w:rPr>
          <w:rStyle w:val="Strong"/>
          <w:b w:val="0"/>
          <w:sz w:val="16"/>
          <w:szCs w:val="16"/>
          <w:lang w:val="en-US"/>
        </w:rPr>
        <w:t xml:space="preserve"> 2</w:t>
      </w:r>
      <w:r w:rsidR="00153C9F" w:rsidRPr="00C9465D">
        <w:rPr>
          <w:rStyle w:val="Strong"/>
          <w:b w:val="0"/>
          <w:sz w:val="16"/>
          <w:szCs w:val="16"/>
          <w:lang w:val="en-US"/>
        </w:rPr>
        <w:t>on November 2</w:t>
      </w:r>
      <w:r w:rsidR="00D750CC" w:rsidRPr="00C9465D">
        <w:rPr>
          <w:rStyle w:val="Strong"/>
          <w:b w:val="0"/>
          <w:sz w:val="16"/>
          <w:szCs w:val="16"/>
          <w:lang w:val="en-US"/>
        </w:rPr>
        <w:t>2</w:t>
      </w:r>
      <w:r w:rsidR="00153C9F" w:rsidRPr="00C9465D">
        <w:rPr>
          <w:rStyle w:val="Strong"/>
          <w:b w:val="0"/>
          <w:sz w:val="16"/>
          <w:szCs w:val="16"/>
          <w:lang w:val="en-US"/>
        </w:rPr>
        <w:t>,</w:t>
      </w:r>
      <w:r w:rsidRPr="00C9465D">
        <w:rPr>
          <w:rStyle w:val="Strong"/>
          <w:b w:val="0"/>
          <w:sz w:val="16"/>
          <w:szCs w:val="16"/>
          <w:lang w:val="en-US"/>
        </w:rPr>
        <w:t xml:space="preserve"> 2019. </w:t>
      </w:r>
      <w:r w:rsidR="00E2299F" w:rsidRPr="00C9465D">
        <w:rPr>
          <w:rStyle w:val="Strong"/>
          <w:b w:val="0"/>
          <w:sz w:val="16"/>
          <w:szCs w:val="16"/>
          <w:lang w:val="en-US"/>
        </w:rPr>
        <w:t xml:space="preserve">Series </w:t>
      </w:r>
      <w:r w:rsidRPr="00C9465D">
        <w:rPr>
          <w:rStyle w:val="Strong"/>
          <w:b w:val="0"/>
          <w:sz w:val="16"/>
          <w:szCs w:val="16"/>
          <w:lang w:val="en-US"/>
        </w:rPr>
        <w:t xml:space="preserve">C No. 395, </w:t>
      </w:r>
      <w:r w:rsidR="00D8466F" w:rsidRPr="00C9465D">
        <w:rPr>
          <w:rStyle w:val="Strong"/>
          <w:b w:val="0"/>
          <w:sz w:val="16"/>
          <w:szCs w:val="16"/>
          <w:lang w:val="en-US"/>
        </w:rPr>
        <w:t>para.</w:t>
      </w:r>
      <w:r w:rsidRPr="00C9465D">
        <w:rPr>
          <w:rStyle w:val="Strong"/>
          <w:b w:val="0"/>
          <w:sz w:val="16"/>
          <w:szCs w:val="16"/>
          <w:lang w:val="en-US"/>
        </w:rPr>
        <w:t xml:space="preserve"> 64.</w:t>
      </w:r>
    </w:p>
  </w:footnote>
  <w:footnote w:id="475">
    <w:p w14:paraId="561E966F" w14:textId="437BA22E" w:rsidR="000A7745" w:rsidRPr="00C9465D" w:rsidRDefault="000A7745" w:rsidP="00BD26CF">
      <w:pPr>
        <w:pStyle w:val="FootnoteText"/>
        <w:spacing w:after="120"/>
        <w:rPr>
          <w:sz w:val="16"/>
          <w:szCs w:val="16"/>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Guachalá </w:t>
      </w:r>
      <w:r w:rsidR="00193CBB" w:rsidRPr="00C9465D">
        <w:rPr>
          <w:i/>
          <w:sz w:val="16"/>
          <w:szCs w:val="16"/>
          <w:lang w:val="en-US"/>
        </w:rPr>
        <w:t>Chimbo et al.</w:t>
      </w:r>
      <w:r w:rsidRPr="00C9465D">
        <w:rPr>
          <w:i/>
          <w:sz w:val="16"/>
          <w:szCs w:val="16"/>
          <w:lang w:val="en-US"/>
        </w:rPr>
        <w:t xml:space="preserve"> vs. Ecuador. </w:t>
      </w:r>
      <w:r w:rsidR="00193CBB" w:rsidRPr="00C9465D">
        <w:rPr>
          <w:rStyle w:val="Strong"/>
          <w:b w:val="0"/>
          <w:i/>
          <w:sz w:val="16"/>
          <w:szCs w:val="16"/>
          <w:lang w:val="en-US"/>
        </w:rPr>
        <w:t>Merits, reparations and costs</w:t>
      </w:r>
      <w:r w:rsidRPr="00C9465D">
        <w:rPr>
          <w:rStyle w:val="Strong"/>
          <w:b w:val="0"/>
          <w:sz w:val="16"/>
          <w:szCs w:val="16"/>
          <w:lang w:val="en-US"/>
        </w:rPr>
        <w:t xml:space="preserve">. </w:t>
      </w:r>
      <w:r w:rsidR="00D8466F" w:rsidRPr="00C9465D">
        <w:rPr>
          <w:rStyle w:val="Strong"/>
          <w:b w:val="0"/>
          <w:sz w:val="16"/>
          <w:szCs w:val="16"/>
          <w:lang w:val="en-US"/>
        </w:rPr>
        <w:t>Judgment of</w:t>
      </w:r>
      <w:r w:rsidRPr="00C9465D">
        <w:rPr>
          <w:rStyle w:val="Strong"/>
          <w:b w:val="0"/>
          <w:sz w:val="16"/>
          <w:szCs w:val="16"/>
          <w:lang w:val="en-US"/>
        </w:rPr>
        <w:t xml:space="preserve"> </w:t>
      </w:r>
      <w:r w:rsidR="009B4E86" w:rsidRPr="00C9465D">
        <w:rPr>
          <w:rStyle w:val="Strong"/>
          <w:b w:val="0"/>
          <w:sz w:val="16"/>
          <w:szCs w:val="16"/>
          <w:lang w:val="en-US"/>
        </w:rPr>
        <w:t xml:space="preserve">March </w:t>
      </w:r>
      <w:r w:rsidR="006A5339" w:rsidRPr="00C9465D">
        <w:rPr>
          <w:rStyle w:val="Strong"/>
          <w:b w:val="0"/>
          <w:sz w:val="16"/>
          <w:szCs w:val="16"/>
          <w:lang w:val="en-US"/>
        </w:rPr>
        <w:t>2</w:t>
      </w:r>
      <w:r w:rsidR="009B4E86" w:rsidRPr="00C9465D">
        <w:rPr>
          <w:rStyle w:val="Strong"/>
          <w:b w:val="0"/>
          <w:sz w:val="16"/>
          <w:szCs w:val="16"/>
          <w:lang w:val="en-US"/>
        </w:rPr>
        <w:t>6,</w:t>
      </w:r>
      <w:r w:rsidRPr="00C9465D">
        <w:rPr>
          <w:rStyle w:val="Strong"/>
          <w:b w:val="0"/>
          <w:sz w:val="16"/>
          <w:szCs w:val="16"/>
          <w:lang w:val="en-US"/>
        </w:rPr>
        <w:t xml:space="preserve"> 2021. </w:t>
      </w:r>
      <w:r w:rsidR="00E2299F" w:rsidRPr="00C9465D">
        <w:rPr>
          <w:rStyle w:val="Strong"/>
          <w:b w:val="0"/>
          <w:sz w:val="16"/>
          <w:szCs w:val="16"/>
        </w:rPr>
        <w:t xml:space="preserve">Series </w:t>
      </w:r>
      <w:r w:rsidRPr="00C9465D">
        <w:rPr>
          <w:rStyle w:val="Strong"/>
          <w:b w:val="0"/>
          <w:sz w:val="16"/>
          <w:szCs w:val="16"/>
        </w:rPr>
        <w:t xml:space="preserve">C No. 423, </w:t>
      </w:r>
      <w:r w:rsidR="00D8466F" w:rsidRPr="00C9465D">
        <w:rPr>
          <w:rStyle w:val="Strong"/>
          <w:b w:val="0"/>
          <w:sz w:val="16"/>
          <w:szCs w:val="16"/>
        </w:rPr>
        <w:t>para.</w:t>
      </w:r>
      <w:r w:rsidRPr="00C9465D">
        <w:rPr>
          <w:rStyle w:val="Strong"/>
          <w:b w:val="0"/>
          <w:sz w:val="16"/>
          <w:szCs w:val="16"/>
        </w:rPr>
        <w:t xml:space="preserve"> 100. </w:t>
      </w:r>
    </w:p>
  </w:footnote>
  <w:footnote w:id="476">
    <w:p w14:paraId="6E7E0F4A" w14:textId="79099088" w:rsidR="000A7745" w:rsidRPr="00C9465D" w:rsidRDefault="000A7745" w:rsidP="00BD26CF">
      <w:pPr>
        <w:pStyle w:val="FootnoteText"/>
        <w:spacing w:after="120"/>
        <w:rPr>
          <w:sz w:val="16"/>
          <w:szCs w:val="16"/>
        </w:rPr>
      </w:pPr>
      <w:r w:rsidRPr="00C9465D">
        <w:rPr>
          <w:rStyle w:val="FootnoteReference"/>
          <w:sz w:val="16"/>
          <w:szCs w:val="16"/>
          <w:lang w:val="en-US"/>
        </w:rPr>
        <w:footnoteRef/>
      </w:r>
      <w:r w:rsidRPr="00C9465D">
        <w:rPr>
          <w:sz w:val="16"/>
          <w:szCs w:val="16"/>
        </w:rPr>
        <w:t xml:space="preserve"> </w:t>
      </w:r>
      <w:r w:rsidRPr="00C9465D">
        <w:rPr>
          <w:sz w:val="16"/>
          <w:szCs w:val="16"/>
        </w:rPr>
        <w:tab/>
      </w:r>
      <w:r w:rsidR="00E2299F" w:rsidRPr="00C9465D">
        <w:rPr>
          <w:i/>
          <w:sz w:val="16"/>
          <w:szCs w:val="16"/>
        </w:rPr>
        <w:t>Cf.</w:t>
      </w:r>
      <w:r w:rsidRPr="00C9465D">
        <w:rPr>
          <w:i/>
          <w:sz w:val="16"/>
          <w:szCs w:val="16"/>
        </w:rPr>
        <w:t xml:space="preserve"> </w:t>
      </w:r>
      <w:r w:rsidR="00D8466F" w:rsidRPr="00C9465D">
        <w:rPr>
          <w:i/>
          <w:sz w:val="16"/>
          <w:szCs w:val="16"/>
        </w:rPr>
        <w:t>Case of</w:t>
      </w:r>
      <w:r w:rsidRPr="00C9465D">
        <w:rPr>
          <w:i/>
          <w:sz w:val="16"/>
          <w:szCs w:val="16"/>
        </w:rPr>
        <w:t xml:space="preserve"> </w:t>
      </w:r>
      <w:proofErr w:type="spellStart"/>
      <w:r w:rsidRPr="00C9465D">
        <w:rPr>
          <w:i/>
          <w:sz w:val="16"/>
          <w:szCs w:val="16"/>
        </w:rPr>
        <w:t>Guachalá</w:t>
      </w:r>
      <w:proofErr w:type="spellEnd"/>
      <w:r w:rsidRPr="00C9465D">
        <w:rPr>
          <w:i/>
          <w:sz w:val="16"/>
          <w:szCs w:val="16"/>
        </w:rPr>
        <w:t xml:space="preserve"> </w:t>
      </w:r>
      <w:r w:rsidR="00193CBB" w:rsidRPr="00C9465D">
        <w:rPr>
          <w:i/>
          <w:sz w:val="16"/>
          <w:szCs w:val="16"/>
        </w:rPr>
        <w:t>Chimbo et al.</w:t>
      </w:r>
      <w:r w:rsidRPr="00C9465D">
        <w:rPr>
          <w:i/>
          <w:sz w:val="16"/>
          <w:szCs w:val="16"/>
        </w:rPr>
        <w:t xml:space="preserve"> vs. Ecuador. </w:t>
      </w:r>
      <w:r w:rsidR="00193CBB" w:rsidRPr="00C9465D">
        <w:rPr>
          <w:rStyle w:val="Strong"/>
          <w:b w:val="0"/>
          <w:i/>
          <w:sz w:val="16"/>
          <w:szCs w:val="16"/>
          <w:lang w:val="en-US"/>
        </w:rPr>
        <w:t>Merits, reparations and costs</w:t>
      </w:r>
      <w:r w:rsidRPr="00C9465D">
        <w:rPr>
          <w:rStyle w:val="Strong"/>
          <w:b w:val="0"/>
          <w:i/>
          <w:sz w:val="16"/>
          <w:szCs w:val="16"/>
          <w:lang w:val="en-US"/>
        </w:rPr>
        <w:t xml:space="preserve">. </w:t>
      </w:r>
      <w:r w:rsidR="00D8466F" w:rsidRPr="00C9465D">
        <w:rPr>
          <w:rStyle w:val="Strong"/>
          <w:b w:val="0"/>
          <w:sz w:val="16"/>
          <w:szCs w:val="16"/>
          <w:lang w:val="en-US"/>
        </w:rPr>
        <w:t>Judgment of</w:t>
      </w:r>
      <w:r w:rsidRPr="00C9465D">
        <w:rPr>
          <w:rStyle w:val="Strong"/>
          <w:b w:val="0"/>
          <w:sz w:val="16"/>
          <w:szCs w:val="16"/>
          <w:lang w:val="en-US"/>
        </w:rPr>
        <w:t xml:space="preserve"> </w:t>
      </w:r>
      <w:r w:rsidR="009B4E86" w:rsidRPr="00C9465D">
        <w:rPr>
          <w:rStyle w:val="Strong"/>
          <w:b w:val="0"/>
          <w:sz w:val="16"/>
          <w:szCs w:val="16"/>
          <w:lang w:val="en-US"/>
        </w:rPr>
        <w:t xml:space="preserve">March </w:t>
      </w:r>
      <w:r w:rsidR="006A5339" w:rsidRPr="00C9465D">
        <w:rPr>
          <w:rStyle w:val="Strong"/>
          <w:b w:val="0"/>
          <w:sz w:val="16"/>
          <w:szCs w:val="16"/>
          <w:lang w:val="en-US"/>
        </w:rPr>
        <w:t>2</w:t>
      </w:r>
      <w:r w:rsidR="009B4E86" w:rsidRPr="00C9465D">
        <w:rPr>
          <w:rStyle w:val="Strong"/>
          <w:b w:val="0"/>
          <w:sz w:val="16"/>
          <w:szCs w:val="16"/>
          <w:lang w:val="en-US"/>
        </w:rPr>
        <w:t>6,</w:t>
      </w:r>
      <w:r w:rsidRPr="00C9465D">
        <w:rPr>
          <w:rStyle w:val="Strong"/>
          <w:b w:val="0"/>
          <w:sz w:val="16"/>
          <w:szCs w:val="16"/>
          <w:lang w:val="en-US"/>
        </w:rPr>
        <w:t xml:space="preserve"> 2021. </w:t>
      </w:r>
      <w:r w:rsidR="00E2299F" w:rsidRPr="00C9465D">
        <w:rPr>
          <w:rStyle w:val="Strong"/>
          <w:b w:val="0"/>
          <w:sz w:val="16"/>
          <w:szCs w:val="16"/>
        </w:rPr>
        <w:t xml:space="preserve">Series </w:t>
      </w:r>
      <w:r w:rsidRPr="00C9465D">
        <w:rPr>
          <w:rStyle w:val="Strong"/>
          <w:b w:val="0"/>
          <w:sz w:val="16"/>
          <w:szCs w:val="16"/>
        </w:rPr>
        <w:t xml:space="preserve">C No. 423, </w:t>
      </w:r>
      <w:r w:rsidR="00D8466F" w:rsidRPr="00C9465D">
        <w:rPr>
          <w:rStyle w:val="Strong"/>
          <w:b w:val="0"/>
          <w:sz w:val="16"/>
          <w:szCs w:val="16"/>
        </w:rPr>
        <w:t>para.</w:t>
      </w:r>
      <w:r w:rsidRPr="00C9465D">
        <w:rPr>
          <w:rStyle w:val="Strong"/>
          <w:b w:val="0"/>
          <w:sz w:val="16"/>
          <w:szCs w:val="16"/>
        </w:rPr>
        <w:t xml:space="preserve"> 101.</w:t>
      </w:r>
    </w:p>
  </w:footnote>
  <w:footnote w:id="477">
    <w:p w14:paraId="751D8A75" w14:textId="7EFA98BB" w:rsidR="000A7745" w:rsidRPr="00C9465D" w:rsidRDefault="000A7745" w:rsidP="00BD26CF">
      <w:pPr>
        <w:pStyle w:val="FootnoteText"/>
        <w:spacing w:after="120"/>
        <w:rPr>
          <w:sz w:val="16"/>
          <w:szCs w:val="16"/>
        </w:rPr>
      </w:pPr>
      <w:r w:rsidRPr="00C9465D">
        <w:rPr>
          <w:rStyle w:val="FootnoteReference"/>
          <w:sz w:val="16"/>
          <w:szCs w:val="16"/>
          <w:lang w:val="en-US"/>
        </w:rPr>
        <w:footnoteRef/>
      </w:r>
      <w:r w:rsidRPr="00C9465D">
        <w:rPr>
          <w:sz w:val="16"/>
          <w:szCs w:val="16"/>
        </w:rPr>
        <w:t xml:space="preserve"> </w:t>
      </w:r>
      <w:r w:rsidRPr="00C9465D">
        <w:rPr>
          <w:sz w:val="16"/>
          <w:szCs w:val="16"/>
        </w:rPr>
        <w:tab/>
      </w:r>
      <w:r w:rsidR="00E2299F" w:rsidRPr="00C9465D">
        <w:rPr>
          <w:i/>
          <w:sz w:val="16"/>
          <w:szCs w:val="16"/>
        </w:rPr>
        <w:t>Cf.</w:t>
      </w:r>
      <w:r w:rsidRPr="00C9465D">
        <w:rPr>
          <w:i/>
          <w:sz w:val="16"/>
          <w:szCs w:val="16"/>
        </w:rPr>
        <w:t xml:space="preserve"> </w:t>
      </w:r>
      <w:r w:rsidR="00D8466F" w:rsidRPr="00C9465D">
        <w:rPr>
          <w:i/>
          <w:sz w:val="16"/>
          <w:szCs w:val="16"/>
        </w:rPr>
        <w:t>Case of</w:t>
      </w:r>
      <w:r w:rsidRPr="00C9465D">
        <w:rPr>
          <w:i/>
          <w:sz w:val="16"/>
          <w:szCs w:val="16"/>
        </w:rPr>
        <w:t xml:space="preserve"> </w:t>
      </w:r>
      <w:proofErr w:type="spellStart"/>
      <w:r w:rsidRPr="00C9465D">
        <w:rPr>
          <w:i/>
          <w:sz w:val="16"/>
          <w:szCs w:val="16"/>
        </w:rPr>
        <w:t>Guachalá</w:t>
      </w:r>
      <w:proofErr w:type="spellEnd"/>
      <w:r w:rsidRPr="00C9465D">
        <w:rPr>
          <w:i/>
          <w:sz w:val="16"/>
          <w:szCs w:val="16"/>
        </w:rPr>
        <w:t xml:space="preserve"> </w:t>
      </w:r>
      <w:r w:rsidR="00193CBB" w:rsidRPr="00C9465D">
        <w:rPr>
          <w:i/>
          <w:sz w:val="16"/>
          <w:szCs w:val="16"/>
        </w:rPr>
        <w:t>Chimbo et al.</w:t>
      </w:r>
      <w:r w:rsidRPr="00C9465D">
        <w:rPr>
          <w:i/>
          <w:sz w:val="16"/>
          <w:szCs w:val="16"/>
        </w:rPr>
        <w:t xml:space="preserve"> vs. Ecuador. </w:t>
      </w:r>
      <w:r w:rsidR="00193CBB" w:rsidRPr="00C9465D">
        <w:rPr>
          <w:rStyle w:val="Strong"/>
          <w:b w:val="0"/>
          <w:i/>
          <w:sz w:val="16"/>
          <w:szCs w:val="16"/>
          <w:lang w:val="en-US"/>
        </w:rPr>
        <w:t>Merits, reparations and costs</w:t>
      </w:r>
      <w:r w:rsidRPr="00C9465D">
        <w:rPr>
          <w:rStyle w:val="Strong"/>
          <w:b w:val="0"/>
          <w:i/>
          <w:sz w:val="16"/>
          <w:szCs w:val="16"/>
          <w:lang w:val="en-US"/>
        </w:rPr>
        <w:t>.</w:t>
      </w:r>
      <w:r w:rsidRPr="00C9465D">
        <w:rPr>
          <w:rStyle w:val="Strong"/>
          <w:b w:val="0"/>
          <w:sz w:val="16"/>
          <w:szCs w:val="16"/>
          <w:lang w:val="en-US"/>
        </w:rPr>
        <w:t xml:space="preserve"> </w:t>
      </w:r>
      <w:r w:rsidR="00D8466F" w:rsidRPr="00C9465D">
        <w:rPr>
          <w:rStyle w:val="Strong"/>
          <w:b w:val="0"/>
          <w:sz w:val="16"/>
          <w:szCs w:val="16"/>
          <w:lang w:val="en-US"/>
        </w:rPr>
        <w:t>Judgment of</w:t>
      </w:r>
      <w:r w:rsidRPr="00C9465D">
        <w:rPr>
          <w:rStyle w:val="Strong"/>
          <w:b w:val="0"/>
          <w:sz w:val="16"/>
          <w:szCs w:val="16"/>
          <w:lang w:val="en-US"/>
        </w:rPr>
        <w:t xml:space="preserve"> </w:t>
      </w:r>
      <w:r w:rsidR="009B4E86" w:rsidRPr="00C9465D">
        <w:rPr>
          <w:rStyle w:val="Strong"/>
          <w:b w:val="0"/>
          <w:sz w:val="16"/>
          <w:szCs w:val="16"/>
          <w:lang w:val="en-US"/>
        </w:rPr>
        <w:t xml:space="preserve">March </w:t>
      </w:r>
      <w:r w:rsidR="006A5339" w:rsidRPr="00C9465D">
        <w:rPr>
          <w:rStyle w:val="Strong"/>
          <w:b w:val="0"/>
          <w:sz w:val="16"/>
          <w:szCs w:val="16"/>
          <w:lang w:val="en-US"/>
        </w:rPr>
        <w:t>2</w:t>
      </w:r>
      <w:r w:rsidR="009B4E86" w:rsidRPr="00C9465D">
        <w:rPr>
          <w:rStyle w:val="Strong"/>
          <w:b w:val="0"/>
          <w:sz w:val="16"/>
          <w:szCs w:val="16"/>
          <w:lang w:val="en-US"/>
        </w:rPr>
        <w:t>6,</w:t>
      </w:r>
      <w:r w:rsidRPr="00C9465D">
        <w:rPr>
          <w:rStyle w:val="Strong"/>
          <w:b w:val="0"/>
          <w:sz w:val="16"/>
          <w:szCs w:val="16"/>
          <w:lang w:val="en-US"/>
        </w:rPr>
        <w:t xml:space="preserve"> 2021. </w:t>
      </w:r>
      <w:r w:rsidR="00E2299F" w:rsidRPr="00C9465D">
        <w:rPr>
          <w:rStyle w:val="Strong"/>
          <w:b w:val="0"/>
          <w:sz w:val="16"/>
          <w:szCs w:val="16"/>
        </w:rPr>
        <w:t xml:space="preserve">Series </w:t>
      </w:r>
      <w:r w:rsidRPr="00C9465D">
        <w:rPr>
          <w:rStyle w:val="Strong"/>
          <w:b w:val="0"/>
          <w:sz w:val="16"/>
          <w:szCs w:val="16"/>
        </w:rPr>
        <w:t xml:space="preserve">C No. 423, </w:t>
      </w:r>
      <w:r w:rsidR="00D8466F" w:rsidRPr="00C9465D">
        <w:rPr>
          <w:rStyle w:val="Strong"/>
          <w:b w:val="0"/>
          <w:sz w:val="16"/>
          <w:szCs w:val="16"/>
        </w:rPr>
        <w:t>para.</w:t>
      </w:r>
      <w:r w:rsidRPr="00C9465D">
        <w:rPr>
          <w:rStyle w:val="Strong"/>
          <w:b w:val="0"/>
          <w:sz w:val="16"/>
          <w:szCs w:val="16"/>
        </w:rPr>
        <w:t xml:space="preserve"> 149.</w:t>
      </w:r>
    </w:p>
  </w:footnote>
  <w:footnote w:id="478">
    <w:p w14:paraId="09559F05" w14:textId="752F8121" w:rsidR="000A7745" w:rsidRPr="00C9465D" w:rsidRDefault="000A7745" w:rsidP="00BD26CF">
      <w:pPr>
        <w:pStyle w:val="FootnoteText"/>
        <w:spacing w:after="120"/>
        <w:rPr>
          <w:sz w:val="16"/>
          <w:szCs w:val="16"/>
          <w:lang w:val="en-US"/>
        </w:rPr>
      </w:pPr>
      <w:r w:rsidRPr="00C9465D">
        <w:rPr>
          <w:rStyle w:val="FootnoteReference"/>
          <w:sz w:val="16"/>
          <w:szCs w:val="16"/>
          <w:lang w:val="en-US"/>
        </w:rPr>
        <w:footnoteRef/>
      </w:r>
      <w:r w:rsidRPr="00C9465D">
        <w:rPr>
          <w:sz w:val="16"/>
          <w:szCs w:val="16"/>
        </w:rPr>
        <w:t xml:space="preserve"> </w:t>
      </w:r>
      <w:r w:rsidRPr="00C9465D">
        <w:rPr>
          <w:sz w:val="16"/>
          <w:szCs w:val="16"/>
        </w:rPr>
        <w:tab/>
      </w:r>
      <w:r w:rsidR="00E2299F" w:rsidRPr="00C9465D">
        <w:rPr>
          <w:i/>
          <w:sz w:val="16"/>
          <w:szCs w:val="16"/>
        </w:rPr>
        <w:t>Cf.</w:t>
      </w:r>
      <w:r w:rsidRPr="00C9465D">
        <w:rPr>
          <w:i/>
          <w:sz w:val="16"/>
          <w:szCs w:val="16"/>
        </w:rPr>
        <w:t xml:space="preserve"> </w:t>
      </w:r>
      <w:r w:rsidR="00D8466F" w:rsidRPr="00C9465D">
        <w:rPr>
          <w:i/>
          <w:sz w:val="16"/>
          <w:szCs w:val="16"/>
        </w:rPr>
        <w:t>Case of</w:t>
      </w:r>
      <w:r w:rsidRPr="00C9465D">
        <w:rPr>
          <w:i/>
          <w:sz w:val="16"/>
          <w:szCs w:val="16"/>
        </w:rPr>
        <w:t xml:space="preserve"> </w:t>
      </w:r>
      <w:proofErr w:type="spellStart"/>
      <w:r w:rsidRPr="00C9465D">
        <w:rPr>
          <w:i/>
          <w:sz w:val="16"/>
          <w:szCs w:val="16"/>
        </w:rPr>
        <w:t>Guachalá</w:t>
      </w:r>
      <w:proofErr w:type="spellEnd"/>
      <w:r w:rsidRPr="00C9465D">
        <w:rPr>
          <w:i/>
          <w:sz w:val="16"/>
          <w:szCs w:val="16"/>
        </w:rPr>
        <w:t xml:space="preserve"> </w:t>
      </w:r>
      <w:r w:rsidR="00193CBB" w:rsidRPr="00C9465D">
        <w:rPr>
          <w:i/>
          <w:sz w:val="16"/>
          <w:szCs w:val="16"/>
        </w:rPr>
        <w:t>Chimbo et al.</w:t>
      </w:r>
      <w:r w:rsidRPr="00C9465D">
        <w:rPr>
          <w:i/>
          <w:sz w:val="16"/>
          <w:szCs w:val="16"/>
        </w:rPr>
        <w:t xml:space="preserve"> vs. Ecuador. </w:t>
      </w:r>
      <w:r w:rsidR="00193CBB" w:rsidRPr="00C9465D">
        <w:rPr>
          <w:rStyle w:val="Strong"/>
          <w:b w:val="0"/>
          <w:i/>
          <w:sz w:val="16"/>
          <w:szCs w:val="16"/>
          <w:lang w:val="en-US"/>
        </w:rPr>
        <w:t>Merits, reparations and costs</w:t>
      </w:r>
      <w:r w:rsidRPr="00C9465D">
        <w:rPr>
          <w:rStyle w:val="Strong"/>
          <w:b w:val="0"/>
          <w:i/>
          <w:sz w:val="16"/>
          <w:szCs w:val="16"/>
          <w:lang w:val="en-US"/>
        </w:rPr>
        <w:t>.</w:t>
      </w:r>
      <w:r w:rsidRPr="00C9465D">
        <w:rPr>
          <w:rStyle w:val="Strong"/>
          <w:b w:val="0"/>
          <w:sz w:val="16"/>
          <w:szCs w:val="16"/>
          <w:lang w:val="en-US"/>
        </w:rPr>
        <w:t xml:space="preserve"> </w:t>
      </w:r>
      <w:r w:rsidR="00D8466F" w:rsidRPr="00C9465D">
        <w:rPr>
          <w:rStyle w:val="Strong"/>
          <w:b w:val="0"/>
          <w:sz w:val="16"/>
          <w:szCs w:val="16"/>
          <w:lang w:val="en-US"/>
        </w:rPr>
        <w:t>Judgment of</w:t>
      </w:r>
      <w:r w:rsidRPr="00C9465D">
        <w:rPr>
          <w:rStyle w:val="Strong"/>
          <w:b w:val="0"/>
          <w:sz w:val="16"/>
          <w:szCs w:val="16"/>
          <w:lang w:val="en-US"/>
        </w:rPr>
        <w:t xml:space="preserve"> </w:t>
      </w:r>
      <w:r w:rsidR="006A5339" w:rsidRPr="00C9465D">
        <w:rPr>
          <w:rStyle w:val="Strong"/>
          <w:b w:val="0"/>
          <w:sz w:val="16"/>
          <w:szCs w:val="16"/>
          <w:lang w:val="en-US"/>
        </w:rPr>
        <w:t>March 26,</w:t>
      </w:r>
      <w:r w:rsidRPr="00C9465D">
        <w:rPr>
          <w:rStyle w:val="Strong"/>
          <w:b w:val="0"/>
          <w:sz w:val="16"/>
          <w:szCs w:val="16"/>
          <w:lang w:val="en-US"/>
        </w:rPr>
        <w:t xml:space="preserve"> 2021. </w:t>
      </w:r>
      <w:r w:rsidR="00E2299F" w:rsidRPr="00C9465D">
        <w:rPr>
          <w:rStyle w:val="Strong"/>
          <w:b w:val="0"/>
          <w:sz w:val="16"/>
          <w:szCs w:val="16"/>
          <w:lang w:val="en-US"/>
        </w:rPr>
        <w:t xml:space="preserve">Series </w:t>
      </w:r>
      <w:r w:rsidRPr="00C9465D">
        <w:rPr>
          <w:rStyle w:val="Strong"/>
          <w:b w:val="0"/>
          <w:sz w:val="16"/>
          <w:szCs w:val="16"/>
          <w:lang w:val="en-US"/>
        </w:rPr>
        <w:t xml:space="preserve">C No. 423, </w:t>
      </w:r>
      <w:r w:rsidR="00D8466F" w:rsidRPr="00C9465D">
        <w:rPr>
          <w:rStyle w:val="Strong"/>
          <w:b w:val="0"/>
          <w:sz w:val="16"/>
          <w:szCs w:val="16"/>
          <w:lang w:val="en-US"/>
        </w:rPr>
        <w:t>para</w:t>
      </w:r>
      <w:r w:rsidR="006A5339" w:rsidRPr="00C9465D">
        <w:rPr>
          <w:rStyle w:val="Strong"/>
          <w:b w:val="0"/>
          <w:sz w:val="16"/>
          <w:szCs w:val="16"/>
          <w:lang w:val="en-US"/>
        </w:rPr>
        <w:t>s</w:t>
      </w:r>
      <w:r w:rsidR="00D8466F" w:rsidRPr="00C9465D">
        <w:rPr>
          <w:rStyle w:val="Strong"/>
          <w:b w:val="0"/>
          <w:sz w:val="16"/>
          <w:szCs w:val="16"/>
          <w:lang w:val="en-US"/>
        </w:rPr>
        <w:t>.</w:t>
      </w:r>
      <w:r w:rsidRPr="00C9465D">
        <w:rPr>
          <w:rStyle w:val="Strong"/>
          <w:b w:val="0"/>
          <w:sz w:val="16"/>
          <w:szCs w:val="16"/>
          <w:lang w:val="en-US"/>
        </w:rPr>
        <w:t xml:space="preserve"> 152 </w:t>
      </w:r>
      <w:r w:rsidR="006A5339" w:rsidRPr="00C9465D">
        <w:rPr>
          <w:rStyle w:val="Strong"/>
          <w:b w:val="0"/>
          <w:sz w:val="16"/>
          <w:szCs w:val="16"/>
          <w:lang w:val="en-US"/>
        </w:rPr>
        <w:t>to</w:t>
      </w:r>
      <w:r w:rsidRPr="00C9465D">
        <w:rPr>
          <w:rStyle w:val="Strong"/>
          <w:b w:val="0"/>
          <w:sz w:val="16"/>
          <w:szCs w:val="16"/>
          <w:lang w:val="en-US"/>
        </w:rPr>
        <w:t xml:space="preserve"> 155.</w:t>
      </w:r>
    </w:p>
  </w:footnote>
  <w:footnote w:id="479">
    <w:p w14:paraId="34C247AD" w14:textId="3664850C" w:rsidR="000A7745" w:rsidRPr="00C9465D" w:rsidRDefault="000A7745" w:rsidP="00BD26CF">
      <w:pPr>
        <w:pStyle w:val="FootnoteText"/>
        <w:spacing w:after="120"/>
        <w:rPr>
          <w:sz w:val="16"/>
          <w:szCs w:val="16"/>
          <w:lang w:val="en-US"/>
        </w:rPr>
      </w:pPr>
      <w:r w:rsidRPr="00C9465D">
        <w:rPr>
          <w:rStyle w:val="FootnoteReference"/>
          <w:sz w:val="16"/>
          <w:szCs w:val="16"/>
          <w:lang w:val="en-US"/>
        </w:rPr>
        <w:footnoteRef/>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Poblete Vilches</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Chile. </w:t>
      </w:r>
      <w:r w:rsidR="00193CBB" w:rsidRPr="00C9465D">
        <w:rPr>
          <w:i/>
          <w:sz w:val="16"/>
          <w:szCs w:val="16"/>
          <w:lang w:val="en-US"/>
        </w:rPr>
        <w:t>Merits, reparations and costs</w:t>
      </w:r>
      <w:r w:rsidRPr="00C9465D">
        <w:rPr>
          <w:i/>
          <w:sz w:val="16"/>
          <w:szCs w:val="16"/>
          <w:lang w:val="en-US"/>
        </w:rPr>
        <w:t>.</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9B4E86" w:rsidRPr="00C9465D">
        <w:rPr>
          <w:sz w:val="16"/>
          <w:szCs w:val="16"/>
          <w:lang w:val="en-US"/>
        </w:rPr>
        <w:t>March 8,</w:t>
      </w:r>
      <w:r w:rsidRPr="00C9465D">
        <w:rPr>
          <w:sz w:val="16"/>
          <w:szCs w:val="16"/>
          <w:lang w:val="en-US"/>
        </w:rPr>
        <w:t xml:space="preserve"> 2018. </w:t>
      </w:r>
      <w:r w:rsidR="00E2299F" w:rsidRPr="00C9465D">
        <w:rPr>
          <w:sz w:val="16"/>
          <w:szCs w:val="16"/>
        </w:rPr>
        <w:t xml:space="preserve">Series </w:t>
      </w:r>
      <w:r w:rsidRPr="00C9465D">
        <w:rPr>
          <w:sz w:val="16"/>
          <w:szCs w:val="16"/>
        </w:rPr>
        <w:t>C No. 349</w:t>
      </w:r>
      <w:r w:rsidR="000F07EF" w:rsidRPr="00C9465D">
        <w:rPr>
          <w:sz w:val="16"/>
          <w:szCs w:val="16"/>
        </w:rPr>
        <w:t>.</w:t>
      </w:r>
      <w:r w:rsidRPr="00C9465D">
        <w:rPr>
          <w:sz w:val="16"/>
          <w:szCs w:val="16"/>
        </w:rPr>
        <w:t xml:space="preserve"> </w:t>
      </w:r>
      <w:proofErr w:type="spellStart"/>
      <w:r w:rsidR="009B4E86" w:rsidRPr="00C9465D">
        <w:rPr>
          <w:rStyle w:val="Strong"/>
          <w:b w:val="0"/>
          <w:color w:val="000000"/>
          <w:sz w:val="16"/>
          <w:szCs w:val="16"/>
          <w:shd w:val="clear" w:color="auto" w:fill="FFFFFF"/>
        </w:rPr>
        <w:t>Concurring</w:t>
      </w:r>
      <w:proofErr w:type="spellEnd"/>
      <w:r w:rsidR="009B4E86" w:rsidRPr="00C9465D">
        <w:rPr>
          <w:rStyle w:val="Strong"/>
          <w:b w:val="0"/>
          <w:color w:val="000000"/>
          <w:sz w:val="16"/>
          <w:szCs w:val="16"/>
          <w:shd w:val="clear" w:color="auto" w:fill="FFFFFF"/>
        </w:rPr>
        <w:t xml:space="preserve"> </w:t>
      </w:r>
      <w:proofErr w:type="spellStart"/>
      <w:r w:rsidR="009B4E86" w:rsidRPr="00C9465D">
        <w:rPr>
          <w:rStyle w:val="Strong"/>
          <w:b w:val="0"/>
          <w:color w:val="000000"/>
          <w:sz w:val="16"/>
          <w:szCs w:val="16"/>
          <w:shd w:val="clear" w:color="auto" w:fill="FFFFFF"/>
        </w:rPr>
        <w:t>opinion</w:t>
      </w:r>
      <w:proofErr w:type="spellEnd"/>
      <w:r w:rsidR="009B4E86" w:rsidRPr="00C9465D">
        <w:rPr>
          <w:rStyle w:val="Strong"/>
          <w:b w:val="0"/>
          <w:color w:val="000000"/>
          <w:sz w:val="16"/>
          <w:szCs w:val="16"/>
          <w:shd w:val="clear" w:color="auto" w:fill="FFFFFF"/>
        </w:rPr>
        <w:t xml:space="preserve"> of</w:t>
      </w:r>
      <w:r w:rsidRPr="00C9465D">
        <w:rPr>
          <w:rStyle w:val="Strong"/>
          <w:b w:val="0"/>
          <w:color w:val="000000"/>
          <w:sz w:val="16"/>
          <w:szCs w:val="16"/>
          <w:shd w:val="clear" w:color="auto" w:fill="FFFFFF"/>
        </w:rPr>
        <w:t xml:space="preserve"> </w:t>
      </w:r>
      <w:proofErr w:type="spellStart"/>
      <w:r w:rsidR="00193CBB" w:rsidRPr="00C9465D">
        <w:rPr>
          <w:rStyle w:val="Strong"/>
          <w:b w:val="0"/>
          <w:color w:val="000000"/>
          <w:sz w:val="16"/>
          <w:szCs w:val="16"/>
          <w:shd w:val="clear" w:color="auto" w:fill="FFFFFF"/>
        </w:rPr>
        <w:t>Judge</w:t>
      </w:r>
      <w:proofErr w:type="spellEnd"/>
      <w:r w:rsidRPr="00C9465D">
        <w:rPr>
          <w:rStyle w:val="Strong"/>
          <w:b w:val="0"/>
          <w:color w:val="000000"/>
          <w:sz w:val="16"/>
          <w:szCs w:val="16"/>
          <w:shd w:val="clear" w:color="auto" w:fill="FFFFFF"/>
        </w:rPr>
        <w:t xml:space="preserve"> Humberto Antonio Sierra Porto,</w:t>
      </w:r>
      <w:r w:rsidRPr="00C9465D">
        <w:rPr>
          <w:rFonts w:eastAsia="Verdana"/>
          <w:sz w:val="16"/>
          <w:szCs w:val="16"/>
        </w:rPr>
        <w:t xml:space="preserve"> </w:t>
      </w:r>
      <w:r w:rsidR="00D8466F" w:rsidRPr="00C9465D">
        <w:rPr>
          <w:rFonts w:eastAsia="Verdana"/>
          <w:sz w:val="16"/>
          <w:szCs w:val="16"/>
        </w:rPr>
        <w:t>para.</w:t>
      </w:r>
      <w:r w:rsidRPr="00C9465D">
        <w:rPr>
          <w:rFonts w:eastAsia="Verdana"/>
          <w:sz w:val="16"/>
          <w:szCs w:val="16"/>
        </w:rPr>
        <w:t xml:space="preserve"> </w:t>
      </w:r>
      <w:r w:rsidRPr="00C9465D">
        <w:rPr>
          <w:rFonts w:eastAsia="Verdana"/>
          <w:sz w:val="16"/>
          <w:szCs w:val="16"/>
          <w:lang w:val="en-US"/>
        </w:rPr>
        <w:t>6</w:t>
      </w:r>
      <w:r w:rsidRPr="00C9465D">
        <w:rPr>
          <w:sz w:val="16"/>
          <w:szCs w:val="16"/>
          <w:lang w:val="en-US"/>
        </w:rPr>
        <w:t>.</w:t>
      </w:r>
    </w:p>
  </w:footnote>
  <w:footnote w:id="480">
    <w:p w14:paraId="1C448EEB" w14:textId="0C1357AF" w:rsidR="000A7745" w:rsidRPr="00C9465D" w:rsidRDefault="000A7745" w:rsidP="00BD26CF">
      <w:pPr>
        <w:pStyle w:val="FootnoteText"/>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Guachalá </w:t>
      </w:r>
      <w:r w:rsidR="00193CBB" w:rsidRPr="00C9465D">
        <w:rPr>
          <w:i/>
          <w:sz w:val="16"/>
          <w:szCs w:val="16"/>
          <w:lang w:val="en-US"/>
        </w:rPr>
        <w:t>Chimbo et al.</w:t>
      </w:r>
      <w:r w:rsidRPr="00C9465D">
        <w:rPr>
          <w:i/>
          <w:sz w:val="16"/>
          <w:szCs w:val="16"/>
          <w:lang w:val="en-US"/>
        </w:rPr>
        <w:t xml:space="preserve"> vs. Ecuador. </w:t>
      </w:r>
      <w:r w:rsidR="00193CBB" w:rsidRPr="00C9465D">
        <w:rPr>
          <w:rStyle w:val="Strong"/>
          <w:b w:val="0"/>
          <w:i/>
          <w:sz w:val="16"/>
          <w:szCs w:val="16"/>
          <w:lang w:val="en-US"/>
        </w:rPr>
        <w:t>Merits, reparations and costs</w:t>
      </w:r>
      <w:r w:rsidRPr="00C9465D">
        <w:rPr>
          <w:rStyle w:val="Strong"/>
          <w:b w:val="0"/>
          <w:i/>
          <w:sz w:val="16"/>
          <w:szCs w:val="16"/>
          <w:lang w:val="en-US"/>
        </w:rPr>
        <w:t>.</w:t>
      </w:r>
      <w:r w:rsidRPr="00C9465D">
        <w:rPr>
          <w:rStyle w:val="Strong"/>
          <w:b w:val="0"/>
          <w:sz w:val="16"/>
          <w:szCs w:val="16"/>
          <w:lang w:val="en-US"/>
        </w:rPr>
        <w:t xml:space="preserve"> </w:t>
      </w:r>
      <w:r w:rsidR="00D8466F" w:rsidRPr="00C9465D">
        <w:rPr>
          <w:rStyle w:val="Strong"/>
          <w:b w:val="0"/>
          <w:sz w:val="16"/>
          <w:szCs w:val="16"/>
          <w:lang w:val="en-US"/>
        </w:rPr>
        <w:t>Judgment of</w:t>
      </w:r>
      <w:r w:rsidRPr="00C9465D">
        <w:rPr>
          <w:rStyle w:val="Strong"/>
          <w:b w:val="0"/>
          <w:sz w:val="16"/>
          <w:szCs w:val="16"/>
          <w:lang w:val="en-US"/>
        </w:rPr>
        <w:t xml:space="preserve"> </w:t>
      </w:r>
      <w:r w:rsidR="006A5339" w:rsidRPr="00C9465D">
        <w:rPr>
          <w:rStyle w:val="Strong"/>
          <w:b w:val="0"/>
          <w:sz w:val="16"/>
          <w:szCs w:val="16"/>
          <w:lang w:val="en-US"/>
        </w:rPr>
        <w:t>March 26,</w:t>
      </w:r>
      <w:r w:rsidRPr="00C9465D">
        <w:rPr>
          <w:rStyle w:val="Strong"/>
          <w:b w:val="0"/>
          <w:sz w:val="16"/>
          <w:szCs w:val="16"/>
          <w:lang w:val="en-US"/>
        </w:rPr>
        <w:t xml:space="preserve"> 2021. </w:t>
      </w:r>
      <w:r w:rsidR="00E2299F" w:rsidRPr="00C9465D">
        <w:rPr>
          <w:rStyle w:val="Strong"/>
          <w:b w:val="0"/>
          <w:sz w:val="16"/>
          <w:szCs w:val="16"/>
          <w:lang w:val="en-US"/>
        </w:rPr>
        <w:t xml:space="preserve">Series </w:t>
      </w:r>
      <w:r w:rsidRPr="00C9465D">
        <w:rPr>
          <w:rStyle w:val="Strong"/>
          <w:b w:val="0"/>
          <w:sz w:val="16"/>
          <w:szCs w:val="16"/>
          <w:lang w:val="en-US"/>
        </w:rPr>
        <w:t xml:space="preserve">C No. 423, </w:t>
      </w:r>
      <w:r w:rsidR="00D8466F" w:rsidRPr="00C9465D">
        <w:rPr>
          <w:rStyle w:val="Strong"/>
          <w:b w:val="0"/>
          <w:sz w:val="16"/>
          <w:szCs w:val="16"/>
          <w:lang w:val="en-US"/>
        </w:rPr>
        <w:t>para.</w:t>
      </w:r>
      <w:r w:rsidRPr="00C9465D">
        <w:rPr>
          <w:rStyle w:val="Strong"/>
          <w:b w:val="0"/>
          <w:sz w:val="16"/>
          <w:szCs w:val="16"/>
          <w:lang w:val="en-US"/>
        </w:rPr>
        <w:t xml:space="preserve"> 164.</w:t>
      </w:r>
    </w:p>
  </w:footnote>
  <w:footnote w:id="481">
    <w:p w14:paraId="0D2B8366" w14:textId="05DF8C33" w:rsidR="000A7745" w:rsidRPr="00C9465D" w:rsidRDefault="000A7745" w:rsidP="00BD26CF">
      <w:pPr>
        <w:pStyle w:val="FootnoteText"/>
        <w:spacing w:after="120"/>
        <w:rPr>
          <w:sz w:val="16"/>
          <w:szCs w:val="16"/>
          <w:lang w:val="en-US"/>
        </w:rPr>
      </w:pPr>
      <w:r w:rsidRPr="00C9465D">
        <w:rPr>
          <w:rStyle w:val="FootnoteReference"/>
          <w:sz w:val="16"/>
          <w:szCs w:val="16"/>
          <w:lang w:val="en-US"/>
        </w:rPr>
        <w:footnoteRef/>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rStyle w:val="Strong"/>
          <w:b w:val="0"/>
          <w:i/>
          <w:color w:val="000000"/>
          <w:sz w:val="16"/>
          <w:szCs w:val="16"/>
          <w:shd w:val="clear" w:color="auto" w:fill="FFFFFF"/>
          <w:lang w:val="en-US"/>
        </w:rPr>
        <w:t>Case of</w:t>
      </w:r>
      <w:r w:rsidRPr="00C9465D">
        <w:rPr>
          <w:rStyle w:val="Strong"/>
          <w:b w:val="0"/>
          <w:i/>
          <w:color w:val="000000"/>
          <w:sz w:val="16"/>
          <w:szCs w:val="16"/>
          <w:shd w:val="clear" w:color="auto" w:fill="FFFFFF"/>
          <w:lang w:val="en-US"/>
        </w:rPr>
        <w:t xml:space="preserve"> Gonzales Lluy</w:t>
      </w:r>
      <w:r w:rsidR="00193CBB" w:rsidRPr="00C9465D">
        <w:rPr>
          <w:rStyle w:val="Strong"/>
          <w:b w:val="0"/>
          <w:i/>
          <w:color w:val="000000"/>
          <w:sz w:val="16"/>
          <w:szCs w:val="16"/>
          <w:shd w:val="clear" w:color="auto" w:fill="FFFFFF"/>
          <w:lang w:val="en-US"/>
        </w:rPr>
        <w:t xml:space="preserve"> </w:t>
      </w:r>
      <w:r w:rsidR="00D8466F" w:rsidRPr="00C9465D">
        <w:rPr>
          <w:rStyle w:val="Strong"/>
          <w:b w:val="0"/>
          <w:i/>
          <w:color w:val="000000"/>
          <w:sz w:val="16"/>
          <w:szCs w:val="16"/>
          <w:shd w:val="clear" w:color="auto" w:fill="FFFFFF"/>
          <w:lang w:val="en-US"/>
        </w:rPr>
        <w:t>et al. v.</w:t>
      </w:r>
      <w:r w:rsidRPr="00C9465D">
        <w:rPr>
          <w:rStyle w:val="Strong"/>
          <w:b w:val="0"/>
          <w:i/>
          <w:color w:val="000000"/>
          <w:sz w:val="16"/>
          <w:szCs w:val="16"/>
          <w:shd w:val="clear" w:color="auto" w:fill="FFFFFF"/>
          <w:lang w:val="en-US"/>
        </w:rPr>
        <w:t xml:space="preserve"> Ecuador. </w:t>
      </w:r>
      <w:r w:rsidR="00D8466F" w:rsidRPr="00C9465D">
        <w:rPr>
          <w:i/>
          <w:color w:val="000000"/>
          <w:sz w:val="16"/>
          <w:szCs w:val="16"/>
          <w:shd w:val="clear" w:color="auto" w:fill="FFFFFF"/>
          <w:lang w:val="en-US"/>
        </w:rPr>
        <w:t>Preliminary objections, merits</w:t>
      </w:r>
      <w:r w:rsidR="00193CBB" w:rsidRPr="00C9465D">
        <w:rPr>
          <w:i/>
          <w:color w:val="000000"/>
          <w:sz w:val="16"/>
          <w:szCs w:val="16"/>
          <w:shd w:val="clear" w:color="auto" w:fill="FFFFFF"/>
          <w:lang w:val="en-US"/>
        </w:rPr>
        <w:t>, reparations and costs</w:t>
      </w:r>
      <w:r w:rsidRPr="00C9465D">
        <w:rPr>
          <w:i/>
          <w:color w:val="000000"/>
          <w:sz w:val="16"/>
          <w:szCs w:val="16"/>
          <w:shd w:val="clear" w:color="auto" w:fill="FFFFFF"/>
          <w:lang w:val="en-US"/>
        </w:rPr>
        <w:t xml:space="preserve">. </w:t>
      </w:r>
      <w:r w:rsidR="00D8466F" w:rsidRPr="00C9465D">
        <w:rPr>
          <w:color w:val="000000"/>
          <w:sz w:val="16"/>
          <w:szCs w:val="16"/>
          <w:shd w:val="clear" w:color="auto" w:fill="FFFFFF"/>
          <w:lang w:val="en-US"/>
        </w:rPr>
        <w:t>Judgment of</w:t>
      </w:r>
      <w:r w:rsidRPr="00C9465D">
        <w:rPr>
          <w:color w:val="000000"/>
          <w:sz w:val="16"/>
          <w:szCs w:val="16"/>
          <w:shd w:val="clear" w:color="auto" w:fill="FFFFFF"/>
          <w:lang w:val="en-US"/>
        </w:rPr>
        <w:t xml:space="preserve"> </w:t>
      </w:r>
      <w:r w:rsidR="009B4E86" w:rsidRPr="00C9465D">
        <w:rPr>
          <w:color w:val="000000"/>
          <w:sz w:val="16"/>
          <w:szCs w:val="16"/>
          <w:shd w:val="clear" w:color="auto" w:fill="FFFFFF"/>
          <w:lang w:val="en-US"/>
        </w:rPr>
        <w:t>September 1,</w:t>
      </w:r>
      <w:r w:rsidRPr="00C9465D">
        <w:rPr>
          <w:color w:val="000000"/>
          <w:sz w:val="16"/>
          <w:szCs w:val="16"/>
          <w:shd w:val="clear" w:color="auto" w:fill="FFFFFF"/>
          <w:lang w:val="en-US"/>
        </w:rPr>
        <w:t xml:space="preserve"> 2015. </w:t>
      </w:r>
      <w:r w:rsidR="00E2299F" w:rsidRPr="00C9465D">
        <w:rPr>
          <w:color w:val="000000"/>
          <w:sz w:val="16"/>
          <w:szCs w:val="16"/>
          <w:shd w:val="clear" w:color="auto" w:fill="FFFFFF"/>
          <w:lang w:val="en-US"/>
        </w:rPr>
        <w:t xml:space="preserve">Series </w:t>
      </w:r>
      <w:r w:rsidRPr="00C9465D">
        <w:rPr>
          <w:color w:val="000000"/>
          <w:sz w:val="16"/>
          <w:szCs w:val="16"/>
          <w:shd w:val="clear" w:color="auto" w:fill="FFFFFF"/>
          <w:lang w:val="en-US"/>
        </w:rPr>
        <w:t>C No. 298.</w:t>
      </w:r>
      <w:r w:rsidRPr="00C9465D">
        <w:rPr>
          <w:rStyle w:val="Strong"/>
          <w:b w:val="0"/>
          <w:color w:val="000000"/>
          <w:sz w:val="16"/>
          <w:szCs w:val="16"/>
          <w:shd w:val="clear" w:color="auto" w:fill="FFFFFF"/>
          <w:lang w:val="en-US"/>
        </w:rPr>
        <w:t xml:space="preserve"> </w:t>
      </w:r>
      <w:r w:rsidR="009B4E86" w:rsidRPr="00C9465D">
        <w:rPr>
          <w:rStyle w:val="Strong"/>
          <w:b w:val="0"/>
          <w:color w:val="000000"/>
          <w:sz w:val="16"/>
          <w:szCs w:val="16"/>
          <w:shd w:val="clear" w:color="auto" w:fill="FFFFFF"/>
          <w:lang w:val="en-US"/>
        </w:rPr>
        <w:t>Concurring opinion of</w:t>
      </w:r>
      <w:r w:rsidRPr="00C9465D">
        <w:rPr>
          <w:rStyle w:val="Strong"/>
          <w:b w:val="0"/>
          <w:color w:val="000000"/>
          <w:sz w:val="16"/>
          <w:szCs w:val="16"/>
          <w:shd w:val="clear" w:color="auto" w:fill="FFFFFF"/>
          <w:lang w:val="en-US"/>
        </w:rPr>
        <w:t xml:space="preserve"> </w:t>
      </w:r>
      <w:r w:rsidR="00193CBB" w:rsidRPr="00C9465D">
        <w:rPr>
          <w:rStyle w:val="Strong"/>
          <w:b w:val="0"/>
          <w:color w:val="000000"/>
          <w:sz w:val="16"/>
          <w:szCs w:val="16"/>
          <w:shd w:val="clear" w:color="auto" w:fill="FFFFFF"/>
          <w:lang w:val="en-US"/>
        </w:rPr>
        <w:t>Judge</w:t>
      </w:r>
      <w:r w:rsidRPr="00C9465D">
        <w:rPr>
          <w:rStyle w:val="Strong"/>
          <w:b w:val="0"/>
          <w:color w:val="000000"/>
          <w:sz w:val="16"/>
          <w:szCs w:val="16"/>
          <w:shd w:val="clear" w:color="auto" w:fill="FFFFFF"/>
          <w:lang w:val="en-US"/>
        </w:rPr>
        <w:t xml:space="preserve"> Humberto Antonio Sierra Porto, </w:t>
      </w:r>
      <w:r w:rsidR="00D8466F" w:rsidRPr="00C9465D">
        <w:rPr>
          <w:rStyle w:val="Strong"/>
          <w:b w:val="0"/>
          <w:color w:val="000000"/>
          <w:sz w:val="16"/>
          <w:szCs w:val="16"/>
          <w:shd w:val="clear" w:color="auto" w:fill="FFFFFF"/>
          <w:lang w:val="en-US"/>
        </w:rPr>
        <w:t>para.</w:t>
      </w:r>
      <w:r w:rsidRPr="00C9465D">
        <w:rPr>
          <w:rStyle w:val="Strong"/>
          <w:b w:val="0"/>
          <w:color w:val="000000"/>
          <w:sz w:val="16"/>
          <w:szCs w:val="16"/>
          <w:shd w:val="clear" w:color="auto" w:fill="FFFFFF"/>
          <w:lang w:val="en-US"/>
        </w:rPr>
        <w:t xml:space="preserve"> 30</w:t>
      </w:r>
      <w:r w:rsidRPr="00C9465D">
        <w:rPr>
          <w:sz w:val="16"/>
          <w:szCs w:val="16"/>
          <w:lang w:val="en-US"/>
        </w:rPr>
        <w:t>.</w:t>
      </w:r>
    </w:p>
  </w:footnote>
  <w:footnote w:id="482">
    <w:p w14:paraId="595C921B" w14:textId="134D65EC" w:rsidR="000A7745" w:rsidRPr="00C9465D" w:rsidRDefault="000A7745" w:rsidP="00BD26CF">
      <w:pPr>
        <w:pStyle w:val="FootnoteText"/>
        <w:spacing w:after="120"/>
        <w:rPr>
          <w:sz w:val="16"/>
          <w:szCs w:val="16"/>
          <w:lang w:val="en-US"/>
        </w:rPr>
      </w:pPr>
      <w:r w:rsidRPr="00C9465D">
        <w:rPr>
          <w:rStyle w:val="FootnoteReference"/>
          <w:sz w:val="16"/>
          <w:szCs w:val="16"/>
          <w:lang w:val="en-US"/>
        </w:rPr>
        <w:footnoteRef/>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rStyle w:val="Strong"/>
          <w:b w:val="0"/>
          <w:i/>
          <w:color w:val="000000"/>
          <w:sz w:val="16"/>
          <w:szCs w:val="16"/>
          <w:shd w:val="clear" w:color="auto" w:fill="FFFFFF"/>
          <w:lang w:val="en-US"/>
        </w:rPr>
        <w:t>Case of</w:t>
      </w:r>
      <w:r w:rsidRPr="00C9465D">
        <w:rPr>
          <w:rStyle w:val="Strong"/>
          <w:b w:val="0"/>
          <w:i/>
          <w:color w:val="000000"/>
          <w:sz w:val="16"/>
          <w:szCs w:val="16"/>
          <w:shd w:val="clear" w:color="auto" w:fill="FFFFFF"/>
          <w:lang w:val="en-US"/>
        </w:rPr>
        <w:t xml:space="preserve"> Gonzales Lluy</w:t>
      </w:r>
      <w:r w:rsidR="00193CBB" w:rsidRPr="00C9465D">
        <w:rPr>
          <w:rStyle w:val="Strong"/>
          <w:b w:val="0"/>
          <w:i/>
          <w:color w:val="000000"/>
          <w:sz w:val="16"/>
          <w:szCs w:val="16"/>
          <w:shd w:val="clear" w:color="auto" w:fill="FFFFFF"/>
          <w:lang w:val="en-US"/>
        </w:rPr>
        <w:t xml:space="preserve"> </w:t>
      </w:r>
      <w:r w:rsidR="00D8466F" w:rsidRPr="00C9465D">
        <w:rPr>
          <w:rStyle w:val="Strong"/>
          <w:b w:val="0"/>
          <w:i/>
          <w:color w:val="000000"/>
          <w:sz w:val="16"/>
          <w:szCs w:val="16"/>
          <w:shd w:val="clear" w:color="auto" w:fill="FFFFFF"/>
          <w:lang w:val="en-US"/>
        </w:rPr>
        <w:t>et al. v.</w:t>
      </w:r>
      <w:r w:rsidRPr="00C9465D">
        <w:rPr>
          <w:rStyle w:val="Strong"/>
          <w:b w:val="0"/>
          <w:i/>
          <w:color w:val="000000"/>
          <w:sz w:val="16"/>
          <w:szCs w:val="16"/>
          <w:shd w:val="clear" w:color="auto" w:fill="FFFFFF"/>
          <w:lang w:val="en-US"/>
        </w:rPr>
        <w:t xml:space="preserve"> Ecuador. </w:t>
      </w:r>
      <w:r w:rsidR="00D8466F" w:rsidRPr="00C9465D">
        <w:rPr>
          <w:i/>
          <w:color w:val="000000"/>
          <w:sz w:val="16"/>
          <w:szCs w:val="16"/>
          <w:shd w:val="clear" w:color="auto" w:fill="FFFFFF"/>
          <w:lang w:val="en-US"/>
        </w:rPr>
        <w:t>Preliminary objections, merits</w:t>
      </w:r>
      <w:r w:rsidR="00193CBB" w:rsidRPr="00C9465D">
        <w:rPr>
          <w:i/>
          <w:color w:val="000000"/>
          <w:sz w:val="16"/>
          <w:szCs w:val="16"/>
          <w:shd w:val="clear" w:color="auto" w:fill="FFFFFF"/>
          <w:lang w:val="en-US"/>
        </w:rPr>
        <w:t>, reparations and costs</w:t>
      </w:r>
      <w:r w:rsidRPr="00C9465D">
        <w:rPr>
          <w:i/>
          <w:color w:val="000000"/>
          <w:sz w:val="16"/>
          <w:szCs w:val="16"/>
          <w:shd w:val="clear" w:color="auto" w:fill="FFFFFF"/>
          <w:lang w:val="en-US"/>
        </w:rPr>
        <w:t xml:space="preserve">. </w:t>
      </w:r>
      <w:r w:rsidR="00D8466F" w:rsidRPr="00C9465D">
        <w:rPr>
          <w:color w:val="000000"/>
          <w:sz w:val="16"/>
          <w:szCs w:val="16"/>
          <w:shd w:val="clear" w:color="auto" w:fill="FFFFFF"/>
          <w:lang w:val="en-US"/>
        </w:rPr>
        <w:t>Judgment of</w:t>
      </w:r>
      <w:r w:rsidRPr="00C9465D">
        <w:rPr>
          <w:color w:val="000000"/>
          <w:sz w:val="16"/>
          <w:szCs w:val="16"/>
          <w:shd w:val="clear" w:color="auto" w:fill="FFFFFF"/>
          <w:lang w:val="en-US"/>
        </w:rPr>
        <w:t xml:space="preserve"> </w:t>
      </w:r>
      <w:r w:rsidR="009B4E86" w:rsidRPr="00C9465D">
        <w:rPr>
          <w:color w:val="000000"/>
          <w:sz w:val="16"/>
          <w:szCs w:val="16"/>
          <w:shd w:val="clear" w:color="auto" w:fill="FFFFFF"/>
          <w:lang w:val="en-US"/>
        </w:rPr>
        <w:t>September 1,</w:t>
      </w:r>
      <w:r w:rsidRPr="00C9465D">
        <w:rPr>
          <w:color w:val="000000"/>
          <w:sz w:val="16"/>
          <w:szCs w:val="16"/>
          <w:shd w:val="clear" w:color="auto" w:fill="FFFFFF"/>
          <w:lang w:val="en-US"/>
        </w:rPr>
        <w:t xml:space="preserve"> 2015. </w:t>
      </w:r>
      <w:r w:rsidR="00E2299F" w:rsidRPr="00C9465D">
        <w:rPr>
          <w:color w:val="000000"/>
          <w:sz w:val="16"/>
          <w:szCs w:val="16"/>
          <w:shd w:val="clear" w:color="auto" w:fill="FFFFFF"/>
          <w:lang w:val="en-US"/>
        </w:rPr>
        <w:t xml:space="preserve">Series </w:t>
      </w:r>
      <w:r w:rsidRPr="00C9465D">
        <w:rPr>
          <w:color w:val="000000"/>
          <w:sz w:val="16"/>
          <w:szCs w:val="16"/>
          <w:shd w:val="clear" w:color="auto" w:fill="FFFFFF"/>
          <w:lang w:val="en-US"/>
        </w:rPr>
        <w:t>C No. 298.</w:t>
      </w:r>
      <w:r w:rsidRPr="00C9465D">
        <w:rPr>
          <w:rStyle w:val="Strong"/>
          <w:b w:val="0"/>
          <w:color w:val="000000"/>
          <w:sz w:val="16"/>
          <w:szCs w:val="16"/>
          <w:shd w:val="clear" w:color="auto" w:fill="FFFFFF"/>
          <w:lang w:val="en-US"/>
        </w:rPr>
        <w:t xml:space="preserve"> </w:t>
      </w:r>
      <w:r w:rsidR="009B4E86" w:rsidRPr="00C9465D">
        <w:rPr>
          <w:rStyle w:val="Strong"/>
          <w:b w:val="0"/>
          <w:color w:val="000000"/>
          <w:sz w:val="16"/>
          <w:szCs w:val="16"/>
          <w:shd w:val="clear" w:color="auto" w:fill="FFFFFF"/>
          <w:lang w:val="en-US"/>
        </w:rPr>
        <w:t>Concurring opinion of</w:t>
      </w:r>
      <w:r w:rsidRPr="00C9465D">
        <w:rPr>
          <w:rStyle w:val="Strong"/>
          <w:b w:val="0"/>
          <w:color w:val="000000"/>
          <w:sz w:val="16"/>
          <w:szCs w:val="16"/>
          <w:shd w:val="clear" w:color="auto" w:fill="FFFFFF"/>
          <w:lang w:val="en-US"/>
        </w:rPr>
        <w:t xml:space="preserve"> </w:t>
      </w:r>
      <w:r w:rsidR="00193CBB" w:rsidRPr="00C9465D">
        <w:rPr>
          <w:rStyle w:val="Strong"/>
          <w:b w:val="0"/>
          <w:color w:val="000000"/>
          <w:sz w:val="16"/>
          <w:szCs w:val="16"/>
          <w:shd w:val="clear" w:color="auto" w:fill="FFFFFF"/>
          <w:lang w:val="en-US"/>
        </w:rPr>
        <w:t>Judge</w:t>
      </w:r>
      <w:r w:rsidRPr="00C9465D">
        <w:rPr>
          <w:rStyle w:val="Strong"/>
          <w:b w:val="0"/>
          <w:color w:val="000000"/>
          <w:sz w:val="16"/>
          <w:szCs w:val="16"/>
          <w:shd w:val="clear" w:color="auto" w:fill="FFFFFF"/>
          <w:lang w:val="en-US"/>
        </w:rPr>
        <w:t xml:space="preserve"> Humberto Antonio Sierra Porto, </w:t>
      </w:r>
      <w:r w:rsidR="00D8466F" w:rsidRPr="00C9465D">
        <w:rPr>
          <w:rStyle w:val="Strong"/>
          <w:b w:val="0"/>
          <w:color w:val="000000"/>
          <w:sz w:val="16"/>
          <w:szCs w:val="16"/>
          <w:shd w:val="clear" w:color="auto" w:fill="FFFFFF"/>
          <w:lang w:val="en-US"/>
        </w:rPr>
        <w:t>para.</w:t>
      </w:r>
      <w:r w:rsidRPr="00C9465D">
        <w:rPr>
          <w:rStyle w:val="Strong"/>
          <w:b w:val="0"/>
          <w:color w:val="000000"/>
          <w:sz w:val="16"/>
          <w:szCs w:val="16"/>
          <w:shd w:val="clear" w:color="auto" w:fill="FFFFFF"/>
          <w:lang w:val="en-US"/>
        </w:rPr>
        <w:t xml:space="preserve"> 31</w:t>
      </w:r>
      <w:r w:rsidRPr="00C9465D">
        <w:rPr>
          <w:sz w:val="16"/>
          <w:szCs w:val="16"/>
          <w:lang w:val="en-US"/>
        </w:rPr>
        <w:t>.</w:t>
      </w:r>
    </w:p>
  </w:footnote>
  <w:footnote w:id="483">
    <w:p w14:paraId="4F5DFC89" w14:textId="1AE48867" w:rsidR="000A7745" w:rsidRPr="00C9465D" w:rsidRDefault="000A7745" w:rsidP="00BD26CF">
      <w:pPr>
        <w:pStyle w:val="FootnoteText"/>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6A5339" w:rsidRPr="00C9465D">
        <w:rPr>
          <w:sz w:val="16"/>
          <w:szCs w:val="16"/>
          <w:lang w:val="en-US"/>
        </w:rPr>
        <w:t>Colombian Constitutional Court</w:t>
      </w:r>
      <w:r w:rsidRPr="00C9465D">
        <w:rPr>
          <w:sz w:val="16"/>
          <w:szCs w:val="16"/>
          <w:lang w:val="en-US"/>
        </w:rPr>
        <w:t xml:space="preserve">. </w:t>
      </w:r>
      <w:r w:rsidR="006A5339" w:rsidRPr="00C9465D">
        <w:rPr>
          <w:sz w:val="16"/>
          <w:szCs w:val="16"/>
          <w:lang w:val="en-US"/>
        </w:rPr>
        <w:t xml:space="preserve">Judgments </w:t>
      </w:r>
      <w:r w:rsidRPr="00C9465D">
        <w:rPr>
          <w:sz w:val="16"/>
          <w:szCs w:val="16"/>
          <w:lang w:val="en-US"/>
        </w:rPr>
        <w:t xml:space="preserve">T-012 </w:t>
      </w:r>
      <w:r w:rsidR="006A5339" w:rsidRPr="00C9465D">
        <w:rPr>
          <w:sz w:val="16"/>
          <w:szCs w:val="16"/>
          <w:lang w:val="en-US"/>
        </w:rPr>
        <w:t>of</w:t>
      </w:r>
      <w:r w:rsidRPr="00C9465D">
        <w:rPr>
          <w:sz w:val="16"/>
          <w:szCs w:val="16"/>
          <w:lang w:val="en-US"/>
        </w:rPr>
        <w:t xml:space="preserve"> 2020, T-508 </w:t>
      </w:r>
      <w:r w:rsidR="006A5339" w:rsidRPr="00C9465D">
        <w:rPr>
          <w:sz w:val="16"/>
          <w:szCs w:val="16"/>
          <w:lang w:val="en-US"/>
        </w:rPr>
        <w:t>of</w:t>
      </w:r>
      <w:r w:rsidRPr="00C9465D">
        <w:rPr>
          <w:sz w:val="16"/>
          <w:szCs w:val="16"/>
          <w:lang w:val="en-US"/>
        </w:rPr>
        <w:t xml:space="preserve"> 2019, </w:t>
      </w:r>
      <w:r w:rsidR="006A5339" w:rsidRPr="00C9465D">
        <w:rPr>
          <w:sz w:val="16"/>
          <w:szCs w:val="16"/>
          <w:lang w:val="en-US"/>
        </w:rPr>
        <w:t xml:space="preserve">and </w:t>
      </w:r>
      <w:r w:rsidRPr="00C9465D">
        <w:rPr>
          <w:sz w:val="16"/>
          <w:szCs w:val="16"/>
          <w:lang w:val="en-US"/>
        </w:rPr>
        <w:t xml:space="preserve">T-001 </w:t>
      </w:r>
      <w:r w:rsidR="006A5339" w:rsidRPr="00C9465D">
        <w:rPr>
          <w:sz w:val="16"/>
          <w:szCs w:val="16"/>
          <w:lang w:val="en-US"/>
        </w:rPr>
        <w:t>of</w:t>
      </w:r>
      <w:r w:rsidRPr="00C9465D">
        <w:rPr>
          <w:sz w:val="16"/>
          <w:szCs w:val="16"/>
          <w:lang w:val="en-US"/>
        </w:rPr>
        <w:t xml:space="preserve"> 2018, </w:t>
      </w:r>
      <w:r w:rsidR="006A5339" w:rsidRPr="00C9465D">
        <w:rPr>
          <w:sz w:val="16"/>
          <w:szCs w:val="16"/>
          <w:lang w:val="en-US"/>
        </w:rPr>
        <w:t>among others.</w:t>
      </w:r>
      <w:r w:rsidRPr="00C9465D">
        <w:rPr>
          <w:sz w:val="16"/>
          <w:szCs w:val="16"/>
          <w:lang w:val="en-US"/>
        </w:rPr>
        <w:t xml:space="preserve"> </w:t>
      </w:r>
    </w:p>
  </w:footnote>
  <w:footnote w:id="484">
    <w:p w14:paraId="63ADEEBB" w14:textId="3EF41042" w:rsidR="000A7745" w:rsidRPr="00C9465D" w:rsidRDefault="000A7745" w:rsidP="00BD26CF">
      <w:pPr>
        <w:pStyle w:val="FootnoteText"/>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iCs/>
          <w:sz w:val="16"/>
          <w:szCs w:val="16"/>
          <w:lang w:val="en-US"/>
        </w:rPr>
        <w:t>Case of</w:t>
      </w:r>
      <w:r w:rsidRPr="00C9465D">
        <w:rPr>
          <w:i/>
          <w:iCs/>
          <w:sz w:val="16"/>
          <w:szCs w:val="16"/>
          <w:lang w:val="en-US"/>
        </w:rPr>
        <w:t xml:space="preserve"> Guachalá </w:t>
      </w:r>
      <w:r w:rsidR="00193CBB" w:rsidRPr="00C9465D">
        <w:rPr>
          <w:i/>
          <w:iCs/>
          <w:sz w:val="16"/>
          <w:szCs w:val="16"/>
          <w:lang w:val="en-US"/>
        </w:rPr>
        <w:t>Chimbo et al.</w:t>
      </w:r>
      <w:r w:rsidRPr="00C9465D">
        <w:rPr>
          <w:i/>
          <w:iCs/>
          <w:sz w:val="16"/>
          <w:szCs w:val="16"/>
          <w:lang w:val="en-US"/>
        </w:rPr>
        <w:t xml:space="preserve"> v</w:t>
      </w:r>
      <w:r w:rsidR="006A5339" w:rsidRPr="00C9465D">
        <w:rPr>
          <w:i/>
          <w:iCs/>
          <w:sz w:val="16"/>
          <w:szCs w:val="16"/>
          <w:lang w:val="en-US"/>
        </w:rPr>
        <w:t>.</w:t>
      </w:r>
      <w:r w:rsidRPr="00C9465D">
        <w:rPr>
          <w:i/>
          <w:iCs/>
          <w:sz w:val="16"/>
          <w:szCs w:val="16"/>
          <w:lang w:val="en-US"/>
        </w:rPr>
        <w:t xml:space="preserve"> Ecuador</w:t>
      </w:r>
      <w:r w:rsidR="006A5339" w:rsidRPr="00C9465D">
        <w:rPr>
          <w:i/>
          <w:iCs/>
          <w:sz w:val="16"/>
          <w:szCs w:val="16"/>
          <w:lang w:val="en-US"/>
        </w:rPr>
        <w:t xml:space="preserve">. </w:t>
      </w:r>
      <w:r w:rsidR="00193CBB" w:rsidRPr="00C9465D">
        <w:rPr>
          <w:rStyle w:val="Strong"/>
          <w:b w:val="0"/>
          <w:i/>
          <w:iCs/>
          <w:sz w:val="16"/>
          <w:szCs w:val="16"/>
          <w:lang w:val="en-US"/>
        </w:rPr>
        <w:t>Merits, reparations and costs</w:t>
      </w:r>
      <w:r w:rsidRPr="00C9465D">
        <w:rPr>
          <w:rStyle w:val="Strong"/>
          <w:b w:val="0"/>
          <w:i/>
          <w:iCs/>
          <w:sz w:val="16"/>
          <w:szCs w:val="16"/>
          <w:lang w:val="en-US"/>
        </w:rPr>
        <w:t>.</w:t>
      </w:r>
      <w:r w:rsidRPr="00C9465D">
        <w:rPr>
          <w:rStyle w:val="Strong"/>
          <w:b w:val="0"/>
          <w:sz w:val="16"/>
          <w:szCs w:val="16"/>
          <w:lang w:val="en-US"/>
        </w:rPr>
        <w:t xml:space="preserve"> </w:t>
      </w:r>
      <w:r w:rsidR="00D8466F" w:rsidRPr="00C9465D">
        <w:rPr>
          <w:rStyle w:val="Strong"/>
          <w:b w:val="0"/>
          <w:sz w:val="16"/>
          <w:szCs w:val="16"/>
          <w:lang w:val="en-US"/>
        </w:rPr>
        <w:t>Judgment of</w:t>
      </w:r>
      <w:r w:rsidRPr="00C9465D">
        <w:rPr>
          <w:rStyle w:val="Strong"/>
          <w:b w:val="0"/>
          <w:sz w:val="16"/>
          <w:szCs w:val="16"/>
          <w:lang w:val="en-US"/>
        </w:rPr>
        <w:t xml:space="preserve"> </w:t>
      </w:r>
      <w:r w:rsidR="006A5339" w:rsidRPr="00C9465D">
        <w:rPr>
          <w:rStyle w:val="Strong"/>
          <w:b w:val="0"/>
          <w:sz w:val="16"/>
          <w:szCs w:val="16"/>
          <w:lang w:val="en-US"/>
        </w:rPr>
        <w:t>March 26,</w:t>
      </w:r>
      <w:r w:rsidRPr="00C9465D">
        <w:rPr>
          <w:rStyle w:val="Strong"/>
          <w:b w:val="0"/>
          <w:sz w:val="16"/>
          <w:szCs w:val="16"/>
          <w:lang w:val="en-US"/>
        </w:rPr>
        <w:t xml:space="preserve"> 2021. </w:t>
      </w:r>
      <w:r w:rsidR="00E2299F" w:rsidRPr="00C9465D">
        <w:rPr>
          <w:rStyle w:val="Strong"/>
          <w:b w:val="0"/>
          <w:sz w:val="16"/>
          <w:szCs w:val="16"/>
          <w:lang w:val="en-US"/>
        </w:rPr>
        <w:t xml:space="preserve">Series </w:t>
      </w:r>
      <w:r w:rsidRPr="00C9465D">
        <w:rPr>
          <w:rStyle w:val="Strong"/>
          <w:b w:val="0"/>
          <w:sz w:val="16"/>
          <w:szCs w:val="16"/>
          <w:lang w:val="en-US"/>
        </w:rPr>
        <w:t xml:space="preserve">C No. 423, </w:t>
      </w:r>
      <w:r w:rsidR="00D8466F" w:rsidRPr="00C9465D">
        <w:rPr>
          <w:rStyle w:val="Strong"/>
          <w:b w:val="0"/>
          <w:sz w:val="16"/>
          <w:szCs w:val="16"/>
          <w:lang w:val="en-US"/>
        </w:rPr>
        <w:t>para.</w:t>
      </w:r>
      <w:r w:rsidRPr="00C9465D">
        <w:rPr>
          <w:rStyle w:val="Strong"/>
          <w:b w:val="0"/>
          <w:sz w:val="16"/>
          <w:szCs w:val="16"/>
          <w:lang w:val="en-US"/>
        </w:rPr>
        <w:t xml:space="preserve"> 99.</w:t>
      </w:r>
    </w:p>
  </w:footnote>
  <w:footnote w:id="485">
    <w:p w14:paraId="22AC6968" w14:textId="7AD6A491" w:rsidR="000A7745" w:rsidRPr="00C9465D" w:rsidRDefault="000A7745" w:rsidP="00BD26CF">
      <w:pPr>
        <w:pStyle w:val="FootnoteText"/>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rStyle w:val="Strong"/>
          <w:b w:val="0"/>
          <w:i/>
          <w:sz w:val="16"/>
          <w:szCs w:val="16"/>
          <w:lang w:val="en-US"/>
        </w:rPr>
        <w:t>Case of</w:t>
      </w:r>
      <w:r w:rsidRPr="00C9465D">
        <w:rPr>
          <w:rStyle w:val="Strong"/>
          <w:b w:val="0"/>
          <w:i/>
          <w:sz w:val="16"/>
          <w:szCs w:val="16"/>
          <w:lang w:val="en-US"/>
        </w:rPr>
        <w:t xml:space="preserve"> Cuscul Pivaral</w:t>
      </w:r>
      <w:r w:rsidR="00193CBB" w:rsidRPr="00C9465D">
        <w:rPr>
          <w:rStyle w:val="Strong"/>
          <w:b w:val="0"/>
          <w:i/>
          <w:sz w:val="16"/>
          <w:szCs w:val="16"/>
          <w:lang w:val="en-US"/>
        </w:rPr>
        <w:t xml:space="preserve"> </w:t>
      </w:r>
      <w:r w:rsidR="00D8466F" w:rsidRPr="00C9465D">
        <w:rPr>
          <w:rStyle w:val="Strong"/>
          <w:b w:val="0"/>
          <w:i/>
          <w:sz w:val="16"/>
          <w:szCs w:val="16"/>
          <w:lang w:val="en-US"/>
        </w:rPr>
        <w:t>et al. v.</w:t>
      </w:r>
      <w:r w:rsidRPr="00C9465D">
        <w:rPr>
          <w:rStyle w:val="Strong"/>
          <w:b w:val="0"/>
          <w:i/>
          <w:sz w:val="16"/>
          <w:szCs w:val="16"/>
          <w:lang w:val="en-US"/>
        </w:rPr>
        <w:t xml:space="preserve"> Guatemala. </w:t>
      </w:r>
      <w:r w:rsidR="00D8466F" w:rsidRPr="00C9465D">
        <w:rPr>
          <w:rStyle w:val="Strong"/>
          <w:b w:val="0"/>
          <w:i/>
          <w:sz w:val="16"/>
          <w:szCs w:val="16"/>
          <w:lang w:val="en-US"/>
        </w:rPr>
        <w:t>Preliminary objection, merits</w:t>
      </w:r>
      <w:r w:rsidR="00193CBB" w:rsidRPr="00C9465D">
        <w:rPr>
          <w:rStyle w:val="Strong"/>
          <w:b w:val="0"/>
          <w:i/>
          <w:sz w:val="16"/>
          <w:szCs w:val="16"/>
          <w:lang w:val="en-US"/>
        </w:rPr>
        <w:t>, reparations and costs</w:t>
      </w:r>
      <w:r w:rsidRPr="00C9465D">
        <w:rPr>
          <w:rStyle w:val="Strong"/>
          <w:b w:val="0"/>
          <w:i/>
          <w:sz w:val="16"/>
          <w:szCs w:val="16"/>
          <w:lang w:val="en-US"/>
        </w:rPr>
        <w:t>.</w:t>
      </w:r>
      <w:r w:rsidRPr="00C9465D">
        <w:rPr>
          <w:rStyle w:val="Strong"/>
          <w:b w:val="0"/>
          <w:sz w:val="16"/>
          <w:szCs w:val="16"/>
          <w:lang w:val="en-US"/>
        </w:rPr>
        <w:t xml:space="preserve"> </w:t>
      </w:r>
      <w:r w:rsidR="00D8466F" w:rsidRPr="00C9465D">
        <w:rPr>
          <w:rStyle w:val="Strong"/>
          <w:b w:val="0"/>
          <w:sz w:val="16"/>
          <w:szCs w:val="16"/>
          <w:lang w:val="en-US"/>
        </w:rPr>
        <w:t>Judgment of</w:t>
      </w:r>
      <w:r w:rsidRPr="00C9465D">
        <w:rPr>
          <w:rStyle w:val="Strong"/>
          <w:b w:val="0"/>
          <w:sz w:val="16"/>
          <w:szCs w:val="16"/>
          <w:lang w:val="en-US"/>
        </w:rPr>
        <w:t xml:space="preserve"> </w:t>
      </w:r>
      <w:r w:rsidR="009B4E86" w:rsidRPr="00C9465D">
        <w:rPr>
          <w:rStyle w:val="Strong"/>
          <w:b w:val="0"/>
          <w:sz w:val="16"/>
          <w:szCs w:val="16"/>
          <w:lang w:val="en-US"/>
        </w:rPr>
        <w:t>August 23,</w:t>
      </w:r>
      <w:r w:rsidRPr="00C9465D">
        <w:rPr>
          <w:rStyle w:val="Strong"/>
          <w:b w:val="0"/>
          <w:sz w:val="16"/>
          <w:szCs w:val="16"/>
          <w:lang w:val="en-US"/>
        </w:rPr>
        <w:t xml:space="preserve"> 2018. </w:t>
      </w:r>
      <w:r w:rsidR="00E2299F" w:rsidRPr="00C9465D">
        <w:rPr>
          <w:rStyle w:val="Strong"/>
          <w:b w:val="0"/>
          <w:sz w:val="16"/>
          <w:szCs w:val="16"/>
          <w:lang w:val="en-US"/>
        </w:rPr>
        <w:t xml:space="preserve">Series </w:t>
      </w:r>
      <w:r w:rsidRPr="00C9465D">
        <w:rPr>
          <w:rStyle w:val="Strong"/>
          <w:b w:val="0"/>
          <w:sz w:val="16"/>
          <w:szCs w:val="16"/>
          <w:lang w:val="en-US"/>
        </w:rPr>
        <w:t>C No. 359</w:t>
      </w:r>
      <w:r w:rsidRPr="00C9465D">
        <w:rPr>
          <w:sz w:val="16"/>
          <w:szCs w:val="16"/>
          <w:lang w:val="en-US"/>
        </w:rPr>
        <w:t>,</w:t>
      </w:r>
      <w:r w:rsidRPr="00C9465D">
        <w:rPr>
          <w:i/>
          <w:sz w:val="16"/>
          <w:szCs w:val="16"/>
          <w:lang w:val="en-US"/>
        </w:rPr>
        <w:t xml:space="preserve"> </w:t>
      </w:r>
      <w:r w:rsidR="001E2003" w:rsidRPr="00C9465D">
        <w:rPr>
          <w:rStyle w:val="Strong"/>
          <w:b w:val="0"/>
          <w:color w:val="000000"/>
          <w:sz w:val="16"/>
          <w:szCs w:val="16"/>
          <w:shd w:val="clear" w:color="auto" w:fill="FFFFFF"/>
          <w:lang w:val="en-US"/>
        </w:rPr>
        <w:t>Partially dissenting opinion of</w:t>
      </w:r>
      <w:r w:rsidRPr="00C9465D">
        <w:rPr>
          <w:rStyle w:val="Strong"/>
          <w:b w:val="0"/>
          <w:color w:val="000000"/>
          <w:sz w:val="16"/>
          <w:szCs w:val="16"/>
          <w:shd w:val="clear" w:color="auto" w:fill="FFFFFF"/>
          <w:lang w:val="en-US"/>
        </w:rPr>
        <w:t xml:space="preserve"> </w:t>
      </w:r>
      <w:r w:rsidR="00193CBB" w:rsidRPr="00C9465D">
        <w:rPr>
          <w:rStyle w:val="Strong"/>
          <w:b w:val="0"/>
          <w:color w:val="000000"/>
          <w:sz w:val="16"/>
          <w:szCs w:val="16"/>
          <w:shd w:val="clear" w:color="auto" w:fill="FFFFFF"/>
          <w:lang w:val="en-US"/>
        </w:rPr>
        <w:t>Judge</w:t>
      </w:r>
      <w:r w:rsidRPr="00C9465D">
        <w:rPr>
          <w:rStyle w:val="Strong"/>
          <w:b w:val="0"/>
          <w:color w:val="000000"/>
          <w:sz w:val="16"/>
          <w:szCs w:val="16"/>
          <w:shd w:val="clear" w:color="auto" w:fill="FFFFFF"/>
          <w:lang w:val="en-US"/>
        </w:rPr>
        <w:t xml:space="preserve"> Humberto Antonio Sierra Porto, </w:t>
      </w:r>
      <w:r w:rsidR="00D8466F" w:rsidRPr="00C9465D">
        <w:rPr>
          <w:rStyle w:val="Strong"/>
          <w:b w:val="0"/>
          <w:color w:val="000000"/>
          <w:sz w:val="16"/>
          <w:szCs w:val="16"/>
          <w:shd w:val="clear" w:color="auto" w:fill="FFFFFF"/>
          <w:lang w:val="en-US"/>
        </w:rPr>
        <w:t>para.</w:t>
      </w:r>
      <w:r w:rsidRPr="00C9465D">
        <w:rPr>
          <w:rStyle w:val="Strong"/>
          <w:b w:val="0"/>
          <w:color w:val="000000"/>
          <w:sz w:val="16"/>
          <w:szCs w:val="16"/>
          <w:shd w:val="clear" w:color="auto" w:fill="FFFFFF"/>
          <w:lang w:val="en-US"/>
        </w:rPr>
        <w:t xml:space="preserve"> 9.</w:t>
      </w:r>
    </w:p>
  </w:footnote>
  <w:footnote w:id="486">
    <w:p w14:paraId="4B547CB8" w14:textId="10D9CEB9" w:rsidR="000A7745" w:rsidRPr="00C9465D" w:rsidRDefault="000A7745" w:rsidP="00BD26CF">
      <w:pPr>
        <w:pStyle w:val="FootnoteText"/>
        <w:spacing w:after="120"/>
        <w:rPr>
          <w:sz w:val="16"/>
          <w:szCs w:val="16"/>
          <w:lang w:val="en-US"/>
        </w:rPr>
      </w:pPr>
      <w:r w:rsidRPr="00C9465D">
        <w:rPr>
          <w:rStyle w:val="FootnoteReference"/>
          <w:sz w:val="16"/>
          <w:szCs w:val="16"/>
          <w:lang w:val="en-US"/>
        </w:rPr>
        <w:footnoteRef/>
      </w:r>
      <w:r w:rsidRPr="00C9465D">
        <w:rPr>
          <w:sz w:val="16"/>
          <w:szCs w:val="16"/>
          <w:lang w:val="en-US"/>
        </w:rPr>
        <w:tab/>
      </w:r>
      <w:r w:rsidR="006A5339" w:rsidRPr="00C9465D">
        <w:rPr>
          <w:sz w:val="16"/>
          <w:szCs w:val="16"/>
          <w:lang w:val="en-US"/>
        </w:rPr>
        <w:t>Colombian Constitutional Court</w:t>
      </w:r>
      <w:r w:rsidRPr="00C9465D">
        <w:rPr>
          <w:sz w:val="16"/>
          <w:szCs w:val="16"/>
          <w:lang w:val="en-US"/>
        </w:rPr>
        <w:t xml:space="preserve">, </w:t>
      </w:r>
      <w:r w:rsidR="006A5339" w:rsidRPr="00C9465D">
        <w:rPr>
          <w:sz w:val="16"/>
          <w:szCs w:val="16"/>
          <w:lang w:val="en-US"/>
        </w:rPr>
        <w:t>Case file</w:t>
      </w:r>
      <w:r w:rsidRPr="00C9465D">
        <w:rPr>
          <w:sz w:val="16"/>
          <w:szCs w:val="16"/>
          <w:lang w:val="en-US"/>
        </w:rPr>
        <w:t xml:space="preserve"> T-1080/07. </w:t>
      </w:r>
      <w:r w:rsidR="00D8466F" w:rsidRPr="00C9465D">
        <w:rPr>
          <w:sz w:val="16"/>
          <w:szCs w:val="16"/>
          <w:lang w:val="en-US"/>
        </w:rPr>
        <w:t>Judgment of</w:t>
      </w:r>
      <w:r w:rsidRPr="00C9465D">
        <w:rPr>
          <w:sz w:val="16"/>
          <w:szCs w:val="16"/>
          <w:lang w:val="en-US"/>
        </w:rPr>
        <w:t xml:space="preserve"> </w:t>
      </w:r>
      <w:r w:rsidR="006A5339" w:rsidRPr="00C9465D">
        <w:rPr>
          <w:sz w:val="16"/>
          <w:szCs w:val="16"/>
          <w:lang w:val="en-US"/>
        </w:rPr>
        <w:t>December 13,</w:t>
      </w:r>
      <w:r w:rsidRPr="00C9465D">
        <w:rPr>
          <w:sz w:val="16"/>
          <w:szCs w:val="16"/>
          <w:lang w:val="en-US"/>
        </w:rPr>
        <w:t xml:space="preserve"> 2007. </w:t>
      </w:r>
      <w:r w:rsidR="006A5339" w:rsidRPr="00C9465D">
        <w:rPr>
          <w:sz w:val="16"/>
          <w:szCs w:val="16"/>
          <w:lang w:val="en-US"/>
        </w:rPr>
        <w:t>Judge rapporteur,</w:t>
      </w:r>
      <w:r w:rsidRPr="00C9465D">
        <w:rPr>
          <w:sz w:val="16"/>
          <w:szCs w:val="16"/>
          <w:lang w:val="en-US"/>
        </w:rPr>
        <w:t xml:space="preserve"> Hum</w:t>
      </w:r>
      <w:r w:rsidR="006A5339" w:rsidRPr="00C9465D">
        <w:rPr>
          <w:sz w:val="16"/>
          <w:szCs w:val="16"/>
          <w:lang w:val="en-US"/>
        </w:rPr>
        <w:t>b</w:t>
      </w:r>
      <w:r w:rsidRPr="00C9465D">
        <w:rPr>
          <w:sz w:val="16"/>
          <w:szCs w:val="16"/>
          <w:lang w:val="en-US"/>
        </w:rPr>
        <w:t>erto Antonio Sierra Porto, p. 10.</w:t>
      </w:r>
    </w:p>
  </w:footnote>
  <w:footnote w:id="487">
    <w:p w14:paraId="034172B1" w14:textId="6461BB24" w:rsidR="000A7745" w:rsidRPr="00C9465D" w:rsidRDefault="000A7745" w:rsidP="00BD26CF">
      <w:pPr>
        <w:pStyle w:val="FootnoteText"/>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rStyle w:val="Strong"/>
          <w:b w:val="0"/>
          <w:i/>
          <w:sz w:val="16"/>
          <w:szCs w:val="16"/>
          <w:lang w:val="en-US"/>
        </w:rPr>
        <w:t>Case of</w:t>
      </w:r>
      <w:r w:rsidRPr="00C9465D">
        <w:rPr>
          <w:rStyle w:val="Strong"/>
          <w:b w:val="0"/>
          <w:i/>
          <w:sz w:val="16"/>
          <w:szCs w:val="16"/>
          <w:lang w:val="en-US"/>
        </w:rPr>
        <w:t xml:space="preserve"> Cuscul Pivaral</w:t>
      </w:r>
      <w:r w:rsidR="00193CBB" w:rsidRPr="00C9465D">
        <w:rPr>
          <w:rStyle w:val="Strong"/>
          <w:b w:val="0"/>
          <w:i/>
          <w:sz w:val="16"/>
          <w:szCs w:val="16"/>
          <w:lang w:val="en-US"/>
        </w:rPr>
        <w:t xml:space="preserve"> </w:t>
      </w:r>
      <w:r w:rsidR="00D8466F" w:rsidRPr="00C9465D">
        <w:rPr>
          <w:rStyle w:val="Strong"/>
          <w:b w:val="0"/>
          <w:i/>
          <w:sz w:val="16"/>
          <w:szCs w:val="16"/>
          <w:lang w:val="en-US"/>
        </w:rPr>
        <w:t>et al. v.</w:t>
      </w:r>
      <w:r w:rsidRPr="00C9465D">
        <w:rPr>
          <w:rStyle w:val="Strong"/>
          <w:b w:val="0"/>
          <w:i/>
          <w:sz w:val="16"/>
          <w:szCs w:val="16"/>
          <w:lang w:val="en-US"/>
        </w:rPr>
        <w:t xml:space="preserve"> Guatemala. </w:t>
      </w:r>
      <w:r w:rsidR="00D8466F" w:rsidRPr="00C9465D">
        <w:rPr>
          <w:rStyle w:val="Strong"/>
          <w:b w:val="0"/>
          <w:i/>
          <w:sz w:val="16"/>
          <w:szCs w:val="16"/>
          <w:lang w:val="en-US"/>
        </w:rPr>
        <w:t>Preliminary objection, merits</w:t>
      </w:r>
      <w:r w:rsidR="00193CBB" w:rsidRPr="00C9465D">
        <w:rPr>
          <w:rStyle w:val="Strong"/>
          <w:b w:val="0"/>
          <w:i/>
          <w:sz w:val="16"/>
          <w:szCs w:val="16"/>
          <w:lang w:val="en-US"/>
        </w:rPr>
        <w:t>, reparations and costs</w:t>
      </w:r>
      <w:r w:rsidRPr="00C9465D">
        <w:rPr>
          <w:rStyle w:val="Strong"/>
          <w:b w:val="0"/>
          <w:sz w:val="16"/>
          <w:szCs w:val="16"/>
          <w:lang w:val="en-US"/>
        </w:rPr>
        <w:t xml:space="preserve">. </w:t>
      </w:r>
      <w:r w:rsidR="00D8466F" w:rsidRPr="00C9465D">
        <w:rPr>
          <w:rStyle w:val="Strong"/>
          <w:b w:val="0"/>
          <w:sz w:val="16"/>
          <w:szCs w:val="16"/>
          <w:lang w:val="en-US"/>
        </w:rPr>
        <w:t>Judgment of</w:t>
      </w:r>
      <w:r w:rsidRPr="00C9465D">
        <w:rPr>
          <w:rStyle w:val="Strong"/>
          <w:b w:val="0"/>
          <w:sz w:val="16"/>
          <w:szCs w:val="16"/>
          <w:lang w:val="en-US"/>
        </w:rPr>
        <w:t xml:space="preserve"> </w:t>
      </w:r>
      <w:r w:rsidR="009B4E86" w:rsidRPr="00C9465D">
        <w:rPr>
          <w:rStyle w:val="Strong"/>
          <w:b w:val="0"/>
          <w:sz w:val="16"/>
          <w:szCs w:val="16"/>
          <w:lang w:val="en-US"/>
        </w:rPr>
        <w:t>August 23,</w:t>
      </w:r>
      <w:r w:rsidRPr="00C9465D">
        <w:rPr>
          <w:rStyle w:val="Strong"/>
          <w:b w:val="0"/>
          <w:sz w:val="16"/>
          <w:szCs w:val="16"/>
          <w:lang w:val="en-US"/>
        </w:rPr>
        <w:t xml:space="preserve"> 2018. </w:t>
      </w:r>
      <w:r w:rsidR="00E2299F" w:rsidRPr="00C9465D">
        <w:rPr>
          <w:rStyle w:val="Strong"/>
          <w:b w:val="0"/>
          <w:sz w:val="16"/>
          <w:szCs w:val="16"/>
          <w:lang w:val="en-US"/>
        </w:rPr>
        <w:t xml:space="preserve">Series </w:t>
      </w:r>
      <w:r w:rsidRPr="00C9465D">
        <w:rPr>
          <w:rStyle w:val="Strong"/>
          <w:b w:val="0"/>
          <w:sz w:val="16"/>
          <w:szCs w:val="16"/>
          <w:lang w:val="en-US"/>
        </w:rPr>
        <w:t>C No. 359</w:t>
      </w:r>
      <w:r w:rsidRPr="00C9465D">
        <w:rPr>
          <w:sz w:val="16"/>
          <w:szCs w:val="16"/>
          <w:lang w:val="en-US"/>
        </w:rPr>
        <w:t>,</w:t>
      </w:r>
      <w:r w:rsidRPr="00C9465D">
        <w:rPr>
          <w:i/>
          <w:sz w:val="16"/>
          <w:szCs w:val="16"/>
          <w:lang w:val="en-US"/>
        </w:rPr>
        <w:t xml:space="preserve"> </w:t>
      </w:r>
      <w:r w:rsidR="001E2003" w:rsidRPr="00C9465D">
        <w:rPr>
          <w:rStyle w:val="Strong"/>
          <w:b w:val="0"/>
          <w:color w:val="000000"/>
          <w:sz w:val="16"/>
          <w:szCs w:val="16"/>
          <w:shd w:val="clear" w:color="auto" w:fill="FFFFFF"/>
          <w:lang w:val="en-US"/>
        </w:rPr>
        <w:t>Partially dissenting opinion of</w:t>
      </w:r>
      <w:r w:rsidRPr="00C9465D">
        <w:rPr>
          <w:rStyle w:val="Strong"/>
          <w:b w:val="0"/>
          <w:color w:val="000000"/>
          <w:sz w:val="16"/>
          <w:szCs w:val="16"/>
          <w:shd w:val="clear" w:color="auto" w:fill="FFFFFF"/>
          <w:lang w:val="en-US"/>
        </w:rPr>
        <w:t xml:space="preserve"> </w:t>
      </w:r>
      <w:r w:rsidR="00193CBB" w:rsidRPr="00C9465D">
        <w:rPr>
          <w:rStyle w:val="Strong"/>
          <w:b w:val="0"/>
          <w:color w:val="000000"/>
          <w:sz w:val="16"/>
          <w:szCs w:val="16"/>
          <w:shd w:val="clear" w:color="auto" w:fill="FFFFFF"/>
          <w:lang w:val="en-US"/>
        </w:rPr>
        <w:t>Judge</w:t>
      </w:r>
      <w:r w:rsidRPr="00C9465D">
        <w:rPr>
          <w:rStyle w:val="Strong"/>
          <w:b w:val="0"/>
          <w:color w:val="000000"/>
          <w:sz w:val="16"/>
          <w:szCs w:val="16"/>
          <w:shd w:val="clear" w:color="auto" w:fill="FFFFFF"/>
          <w:lang w:val="en-US"/>
        </w:rPr>
        <w:t xml:space="preserve"> Humberto Antonio Sierra Porto, </w:t>
      </w:r>
      <w:r w:rsidR="00D8466F" w:rsidRPr="00C9465D">
        <w:rPr>
          <w:rStyle w:val="Strong"/>
          <w:b w:val="0"/>
          <w:color w:val="000000"/>
          <w:sz w:val="16"/>
          <w:szCs w:val="16"/>
          <w:shd w:val="clear" w:color="auto" w:fill="FFFFFF"/>
          <w:lang w:val="en-US"/>
        </w:rPr>
        <w:t>para.</w:t>
      </w:r>
      <w:r w:rsidRPr="00C9465D">
        <w:rPr>
          <w:rStyle w:val="Strong"/>
          <w:b w:val="0"/>
          <w:color w:val="000000"/>
          <w:sz w:val="16"/>
          <w:szCs w:val="16"/>
          <w:shd w:val="clear" w:color="auto" w:fill="FFFFFF"/>
          <w:lang w:val="en-US"/>
        </w:rPr>
        <w:t xml:space="preserve"> 14. </w:t>
      </w:r>
    </w:p>
  </w:footnote>
  <w:footnote w:id="488">
    <w:p w14:paraId="7D377D87" w14:textId="32C993D4" w:rsidR="00F4157D" w:rsidRPr="00C9465D" w:rsidRDefault="00F4157D"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rFonts w:eastAsia="Times New Roman" w:cs="Times New Roman"/>
          <w:i/>
          <w:sz w:val="16"/>
          <w:szCs w:val="16"/>
          <w:lang w:val="en-US"/>
        </w:rPr>
        <w:t>Case of</w:t>
      </w:r>
      <w:r w:rsidR="009B4E86" w:rsidRPr="00C9465D">
        <w:rPr>
          <w:rFonts w:eastAsia="Times New Roman" w:cs="Times New Roman"/>
          <w:i/>
          <w:sz w:val="16"/>
          <w:szCs w:val="16"/>
          <w:lang w:val="en-US"/>
        </w:rPr>
        <w:t xml:space="preserve"> the National Association of Discharged and Retired Employees of the National Tax Administration Superintendence</w:t>
      </w:r>
      <w:r w:rsidRPr="00C9465D">
        <w:rPr>
          <w:rFonts w:eastAsia="Times New Roman" w:cs="Times New Roman"/>
          <w:i/>
          <w:sz w:val="16"/>
          <w:szCs w:val="16"/>
          <w:lang w:val="en-US"/>
        </w:rPr>
        <w:t xml:space="preserve"> (ANCEJUB-SUNAT) </w:t>
      </w:r>
      <w:r w:rsidR="00193CBB" w:rsidRPr="00C9465D">
        <w:rPr>
          <w:rFonts w:eastAsia="Times New Roman" w:cs="Times New Roman"/>
          <w:i/>
          <w:sz w:val="16"/>
          <w:szCs w:val="16"/>
          <w:lang w:val="en-US"/>
        </w:rPr>
        <w:t>v.</w:t>
      </w:r>
      <w:r w:rsidRPr="00C9465D">
        <w:rPr>
          <w:rFonts w:eastAsia="Times New Roman" w:cs="Times New Roman"/>
          <w:i/>
          <w:sz w:val="16"/>
          <w:szCs w:val="16"/>
          <w:lang w:val="en-US"/>
        </w:rPr>
        <w:t xml:space="preserve"> </w:t>
      </w:r>
      <w:r w:rsidR="001902D2" w:rsidRPr="00C9465D">
        <w:rPr>
          <w:rFonts w:eastAsia="Times New Roman" w:cs="Times New Roman"/>
          <w:i/>
          <w:sz w:val="16"/>
          <w:szCs w:val="16"/>
          <w:lang w:val="en-US"/>
        </w:rPr>
        <w:t>Peru</w:t>
      </w:r>
      <w:r w:rsidRPr="00C9465D">
        <w:rPr>
          <w:rFonts w:eastAsia="Times New Roman" w:cs="Times New Roman"/>
          <w:i/>
          <w:sz w:val="16"/>
          <w:szCs w:val="16"/>
          <w:lang w:val="en-US"/>
        </w:rPr>
        <w:t xml:space="preserve">. </w:t>
      </w:r>
      <w:r w:rsidR="00D8466F" w:rsidRPr="00C9465D">
        <w:rPr>
          <w:rFonts w:eastAsia="Times New Roman" w:cs="Times New Roman"/>
          <w:i/>
          <w:sz w:val="16"/>
          <w:szCs w:val="16"/>
          <w:lang w:val="en-US"/>
        </w:rPr>
        <w:t>Preliminary objections, merits</w:t>
      </w:r>
      <w:r w:rsidR="00193CBB" w:rsidRPr="00C9465D">
        <w:rPr>
          <w:rFonts w:eastAsia="Times New Roman" w:cs="Times New Roman"/>
          <w:i/>
          <w:sz w:val="16"/>
          <w:szCs w:val="16"/>
          <w:lang w:val="en-US"/>
        </w:rPr>
        <w:t>, reparations and costs</w:t>
      </w:r>
      <w:r w:rsidRPr="00C9465D">
        <w:rPr>
          <w:rFonts w:eastAsia="Times New Roman" w:cs="Times New Roman"/>
          <w:i/>
          <w:sz w:val="16"/>
          <w:szCs w:val="16"/>
          <w:lang w:val="en-US"/>
        </w:rPr>
        <w:t>.</w:t>
      </w:r>
      <w:r w:rsidRPr="00C9465D">
        <w:rPr>
          <w:rFonts w:eastAsia="Times New Roman" w:cs="Times New Roman"/>
          <w:sz w:val="16"/>
          <w:szCs w:val="16"/>
          <w:lang w:val="en-US"/>
        </w:rPr>
        <w:t xml:space="preserve"> </w:t>
      </w:r>
      <w:r w:rsidR="00D8466F" w:rsidRPr="00C9465D">
        <w:rPr>
          <w:rFonts w:eastAsia="Times New Roman" w:cs="Times New Roman"/>
          <w:sz w:val="16"/>
          <w:szCs w:val="16"/>
          <w:lang w:val="en-US"/>
        </w:rPr>
        <w:t>Judgment of</w:t>
      </w:r>
      <w:r w:rsidRPr="00C9465D">
        <w:rPr>
          <w:rFonts w:eastAsia="Times New Roman" w:cs="Times New Roman"/>
          <w:sz w:val="16"/>
          <w:szCs w:val="16"/>
          <w:lang w:val="en-US"/>
        </w:rPr>
        <w:t xml:space="preserve"> </w:t>
      </w:r>
      <w:r w:rsidR="009B4E86" w:rsidRPr="00C9465D">
        <w:rPr>
          <w:rFonts w:eastAsia="Times New Roman" w:cs="Times New Roman"/>
          <w:sz w:val="16"/>
          <w:szCs w:val="16"/>
          <w:lang w:val="en-US"/>
        </w:rPr>
        <w:t>November 21,</w:t>
      </w:r>
      <w:r w:rsidRPr="00C9465D">
        <w:rPr>
          <w:rFonts w:eastAsia="Times New Roman" w:cs="Times New Roman"/>
          <w:sz w:val="16"/>
          <w:szCs w:val="16"/>
          <w:lang w:val="en-US"/>
        </w:rPr>
        <w:t xml:space="preserve"> 2019. </w:t>
      </w:r>
      <w:r w:rsidR="00E2299F" w:rsidRPr="00C9465D">
        <w:rPr>
          <w:rFonts w:eastAsia="Times New Roman" w:cs="Times New Roman"/>
          <w:sz w:val="16"/>
          <w:szCs w:val="16"/>
          <w:lang w:val="en-US"/>
        </w:rPr>
        <w:t xml:space="preserve">Series </w:t>
      </w:r>
      <w:r w:rsidRPr="00C9465D">
        <w:rPr>
          <w:rFonts w:eastAsia="Times New Roman" w:cs="Times New Roman"/>
          <w:sz w:val="16"/>
          <w:szCs w:val="16"/>
          <w:lang w:val="en-US"/>
        </w:rPr>
        <w:t>C No. 394.</w:t>
      </w:r>
    </w:p>
  </w:footnote>
  <w:footnote w:id="489">
    <w:p w14:paraId="54D7A5BE" w14:textId="42F619BA" w:rsidR="00F4157D" w:rsidRPr="00C9465D" w:rsidRDefault="00F4157D"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006D60F8" w:rsidRPr="00C9465D">
        <w:rPr>
          <w:i/>
          <w:sz w:val="16"/>
          <w:szCs w:val="16"/>
          <w:lang w:val="en-US"/>
        </w:rPr>
        <w:t xml:space="preserve"> the</w:t>
      </w:r>
      <w:r w:rsidRPr="00C9465D">
        <w:rPr>
          <w:i/>
          <w:sz w:val="16"/>
          <w:szCs w:val="16"/>
          <w:lang w:val="en-US"/>
        </w:rPr>
        <w:t xml:space="preserve"> "</w:t>
      </w:r>
      <w:r w:rsidR="006D60F8" w:rsidRPr="00C9465D">
        <w:rPr>
          <w:i/>
          <w:sz w:val="16"/>
          <w:szCs w:val="16"/>
          <w:lang w:val="en-US"/>
        </w:rPr>
        <w:t xml:space="preserve">Juvenile Re-education </w:t>
      </w:r>
      <w:r w:rsidRPr="00C9465D">
        <w:rPr>
          <w:i/>
          <w:sz w:val="16"/>
          <w:szCs w:val="16"/>
          <w:lang w:val="en-US"/>
        </w:rPr>
        <w:t>Institut</w:t>
      </w:r>
      <w:r w:rsidR="006D60F8" w:rsidRPr="00C9465D">
        <w:rPr>
          <w:i/>
          <w:sz w:val="16"/>
          <w:szCs w:val="16"/>
          <w:lang w:val="en-US"/>
        </w:rPr>
        <w:t>e</w:t>
      </w:r>
      <w:r w:rsidRPr="00C9465D">
        <w:rPr>
          <w:i/>
          <w:sz w:val="16"/>
          <w:szCs w:val="16"/>
          <w:lang w:val="en-US"/>
        </w:rPr>
        <w:t xml:space="preserve">" </w:t>
      </w:r>
      <w:r w:rsidR="00193CBB" w:rsidRPr="00C9465D">
        <w:rPr>
          <w:i/>
          <w:sz w:val="16"/>
          <w:szCs w:val="16"/>
          <w:lang w:val="en-US"/>
        </w:rPr>
        <w:t>v.</w:t>
      </w:r>
      <w:r w:rsidRPr="00C9465D">
        <w:rPr>
          <w:i/>
          <w:sz w:val="16"/>
          <w:szCs w:val="16"/>
          <w:lang w:val="en-US"/>
        </w:rPr>
        <w:t xml:space="preserve"> Paraguay. </w:t>
      </w:r>
      <w:r w:rsidR="00D8466F" w:rsidRPr="00C9465D">
        <w:rPr>
          <w:i/>
          <w:sz w:val="16"/>
          <w:szCs w:val="16"/>
          <w:lang w:val="en-US"/>
        </w:rPr>
        <w:t>Preliminary objections, merits</w:t>
      </w:r>
      <w:r w:rsidR="00193CBB" w:rsidRPr="00C9465D">
        <w:rPr>
          <w:i/>
          <w:sz w:val="16"/>
          <w:szCs w:val="16"/>
          <w:lang w:val="en-US"/>
        </w:rPr>
        <w:t>, reparations and costs</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6D60F8" w:rsidRPr="00C9465D">
        <w:rPr>
          <w:sz w:val="16"/>
          <w:szCs w:val="16"/>
          <w:lang w:val="en-US"/>
        </w:rPr>
        <w:t>September 2,</w:t>
      </w:r>
      <w:r w:rsidRPr="00C9465D">
        <w:rPr>
          <w:sz w:val="16"/>
          <w:szCs w:val="16"/>
          <w:lang w:val="en-US"/>
        </w:rPr>
        <w:t xml:space="preserve"> 2004. </w:t>
      </w:r>
      <w:r w:rsidR="00E2299F" w:rsidRPr="00C9465D">
        <w:rPr>
          <w:sz w:val="16"/>
          <w:szCs w:val="16"/>
          <w:lang w:val="en-US"/>
        </w:rPr>
        <w:t xml:space="preserve">Series </w:t>
      </w:r>
      <w:r w:rsidRPr="00C9465D">
        <w:rPr>
          <w:sz w:val="16"/>
          <w:szCs w:val="16"/>
          <w:lang w:val="en-US"/>
        </w:rPr>
        <w:t>C No. 112</w:t>
      </w:r>
      <w:r w:rsidR="006D60F8" w:rsidRPr="00C9465D">
        <w:rPr>
          <w:sz w:val="16"/>
          <w:szCs w:val="16"/>
          <w:lang w:val="en-US"/>
        </w:rPr>
        <w:t xml:space="preserve">, or the </w:t>
      </w:r>
      <w:r w:rsidR="00D8466F" w:rsidRPr="00C9465D">
        <w:rPr>
          <w:i/>
          <w:sz w:val="16"/>
          <w:szCs w:val="16"/>
          <w:lang w:val="en-US"/>
        </w:rPr>
        <w:t>Case of</w:t>
      </w:r>
      <w:r w:rsidRPr="00C9465D">
        <w:rPr>
          <w:i/>
          <w:sz w:val="16"/>
          <w:szCs w:val="16"/>
          <w:lang w:val="en-US"/>
        </w:rPr>
        <w:t xml:space="preserve"> </w:t>
      </w:r>
      <w:r w:rsidR="006D60F8" w:rsidRPr="00C9465D">
        <w:rPr>
          <w:i/>
          <w:sz w:val="16"/>
          <w:szCs w:val="16"/>
          <w:lang w:val="en-US"/>
        </w:rPr>
        <w:t>the</w:t>
      </w:r>
      <w:r w:rsidRPr="00C9465D">
        <w:rPr>
          <w:i/>
          <w:sz w:val="16"/>
          <w:szCs w:val="16"/>
          <w:lang w:val="en-US"/>
        </w:rPr>
        <w:t xml:space="preserve"> Yakye Axa</w:t>
      </w:r>
      <w:r w:rsidR="006D60F8" w:rsidRPr="00C9465D">
        <w:rPr>
          <w:i/>
          <w:sz w:val="16"/>
          <w:szCs w:val="16"/>
          <w:lang w:val="en-US"/>
        </w:rPr>
        <w:t xml:space="preserve"> Indigenous Community</w:t>
      </w:r>
      <w:r w:rsidRPr="00C9465D">
        <w:rPr>
          <w:i/>
          <w:sz w:val="16"/>
          <w:szCs w:val="16"/>
          <w:lang w:val="en-US"/>
        </w:rPr>
        <w:t xml:space="preserve"> </w:t>
      </w:r>
      <w:r w:rsidR="00193CBB" w:rsidRPr="00C9465D">
        <w:rPr>
          <w:i/>
          <w:sz w:val="16"/>
          <w:szCs w:val="16"/>
          <w:lang w:val="en-US"/>
        </w:rPr>
        <w:t>v.</w:t>
      </w:r>
      <w:r w:rsidRPr="00C9465D">
        <w:rPr>
          <w:i/>
          <w:sz w:val="16"/>
          <w:szCs w:val="16"/>
          <w:lang w:val="en-US"/>
        </w:rPr>
        <w:t xml:space="preserve"> Paraguay. </w:t>
      </w:r>
      <w:r w:rsidR="00193CBB" w:rsidRPr="00C9465D">
        <w:rPr>
          <w:i/>
          <w:sz w:val="16"/>
          <w:szCs w:val="16"/>
          <w:lang w:val="en-US"/>
        </w:rPr>
        <w:t>Merits, reparations and costs</w:t>
      </w:r>
      <w:r w:rsidRPr="00C9465D">
        <w:rPr>
          <w:i/>
          <w:sz w:val="16"/>
          <w:szCs w:val="16"/>
          <w:lang w:val="en-US"/>
        </w:rPr>
        <w:t>.</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6D60F8" w:rsidRPr="00C9465D">
        <w:rPr>
          <w:sz w:val="16"/>
          <w:szCs w:val="16"/>
          <w:lang w:val="en-US"/>
        </w:rPr>
        <w:t>June 17,</w:t>
      </w:r>
      <w:r w:rsidRPr="00C9465D">
        <w:rPr>
          <w:sz w:val="16"/>
          <w:szCs w:val="16"/>
          <w:lang w:val="en-US"/>
        </w:rPr>
        <w:t xml:space="preserve"> 2005. </w:t>
      </w:r>
      <w:r w:rsidR="00E2299F" w:rsidRPr="00C9465D">
        <w:rPr>
          <w:sz w:val="16"/>
          <w:szCs w:val="16"/>
          <w:lang w:val="en-US"/>
        </w:rPr>
        <w:t xml:space="preserve">Series </w:t>
      </w:r>
      <w:r w:rsidRPr="00C9465D">
        <w:rPr>
          <w:sz w:val="16"/>
          <w:szCs w:val="16"/>
          <w:lang w:val="en-US"/>
        </w:rPr>
        <w:t>C No. 125</w:t>
      </w:r>
      <w:r w:rsidR="006D60F8" w:rsidRPr="00C9465D">
        <w:rPr>
          <w:sz w:val="16"/>
          <w:szCs w:val="16"/>
          <w:lang w:val="en-US"/>
        </w:rPr>
        <w:t>, to mention just two examples. Also, the</w:t>
      </w:r>
      <w:r w:rsidRPr="00C9465D">
        <w:rPr>
          <w:sz w:val="16"/>
          <w:szCs w:val="16"/>
          <w:lang w:val="en-US"/>
        </w:rPr>
        <w:t xml:space="preserve"> </w:t>
      </w:r>
      <w:r w:rsidR="00D8466F" w:rsidRPr="00C9465D">
        <w:rPr>
          <w:i/>
          <w:sz w:val="16"/>
          <w:szCs w:val="16"/>
          <w:lang w:val="en-US"/>
        </w:rPr>
        <w:t>Case of</w:t>
      </w:r>
      <w:r w:rsidRPr="00C9465D">
        <w:rPr>
          <w:i/>
          <w:sz w:val="16"/>
          <w:szCs w:val="16"/>
          <w:lang w:val="en-US"/>
        </w:rPr>
        <w:t xml:space="preserve"> Gonzales Lluy</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Ecuador. </w:t>
      </w:r>
      <w:r w:rsidR="00D8466F" w:rsidRPr="00C9465D">
        <w:rPr>
          <w:i/>
          <w:sz w:val="16"/>
          <w:szCs w:val="16"/>
          <w:lang w:val="en-US"/>
        </w:rPr>
        <w:t>Preliminary objections, merits</w:t>
      </w:r>
      <w:r w:rsidR="00193CBB" w:rsidRPr="00C9465D">
        <w:rPr>
          <w:i/>
          <w:sz w:val="16"/>
          <w:szCs w:val="16"/>
          <w:lang w:val="en-US"/>
        </w:rPr>
        <w:t>, reparations and costs</w:t>
      </w:r>
      <w:r w:rsidRPr="00C9465D">
        <w:rPr>
          <w:i/>
          <w:sz w:val="16"/>
          <w:szCs w:val="16"/>
          <w:lang w:val="en-US"/>
        </w:rPr>
        <w:t>.</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9B4E86" w:rsidRPr="00C9465D">
        <w:rPr>
          <w:sz w:val="16"/>
          <w:szCs w:val="16"/>
          <w:lang w:val="en-US"/>
        </w:rPr>
        <w:t>September 1,</w:t>
      </w:r>
      <w:r w:rsidRPr="00C9465D">
        <w:rPr>
          <w:sz w:val="16"/>
          <w:szCs w:val="16"/>
          <w:lang w:val="en-US"/>
        </w:rPr>
        <w:t xml:space="preserve"> 2015. </w:t>
      </w:r>
      <w:r w:rsidR="00E2299F" w:rsidRPr="00C9465D">
        <w:rPr>
          <w:sz w:val="16"/>
          <w:szCs w:val="16"/>
          <w:lang w:val="en-US"/>
        </w:rPr>
        <w:t xml:space="preserve">Series </w:t>
      </w:r>
      <w:r w:rsidRPr="00C9465D">
        <w:rPr>
          <w:sz w:val="16"/>
          <w:szCs w:val="16"/>
          <w:lang w:val="en-US"/>
        </w:rPr>
        <w:t>C No. 298.</w:t>
      </w:r>
    </w:p>
  </w:footnote>
  <w:footnote w:id="490">
    <w:p w14:paraId="6FFE540B" w14:textId="3CFA8E59" w:rsidR="00F4157D" w:rsidRPr="00C9465D" w:rsidRDefault="00F4157D" w:rsidP="00BD26CF">
      <w:pPr>
        <w:pStyle w:val="FootnoteText"/>
        <w:tabs>
          <w:tab w:val="left" w:pos="567"/>
        </w:tabs>
        <w:snapToGrid w:val="0"/>
        <w:spacing w:after="120"/>
        <w:rPr>
          <w:rFonts w:cs="Arial Unicode MS"/>
          <w:sz w:val="16"/>
          <w:szCs w:val="16"/>
          <w:lang w:val="en-US"/>
        </w:rPr>
      </w:pPr>
      <w:r w:rsidRPr="00C9465D">
        <w:rPr>
          <w:rStyle w:val="FootnoteReference"/>
          <w:sz w:val="16"/>
          <w:szCs w:val="16"/>
          <w:lang w:val="en-US"/>
        </w:rPr>
        <w:footnoteRef/>
      </w:r>
      <w:r w:rsidRPr="00C9465D">
        <w:rPr>
          <w:sz w:val="16"/>
          <w:szCs w:val="16"/>
        </w:rPr>
        <w:t xml:space="preserve"> </w:t>
      </w:r>
      <w:r w:rsidRPr="00C9465D">
        <w:rPr>
          <w:sz w:val="16"/>
          <w:szCs w:val="16"/>
        </w:rPr>
        <w:tab/>
      </w:r>
      <w:r w:rsidR="00E2299F" w:rsidRPr="00C9465D">
        <w:rPr>
          <w:rFonts w:eastAsia="Arial Unicode MS" w:cs="Arial Unicode MS"/>
          <w:i/>
          <w:sz w:val="16"/>
          <w:szCs w:val="16"/>
        </w:rPr>
        <w:t>Cf.</w:t>
      </w:r>
      <w:r w:rsidRPr="00C9465D">
        <w:rPr>
          <w:rFonts w:eastAsia="Arial Unicode MS" w:cs="Arial Unicode MS"/>
          <w:i/>
          <w:sz w:val="16"/>
          <w:szCs w:val="16"/>
        </w:rPr>
        <w:t xml:space="preserve"> </w:t>
      </w:r>
      <w:r w:rsidR="00D8466F" w:rsidRPr="00C9465D">
        <w:rPr>
          <w:rFonts w:eastAsia="Arial Unicode MS" w:cs="Arial Unicode MS"/>
          <w:i/>
          <w:sz w:val="16"/>
          <w:szCs w:val="16"/>
        </w:rPr>
        <w:t>Case of</w:t>
      </w:r>
      <w:r w:rsidRPr="00C9465D">
        <w:rPr>
          <w:rFonts w:eastAsia="Arial Unicode MS" w:cs="Arial Unicode MS"/>
          <w:i/>
          <w:sz w:val="16"/>
          <w:szCs w:val="16"/>
        </w:rPr>
        <w:t xml:space="preserve"> Lagos del Campo </w:t>
      </w:r>
      <w:r w:rsidR="00193CBB" w:rsidRPr="00C9465D">
        <w:rPr>
          <w:rFonts w:eastAsia="Arial Unicode MS" w:cs="Arial Unicode MS"/>
          <w:i/>
          <w:sz w:val="16"/>
          <w:szCs w:val="16"/>
        </w:rPr>
        <w:t>v.</w:t>
      </w:r>
      <w:r w:rsidRPr="00C9465D">
        <w:rPr>
          <w:rFonts w:eastAsia="Arial Unicode MS" w:cs="Arial Unicode MS"/>
          <w:i/>
          <w:sz w:val="16"/>
          <w:szCs w:val="16"/>
        </w:rPr>
        <w:t xml:space="preserve"> </w:t>
      </w:r>
      <w:proofErr w:type="spellStart"/>
      <w:r w:rsidR="001902D2" w:rsidRPr="00C9465D">
        <w:rPr>
          <w:rFonts w:eastAsia="Arial Unicode MS" w:cs="Arial Unicode MS"/>
          <w:i/>
          <w:sz w:val="16"/>
          <w:szCs w:val="16"/>
        </w:rPr>
        <w:t>Peru</w:t>
      </w:r>
      <w:proofErr w:type="spellEnd"/>
      <w:r w:rsidRPr="00C9465D">
        <w:rPr>
          <w:rFonts w:eastAsia="Arial Unicode MS" w:cs="Arial Unicode MS"/>
          <w:i/>
          <w:sz w:val="16"/>
          <w:szCs w:val="16"/>
        </w:rPr>
        <w:t xml:space="preserve">. </w:t>
      </w:r>
      <w:r w:rsidR="00D8466F" w:rsidRPr="00C9465D">
        <w:rPr>
          <w:rFonts w:eastAsia="Arial Unicode MS" w:cs="Arial Unicode MS"/>
          <w:i/>
          <w:sz w:val="16"/>
          <w:szCs w:val="16"/>
          <w:lang w:val="en-US"/>
        </w:rPr>
        <w:t>Preliminary objections, merits</w:t>
      </w:r>
      <w:r w:rsidR="00193CBB" w:rsidRPr="00C9465D">
        <w:rPr>
          <w:rFonts w:eastAsia="Arial Unicode MS" w:cs="Arial Unicode MS"/>
          <w:i/>
          <w:sz w:val="16"/>
          <w:szCs w:val="16"/>
          <w:lang w:val="en-US"/>
        </w:rPr>
        <w:t>, reparations and costs</w:t>
      </w:r>
      <w:r w:rsidRPr="00C9465D">
        <w:rPr>
          <w:rFonts w:eastAsia="Arial Unicode MS" w:cs="Arial Unicode MS"/>
          <w:i/>
          <w:sz w:val="16"/>
          <w:szCs w:val="16"/>
          <w:lang w:val="en-US"/>
        </w:rPr>
        <w:t>.</w:t>
      </w:r>
      <w:r w:rsidRPr="00C9465D">
        <w:rPr>
          <w:rFonts w:eastAsia="Arial Unicode MS" w:cs="Arial Unicode MS"/>
          <w:sz w:val="16"/>
          <w:szCs w:val="16"/>
          <w:lang w:val="en-US"/>
        </w:rPr>
        <w:t xml:space="preserve"> </w:t>
      </w:r>
      <w:r w:rsidR="00D8466F" w:rsidRPr="00C9465D">
        <w:rPr>
          <w:rFonts w:eastAsia="Arial Unicode MS" w:cs="Arial Unicode MS"/>
          <w:sz w:val="16"/>
          <w:szCs w:val="16"/>
          <w:lang w:val="en-US"/>
        </w:rPr>
        <w:t>Judgment of</w:t>
      </w:r>
      <w:r w:rsidRPr="00C9465D">
        <w:rPr>
          <w:rFonts w:eastAsia="Arial Unicode MS" w:cs="Arial Unicode MS"/>
          <w:sz w:val="16"/>
          <w:szCs w:val="16"/>
          <w:lang w:val="en-US"/>
        </w:rPr>
        <w:t xml:space="preserve"> </w:t>
      </w:r>
      <w:r w:rsidR="009B4E86" w:rsidRPr="00C9465D">
        <w:rPr>
          <w:rFonts w:eastAsia="Arial Unicode MS" w:cs="Arial Unicode MS"/>
          <w:sz w:val="16"/>
          <w:szCs w:val="16"/>
          <w:lang w:val="en-US"/>
        </w:rPr>
        <w:t>August 31,</w:t>
      </w:r>
      <w:r w:rsidRPr="00C9465D">
        <w:rPr>
          <w:rFonts w:eastAsia="Arial Unicode MS" w:cs="Arial Unicode MS"/>
          <w:sz w:val="16"/>
          <w:szCs w:val="16"/>
          <w:lang w:val="en-US"/>
        </w:rPr>
        <w:t xml:space="preserve"> 2017. </w:t>
      </w:r>
      <w:r w:rsidR="00E2299F" w:rsidRPr="00C9465D">
        <w:rPr>
          <w:rFonts w:eastAsia="Arial Unicode MS" w:cs="Arial Unicode MS"/>
          <w:sz w:val="16"/>
          <w:szCs w:val="16"/>
          <w:lang w:val="en-US"/>
        </w:rPr>
        <w:t xml:space="preserve">Series </w:t>
      </w:r>
      <w:r w:rsidRPr="00C9465D">
        <w:rPr>
          <w:rFonts w:eastAsia="Arial Unicode MS" w:cs="Arial Unicode MS"/>
          <w:sz w:val="16"/>
          <w:szCs w:val="16"/>
          <w:lang w:val="en-US"/>
        </w:rPr>
        <w:t xml:space="preserve">C No. 340, </w:t>
      </w:r>
      <w:r w:rsidR="00D8466F" w:rsidRPr="00C9465D">
        <w:rPr>
          <w:rFonts w:eastAsia="Arial Unicode MS" w:cs="Arial Unicode MS"/>
          <w:sz w:val="16"/>
          <w:szCs w:val="16"/>
          <w:lang w:val="en-US"/>
        </w:rPr>
        <w:t>paras.</w:t>
      </w:r>
      <w:r w:rsidRPr="00C9465D">
        <w:rPr>
          <w:rFonts w:eastAsia="Arial Unicode MS" w:cs="Arial Unicode MS"/>
          <w:sz w:val="16"/>
          <w:szCs w:val="16"/>
          <w:lang w:val="en-US"/>
        </w:rPr>
        <w:t xml:space="preserve"> 142</w:t>
      </w:r>
      <w:r w:rsidR="00193CBB" w:rsidRPr="00C9465D">
        <w:rPr>
          <w:rFonts w:eastAsia="Arial Unicode MS" w:cs="Arial Unicode MS"/>
          <w:sz w:val="16"/>
          <w:szCs w:val="16"/>
          <w:lang w:val="en-US"/>
        </w:rPr>
        <w:t xml:space="preserve"> and </w:t>
      </w:r>
      <w:r w:rsidRPr="00C9465D">
        <w:rPr>
          <w:rFonts w:eastAsia="Arial Unicode MS" w:cs="Arial Unicode MS"/>
          <w:sz w:val="16"/>
          <w:szCs w:val="16"/>
          <w:lang w:val="en-US"/>
        </w:rPr>
        <w:t xml:space="preserve">154; </w:t>
      </w:r>
      <w:r w:rsidR="00D8466F" w:rsidRPr="00C9465D">
        <w:rPr>
          <w:rFonts w:eastAsia="Arial Unicode MS" w:cs="Arial Unicode MS"/>
          <w:bCs/>
          <w:i/>
          <w:sz w:val="16"/>
          <w:szCs w:val="16"/>
          <w:lang w:val="en-US"/>
        </w:rPr>
        <w:t xml:space="preserve">Case </w:t>
      </w:r>
      <w:r w:rsidR="009B4E86" w:rsidRPr="00C9465D">
        <w:rPr>
          <w:rFonts w:eastAsia="Arial Unicode MS" w:cs="Arial Unicode MS"/>
          <w:bCs/>
          <w:i/>
          <w:sz w:val="16"/>
          <w:szCs w:val="16"/>
          <w:lang w:val="en-US"/>
        </w:rPr>
        <w:t>of Dismissed Employees of</w:t>
      </w:r>
      <w:r w:rsidRPr="00C9465D">
        <w:rPr>
          <w:rFonts w:eastAsia="Arial Unicode MS" w:cs="Arial Unicode MS"/>
          <w:bCs/>
          <w:i/>
          <w:sz w:val="16"/>
          <w:szCs w:val="16"/>
          <w:lang w:val="en-US"/>
        </w:rPr>
        <w:t xml:space="preserve"> Petro</w:t>
      </w:r>
      <w:r w:rsidR="001902D2" w:rsidRPr="00C9465D">
        <w:rPr>
          <w:rFonts w:eastAsia="Arial Unicode MS" w:cs="Arial Unicode MS"/>
          <w:bCs/>
          <w:i/>
          <w:sz w:val="16"/>
          <w:szCs w:val="16"/>
          <w:lang w:val="en-US"/>
        </w:rPr>
        <w:t>Peru</w:t>
      </w:r>
      <w:r w:rsidR="00193CBB" w:rsidRPr="00C9465D">
        <w:rPr>
          <w:rFonts w:eastAsia="Arial Unicode MS" w:cs="Arial Unicode MS"/>
          <w:bCs/>
          <w:i/>
          <w:sz w:val="16"/>
          <w:szCs w:val="16"/>
          <w:lang w:val="en-US"/>
        </w:rPr>
        <w:t xml:space="preserve"> </w:t>
      </w:r>
      <w:r w:rsidR="00D8466F" w:rsidRPr="00C9465D">
        <w:rPr>
          <w:rFonts w:eastAsia="Arial Unicode MS" w:cs="Arial Unicode MS"/>
          <w:bCs/>
          <w:i/>
          <w:sz w:val="16"/>
          <w:szCs w:val="16"/>
          <w:lang w:val="en-US"/>
        </w:rPr>
        <w:t>et al. v.</w:t>
      </w:r>
      <w:r w:rsidRPr="00C9465D">
        <w:rPr>
          <w:rFonts w:eastAsia="Arial Unicode MS" w:cs="Arial Unicode MS"/>
          <w:bCs/>
          <w:i/>
          <w:sz w:val="16"/>
          <w:szCs w:val="16"/>
          <w:lang w:val="en-US"/>
        </w:rPr>
        <w:t xml:space="preserve"> </w:t>
      </w:r>
      <w:r w:rsidR="001902D2" w:rsidRPr="00C9465D">
        <w:rPr>
          <w:rFonts w:eastAsia="Arial Unicode MS" w:cs="Arial Unicode MS"/>
          <w:bCs/>
          <w:i/>
          <w:sz w:val="16"/>
          <w:szCs w:val="16"/>
          <w:lang w:val="en-US"/>
        </w:rPr>
        <w:t>Peru</w:t>
      </w:r>
      <w:r w:rsidRPr="00C9465D">
        <w:rPr>
          <w:rFonts w:eastAsia="Arial Unicode MS" w:cs="Arial Unicode MS"/>
          <w:bCs/>
          <w:i/>
          <w:sz w:val="16"/>
          <w:szCs w:val="16"/>
          <w:lang w:val="en-US"/>
        </w:rPr>
        <w:t xml:space="preserve">. </w:t>
      </w:r>
      <w:r w:rsidR="00D8466F" w:rsidRPr="00C9465D">
        <w:rPr>
          <w:rFonts w:eastAsia="Arial Unicode MS" w:cs="Arial Unicode MS"/>
          <w:bCs/>
          <w:i/>
          <w:sz w:val="16"/>
          <w:szCs w:val="16"/>
          <w:lang w:val="en-US"/>
        </w:rPr>
        <w:t>Preliminary objections, merits</w:t>
      </w:r>
      <w:r w:rsidR="00193CBB" w:rsidRPr="00C9465D">
        <w:rPr>
          <w:rFonts w:eastAsia="Arial Unicode MS" w:cs="Arial Unicode MS"/>
          <w:bCs/>
          <w:i/>
          <w:sz w:val="16"/>
          <w:szCs w:val="16"/>
          <w:lang w:val="en-US"/>
        </w:rPr>
        <w:t>, reparations and costs</w:t>
      </w:r>
      <w:r w:rsidRPr="00C9465D">
        <w:rPr>
          <w:rFonts w:eastAsia="Arial Unicode MS" w:cs="Arial Unicode MS"/>
          <w:bCs/>
          <w:i/>
          <w:sz w:val="16"/>
          <w:szCs w:val="16"/>
          <w:lang w:val="en-US"/>
        </w:rPr>
        <w:t>.</w:t>
      </w:r>
      <w:r w:rsidRPr="00C9465D">
        <w:rPr>
          <w:rFonts w:eastAsia="Arial Unicode MS" w:cs="Arial Unicode MS"/>
          <w:bCs/>
          <w:sz w:val="16"/>
          <w:szCs w:val="16"/>
          <w:lang w:val="en-US"/>
        </w:rPr>
        <w:t xml:space="preserve"> </w:t>
      </w:r>
      <w:r w:rsidR="00D8466F" w:rsidRPr="00C9465D">
        <w:rPr>
          <w:rFonts w:eastAsia="Arial Unicode MS" w:cs="Arial Unicode MS"/>
          <w:bCs/>
          <w:sz w:val="16"/>
          <w:szCs w:val="16"/>
          <w:lang w:val="en-US"/>
        </w:rPr>
        <w:t>Judgment of</w:t>
      </w:r>
      <w:r w:rsidRPr="00C9465D">
        <w:rPr>
          <w:rFonts w:eastAsia="Arial Unicode MS" w:cs="Arial Unicode MS"/>
          <w:bCs/>
          <w:sz w:val="16"/>
          <w:szCs w:val="16"/>
          <w:lang w:val="en-US"/>
        </w:rPr>
        <w:t xml:space="preserve"> </w:t>
      </w:r>
      <w:r w:rsidR="009B4E86" w:rsidRPr="00C9465D">
        <w:rPr>
          <w:rFonts w:eastAsia="Arial Unicode MS" w:cs="Arial Unicode MS"/>
          <w:bCs/>
          <w:sz w:val="16"/>
          <w:szCs w:val="16"/>
          <w:lang w:val="en-US"/>
        </w:rPr>
        <w:t>November 23,</w:t>
      </w:r>
      <w:r w:rsidRPr="00C9465D">
        <w:rPr>
          <w:rFonts w:eastAsia="Arial Unicode MS" w:cs="Arial Unicode MS"/>
          <w:bCs/>
          <w:sz w:val="16"/>
          <w:szCs w:val="16"/>
          <w:lang w:val="en-US"/>
        </w:rPr>
        <w:t xml:space="preserve"> 2017. </w:t>
      </w:r>
      <w:r w:rsidR="00E2299F" w:rsidRPr="00C9465D">
        <w:rPr>
          <w:rFonts w:eastAsia="Arial Unicode MS" w:cs="Arial Unicode MS"/>
          <w:bCs/>
          <w:sz w:val="16"/>
          <w:szCs w:val="16"/>
          <w:lang w:val="en-US"/>
        </w:rPr>
        <w:t xml:space="preserve">Series </w:t>
      </w:r>
      <w:r w:rsidRPr="00C9465D">
        <w:rPr>
          <w:rFonts w:eastAsia="Arial Unicode MS" w:cs="Arial Unicode MS"/>
          <w:bCs/>
          <w:sz w:val="16"/>
          <w:szCs w:val="16"/>
          <w:lang w:val="en-US"/>
        </w:rPr>
        <w:t xml:space="preserve">C No. 344, </w:t>
      </w:r>
      <w:r w:rsidR="00D8466F" w:rsidRPr="00C9465D">
        <w:rPr>
          <w:rFonts w:eastAsia="Arial Unicode MS" w:cs="Arial Unicode MS"/>
          <w:bCs/>
          <w:sz w:val="16"/>
          <w:szCs w:val="16"/>
          <w:lang w:val="en-US"/>
        </w:rPr>
        <w:t>para.</w:t>
      </w:r>
      <w:r w:rsidRPr="00C9465D">
        <w:rPr>
          <w:rFonts w:eastAsia="Arial Unicode MS" w:cs="Arial Unicode MS"/>
          <w:bCs/>
          <w:sz w:val="16"/>
          <w:szCs w:val="16"/>
          <w:lang w:val="en-US"/>
        </w:rPr>
        <w:t xml:space="preserve"> 192;</w:t>
      </w:r>
      <w:r w:rsidRPr="00C9465D">
        <w:rPr>
          <w:rFonts w:eastAsia="Arial Unicode MS" w:cs="Arial Unicode MS"/>
          <w:sz w:val="16"/>
          <w:szCs w:val="16"/>
          <w:lang w:val="en-US"/>
        </w:rPr>
        <w:t xml:space="preserve"> </w:t>
      </w:r>
      <w:r w:rsidR="00D8466F" w:rsidRPr="00C9465D">
        <w:rPr>
          <w:rFonts w:eastAsia="Arial Unicode MS" w:cs="Arial Unicode MS"/>
          <w:bCs/>
          <w:i/>
          <w:sz w:val="16"/>
          <w:szCs w:val="16"/>
          <w:lang w:val="en-US"/>
        </w:rPr>
        <w:t>Case of</w:t>
      </w:r>
      <w:r w:rsidRPr="00C9465D">
        <w:rPr>
          <w:rFonts w:eastAsia="Arial Unicode MS" w:cs="Arial Unicode MS"/>
          <w:bCs/>
          <w:i/>
          <w:sz w:val="16"/>
          <w:szCs w:val="16"/>
          <w:lang w:val="en-US"/>
        </w:rPr>
        <w:t xml:space="preserve"> San Miguel Sosa</w:t>
      </w:r>
      <w:r w:rsidR="00193CBB" w:rsidRPr="00C9465D">
        <w:rPr>
          <w:rFonts w:eastAsia="Arial Unicode MS" w:cs="Arial Unicode MS"/>
          <w:bCs/>
          <w:i/>
          <w:sz w:val="16"/>
          <w:szCs w:val="16"/>
          <w:lang w:val="en-US"/>
        </w:rPr>
        <w:t xml:space="preserve"> </w:t>
      </w:r>
      <w:r w:rsidR="009B4E86" w:rsidRPr="00C9465D">
        <w:rPr>
          <w:rFonts w:eastAsia="Arial Unicode MS" w:cs="Arial Unicode MS"/>
          <w:bCs/>
          <w:i/>
          <w:sz w:val="16"/>
          <w:szCs w:val="16"/>
          <w:lang w:val="en-US"/>
        </w:rPr>
        <w:t>et al.</w:t>
      </w:r>
      <w:r w:rsidRPr="00C9465D">
        <w:rPr>
          <w:rFonts w:eastAsia="Arial Unicode MS" w:cs="Arial Unicode MS"/>
          <w:bCs/>
          <w:i/>
          <w:sz w:val="16"/>
          <w:szCs w:val="16"/>
          <w:lang w:val="en-US"/>
        </w:rPr>
        <w:t xml:space="preserve"> </w:t>
      </w:r>
      <w:r w:rsidR="00193CBB" w:rsidRPr="00C9465D">
        <w:rPr>
          <w:rFonts w:eastAsia="Arial Unicode MS" w:cs="Arial Unicode MS"/>
          <w:bCs/>
          <w:i/>
          <w:sz w:val="16"/>
          <w:szCs w:val="16"/>
          <w:lang w:val="en-US"/>
        </w:rPr>
        <w:t>v.</w:t>
      </w:r>
      <w:r w:rsidRPr="00C9465D">
        <w:rPr>
          <w:rFonts w:eastAsia="Arial Unicode MS" w:cs="Arial Unicode MS"/>
          <w:bCs/>
          <w:i/>
          <w:sz w:val="16"/>
          <w:szCs w:val="16"/>
          <w:lang w:val="en-US"/>
        </w:rPr>
        <w:t xml:space="preserve"> Venezuela. </w:t>
      </w:r>
      <w:r w:rsidR="00193CBB" w:rsidRPr="00C9465D">
        <w:rPr>
          <w:rFonts w:eastAsia="Arial Unicode MS" w:cs="Arial Unicode MS"/>
          <w:bCs/>
          <w:i/>
          <w:sz w:val="16"/>
          <w:szCs w:val="16"/>
          <w:lang w:val="en-US"/>
        </w:rPr>
        <w:t>Merits, reparations and costs</w:t>
      </w:r>
      <w:r w:rsidRPr="00C9465D">
        <w:rPr>
          <w:rFonts w:eastAsia="Arial Unicode MS" w:cs="Arial Unicode MS"/>
          <w:bCs/>
          <w:sz w:val="16"/>
          <w:szCs w:val="16"/>
          <w:lang w:val="en-US"/>
        </w:rPr>
        <w:t xml:space="preserve">. </w:t>
      </w:r>
      <w:r w:rsidR="00D8466F" w:rsidRPr="00C9465D">
        <w:rPr>
          <w:rFonts w:eastAsia="Arial Unicode MS" w:cs="Arial Unicode MS"/>
          <w:bCs/>
          <w:sz w:val="16"/>
          <w:szCs w:val="16"/>
          <w:lang w:val="en-US"/>
        </w:rPr>
        <w:t>Judgment of</w:t>
      </w:r>
      <w:r w:rsidRPr="00C9465D">
        <w:rPr>
          <w:rFonts w:eastAsia="Arial Unicode MS" w:cs="Arial Unicode MS"/>
          <w:bCs/>
          <w:sz w:val="16"/>
          <w:szCs w:val="16"/>
          <w:lang w:val="en-US"/>
        </w:rPr>
        <w:t xml:space="preserve"> </w:t>
      </w:r>
      <w:r w:rsidR="009B4E86" w:rsidRPr="00C9465D">
        <w:rPr>
          <w:rFonts w:eastAsia="Arial Unicode MS" w:cs="Arial Unicode MS"/>
          <w:bCs/>
          <w:sz w:val="16"/>
          <w:szCs w:val="16"/>
          <w:lang w:val="en-US"/>
        </w:rPr>
        <w:t>February 8,</w:t>
      </w:r>
      <w:r w:rsidRPr="00C9465D">
        <w:rPr>
          <w:rFonts w:eastAsia="Arial Unicode MS" w:cs="Arial Unicode MS"/>
          <w:bCs/>
          <w:sz w:val="16"/>
          <w:szCs w:val="16"/>
          <w:lang w:val="en-US"/>
        </w:rPr>
        <w:t xml:space="preserve"> 2018. </w:t>
      </w:r>
      <w:r w:rsidR="00E2299F" w:rsidRPr="00C9465D">
        <w:rPr>
          <w:rFonts w:eastAsia="Arial Unicode MS" w:cs="Arial Unicode MS"/>
          <w:bCs/>
          <w:sz w:val="16"/>
          <w:szCs w:val="16"/>
          <w:lang w:val="en-US"/>
        </w:rPr>
        <w:t xml:space="preserve">Series </w:t>
      </w:r>
      <w:r w:rsidRPr="00C9465D">
        <w:rPr>
          <w:rFonts w:eastAsia="Arial Unicode MS" w:cs="Arial Unicode MS"/>
          <w:bCs/>
          <w:sz w:val="16"/>
          <w:szCs w:val="16"/>
          <w:lang w:val="en-US"/>
        </w:rPr>
        <w:t xml:space="preserve">C No. 348, </w:t>
      </w:r>
      <w:r w:rsidR="00D8466F" w:rsidRPr="00C9465D">
        <w:rPr>
          <w:rFonts w:eastAsia="Arial Unicode MS" w:cs="Arial Unicode MS"/>
          <w:bCs/>
          <w:sz w:val="16"/>
          <w:szCs w:val="16"/>
          <w:lang w:val="en-US"/>
        </w:rPr>
        <w:t>para.</w:t>
      </w:r>
      <w:r w:rsidRPr="00C9465D">
        <w:rPr>
          <w:rFonts w:eastAsia="Arial Unicode MS" w:cs="Arial Unicode MS"/>
          <w:bCs/>
          <w:sz w:val="16"/>
          <w:szCs w:val="16"/>
          <w:lang w:val="en-US"/>
        </w:rPr>
        <w:t xml:space="preserve"> 220;</w:t>
      </w:r>
      <w:r w:rsidRPr="00C9465D">
        <w:rPr>
          <w:rFonts w:eastAsia="Arial Unicode MS" w:cs="Arial Unicode MS"/>
          <w:sz w:val="16"/>
          <w:szCs w:val="16"/>
          <w:lang w:val="en-US"/>
        </w:rPr>
        <w:t xml:space="preserve"> </w:t>
      </w:r>
      <w:r w:rsidR="00D8466F" w:rsidRPr="00C9465D">
        <w:rPr>
          <w:rFonts w:eastAsia="Arial Unicode MS" w:cs="Arial Unicode MS"/>
          <w:bCs/>
          <w:i/>
          <w:sz w:val="16"/>
          <w:szCs w:val="16"/>
          <w:lang w:val="en-US"/>
        </w:rPr>
        <w:t>Case of</w:t>
      </w:r>
      <w:r w:rsidRPr="00C9465D">
        <w:rPr>
          <w:rFonts w:eastAsia="Arial Unicode MS" w:cs="Arial Unicode MS"/>
          <w:bCs/>
          <w:i/>
          <w:sz w:val="16"/>
          <w:szCs w:val="16"/>
          <w:lang w:val="en-US"/>
        </w:rPr>
        <w:t xml:space="preserve"> Poblete Vilches</w:t>
      </w:r>
      <w:r w:rsidR="00193CBB" w:rsidRPr="00C9465D">
        <w:rPr>
          <w:rFonts w:eastAsia="Arial Unicode MS" w:cs="Arial Unicode MS"/>
          <w:bCs/>
          <w:i/>
          <w:sz w:val="16"/>
          <w:szCs w:val="16"/>
          <w:lang w:val="en-US"/>
        </w:rPr>
        <w:t xml:space="preserve"> </w:t>
      </w:r>
      <w:r w:rsidR="00D8466F" w:rsidRPr="00C9465D">
        <w:rPr>
          <w:rFonts w:eastAsia="Arial Unicode MS" w:cs="Arial Unicode MS"/>
          <w:bCs/>
          <w:i/>
          <w:sz w:val="16"/>
          <w:szCs w:val="16"/>
          <w:lang w:val="en-US"/>
        </w:rPr>
        <w:t>et al. v.</w:t>
      </w:r>
      <w:r w:rsidRPr="00C9465D">
        <w:rPr>
          <w:rFonts w:eastAsia="Arial Unicode MS" w:cs="Arial Unicode MS"/>
          <w:bCs/>
          <w:i/>
          <w:sz w:val="16"/>
          <w:szCs w:val="16"/>
          <w:lang w:val="en-US"/>
        </w:rPr>
        <w:t xml:space="preserve"> Chile. </w:t>
      </w:r>
      <w:r w:rsidR="00193CBB" w:rsidRPr="00C9465D">
        <w:rPr>
          <w:rFonts w:eastAsia="Arial Unicode MS" w:cs="Arial Unicode MS"/>
          <w:bCs/>
          <w:i/>
          <w:sz w:val="16"/>
          <w:szCs w:val="16"/>
          <w:lang w:val="en-US"/>
        </w:rPr>
        <w:t>Merits, reparations and costs</w:t>
      </w:r>
      <w:r w:rsidRPr="00C9465D">
        <w:rPr>
          <w:rFonts w:eastAsia="Arial Unicode MS" w:cs="Arial Unicode MS"/>
          <w:bCs/>
          <w:i/>
          <w:sz w:val="16"/>
          <w:szCs w:val="16"/>
          <w:lang w:val="en-US"/>
        </w:rPr>
        <w:t>.</w:t>
      </w:r>
      <w:r w:rsidRPr="00C9465D">
        <w:rPr>
          <w:rFonts w:eastAsia="Arial Unicode MS" w:cs="Arial Unicode MS"/>
          <w:bCs/>
          <w:sz w:val="16"/>
          <w:szCs w:val="16"/>
          <w:lang w:val="en-US"/>
        </w:rPr>
        <w:t xml:space="preserve"> </w:t>
      </w:r>
      <w:r w:rsidR="00D8466F" w:rsidRPr="00C9465D">
        <w:rPr>
          <w:rFonts w:eastAsia="Arial Unicode MS" w:cs="Arial Unicode MS"/>
          <w:bCs/>
          <w:sz w:val="16"/>
          <w:szCs w:val="16"/>
          <w:lang w:val="en-US"/>
        </w:rPr>
        <w:t>Judgment of</w:t>
      </w:r>
      <w:r w:rsidRPr="00C9465D">
        <w:rPr>
          <w:rFonts w:eastAsia="Arial Unicode MS" w:cs="Arial Unicode MS"/>
          <w:bCs/>
          <w:sz w:val="16"/>
          <w:szCs w:val="16"/>
          <w:lang w:val="en-US"/>
        </w:rPr>
        <w:t xml:space="preserve"> </w:t>
      </w:r>
      <w:r w:rsidR="009B4E86" w:rsidRPr="00C9465D">
        <w:rPr>
          <w:rFonts w:eastAsia="Arial Unicode MS" w:cs="Arial Unicode MS"/>
          <w:bCs/>
          <w:sz w:val="16"/>
          <w:szCs w:val="16"/>
          <w:lang w:val="en-US"/>
        </w:rPr>
        <w:t>March 8,</w:t>
      </w:r>
      <w:r w:rsidRPr="00C9465D">
        <w:rPr>
          <w:rFonts w:eastAsia="Arial Unicode MS" w:cs="Arial Unicode MS"/>
          <w:bCs/>
          <w:sz w:val="16"/>
          <w:szCs w:val="16"/>
          <w:lang w:val="en-US"/>
        </w:rPr>
        <w:t xml:space="preserve"> 2018. </w:t>
      </w:r>
      <w:r w:rsidR="00E2299F" w:rsidRPr="00C9465D">
        <w:rPr>
          <w:rFonts w:eastAsia="Arial Unicode MS" w:cs="Arial Unicode MS"/>
          <w:bCs/>
          <w:sz w:val="16"/>
          <w:szCs w:val="16"/>
          <w:lang w:val="en-US"/>
        </w:rPr>
        <w:t xml:space="preserve">Series </w:t>
      </w:r>
      <w:r w:rsidRPr="00C9465D">
        <w:rPr>
          <w:rFonts w:eastAsia="Arial Unicode MS" w:cs="Arial Unicode MS"/>
          <w:bCs/>
          <w:sz w:val="16"/>
          <w:szCs w:val="16"/>
          <w:lang w:val="en-US"/>
        </w:rPr>
        <w:t xml:space="preserve">C No. 349, </w:t>
      </w:r>
      <w:r w:rsidR="00D8466F" w:rsidRPr="00C9465D">
        <w:rPr>
          <w:rFonts w:eastAsia="Arial Unicode MS" w:cs="Arial Unicode MS"/>
          <w:bCs/>
          <w:sz w:val="16"/>
          <w:szCs w:val="16"/>
          <w:lang w:val="en-US"/>
        </w:rPr>
        <w:t>para.</w:t>
      </w:r>
      <w:r w:rsidRPr="00C9465D">
        <w:rPr>
          <w:rFonts w:eastAsia="Arial Unicode MS" w:cs="Arial Unicode MS"/>
          <w:bCs/>
          <w:sz w:val="16"/>
          <w:szCs w:val="16"/>
          <w:lang w:val="en-US"/>
        </w:rPr>
        <w:t xml:space="preserve"> 100</w:t>
      </w:r>
      <w:r w:rsidRPr="00C9465D">
        <w:rPr>
          <w:rFonts w:eastAsia="Arial Unicode MS" w:cs="Arial Unicode MS"/>
          <w:sz w:val="16"/>
          <w:szCs w:val="16"/>
          <w:lang w:val="en-US"/>
        </w:rPr>
        <w:t xml:space="preserve">; </w:t>
      </w:r>
      <w:r w:rsidR="00D8466F" w:rsidRPr="00C9465D">
        <w:rPr>
          <w:rFonts w:eastAsia="Arial Unicode MS" w:cs="Arial Unicode MS"/>
          <w:i/>
          <w:sz w:val="16"/>
          <w:szCs w:val="16"/>
          <w:lang w:val="en-US"/>
        </w:rPr>
        <w:t>Case of</w:t>
      </w:r>
      <w:r w:rsidRPr="00C9465D">
        <w:rPr>
          <w:rFonts w:eastAsia="Arial Unicode MS" w:cs="Arial Unicode MS"/>
          <w:i/>
          <w:sz w:val="16"/>
          <w:szCs w:val="16"/>
          <w:lang w:val="en-US"/>
        </w:rPr>
        <w:t xml:space="preserve"> Cuscul Pivaral</w:t>
      </w:r>
      <w:r w:rsidR="00193CBB" w:rsidRPr="00C9465D">
        <w:rPr>
          <w:rFonts w:eastAsia="Arial Unicode MS" w:cs="Arial Unicode MS"/>
          <w:i/>
          <w:sz w:val="16"/>
          <w:szCs w:val="16"/>
          <w:lang w:val="en-US"/>
        </w:rPr>
        <w:t xml:space="preserve"> </w:t>
      </w:r>
      <w:r w:rsidR="00D8466F" w:rsidRPr="00C9465D">
        <w:rPr>
          <w:rFonts w:eastAsia="Arial Unicode MS" w:cs="Arial Unicode MS"/>
          <w:i/>
          <w:sz w:val="16"/>
          <w:szCs w:val="16"/>
          <w:lang w:val="en-US"/>
        </w:rPr>
        <w:t>et al. v.</w:t>
      </w:r>
      <w:r w:rsidRPr="00C9465D">
        <w:rPr>
          <w:rFonts w:eastAsia="Arial Unicode MS" w:cs="Arial Unicode MS"/>
          <w:i/>
          <w:sz w:val="16"/>
          <w:szCs w:val="16"/>
          <w:lang w:val="en-US"/>
        </w:rPr>
        <w:t xml:space="preserve"> Guatemala. </w:t>
      </w:r>
      <w:r w:rsidR="00D8466F" w:rsidRPr="00C9465D">
        <w:rPr>
          <w:rFonts w:eastAsia="Arial Unicode MS" w:cs="Arial Unicode MS"/>
          <w:i/>
          <w:sz w:val="16"/>
          <w:szCs w:val="16"/>
          <w:lang w:val="en-US"/>
        </w:rPr>
        <w:t>Preliminary objection, merits</w:t>
      </w:r>
      <w:r w:rsidR="00193CBB" w:rsidRPr="00C9465D">
        <w:rPr>
          <w:rFonts w:eastAsia="Arial Unicode MS" w:cs="Arial Unicode MS"/>
          <w:i/>
          <w:sz w:val="16"/>
          <w:szCs w:val="16"/>
          <w:lang w:val="en-US"/>
        </w:rPr>
        <w:t>, reparations and costs</w:t>
      </w:r>
      <w:r w:rsidRPr="00C9465D">
        <w:rPr>
          <w:rFonts w:eastAsia="Arial Unicode MS" w:cs="Arial Unicode MS"/>
          <w:sz w:val="16"/>
          <w:szCs w:val="16"/>
          <w:lang w:val="en-US"/>
        </w:rPr>
        <w:t xml:space="preserve">. </w:t>
      </w:r>
      <w:r w:rsidR="00D8466F" w:rsidRPr="00C9465D">
        <w:rPr>
          <w:rFonts w:eastAsia="Arial Unicode MS" w:cs="Arial Unicode MS"/>
          <w:sz w:val="16"/>
          <w:szCs w:val="16"/>
          <w:lang w:val="en-US"/>
        </w:rPr>
        <w:t>Judgment of</w:t>
      </w:r>
      <w:r w:rsidRPr="00C9465D">
        <w:rPr>
          <w:rFonts w:eastAsia="Arial Unicode MS" w:cs="Arial Unicode MS"/>
          <w:sz w:val="16"/>
          <w:szCs w:val="16"/>
          <w:lang w:val="en-US"/>
        </w:rPr>
        <w:t xml:space="preserve"> </w:t>
      </w:r>
      <w:r w:rsidR="009B4E86" w:rsidRPr="00C9465D">
        <w:rPr>
          <w:rFonts w:eastAsia="Arial Unicode MS" w:cs="Arial Unicode MS"/>
          <w:sz w:val="16"/>
          <w:szCs w:val="16"/>
          <w:lang w:val="en-US"/>
        </w:rPr>
        <w:t>August 23,</w:t>
      </w:r>
      <w:r w:rsidRPr="00C9465D">
        <w:rPr>
          <w:rFonts w:eastAsia="Arial Unicode MS" w:cs="Arial Unicode MS"/>
          <w:sz w:val="16"/>
          <w:szCs w:val="16"/>
          <w:lang w:val="en-US"/>
        </w:rPr>
        <w:t xml:space="preserve"> 2018. </w:t>
      </w:r>
      <w:r w:rsidR="00E2299F" w:rsidRPr="00C9465D">
        <w:rPr>
          <w:rFonts w:eastAsia="Arial Unicode MS" w:cs="Arial Unicode MS"/>
          <w:sz w:val="16"/>
          <w:szCs w:val="16"/>
          <w:lang w:val="en-US"/>
        </w:rPr>
        <w:t xml:space="preserve">Series </w:t>
      </w:r>
      <w:r w:rsidRPr="00C9465D">
        <w:rPr>
          <w:rFonts w:eastAsia="Arial Unicode MS" w:cs="Arial Unicode MS"/>
          <w:sz w:val="16"/>
          <w:szCs w:val="16"/>
          <w:lang w:val="en-US"/>
        </w:rPr>
        <w:t xml:space="preserve">C No. 359, </w:t>
      </w:r>
      <w:r w:rsidR="00D8466F" w:rsidRPr="00C9465D">
        <w:rPr>
          <w:rFonts w:eastAsia="Arial Unicode MS" w:cs="Arial Unicode MS"/>
          <w:sz w:val="16"/>
          <w:szCs w:val="16"/>
          <w:lang w:val="en-US"/>
        </w:rPr>
        <w:t>paras.</w:t>
      </w:r>
      <w:r w:rsidRPr="00C9465D">
        <w:rPr>
          <w:rFonts w:eastAsia="Arial Unicode MS" w:cs="Arial Unicode MS"/>
          <w:sz w:val="16"/>
          <w:szCs w:val="16"/>
          <w:lang w:val="en-US"/>
        </w:rPr>
        <w:t xml:space="preserve"> 75 </w:t>
      </w:r>
      <w:r w:rsidR="006D60F8" w:rsidRPr="00C9465D">
        <w:rPr>
          <w:rFonts w:eastAsia="Arial Unicode MS" w:cs="Arial Unicode MS"/>
          <w:sz w:val="16"/>
          <w:szCs w:val="16"/>
          <w:lang w:val="en-US"/>
        </w:rPr>
        <w:t>to</w:t>
      </w:r>
      <w:r w:rsidRPr="00C9465D">
        <w:rPr>
          <w:rFonts w:eastAsia="Arial Unicode MS" w:cs="Arial Unicode MS"/>
          <w:sz w:val="16"/>
          <w:szCs w:val="16"/>
          <w:lang w:val="en-US"/>
        </w:rPr>
        <w:t xml:space="preserve"> 97; </w:t>
      </w:r>
      <w:r w:rsidR="00D8466F" w:rsidRPr="00C9465D">
        <w:rPr>
          <w:rFonts w:eastAsia="Arial Unicode MS" w:cs="Arial Unicode MS"/>
          <w:i/>
          <w:sz w:val="16"/>
          <w:szCs w:val="16"/>
          <w:lang w:val="en-US"/>
        </w:rPr>
        <w:t>Case of</w:t>
      </w:r>
      <w:r w:rsidRPr="00C9465D">
        <w:rPr>
          <w:rFonts w:eastAsia="Arial Unicode MS" w:cs="Arial Unicode MS"/>
          <w:i/>
          <w:sz w:val="16"/>
          <w:szCs w:val="16"/>
          <w:lang w:val="en-US"/>
        </w:rPr>
        <w:t xml:space="preserve"> Muelle Flores </w:t>
      </w:r>
      <w:r w:rsidR="00193CBB" w:rsidRPr="00C9465D">
        <w:rPr>
          <w:rFonts w:eastAsia="Arial Unicode MS" w:cs="Arial Unicode MS"/>
          <w:i/>
          <w:sz w:val="16"/>
          <w:szCs w:val="16"/>
          <w:lang w:val="en-US"/>
        </w:rPr>
        <w:t>v.</w:t>
      </w:r>
      <w:r w:rsidRPr="00C9465D">
        <w:rPr>
          <w:rFonts w:eastAsia="Arial Unicode MS" w:cs="Arial Unicode MS"/>
          <w:i/>
          <w:sz w:val="16"/>
          <w:szCs w:val="16"/>
          <w:lang w:val="en-US"/>
        </w:rPr>
        <w:t xml:space="preserve"> </w:t>
      </w:r>
      <w:r w:rsidR="001902D2" w:rsidRPr="00C9465D">
        <w:rPr>
          <w:rFonts w:eastAsia="Arial Unicode MS" w:cs="Arial Unicode MS"/>
          <w:i/>
          <w:sz w:val="16"/>
          <w:szCs w:val="16"/>
          <w:lang w:val="en-US"/>
        </w:rPr>
        <w:t>Peru</w:t>
      </w:r>
      <w:r w:rsidRPr="00C9465D">
        <w:rPr>
          <w:rFonts w:eastAsia="Arial Unicode MS" w:cs="Arial Unicode MS"/>
          <w:i/>
          <w:sz w:val="16"/>
          <w:szCs w:val="16"/>
          <w:lang w:val="en-US"/>
        </w:rPr>
        <w:t xml:space="preserve">. </w:t>
      </w:r>
      <w:r w:rsidR="00D8466F" w:rsidRPr="00C9465D">
        <w:rPr>
          <w:rFonts w:eastAsia="Arial Unicode MS" w:cs="Arial Unicode MS"/>
          <w:i/>
          <w:sz w:val="16"/>
          <w:szCs w:val="16"/>
          <w:lang w:val="en-US"/>
        </w:rPr>
        <w:t>Preliminary objections, merits</w:t>
      </w:r>
      <w:r w:rsidR="00193CBB" w:rsidRPr="00C9465D">
        <w:rPr>
          <w:rFonts w:eastAsia="Arial Unicode MS" w:cs="Arial Unicode MS"/>
          <w:i/>
          <w:sz w:val="16"/>
          <w:szCs w:val="16"/>
          <w:lang w:val="en-US"/>
        </w:rPr>
        <w:t>, reparations and costs</w:t>
      </w:r>
      <w:r w:rsidRPr="00C9465D">
        <w:rPr>
          <w:rFonts w:eastAsia="Arial Unicode MS" w:cs="Arial Unicode MS"/>
          <w:i/>
          <w:sz w:val="16"/>
          <w:szCs w:val="16"/>
          <w:lang w:val="en-US"/>
        </w:rPr>
        <w:t>.</w:t>
      </w:r>
      <w:r w:rsidRPr="00C9465D">
        <w:rPr>
          <w:rFonts w:eastAsia="Arial Unicode MS" w:cs="Arial Unicode MS"/>
          <w:sz w:val="16"/>
          <w:szCs w:val="16"/>
          <w:lang w:val="en-US"/>
        </w:rPr>
        <w:t xml:space="preserve"> </w:t>
      </w:r>
      <w:r w:rsidR="00D8466F" w:rsidRPr="00C9465D">
        <w:rPr>
          <w:rFonts w:eastAsia="Arial Unicode MS" w:cs="Arial Unicode MS"/>
          <w:sz w:val="16"/>
          <w:szCs w:val="16"/>
          <w:lang w:val="en-US"/>
        </w:rPr>
        <w:t>Judgment of</w:t>
      </w:r>
      <w:r w:rsidRPr="00C9465D">
        <w:rPr>
          <w:rFonts w:eastAsia="Arial Unicode MS" w:cs="Arial Unicode MS"/>
          <w:sz w:val="16"/>
          <w:szCs w:val="16"/>
          <w:lang w:val="en-US"/>
        </w:rPr>
        <w:t xml:space="preserve"> </w:t>
      </w:r>
      <w:r w:rsidR="009B4E86" w:rsidRPr="00C9465D">
        <w:rPr>
          <w:rFonts w:eastAsia="Arial Unicode MS" w:cs="Arial Unicode MS"/>
          <w:sz w:val="16"/>
          <w:szCs w:val="16"/>
          <w:lang w:val="en-US"/>
        </w:rPr>
        <w:t>March 6,</w:t>
      </w:r>
      <w:r w:rsidRPr="00C9465D">
        <w:rPr>
          <w:rFonts w:eastAsia="Arial Unicode MS" w:cs="Arial Unicode MS"/>
          <w:sz w:val="16"/>
          <w:szCs w:val="16"/>
          <w:lang w:val="en-US"/>
        </w:rPr>
        <w:t xml:space="preserve"> 2019. </w:t>
      </w:r>
      <w:r w:rsidR="00E2299F" w:rsidRPr="00C9465D">
        <w:rPr>
          <w:rFonts w:eastAsia="Arial Unicode MS" w:cs="Arial Unicode MS"/>
          <w:sz w:val="16"/>
          <w:szCs w:val="16"/>
          <w:lang w:val="en-US"/>
        </w:rPr>
        <w:t xml:space="preserve">Series </w:t>
      </w:r>
      <w:r w:rsidRPr="00C9465D">
        <w:rPr>
          <w:rFonts w:eastAsia="Arial Unicode MS" w:cs="Arial Unicode MS"/>
          <w:sz w:val="16"/>
          <w:szCs w:val="16"/>
          <w:lang w:val="en-US"/>
        </w:rPr>
        <w:t xml:space="preserve">C No. 375, </w:t>
      </w:r>
      <w:r w:rsidR="00D8466F" w:rsidRPr="00C9465D">
        <w:rPr>
          <w:rFonts w:eastAsia="Arial Unicode MS" w:cs="Arial Unicode MS"/>
          <w:sz w:val="16"/>
          <w:szCs w:val="16"/>
          <w:lang w:val="en-US"/>
        </w:rPr>
        <w:t>paras.</w:t>
      </w:r>
      <w:r w:rsidRPr="00C9465D">
        <w:rPr>
          <w:rFonts w:eastAsia="Arial Unicode MS" w:cs="Arial Unicode MS"/>
          <w:sz w:val="16"/>
          <w:szCs w:val="16"/>
          <w:lang w:val="en-US"/>
        </w:rPr>
        <w:t xml:space="preserve"> 34 </w:t>
      </w:r>
      <w:r w:rsidR="006D60F8" w:rsidRPr="00C9465D">
        <w:rPr>
          <w:rFonts w:eastAsia="Arial Unicode MS" w:cs="Arial Unicode MS"/>
          <w:sz w:val="16"/>
          <w:szCs w:val="16"/>
          <w:lang w:val="en-US"/>
        </w:rPr>
        <w:t>to</w:t>
      </w:r>
      <w:r w:rsidRPr="00C9465D">
        <w:rPr>
          <w:rFonts w:eastAsia="Arial Unicode MS" w:cs="Arial Unicode MS"/>
          <w:sz w:val="16"/>
          <w:szCs w:val="16"/>
          <w:lang w:val="en-US"/>
        </w:rPr>
        <w:t xml:space="preserve"> 37; </w:t>
      </w:r>
      <w:r w:rsidR="00D8466F" w:rsidRPr="00C9465D">
        <w:rPr>
          <w:rFonts w:cs="Arial Unicode MS"/>
          <w:bCs/>
          <w:i/>
          <w:sz w:val="16"/>
          <w:szCs w:val="16"/>
          <w:lang w:val="en-US"/>
        </w:rPr>
        <w:t>Case of</w:t>
      </w:r>
      <w:r w:rsidRPr="00C9465D">
        <w:rPr>
          <w:rFonts w:cs="Arial Unicode MS"/>
          <w:bCs/>
          <w:i/>
          <w:sz w:val="16"/>
          <w:szCs w:val="16"/>
          <w:lang w:val="en-US"/>
        </w:rPr>
        <w:t xml:space="preserve"> </w:t>
      </w:r>
      <w:r w:rsidR="009B4E86" w:rsidRPr="00C9465D">
        <w:rPr>
          <w:rFonts w:cs="Arial Unicode MS"/>
          <w:bCs/>
          <w:i/>
          <w:sz w:val="16"/>
          <w:szCs w:val="16"/>
          <w:lang w:val="en-US"/>
        </w:rPr>
        <w:t>the National Association of Discharged and Retired Employees of the National Tax Administration Superintendence</w:t>
      </w:r>
      <w:r w:rsidRPr="00C9465D">
        <w:rPr>
          <w:rFonts w:cs="Arial Unicode MS"/>
          <w:bCs/>
          <w:i/>
          <w:sz w:val="16"/>
          <w:szCs w:val="16"/>
          <w:lang w:val="en-US"/>
        </w:rPr>
        <w:t xml:space="preserve"> (ANCEJUB-SUNAT) </w:t>
      </w:r>
      <w:r w:rsidR="00193CBB" w:rsidRPr="00C9465D">
        <w:rPr>
          <w:rFonts w:cs="Arial Unicode MS"/>
          <w:bCs/>
          <w:i/>
          <w:sz w:val="16"/>
          <w:szCs w:val="16"/>
          <w:lang w:val="en-US"/>
        </w:rPr>
        <w:t>v.</w:t>
      </w:r>
      <w:r w:rsidRPr="00C9465D">
        <w:rPr>
          <w:rFonts w:cs="Arial Unicode MS"/>
          <w:bCs/>
          <w:i/>
          <w:sz w:val="16"/>
          <w:szCs w:val="16"/>
          <w:lang w:val="en-US"/>
        </w:rPr>
        <w:t xml:space="preserve"> </w:t>
      </w:r>
      <w:r w:rsidR="001902D2" w:rsidRPr="00C9465D">
        <w:rPr>
          <w:rFonts w:cs="Arial Unicode MS"/>
          <w:bCs/>
          <w:i/>
          <w:sz w:val="16"/>
          <w:szCs w:val="16"/>
          <w:lang w:val="en-US"/>
        </w:rPr>
        <w:t>Peru</w:t>
      </w:r>
      <w:r w:rsidRPr="00C9465D">
        <w:rPr>
          <w:rFonts w:cs="Arial Unicode MS"/>
          <w:bCs/>
          <w:i/>
          <w:sz w:val="16"/>
          <w:szCs w:val="16"/>
          <w:lang w:val="en-US"/>
        </w:rPr>
        <w:t xml:space="preserve">. </w:t>
      </w:r>
      <w:r w:rsidR="00D8466F" w:rsidRPr="00C9465D">
        <w:rPr>
          <w:rFonts w:cs="Arial Unicode MS"/>
          <w:bCs/>
          <w:i/>
          <w:sz w:val="16"/>
          <w:szCs w:val="16"/>
          <w:lang w:val="en-US"/>
        </w:rPr>
        <w:t>Preliminary objections, merits</w:t>
      </w:r>
      <w:r w:rsidR="00193CBB" w:rsidRPr="00C9465D">
        <w:rPr>
          <w:rFonts w:cs="Arial Unicode MS"/>
          <w:bCs/>
          <w:i/>
          <w:sz w:val="16"/>
          <w:szCs w:val="16"/>
          <w:lang w:val="en-US"/>
        </w:rPr>
        <w:t>, reparations and costs</w:t>
      </w:r>
      <w:r w:rsidRPr="00C9465D">
        <w:rPr>
          <w:rFonts w:cs="Arial Unicode MS"/>
          <w:bCs/>
          <w:sz w:val="16"/>
          <w:szCs w:val="16"/>
          <w:lang w:val="en-US"/>
        </w:rPr>
        <w:t xml:space="preserve">. </w:t>
      </w:r>
      <w:r w:rsidR="00D8466F" w:rsidRPr="00C9465D">
        <w:rPr>
          <w:rFonts w:cs="Arial Unicode MS"/>
          <w:bCs/>
          <w:sz w:val="16"/>
          <w:szCs w:val="16"/>
          <w:lang w:val="en-US"/>
        </w:rPr>
        <w:t>Judgment of</w:t>
      </w:r>
      <w:r w:rsidRPr="00C9465D">
        <w:rPr>
          <w:rFonts w:cs="Arial Unicode MS"/>
          <w:bCs/>
          <w:sz w:val="16"/>
          <w:szCs w:val="16"/>
          <w:lang w:val="en-US"/>
        </w:rPr>
        <w:t xml:space="preserve"> </w:t>
      </w:r>
      <w:r w:rsidR="009B4E86" w:rsidRPr="00C9465D">
        <w:rPr>
          <w:rFonts w:cs="Arial Unicode MS"/>
          <w:bCs/>
          <w:sz w:val="16"/>
          <w:szCs w:val="16"/>
          <w:lang w:val="en-US"/>
        </w:rPr>
        <w:t>November 21,</w:t>
      </w:r>
      <w:r w:rsidRPr="00C9465D">
        <w:rPr>
          <w:rFonts w:cs="Arial Unicode MS"/>
          <w:bCs/>
          <w:sz w:val="16"/>
          <w:szCs w:val="16"/>
          <w:lang w:val="en-US"/>
        </w:rPr>
        <w:t xml:space="preserve"> 2019. </w:t>
      </w:r>
      <w:r w:rsidR="00E2299F" w:rsidRPr="00C9465D">
        <w:rPr>
          <w:rFonts w:cs="Arial Unicode MS"/>
          <w:bCs/>
          <w:sz w:val="16"/>
          <w:szCs w:val="16"/>
          <w:lang w:val="en-US"/>
        </w:rPr>
        <w:t xml:space="preserve">Series </w:t>
      </w:r>
      <w:r w:rsidRPr="00C9465D">
        <w:rPr>
          <w:rFonts w:cs="Arial Unicode MS"/>
          <w:bCs/>
          <w:sz w:val="16"/>
          <w:szCs w:val="16"/>
          <w:lang w:val="en-US"/>
        </w:rPr>
        <w:t>C No. 394,</w:t>
      </w:r>
      <w:r w:rsidRPr="00C9465D">
        <w:rPr>
          <w:rFonts w:cs="Arial Unicode MS"/>
          <w:sz w:val="16"/>
          <w:szCs w:val="16"/>
          <w:lang w:val="en-US"/>
        </w:rPr>
        <w:t xml:space="preserve"> </w:t>
      </w:r>
      <w:r w:rsidR="00D8466F" w:rsidRPr="00C9465D">
        <w:rPr>
          <w:rFonts w:cs="Arial Unicode MS"/>
          <w:sz w:val="16"/>
          <w:szCs w:val="16"/>
          <w:lang w:val="en-US"/>
        </w:rPr>
        <w:t>paras.</w:t>
      </w:r>
      <w:r w:rsidRPr="00C9465D">
        <w:rPr>
          <w:rFonts w:cs="Arial Unicode MS"/>
          <w:sz w:val="16"/>
          <w:szCs w:val="16"/>
          <w:lang w:val="en-US"/>
        </w:rPr>
        <w:t xml:space="preserve"> 33 a</w:t>
      </w:r>
      <w:r w:rsidR="006D60F8" w:rsidRPr="00C9465D">
        <w:rPr>
          <w:rFonts w:cs="Arial Unicode MS"/>
          <w:sz w:val="16"/>
          <w:szCs w:val="16"/>
          <w:lang w:val="en-US"/>
        </w:rPr>
        <w:t>nd</w:t>
      </w:r>
      <w:r w:rsidRPr="00C9465D">
        <w:rPr>
          <w:rFonts w:cs="Arial Unicode MS"/>
          <w:sz w:val="16"/>
          <w:szCs w:val="16"/>
          <w:lang w:val="en-US"/>
        </w:rPr>
        <w:t xml:space="preserve"> 34; </w:t>
      </w:r>
      <w:r w:rsidR="00D8466F" w:rsidRPr="00C9465D">
        <w:rPr>
          <w:rFonts w:cs="Arial Unicode MS"/>
          <w:bCs/>
          <w:i/>
          <w:sz w:val="16"/>
          <w:szCs w:val="16"/>
          <w:lang w:val="en-US"/>
        </w:rPr>
        <w:t>Case of</w:t>
      </w:r>
      <w:r w:rsidRPr="00C9465D">
        <w:rPr>
          <w:rFonts w:cs="Arial Unicode MS"/>
          <w:bCs/>
          <w:i/>
          <w:sz w:val="16"/>
          <w:szCs w:val="16"/>
          <w:lang w:val="en-US"/>
        </w:rPr>
        <w:t xml:space="preserve"> Hernández </w:t>
      </w:r>
      <w:r w:rsidR="00193CBB" w:rsidRPr="00C9465D">
        <w:rPr>
          <w:rFonts w:cs="Arial Unicode MS"/>
          <w:bCs/>
          <w:i/>
          <w:sz w:val="16"/>
          <w:szCs w:val="16"/>
          <w:lang w:val="en-US"/>
        </w:rPr>
        <w:t>v.</w:t>
      </w:r>
      <w:r w:rsidRPr="00C9465D">
        <w:rPr>
          <w:rFonts w:cs="Arial Unicode MS"/>
          <w:bCs/>
          <w:i/>
          <w:sz w:val="16"/>
          <w:szCs w:val="16"/>
          <w:lang w:val="en-US"/>
        </w:rPr>
        <w:t xml:space="preserve"> Argentina. </w:t>
      </w:r>
      <w:r w:rsidR="00D8466F" w:rsidRPr="00C9465D">
        <w:rPr>
          <w:rFonts w:cs="Arial Unicode MS"/>
          <w:bCs/>
          <w:i/>
          <w:sz w:val="16"/>
          <w:szCs w:val="16"/>
          <w:lang w:val="en-US"/>
        </w:rPr>
        <w:t>Preliminary objection, merits</w:t>
      </w:r>
      <w:r w:rsidR="00193CBB" w:rsidRPr="00C9465D">
        <w:rPr>
          <w:rFonts w:cs="Arial Unicode MS"/>
          <w:bCs/>
          <w:i/>
          <w:sz w:val="16"/>
          <w:szCs w:val="16"/>
          <w:lang w:val="en-US"/>
        </w:rPr>
        <w:t>, reparations and costs</w:t>
      </w:r>
      <w:r w:rsidRPr="00C9465D">
        <w:rPr>
          <w:rFonts w:cs="Arial Unicode MS"/>
          <w:bCs/>
          <w:sz w:val="16"/>
          <w:szCs w:val="16"/>
          <w:lang w:val="en-US"/>
        </w:rPr>
        <w:t xml:space="preserve">. </w:t>
      </w:r>
      <w:r w:rsidR="00D8466F" w:rsidRPr="00C9465D">
        <w:rPr>
          <w:rFonts w:cs="Arial Unicode MS"/>
          <w:bCs/>
          <w:sz w:val="16"/>
          <w:szCs w:val="16"/>
          <w:lang w:val="en-US"/>
        </w:rPr>
        <w:t>Judgment of</w:t>
      </w:r>
      <w:r w:rsidRPr="00C9465D">
        <w:rPr>
          <w:rFonts w:cs="Arial Unicode MS"/>
          <w:bCs/>
          <w:sz w:val="16"/>
          <w:szCs w:val="16"/>
          <w:lang w:val="en-US"/>
        </w:rPr>
        <w:t xml:space="preserve"> </w:t>
      </w:r>
      <w:r w:rsidR="00153C9F" w:rsidRPr="00C9465D">
        <w:rPr>
          <w:rFonts w:cs="Arial Unicode MS"/>
          <w:bCs/>
          <w:sz w:val="16"/>
          <w:szCs w:val="16"/>
          <w:lang w:val="en-US"/>
        </w:rPr>
        <w:t xml:space="preserve">November </w:t>
      </w:r>
      <w:r w:rsidR="006D60F8" w:rsidRPr="00C9465D">
        <w:rPr>
          <w:rFonts w:cs="Arial Unicode MS"/>
          <w:bCs/>
          <w:sz w:val="16"/>
          <w:szCs w:val="16"/>
          <w:lang w:val="en-US"/>
        </w:rPr>
        <w:t>2</w:t>
      </w:r>
      <w:r w:rsidR="00153C9F" w:rsidRPr="00C9465D">
        <w:rPr>
          <w:rFonts w:cs="Arial Unicode MS"/>
          <w:bCs/>
          <w:sz w:val="16"/>
          <w:szCs w:val="16"/>
          <w:lang w:val="en-US"/>
        </w:rPr>
        <w:t>2,</w:t>
      </w:r>
      <w:r w:rsidRPr="00C9465D">
        <w:rPr>
          <w:rFonts w:cs="Arial Unicode MS"/>
          <w:bCs/>
          <w:sz w:val="16"/>
          <w:szCs w:val="16"/>
          <w:lang w:val="en-US"/>
        </w:rPr>
        <w:t xml:space="preserve"> 2019. </w:t>
      </w:r>
      <w:r w:rsidR="00E2299F" w:rsidRPr="00C9465D">
        <w:rPr>
          <w:rFonts w:cs="Arial Unicode MS"/>
          <w:bCs/>
          <w:sz w:val="16"/>
          <w:szCs w:val="16"/>
          <w:lang w:val="en-US"/>
        </w:rPr>
        <w:t xml:space="preserve">Series </w:t>
      </w:r>
      <w:r w:rsidRPr="00C9465D">
        <w:rPr>
          <w:rFonts w:cs="Arial Unicode MS"/>
          <w:bCs/>
          <w:sz w:val="16"/>
          <w:szCs w:val="16"/>
          <w:lang w:val="en-US"/>
        </w:rPr>
        <w:t xml:space="preserve">C No. 395, </w:t>
      </w:r>
      <w:r w:rsidR="00D8466F" w:rsidRPr="00C9465D">
        <w:rPr>
          <w:rFonts w:cs="Arial Unicode MS"/>
          <w:bCs/>
          <w:sz w:val="16"/>
          <w:szCs w:val="16"/>
          <w:lang w:val="en-US"/>
        </w:rPr>
        <w:t>para.</w:t>
      </w:r>
      <w:r w:rsidRPr="00C9465D">
        <w:rPr>
          <w:rFonts w:cs="Arial Unicode MS"/>
          <w:bCs/>
          <w:sz w:val="16"/>
          <w:szCs w:val="16"/>
          <w:lang w:val="en-US"/>
        </w:rPr>
        <w:t xml:space="preserve"> 62,</w:t>
      </w:r>
      <w:r w:rsidR="00193CBB" w:rsidRPr="00C9465D">
        <w:rPr>
          <w:rFonts w:cs="Arial Unicode MS"/>
          <w:bCs/>
          <w:sz w:val="16"/>
          <w:szCs w:val="16"/>
          <w:lang w:val="en-US"/>
        </w:rPr>
        <w:t xml:space="preserve"> and </w:t>
      </w:r>
      <w:r w:rsidR="00D8466F" w:rsidRPr="00C9465D">
        <w:rPr>
          <w:rFonts w:cs="Arial Unicode MS"/>
          <w:bCs/>
          <w:i/>
          <w:sz w:val="16"/>
          <w:szCs w:val="16"/>
          <w:lang w:val="en-US"/>
        </w:rPr>
        <w:t xml:space="preserve">Case </w:t>
      </w:r>
      <w:r w:rsidR="00BD26CF" w:rsidRPr="00C9465D">
        <w:rPr>
          <w:rFonts w:cs="Arial Unicode MS"/>
          <w:bCs/>
          <w:i/>
          <w:sz w:val="16"/>
          <w:szCs w:val="16"/>
          <w:lang w:val="en-US"/>
        </w:rPr>
        <w:t>of the Indigenous Communities of the Lhaka Honhat (Our Land) Association</w:t>
      </w:r>
      <w:r w:rsidRPr="00C9465D">
        <w:rPr>
          <w:rFonts w:cs="Arial Unicode MS"/>
          <w:bCs/>
          <w:i/>
          <w:sz w:val="16"/>
          <w:szCs w:val="16"/>
          <w:lang w:val="en-US"/>
        </w:rPr>
        <w:t xml:space="preserve"> </w:t>
      </w:r>
      <w:r w:rsidR="00193CBB" w:rsidRPr="00C9465D">
        <w:rPr>
          <w:rFonts w:cs="Arial Unicode MS"/>
          <w:bCs/>
          <w:i/>
          <w:sz w:val="16"/>
          <w:szCs w:val="16"/>
          <w:lang w:val="en-US"/>
        </w:rPr>
        <w:t>v.</w:t>
      </w:r>
      <w:r w:rsidRPr="00C9465D">
        <w:rPr>
          <w:rFonts w:cs="Arial Unicode MS"/>
          <w:bCs/>
          <w:i/>
          <w:sz w:val="16"/>
          <w:szCs w:val="16"/>
          <w:lang w:val="en-US"/>
        </w:rPr>
        <w:t xml:space="preserve"> Argentina. </w:t>
      </w:r>
      <w:r w:rsidR="00193CBB" w:rsidRPr="00C9465D">
        <w:rPr>
          <w:rFonts w:cs="Arial Unicode MS"/>
          <w:bCs/>
          <w:i/>
          <w:sz w:val="16"/>
          <w:szCs w:val="16"/>
          <w:lang w:val="en-US"/>
        </w:rPr>
        <w:t>Merits, reparations and costs</w:t>
      </w:r>
      <w:r w:rsidRPr="00C9465D">
        <w:rPr>
          <w:rFonts w:cs="Arial Unicode MS"/>
          <w:bCs/>
          <w:sz w:val="16"/>
          <w:szCs w:val="16"/>
          <w:lang w:val="en-US"/>
        </w:rPr>
        <w:t xml:space="preserve">. </w:t>
      </w:r>
      <w:r w:rsidR="00D8466F" w:rsidRPr="00C9465D">
        <w:rPr>
          <w:rFonts w:cs="Arial Unicode MS"/>
          <w:bCs/>
          <w:sz w:val="16"/>
          <w:szCs w:val="16"/>
          <w:lang w:val="en-US"/>
        </w:rPr>
        <w:t>Judgment of</w:t>
      </w:r>
      <w:r w:rsidRPr="00C9465D">
        <w:rPr>
          <w:rFonts w:cs="Arial Unicode MS"/>
          <w:bCs/>
          <w:sz w:val="16"/>
          <w:szCs w:val="16"/>
          <w:lang w:val="en-US"/>
        </w:rPr>
        <w:t xml:space="preserve"> </w:t>
      </w:r>
      <w:r w:rsidR="00BD26CF" w:rsidRPr="00C9465D">
        <w:rPr>
          <w:rFonts w:cs="Arial Unicode MS"/>
          <w:bCs/>
          <w:sz w:val="16"/>
          <w:szCs w:val="16"/>
          <w:lang w:val="en-US"/>
        </w:rPr>
        <w:t>February 6,</w:t>
      </w:r>
      <w:r w:rsidRPr="00C9465D">
        <w:rPr>
          <w:rFonts w:cs="Arial Unicode MS"/>
          <w:bCs/>
          <w:sz w:val="16"/>
          <w:szCs w:val="16"/>
          <w:lang w:val="en-US"/>
        </w:rPr>
        <w:t xml:space="preserve"> 2020. </w:t>
      </w:r>
      <w:r w:rsidR="00E2299F" w:rsidRPr="00C9465D">
        <w:rPr>
          <w:rFonts w:cs="Arial Unicode MS"/>
          <w:bCs/>
          <w:sz w:val="16"/>
          <w:szCs w:val="16"/>
          <w:lang w:val="en-US"/>
        </w:rPr>
        <w:t xml:space="preserve">Series </w:t>
      </w:r>
      <w:r w:rsidRPr="00C9465D">
        <w:rPr>
          <w:rFonts w:cs="Arial Unicode MS"/>
          <w:bCs/>
          <w:sz w:val="16"/>
          <w:szCs w:val="16"/>
          <w:lang w:val="en-US"/>
        </w:rPr>
        <w:t xml:space="preserve">C No. 400, </w:t>
      </w:r>
      <w:r w:rsidR="00D8466F" w:rsidRPr="00C9465D">
        <w:rPr>
          <w:rFonts w:cs="Arial Unicode MS"/>
          <w:bCs/>
          <w:sz w:val="16"/>
          <w:szCs w:val="16"/>
          <w:lang w:val="en-US"/>
        </w:rPr>
        <w:t>para.</w:t>
      </w:r>
      <w:r w:rsidRPr="00C9465D">
        <w:rPr>
          <w:rFonts w:cs="Arial Unicode MS"/>
          <w:bCs/>
          <w:sz w:val="16"/>
          <w:szCs w:val="16"/>
          <w:lang w:val="en-US"/>
        </w:rPr>
        <w:t xml:space="preserve"> 195.</w:t>
      </w:r>
    </w:p>
  </w:footnote>
  <w:footnote w:id="491">
    <w:p w14:paraId="0AEB2B07" w14:textId="48F2E320" w:rsidR="00F4157D" w:rsidRPr="00C9465D" w:rsidRDefault="00F4157D" w:rsidP="00BD26CF">
      <w:pPr>
        <w:pStyle w:val="FootnoteText"/>
        <w:tabs>
          <w:tab w:val="left" w:pos="567"/>
        </w:tabs>
        <w:spacing w:after="120"/>
        <w:rPr>
          <w:rFonts w:eastAsia="Times New Roman" w:cs="Times New Roman"/>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6D60F8" w:rsidRPr="00C9465D">
        <w:rPr>
          <w:rFonts w:eastAsia="Times New Roman" w:cs="Times New Roman"/>
          <w:sz w:val="16"/>
          <w:szCs w:val="16"/>
          <w:lang w:val="en-US"/>
        </w:rPr>
        <w:t>Concurring opinion</w:t>
      </w:r>
      <w:r w:rsidR="00D750CC" w:rsidRPr="00C9465D">
        <w:rPr>
          <w:rFonts w:eastAsia="Times New Roman" w:cs="Times New Roman"/>
          <w:sz w:val="16"/>
          <w:szCs w:val="16"/>
          <w:lang w:val="en-US"/>
        </w:rPr>
        <w:t>s</w:t>
      </w:r>
      <w:r w:rsidRPr="00C9465D">
        <w:rPr>
          <w:rFonts w:eastAsia="Times New Roman" w:cs="Times New Roman"/>
          <w:sz w:val="16"/>
          <w:szCs w:val="16"/>
          <w:lang w:val="en-US"/>
        </w:rPr>
        <w:t xml:space="preserve"> </w:t>
      </w:r>
      <w:r w:rsidR="00D750CC" w:rsidRPr="00C9465D">
        <w:rPr>
          <w:rFonts w:eastAsia="Times New Roman" w:cs="Times New Roman"/>
          <w:sz w:val="16"/>
          <w:szCs w:val="16"/>
          <w:lang w:val="en-US"/>
        </w:rPr>
        <w:t>to the judgment of</w:t>
      </w:r>
      <w:r w:rsidRPr="00C9465D">
        <w:rPr>
          <w:rFonts w:eastAsia="Times New Roman" w:cs="Times New Roman"/>
          <w:sz w:val="16"/>
          <w:szCs w:val="16"/>
          <w:lang w:val="en-US"/>
        </w:rPr>
        <w:t xml:space="preserve"> </w:t>
      </w:r>
      <w:r w:rsidR="009B4E86" w:rsidRPr="00C9465D">
        <w:rPr>
          <w:rFonts w:eastAsia="Times New Roman" w:cs="Times New Roman"/>
          <w:sz w:val="16"/>
          <w:szCs w:val="16"/>
          <w:lang w:val="en-US"/>
        </w:rPr>
        <w:t>November 21,</w:t>
      </w:r>
      <w:r w:rsidRPr="00C9465D">
        <w:rPr>
          <w:rFonts w:eastAsia="Times New Roman" w:cs="Times New Roman"/>
          <w:sz w:val="16"/>
          <w:szCs w:val="16"/>
          <w:lang w:val="en-US"/>
        </w:rPr>
        <w:t xml:space="preserve"> 2019</w:t>
      </w:r>
      <w:r w:rsidR="00D750CC" w:rsidRPr="00C9465D">
        <w:rPr>
          <w:rFonts w:eastAsia="Times New Roman" w:cs="Times New Roman"/>
          <w:sz w:val="16"/>
          <w:szCs w:val="16"/>
          <w:lang w:val="en-US"/>
        </w:rPr>
        <w:t xml:space="preserve">, in the </w:t>
      </w:r>
      <w:r w:rsidR="009B4E86" w:rsidRPr="00C9465D">
        <w:rPr>
          <w:rFonts w:eastAsia="Times New Roman" w:cs="Times New Roman"/>
          <w:i/>
          <w:iCs/>
          <w:sz w:val="16"/>
          <w:szCs w:val="16"/>
          <w:lang w:val="en-US"/>
        </w:rPr>
        <w:t>Case of the National Association of Discharged and Retired Employees of the National Tax Administration Superintendence</w:t>
      </w:r>
      <w:r w:rsidRPr="00C9465D">
        <w:rPr>
          <w:rFonts w:eastAsia="Times New Roman" w:cs="Times New Roman"/>
          <w:i/>
          <w:iCs/>
          <w:sz w:val="16"/>
          <w:szCs w:val="16"/>
          <w:lang w:val="en-US"/>
        </w:rPr>
        <w:t xml:space="preserve"> (</w:t>
      </w:r>
      <w:r w:rsidR="00D750CC" w:rsidRPr="00C9465D">
        <w:rPr>
          <w:rFonts w:eastAsia="Times New Roman" w:cs="Times New Roman"/>
          <w:i/>
          <w:iCs/>
          <w:sz w:val="16"/>
          <w:szCs w:val="16"/>
          <w:lang w:val="en-US"/>
        </w:rPr>
        <w:t>ANCEJUB-SUNAT</w:t>
      </w:r>
      <w:r w:rsidRPr="00C9465D">
        <w:rPr>
          <w:rFonts w:eastAsia="Times New Roman" w:cs="Times New Roman"/>
          <w:i/>
          <w:iCs/>
          <w:sz w:val="16"/>
          <w:szCs w:val="16"/>
          <w:lang w:val="en-US"/>
        </w:rPr>
        <w:t xml:space="preserve">) </w:t>
      </w:r>
      <w:r w:rsidR="00193CBB" w:rsidRPr="00C9465D">
        <w:rPr>
          <w:rFonts w:eastAsia="Times New Roman" w:cs="Times New Roman"/>
          <w:i/>
          <w:iCs/>
          <w:sz w:val="16"/>
          <w:szCs w:val="16"/>
          <w:lang w:val="en-US"/>
        </w:rPr>
        <w:t>v.</w:t>
      </w:r>
      <w:r w:rsidRPr="00C9465D">
        <w:rPr>
          <w:rFonts w:eastAsia="Times New Roman" w:cs="Times New Roman"/>
          <w:i/>
          <w:iCs/>
          <w:sz w:val="16"/>
          <w:szCs w:val="16"/>
          <w:lang w:val="en-US"/>
        </w:rPr>
        <w:t xml:space="preserve"> </w:t>
      </w:r>
      <w:r w:rsidR="001902D2" w:rsidRPr="00C9465D">
        <w:rPr>
          <w:rFonts w:eastAsia="Times New Roman" w:cs="Times New Roman"/>
          <w:i/>
          <w:iCs/>
          <w:sz w:val="16"/>
          <w:szCs w:val="16"/>
          <w:lang w:val="en-US"/>
        </w:rPr>
        <w:t>Peru</w:t>
      </w:r>
      <w:r w:rsidRPr="00C9465D">
        <w:rPr>
          <w:rFonts w:eastAsia="Times New Roman" w:cs="Times New Roman"/>
          <w:sz w:val="16"/>
          <w:szCs w:val="16"/>
          <w:lang w:val="en-US"/>
        </w:rPr>
        <w:t xml:space="preserve">; </w:t>
      </w:r>
      <w:r w:rsidR="00D750CC" w:rsidRPr="00C9465D">
        <w:rPr>
          <w:rFonts w:eastAsia="Times New Roman" w:cs="Times New Roman"/>
          <w:sz w:val="16"/>
          <w:szCs w:val="16"/>
          <w:lang w:val="en-US"/>
        </w:rPr>
        <w:t xml:space="preserve">to the judgment of </w:t>
      </w:r>
      <w:r w:rsidR="00153C9F" w:rsidRPr="00C9465D">
        <w:rPr>
          <w:rFonts w:eastAsia="Times New Roman" w:cs="Times New Roman"/>
          <w:sz w:val="16"/>
          <w:szCs w:val="16"/>
          <w:lang w:val="en-US"/>
        </w:rPr>
        <w:t xml:space="preserve">November </w:t>
      </w:r>
      <w:r w:rsidR="00D750CC" w:rsidRPr="00C9465D">
        <w:rPr>
          <w:rFonts w:eastAsia="Times New Roman" w:cs="Times New Roman"/>
          <w:sz w:val="16"/>
          <w:szCs w:val="16"/>
          <w:lang w:val="en-US"/>
        </w:rPr>
        <w:t>2</w:t>
      </w:r>
      <w:r w:rsidR="00153C9F" w:rsidRPr="00C9465D">
        <w:rPr>
          <w:rFonts w:eastAsia="Times New Roman" w:cs="Times New Roman"/>
          <w:sz w:val="16"/>
          <w:szCs w:val="16"/>
          <w:lang w:val="en-US"/>
        </w:rPr>
        <w:t>2,</w:t>
      </w:r>
      <w:r w:rsidRPr="00C9465D">
        <w:rPr>
          <w:rFonts w:eastAsia="Times New Roman" w:cs="Times New Roman"/>
          <w:sz w:val="16"/>
          <w:szCs w:val="16"/>
          <w:lang w:val="en-US"/>
        </w:rPr>
        <w:t xml:space="preserve"> 2019</w:t>
      </w:r>
      <w:r w:rsidR="00D750CC" w:rsidRPr="00C9465D">
        <w:rPr>
          <w:rFonts w:eastAsia="Times New Roman" w:cs="Times New Roman"/>
          <w:sz w:val="16"/>
          <w:szCs w:val="16"/>
          <w:lang w:val="en-US"/>
        </w:rPr>
        <w:t xml:space="preserve">, in the case of </w:t>
      </w:r>
      <w:r w:rsidRPr="00C9465D">
        <w:rPr>
          <w:rFonts w:eastAsia="Times New Roman" w:cs="Times New Roman"/>
          <w:sz w:val="16"/>
          <w:szCs w:val="16"/>
          <w:lang w:val="en-US"/>
        </w:rPr>
        <w:t xml:space="preserve">Hernández </w:t>
      </w:r>
      <w:r w:rsidR="00193CBB" w:rsidRPr="00C9465D">
        <w:rPr>
          <w:rFonts w:eastAsia="Times New Roman" w:cs="Times New Roman"/>
          <w:sz w:val="16"/>
          <w:szCs w:val="16"/>
          <w:lang w:val="en-US"/>
        </w:rPr>
        <w:t>v.</w:t>
      </w:r>
      <w:r w:rsidRPr="00C9465D">
        <w:rPr>
          <w:rFonts w:eastAsia="Times New Roman" w:cs="Times New Roman"/>
          <w:sz w:val="16"/>
          <w:szCs w:val="16"/>
          <w:lang w:val="en-US"/>
        </w:rPr>
        <w:t xml:space="preserve"> Argentina</w:t>
      </w:r>
      <w:r w:rsidR="00D750CC" w:rsidRPr="00C9465D">
        <w:rPr>
          <w:rFonts w:eastAsia="Times New Roman" w:cs="Times New Roman"/>
          <w:sz w:val="16"/>
          <w:szCs w:val="16"/>
          <w:lang w:val="en-US"/>
        </w:rPr>
        <w:t>; to the judgment of February 6, 2020, in the</w:t>
      </w:r>
      <w:r w:rsidRPr="00C9465D">
        <w:rPr>
          <w:rFonts w:eastAsia="Times New Roman" w:cs="Times New Roman"/>
          <w:sz w:val="16"/>
          <w:szCs w:val="16"/>
          <w:lang w:val="en-US"/>
        </w:rPr>
        <w:t xml:space="preserve"> </w:t>
      </w:r>
      <w:r w:rsidR="00D8466F" w:rsidRPr="00C9465D">
        <w:rPr>
          <w:i/>
          <w:iCs/>
          <w:sz w:val="16"/>
          <w:szCs w:val="16"/>
          <w:lang w:val="en-US"/>
        </w:rPr>
        <w:t xml:space="preserve">Case </w:t>
      </w:r>
      <w:r w:rsidR="00BD26CF" w:rsidRPr="00C9465D">
        <w:rPr>
          <w:i/>
          <w:iCs/>
          <w:sz w:val="16"/>
          <w:szCs w:val="16"/>
          <w:lang w:val="en-US"/>
        </w:rPr>
        <w:t>of the Indigenous Communities of the Lhaka Honhat (Our Land) Association</w:t>
      </w:r>
      <w:r w:rsidRPr="00C9465D">
        <w:rPr>
          <w:i/>
          <w:iCs/>
          <w:sz w:val="16"/>
          <w:szCs w:val="16"/>
          <w:lang w:val="en-US"/>
        </w:rPr>
        <w:t xml:space="preserve"> </w:t>
      </w:r>
      <w:r w:rsidR="00193CBB" w:rsidRPr="00C9465D">
        <w:rPr>
          <w:i/>
          <w:iCs/>
          <w:sz w:val="16"/>
          <w:szCs w:val="16"/>
          <w:lang w:val="en-US"/>
        </w:rPr>
        <w:t>v.</w:t>
      </w:r>
      <w:r w:rsidRPr="00C9465D">
        <w:rPr>
          <w:i/>
          <w:iCs/>
          <w:sz w:val="16"/>
          <w:szCs w:val="16"/>
          <w:lang w:val="en-US"/>
        </w:rPr>
        <w:t xml:space="preserve"> Argentina</w:t>
      </w:r>
      <w:r w:rsidR="00193CBB" w:rsidRPr="00C9465D">
        <w:rPr>
          <w:i/>
          <w:iCs/>
          <w:sz w:val="16"/>
          <w:szCs w:val="16"/>
          <w:lang w:val="en-US"/>
        </w:rPr>
        <w:t xml:space="preserve"> </w:t>
      </w:r>
      <w:r w:rsidR="00193CBB" w:rsidRPr="00C9465D">
        <w:rPr>
          <w:sz w:val="16"/>
          <w:szCs w:val="16"/>
          <w:lang w:val="en-US"/>
        </w:rPr>
        <w:t>and</w:t>
      </w:r>
      <w:r w:rsidR="00D750CC" w:rsidRPr="00C9465D">
        <w:rPr>
          <w:sz w:val="16"/>
          <w:szCs w:val="16"/>
          <w:lang w:val="en-US"/>
        </w:rPr>
        <w:t xml:space="preserve"> </w:t>
      </w:r>
      <w:r w:rsidR="00D750CC" w:rsidRPr="00C9465D">
        <w:rPr>
          <w:rFonts w:eastAsia="Times New Roman" w:cs="Times New Roman"/>
          <w:sz w:val="16"/>
          <w:szCs w:val="16"/>
          <w:lang w:val="en-US"/>
        </w:rPr>
        <w:t>to the judgment of</w:t>
      </w:r>
      <w:r w:rsidR="00193CBB" w:rsidRPr="00C9465D">
        <w:rPr>
          <w:sz w:val="16"/>
          <w:szCs w:val="16"/>
          <w:lang w:val="en-US"/>
        </w:rPr>
        <w:t xml:space="preserve"> </w:t>
      </w:r>
      <w:r w:rsidR="00D750CC" w:rsidRPr="00C9465D">
        <w:rPr>
          <w:sz w:val="16"/>
          <w:szCs w:val="16"/>
          <w:lang w:val="en-US"/>
        </w:rPr>
        <w:t xml:space="preserve">July 15, </w:t>
      </w:r>
      <w:r w:rsidRPr="00C9465D">
        <w:rPr>
          <w:sz w:val="16"/>
          <w:szCs w:val="16"/>
          <w:lang w:val="en-US"/>
        </w:rPr>
        <w:t>2020</w:t>
      </w:r>
      <w:r w:rsidR="00D750CC" w:rsidRPr="00C9465D">
        <w:rPr>
          <w:sz w:val="16"/>
          <w:szCs w:val="16"/>
          <w:lang w:val="en-US"/>
        </w:rPr>
        <w:t xml:space="preserve">, in the </w:t>
      </w:r>
      <w:r w:rsidR="00D750CC" w:rsidRPr="00C9465D">
        <w:rPr>
          <w:i/>
          <w:iCs/>
          <w:sz w:val="16"/>
          <w:szCs w:val="16"/>
          <w:lang w:val="en-US"/>
        </w:rPr>
        <w:t xml:space="preserve">Case of </w:t>
      </w:r>
      <w:r w:rsidR="00136DD9" w:rsidRPr="00C9465D">
        <w:rPr>
          <w:i/>
          <w:iCs/>
          <w:sz w:val="16"/>
          <w:szCs w:val="16"/>
          <w:lang w:val="en-US"/>
        </w:rPr>
        <w:t xml:space="preserve">the Workers of the Fireworks Factory </w:t>
      </w:r>
      <w:r w:rsidR="00D750CC" w:rsidRPr="00C9465D">
        <w:rPr>
          <w:i/>
          <w:iCs/>
          <w:sz w:val="16"/>
          <w:szCs w:val="16"/>
          <w:lang w:val="en-US"/>
        </w:rPr>
        <w:t>of</w:t>
      </w:r>
      <w:r w:rsidRPr="00C9465D">
        <w:rPr>
          <w:i/>
          <w:iCs/>
          <w:sz w:val="16"/>
          <w:szCs w:val="16"/>
          <w:lang w:val="en-US"/>
        </w:rPr>
        <w:t xml:space="preserve"> Santo Antonio de Jesús</w:t>
      </w:r>
      <w:r w:rsidR="00193CBB" w:rsidRPr="00C9465D">
        <w:rPr>
          <w:i/>
          <w:iCs/>
          <w:sz w:val="16"/>
          <w:szCs w:val="16"/>
          <w:lang w:val="en-US"/>
        </w:rPr>
        <w:t xml:space="preserve"> and </w:t>
      </w:r>
      <w:r w:rsidR="00D750CC" w:rsidRPr="00C9465D">
        <w:rPr>
          <w:i/>
          <w:iCs/>
          <w:sz w:val="16"/>
          <w:szCs w:val="16"/>
          <w:lang w:val="en-US"/>
        </w:rPr>
        <w:t>their families</w:t>
      </w:r>
      <w:r w:rsidRPr="00C9465D">
        <w:rPr>
          <w:i/>
          <w:iCs/>
          <w:sz w:val="16"/>
          <w:szCs w:val="16"/>
          <w:lang w:val="en-US"/>
        </w:rPr>
        <w:t xml:space="preserve"> </w:t>
      </w:r>
      <w:r w:rsidR="00193CBB" w:rsidRPr="00C9465D">
        <w:rPr>
          <w:i/>
          <w:iCs/>
          <w:sz w:val="16"/>
          <w:szCs w:val="16"/>
          <w:lang w:val="en-US"/>
        </w:rPr>
        <w:t>v.</w:t>
      </w:r>
      <w:r w:rsidRPr="00C9465D">
        <w:rPr>
          <w:i/>
          <w:iCs/>
          <w:sz w:val="16"/>
          <w:szCs w:val="16"/>
          <w:lang w:val="en-US"/>
        </w:rPr>
        <w:t xml:space="preserve"> </w:t>
      </w:r>
      <w:r w:rsidR="00FA5261" w:rsidRPr="00C9465D">
        <w:rPr>
          <w:i/>
          <w:iCs/>
          <w:sz w:val="16"/>
          <w:szCs w:val="16"/>
          <w:lang w:val="en-US"/>
        </w:rPr>
        <w:t>Brazil</w:t>
      </w:r>
      <w:r w:rsidRPr="00C9465D">
        <w:rPr>
          <w:i/>
          <w:iCs/>
          <w:sz w:val="16"/>
          <w:szCs w:val="16"/>
          <w:lang w:val="en-US"/>
        </w:rPr>
        <w:t>.</w:t>
      </w:r>
    </w:p>
    <w:p w14:paraId="7ADE56EC" w14:textId="77777777" w:rsidR="00F4157D" w:rsidRPr="00C9465D" w:rsidRDefault="00F4157D" w:rsidP="00BD26CF">
      <w:pPr>
        <w:pStyle w:val="FootnoteText"/>
        <w:tabs>
          <w:tab w:val="left" w:pos="567"/>
        </w:tabs>
        <w:spacing w:after="120"/>
        <w:rPr>
          <w:rFonts w:eastAsia="Times New Roman" w:cs="Times New Roman"/>
          <w:sz w:val="16"/>
          <w:szCs w:val="16"/>
          <w:lang w:val="en-US"/>
        </w:rPr>
      </w:pPr>
    </w:p>
  </w:footnote>
  <w:footnote w:id="492">
    <w:p w14:paraId="3EB9A275" w14:textId="1C1608C0" w:rsidR="00F4157D" w:rsidRPr="00C9465D" w:rsidRDefault="00F4157D"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i/>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Ximenes Lopes </w:t>
      </w:r>
      <w:r w:rsidR="00193CBB" w:rsidRPr="00C9465D">
        <w:rPr>
          <w:i/>
          <w:sz w:val="16"/>
          <w:szCs w:val="16"/>
          <w:lang w:val="en-US"/>
        </w:rPr>
        <w:t>v.</w:t>
      </w:r>
      <w:r w:rsidRPr="00C9465D">
        <w:rPr>
          <w:i/>
          <w:sz w:val="16"/>
          <w:szCs w:val="16"/>
          <w:lang w:val="en-US"/>
        </w:rPr>
        <w:t xml:space="preserve"> </w:t>
      </w:r>
      <w:r w:rsidR="00FA5261" w:rsidRPr="00C9465D">
        <w:rPr>
          <w:i/>
          <w:sz w:val="16"/>
          <w:szCs w:val="16"/>
          <w:lang w:val="en-US"/>
        </w:rPr>
        <w:t>Brazil</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491E2E" w:rsidRPr="00C9465D">
        <w:rPr>
          <w:sz w:val="16"/>
          <w:szCs w:val="16"/>
          <w:lang w:val="en-US"/>
        </w:rPr>
        <w:t>July 4,</w:t>
      </w:r>
      <w:r w:rsidRPr="00C9465D">
        <w:rPr>
          <w:sz w:val="16"/>
          <w:szCs w:val="16"/>
          <w:lang w:val="en-US"/>
        </w:rPr>
        <w:t xml:space="preserve"> 2006. </w:t>
      </w:r>
      <w:r w:rsidR="00E2299F" w:rsidRPr="00C9465D">
        <w:rPr>
          <w:sz w:val="16"/>
          <w:szCs w:val="16"/>
          <w:lang w:val="en-US"/>
        </w:rPr>
        <w:t xml:space="preserve">Series </w:t>
      </w:r>
      <w:r w:rsidRPr="00C9465D">
        <w:rPr>
          <w:sz w:val="16"/>
          <w:szCs w:val="16"/>
          <w:lang w:val="en-US"/>
        </w:rPr>
        <w:t>C No. 149</w:t>
      </w:r>
      <w:r w:rsidRPr="00C9465D">
        <w:rPr>
          <w:i/>
          <w:sz w:val="16"/>
          <w:szCs w:val="16"/>
          <w:lang w:val="en-US"/>
        </w:rPr>
        <w:t>,</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108.</w:t>
      </w:r>
    </w:p>
  </w:footnote>
  <w:footnote w:id="493">
    <w:p w14:paraId="57B70769" w14:textId="77777777" w:rsidR="005A6367" w:rsidRPr="00C9465D" w:rsidRDefault="00F4157D" w:rsidP="005A6367">
      <w:pPr>
        <w:pStyle w:val="FootnoteText"/>
        <w:tabs>
          <w:tab w:val="left" w:pos="567"/>
        </w:tabs>
        <w:rPr>
          <w:rFonts w:cs="Times New Roman"/>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Pr="00C9465D">
        <w:rPr>
          <w:rFonts w:cs="Times New Roman"/>
          <w:sz w:val="16"/>
          <w:szCs w:val="16"/>
          <w:lang w:val="en-US"/>
        </w:rPr>
        <w:t xml:space="preserve">Kimberle Crenshaw, </w:t>
      </w:r>
      <w:r w:rsidR="00911871" w:rsidRPr="00C9465D">
        <w:rPr>
          <w:rFonts w:cs="Times New Roman"/>
          <w:sz w:val="16"/>
          <w:szCs w:val="16"/>
          <w:lang w:val="en-US"/>
        </w:rPr>
        <w:t>“</w:t>
      </w:r>
      <w:r w:rsidRPr="00C9465D">
        <w:rPr>
          <w:rFonts w:cs="Times New Roman"/>
          <w:sz w:val="16"/>
          <w:szCs w:val="16"/>
          <w:lang w:val="en-US"/>
        </w:rPr>
        <w:t>Demarginalizing the Intersection of Race and Sex: A Black Feminist Critique of Antidiscrimination Doctrine, Feminist Theory and Antiracist Politics</w:t>
      </w:r>
      <w:r w:rsidR="00911871" w:rsidRPr="00C9465D">
        <w:rPr>
          <w:rFonts w:cs="Times New Roman"/>
          <w:sz w:val="16"/>
          <w:szCs w:val="16"/>
          <w:lang w:val="en-US"/>
        </w:rPr>
        <w:t>,”</w:t>
      </w:r>
      <w:r w:rsidRPr="00C9465D">
        <w:rPr>
          <w:rFonts w:cs="Times New Roman"/>
          <w:sz w:val="16"/>
          <w:szCs w:val="16"/>
          <w:lang w:val="en-US"/>
        </w:rPr>
        <w:t xml:space="preserve"> </w:t>
      </w:r>
      <w:r w:rsidRPr="00C9465D">
        <w:rPr>
          <w:rFonts w:cs="Times New Roman"/>
          <w:iCs/>
          <w:sz w:val="16"/>
          <w:szCs w:val="16"/>
          <w:lang w:val="en-US"/>
        </w:rPr>
        <w:t>University of Chicago Legal Forum</w:t>
      </w:r>
      <w:r w:rsidRPr="00C9465D">
        <w:rPr>
          <w:rFonts w:cs="Times New Roman"/>
          <w:sz w:val="16"/>
          <w:szCs w:val="16"/>
          <w:lang w:val="en-US"/>
        </w:rPr>
        <w:t xml:space="preserve"> 1, </w:t>
      </w:r>
      <w:r w:rsidR="00911871" w:rsidRPr="00C9465D">
        <w:rPr>
          <w:rFonts w:cs="Times New Roman"/>
          <w:sz w:val="16"/>
          <w:szCs w:val="16"/>
          <w:lang w:val="en-US"/>
        </w:rPr>
        <w:t>No.</w:t>
      </w:r>
      <w:r w:rsidRPr="00C9465D">
        <w:rPr>
          <w:rFonts w:cs="Times New Roman"/>
          <w:sz w:val="16"/>
          <w:szCs w:val="16"/>
          <w:lang w:val="en-US"/>
        </w:rPr>
        <w:t xml:space="preserve"> 8, 1989, p. 149. </w:t>
      </w:r>
      <w:r w:rsidR="00316F29" w:rsidRPr="00C9465D">
        <w:rPr>
          <w:rFonts w:cs="Times New Roman"/>
          <w:sz w:val="16"/>
          <w:szCs w:val="16"/>
          <w:lang w:val="en-US"/>
        </w:rPr>
        <w:t>Available at</w:t>
      </w:r>
      <w:r w:rsidRPr="00C9465D">
        <w:rPr>
          <w:rFonts w:cs="Times New Roman"/>
          <w:sz w:val="16"/>
          <w:szCs w:val="16"/>
          <w:lang w:val="en-US"/>
        </w:rPr>
        <w:t>:</w:t>
      </w:r>
      <w:r w:rsidR="00911871" w:rsidRPr="00C9465D">
        <w:rPr>
          <w:rFonts w:cs="Times New Roman"/>
          <w:sz w:val="16"/>
          <w:szCs w:val="16"/>
          <w:lang w:val="en-US"/>
        </w:rPr>
        <w:t xml:space="preserve"> </w:t>
      </w:r>
    </w:p>
    <w:p w14:paraId="1FB3E88B" w14:textId="72E7F468" w:rsidR="00F4157D" w:rsidRPr="00C9465D" w:rsidRDefault="005A6367" w:rsidP="005A6367">
      <w:pPr>
        <w:pStyle w:val="FootnoteText"/>
        <w:tabs>
          <w:tab w:val="left" w:pos="567"/>
        </w:tabs>
        <w:spacing w:after="120"/>
        <w:rPr>
          <w:rFonts w:cs="Times New Roman"/>
          <w:sz w:val="16"/>
          <w:szCs w:val="16"/>
          <w:lang w:val="en-US"/>
        </w:rPr>
      </w:pPr>
      <w:r w:rsidRPr="00C9465D">
        <w:rPr>
          <w:rFonts w:cs="Times New Roman"/>
          <w:sz w:val="16"/>
          <w:szCs w:val="16"/>
          <w:lang w:val="en-US"/>
        </w:rPr>
        <w:t xml:space="preserve"> </w:t>
      </w:r>
      <w:hyperlink r:id="rId17" w:history="1">
        <w:r w:rsidRPr="00C9465D">
          <w:rPr>
            <w:rStyle w:val="Hyperlink"/>
            <w:rFonts w:cs="Times New Roman"/>
            <w:sz w:val="16"/>
            <w:szCs w:val="16"/>
            <w:lang w:val="en-US"/>
          </w:rPr>
          <w:t>https://chicagounbound.uchicago.edu/cgi/viewcontent.cgi?article=1052&amp;context=uclf</w:t>
        </w:r>
      </w:hyperlink>
      <w:r w:rsidR="00F4157D" w:rsidRPr="00C9465D">
        <w:rPr>
          <w:rFonts w:cs="Times New Roman"/>
          <w:sz w:val="16"/>
          <w:szCs w:val="16"/>
          <w:lang w:val="en-US"/>
        </w:rPr>
        <w:t xml:space="preserve">. </w:t>
      </w:r>
    </w:p>
  </w:footnote>
  <w:footnote w:id="494">
    <w:p w14:paraId="53ECDCDC" w14:textId="086EEBE9" w:rsidR="00F4157D" w:rsidRPr="00C9465D" w:rsidRDefault="00F4157D" w:rsidP="00BD26CF">
      <w:pPr>
        <w:pStyle w:val="FootnoteText"/>
        <w:tabs>
          <w:tab w:val="left" w:pos="567"/>
        </w:tabs>
        <w:spacing w:after="120"/>
        <w:rPr>
          <w:sz w:val="16"/>
          <w:szCs w:val="16"/>
        </w:rPr>
      </w:pPr>
      <w:r w:rsidRPr="00C9465D">
        <w:rPr>
          <w:rStyle w:val="FootnoteReference"/>
          <w:sz w:val="16"/>
          <w:szCs w:val="16"/>
          <w:lang w:val="en-US"/>
        </w:rPr>
        <w:footnoteRef/>
      </w:r>
      <w:r w:rsidRPr="00C9465D">
        <w:rPr>
          <w:sz w:val="16"/>
          <w:szCs w:val="16"/>
        </w:rPr>
        <w:t xml:space="preserve"> </w:t>
      </w:r>
      <w:r w:rsidRPr="00C9465D">
        <w:rPr>
          <w:sz w:val="16"/>
          <w:szCs w:val="16"/>
        </w:rPr>
        <w:tab/>
      </w:r>
      <w:r w:rsidR="00E2299F" w:rsidRPr="00C9465D">
        <w:rPr>
          <w:i/>
          <w:sz w:val="16"/>
          <w:szCs w:val="16"/>
        </w:rPr>
        <w:t>Cf.</w:t>
      </w:r>
      <w:r w:rsidRPr="00C9465D">
        <w:rPr>
          <w:sz w:val="16"/>
          <w:szCs w:val="16"/>
        </w:rPr>
        <w:t xml:space="preserve"> </w:t>
      </w:r>
      <w:proofErr w:type="spellStart"/>
      <w:r w:rsidRPr="00C9465D">
        <w:rPr>
          <w:rFonts w:cs="Times New Roman"/>
          <w:sz w:val="16"/>
          <w:szCs w:val="16"/>
        </w:rPr>
        <w:t>Kimberle</w:t>
      </w:r>
      <w:proofErr w:type="spellEnd"/>
      <w:r w:rsidRPr="00C9465D">
        <w:rPr>
          <w:rFonts w:cs="Times New Roman"/>
          <w:sz w:val="16"/>
          <w:szCs w:val="16"/>
        </w:rPr>
        <w:t xml:space="preserve"> </w:t>
      </w:r>
      <w:proofErr w:type="spellStart"/>
      <w:r w:rsidRPr="00C9465D">
        <w:rPr>
          <w:rFonts w:cs="Times New Roman"/>
          <w:sz w:val="16"/>
          <w:szCs w:val="16"/>
        </w:rPr>
        <w:t>Crenshaw</w:t>
      </w:r>
      <w:proofErr w:type="spellEnd"/>
      <w:r w:rsidRPr="00C9465D">
        <w:rPr>
          <w:rFonts w:cs="Times New Roman"/>
          <w:sz w:val="16"/>
          <w:szCs w:val="16"/>
        </w:rPr>
        <w:t>, supra, p. 152.</w:t>
      </w:r>
    </w:p>
  </w:footnote>
  <w:footnote w:id="495">
    <w:p w14:paraId="40E1BEE3" w14:textId="6B3899FB" w:rsidR="00F4157D" w:rsidRPr="00C9465D" w:rsidRDefault="00F4157D"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532DEC" w:rsidRPr="00C9465D">
        <w:rPr>
          <w:sz w:val="16"/>
          <w:szCs w:val="16"/>
          <w:lang w:val="en-US"/>
        </w:rPr>
        <w:t>Committee on the Rights of Persons with Disabilities</w:t>
      </w:r>
      <w:r w:rsidRPr="00C9465D">
        <w:rPr>
          <w:sz w:val="16"/>
          <w:szCs w:val="16"/>
          <w:lang w:val="en-US"/>
        </w:rPr>
        <w:t xml:space="preserve">. </w:t>
      </w:r>
      <w:r w:rsidR="00B07FDE" w:rsidRPr="00C9465D">
        <w:rPr>
          <w:sz w:val="16"/>
          <w:szCs w:val="16"/>
          <w:lang w:val="en-US"/>
        </w:rPr>
        <w:t>General Comment</w:t>
      </w:r>
      <w:r w:rsidRPr="00C9465D">
        <w:rPr>
          <w:sz w:val="16"/>
          <w:szCs w:val="16"/>
          <w:lang w:val="en-US"/>
        </w:rPr>
        <w:t xml:space="preserve"> </w:t>
      </w:r>
      <w:r w:rsidR="00911871" w:rsidRPr="00C9465D">
        <w:rPr>
          <w:sz w:val="16"/>
          <w:szCs w:val="16"/>
          <w:lang w:val="en-US"/>
        </w:rPr>
        <w:t>No.</w:t>
      </w:r>
      <w:r w:rsidRPr="00C9465D">
        <w:rPr>
          <w:sz w:val="16"/>
          <w:szCs w:val="16"/>
          <w:lang w:val="en-US"/>
        </w:rPr>
        <w:t xml:space="preserve"> 3 </w:t>
      </w:r>
      <w:r w:rsidR="004835AE" w:rsidRPr="00C9465D">
        <w:rPr>
          <w:sz w:val="16"/>
          <w:szCs w:val="16"/>
          <w:lang w:val="en-US"/>
        </w:rPr>
        <w:t xml:space="preserve">on women and girls with disabilities. </w:t>
      </w:r>
      <w:r w:rsidRPr="00C9465D">
        <w:rPr>
          <w:sz w:val="16"/>
          <w:szCs w:val="16"/>
          <w:lang w:val="en-US"/>
        </w:rPr>
        <w:t>CRPD/C/GC/3</w:t>
      </w:r>
      <w:r w:rsidR="004835AE" w:rsidRPr="00C9465D">
        <w:rPr>
          <w:sz w:val="16"/>
          <w:szCs w:val="16"/>
          <w:lang w:val="en-US"/>
        </w:rPr>
        <w:t>, November 25, 2016, para 16.</w:t>
      </w:r>
    </w:p>
  </w:footnote>
  <w:footnote w:id="496">
    <w:p w14:paraId="2F64D193" w14:textId="2C77835B" w:rsidR="00F4157D" w:rsidRPr="00C9465D" w:rsidRDefault="00F4157D"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911871" w:rsidRPr="00C9465D">
        <w:rPr>
          <w:sz w:val="16"/>
          <w:szCs w:val="16"/>
          <w:lang w:val="en-US"/>
        </w:rPr>
        <w:t>IACHR, Report on poverty and human rights in the Americas</w:t>
      </w:r>
      <w:r w:rsidRPr="00C9465D">
        <w:rPr>
          <w:sz w:val="16"/>
          <w:szCs w:val="16"/>
          <w:lang w:val="en-US"/>
        </w:rPr>
        <w:t xml:space="preserve">, OEA/Ser.L/V/II.164, </w:t>
      </w:r>
      <w:r w:rsidR="00911871" w:rsidRPr="00C9465D">
        <w:rPr>
          <w:sz w:val="16"/>
          <w:szCs w:val="16"/>
          <w:lang w:val="en-US"/>
        </w:rPr>
        <w:t>September 7,</w:t>
      </w:r>
      <w:r w:rsidRPr="00C9465D">
        <w:rPr>
          <w:sz w:val="16"/>
          <w:szCs w:val="16"/>
          <w:lang w:val="en-US"/>
        </w:rPr>
        <w:t xml:space="preserve"> 2017</w:t>
      </w:r>
      <w:r w:rsidRPr="00C9465D">
        <w:rPr>
          <w:rFonts w:cs="Times New Roman"/>
          <w:sz w:val="16"/>
          <w:szCs w:val="16"/>
          <w:lang w:val="en-US"/>
        </w:rPr>
        <w:t>.</w:t>
      </w:r>
    </w:p>
  </w:footnote>
  <w:footnote w:id="497">
    <w:p w14:paraId="49C8B657" w14:textId="10AE60A7" w:rsidR="00F4157D" w:rsidRPr="00C9465D" w:rsidRDefault="00F4157D" w:rsidP="00BD26CF">
      <w:pPr>
        <w:pStyle w:val="FootnoteText"/>
        <w:tabs>
          <w:tab w:val="left" w:pos="567"/>
        </w:tabs>
        <w:spacing w:after="120"/>
        <w:rPr>
          <w:sz w:val="16"/>
          <w:szCs w:val="16"/>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sz w:val="16"/>
          <w:szCs w:val="16"/>
          <w:lang w:val="en-US"/>
        </w:rPr>
        <w:t xml:space="preserve"> </w:t>
      </w:r>
      <w:r w:rsidR="007254F0" w:rsidRPr="00C9465D">
        <w:rPr>
          <w:sz w:val="16"/>
          <w:szCs w:val="16"/>
          <w:lang w:val="en-US"/>
        </w:rPr>
        <w:t>Human Rights Council</w:t>
      </w:r>
      <w:r w:rsidRPr="00C9465D">
        <w:rPr>
          <w:sz w:val="16"/>
          <w:szCs w:val="16"/>
          <w:lang w:val="en-US"/>
        </w:rPr>
        <w:t xml:space="preserve">, </w:t>
      </w:r>
      <w:r w:rsidR="007254F0" w:rsidRPr="00C9465D">
        <w:rPr>
          <w:sz w:val="16"/>
          <w:szCs w:val="16"/>
          <w:lang w:val="en-US"/>
        </w:rPr>
        <w:t>Impact of multiple and intersecting forms of discrimination and violence in the context of racism, racial discrimination, xenophobia and related intolerance on the full enjoyment of all human rights by women and girls</w:t>
      </w:r>
      <w:r w:rsidRPr="00C9465D">
        <w:rPr>
          <w:sz w:val="16"/>
          <w:szCs w:val="16"/>
          <w:lang w:val="en-US"/>
        </w:rPr>
        <w:t xml:space="preserve">, </w:t>
      </w:r>
      <w:r w:rsidR="00B4099D" w:rsidRPr="00C9465D">
        <w:rPr>
          <w:sz w:val="16"/>
          <w:szCs w:val="16"/>
          <w:lang w:val="en-US"/>
        </w:rPr>
        <w:t>Report of the</w:t>
      </w:r>
      <w:r w:rsidRPr="00C9465D">
        <w:rPr>
          <w:sz w:val="16"/>
          <w:szCs w:val="16"/>
          <w:lang w:val="en-US"/>
        </w:rPr>
        <w:t xml:space="preserve"> </w:t>
      </w:r>
      <w:r w:rsidR="007254F0" w:rsidRPr="00C9465D">
        <w:rPr>
          <w:sz w:val="16"/>
          <w:szCs w:val="16"/>
          <w:lang w:val="en-US"/>
        </w:rPr>
        <w:t>United Nations High Commissioner for Human Rights</w:t>
      </w:r>
      <w:r w:rsidRPr="00C9465D">
        <w:rPr>
          <w:sz w:val="16"/>
          <w:szCs w:val="16"/>
          <w:lang w:val="en-US"/>
        </w:rPr>
        <w:t xml:space="preserve">, </w:t>
      </w:r>
      <w:r w:rsidR="007254F0" w:rsidRPr="00C9465D">
        <w:rPr>
          <w:sz w:val="16"/>
          <w:szCs w:val="16"/>
          <w:lang w:val="en-US"/>
        </w:rPr>
        <w:t>April 21,</w:t>
      </w:r>
      <w:r w:rsidRPr="00C9465D">
        <w:rPr>
          <w:sz w:val="16"/>
          <w:szCs w:val="16"/>
          <w:lang w:val="en-US"/>
        </w:rPr>
        <w:t xml:space="preserve"> 2017, UN Doc. </w:t>
      </w:r>
      <w:r w:rsidRPr="00C9465D">
        <w:rPr>
          <w:sz w:val="16"/>
          <w:szCs w:val="16"/>
        </w:rPr>
        <w:t>A/HRC/35/10.</w:t>
      </w:r>
    </w:p>
  </w:footnote>
  <w:footnote w:id="498">
    <w:p w14:paraId="3407FB74" w14:textId="3BD5FC3E" w:rsidR="00F4157D" w:rsidRPr="00C9465D" w:rsidRDefault="00F4157D"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rPr>
        <w:t xml:space="preserve"> </w:t>
      </w:r>
      <w:r w:rsidRPr="00C9465D">
        <w:rPr>
          <w:sz w:val="16"/>
          <w:szCs w:val="16"/>
        </w:rPr>
        <w:tab/>
        <w:t xml:space="preserve">Palacios, Agustina. </w:t>
      </w:r>
      <w:r w:rsidR="004C5E70" w:rsidRPr="00C9465D">
        <w:rPr>
          <w:sz w:val="16"/>
          <w:szCs w:val="16"/>
        </w:rPr>
        <w:t>“</w:t>
      </w:r>
      <w:r w:rsidR="004C5E70" w:rsidRPr="00C9465D">
        <w:rPr>
          <w:i/>
          <w:iCs/>
          <w:sz w:val="16"/>
          <w:szCs w:val="16"/>
        </w:rPr>
        <w:t>Una introducción al modelo social de discapacidad y su reflejo en la Convención Internacional sobre Derechos de las Personas con Discapacidad</w:t>
      </w:r>
      <w:r w:rsidR="004C5E70" w:rsidRPr="00C9465D">
        <w:rPr>
          <w:sz w:val="16"/>
          <w:szCs w:val="16"/>
        </w:rPr>
        <w:t>” en “</w:t>
      </w:r>
      <w:r w:rsidR="004C5E70" w:rsidRPr="00C9465D">
        <w:rPr>
          <w:i/>
          <w:iCs/>
          <w:sz w:val="16"/>
          <w:szCs w:val="16"/>
        </w:rPr>
        <w:t>Nueve conceptos claves para entender la Convención sobre los Derechos de las Personas con Discapacidad</w:t>
      </w:r>
      <w:r w:rsidR="004C5E70" w:rsidRPr="00C9465D">
        <w:rPr>
          <w:sz w:val="16"/>
          <w:szCs w:val="16"/>
        </w:rPr>
        <w:t xml:space="preserve">,” </w:t>
      </w:r>
      <w:r w:rsidRPr="00C9465D">
        <w:rPr>
          <w:sz w:val="16"/>
          <w:szCs w:val="16"/>
        </w:rPr>
        <w:t xml:space="preserve">2015, Lima. </w:t>
      </w:r>
      <w:r w:rsidR="00316F29" w:rsidRPr="00C9465D">
        <w:rPr>
          <w:sz w:val="16"/>
          <w:szCs w:val="16"/>
          <w:lang w:val="en-US"/>
        </w:rPr>
        <w:t>Available at</w:t>
      </w:r>
      <w:r w:rsidRPr="00C9465D">
        <w:rPr>
          <w:sz w:val="16"/>
          <w:szCs w:val="16"/>
          <w:lang w:val="en-US"/>
        </w:rPr>
        <w:t xml:space="preserve">: </w:t>
      </w:r>
      <w:hyperlink r:id="rId18" w:history="1">
        <w:r w:rsidRPr="00C9465D">
          <w:rPr>
            <w:rStyle w:val="Hyperlink"/>
            <w:sz w:val="16"/>
            <w:szCs w:val="16"/>
            <w:lang w:val="en-US"/>
          </w:rPr>
          <w:t>https://www.corteidh.or.cr/tablas/32092.pdf</w:t>
        </w:r>
      </w:hyperlink>
      <w:r w:rsidRPr="00C9465D">
        <w:rPr>
          <w:sz w:val="16"/>
          <w:szCs w:val="16"/>
          <w:lang w:val="en-US"/>
        </w:rPr>
        <w:t xml:space="preserve"> </w:t>
      </w:r>
    </w:p>
  </w:footnote>
  <w:footnote w:id="499">
    <w:p w14:paraId="31464E6F" w14:textId="6AF7783D" w:rsidR="00F4157D" w:rsidRPr="00C9465D" w:rsidRDefault="00F4157D" w:rsidP="00BD26CF">
      <w:pPr>
        <w:pStyle w:val="FootnoteText"/>
        <w:tabs>
          <w:tab w:val="left" w:pos="567"/>
        </w:tabs>
        <w:spacing w:after="120"/>
        <w:rPr>
          <w:color w:val="FF0000"/>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eastAsia="x-none"/>
        </w:rPr>
        <w:t>Cf.</w:t>
      </w:r>
      <w:r w:rsidRPr="00C9465D">
        <w:rPr>
          <w:color w:val="FF0000"/>
          <w:sz w:val="16"/>
          <w:szCs w:val="16"/>
          <w:lang w:val="en-US" w:eastAsia="x-none"/>
        </w:rPr>
        <w:t xml:space="preserve"> </w:t>
      </w:r>
      <w:r w:rsidR="00D8466F" w:rsidRPr="00C9465D">
        <w:rPr>
          <w:i/>
          <w:sz w:val="16"/>
          <w:szCs w:val="16"/>
          <w:lang w:val="en-US"/>
        </w:rPr>
        <w:t>Case of</w:t>
      </w:r>
      <w:r w:rsidRPr="00C9465D">
        <w:rPr>
          <w:i/>
          <w:sz w:val="16"/>
          <w:szCs w:val="16"/>
          <w:lang w:val="en-US"/>
        </w:rPr>
        <w:t xml:space="preserve"> Ximenes Lopes </w:t>
      </w:r>
      <w:r w:rsidR="00193CBB" w:rsidRPr="00C9465D">
        <w:rPr>
          <w:i/>
          <w:sz w:val="16"/>
          <w:szCs w:val="16"/>
          <w:lang w:val="en-US"/>
        </w:rPr>
        <w:t>v.</w:t>
      </w:r>
      <w:r w:rsidRPr="00C9465D">
        <w:rPr>
          <w:i/>
          <w:sz w:val="16"/>
          <w:szCs w:val="16"/>
          <w:lang w:val="en-US"/>
        </w:rPr>
        <w:t xml:space="preserve"> </w:t>
      </w:r>
      <w:r w:rsidR="00FA5261" w:rsidRPr="00C9465D">
        <w:rPr>
          <w:i/>
          <w:sz w:val="16"/>
          <w:szCs w:val="16"/>
          <w:lang w:val="en-US"/>
        </w:rPr>
        <w:t>Brazil</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491E2E" w:rsidRPr="00C9465D">
        <w:rPr>
          <w:sz w:val="16"/>
          <w:szCs w:val="16"/>
          <w:lang w:val="en-US"/>
        </w:rPr>
        <w:t>July 4,</w:t>
      </w:r>
      <w:r w:rsidRPr="00C9465D">
        <w:rPr>
          <w:sz w:val="16"/>
          <w:szCs w:val="16"/>
          <w:lang w:val="en-US"/>
        </w:rPr>
        <w:t xml:space="preserve"> 2006. </w:t>
      </w:r>
      <w:r w:rsidR="00E2299F" w:rsidRPr="00C9465D">
        <w:rPr>
          <w:sz w:val="16"/>
          <w:szCs w:val="16"/>
          <w:lang w:val="en-US"/>
        </w:rPr>
        <w:t xml:space="preserve">Series </w:t>
      </w:r>
      <w:r w:rsidRPr="00C9465D">
        <w:rPr>
          <w:sz w:val="16"/>
          <w:szCs w:val="16"/>
          <w:lang w:val="en-US"/>
        </w:rPr>
        <w:t>C No. 149</w:t>
      </w:r>
      <w:r w:rsidRPr="00C9465D">
        <w:rPr>
          <w:i/>
          <w:sz w:val="16"/>
          <w:szCs w:val="16"/>
          <w:lang w:val="en-US"/>
        </w:rPr>
        <w:t>,</w:t>
      </w:r>
      <w:r w:rsidRPr="00C9465D">
        <w:rPr>
          <w:sz w:val="16"/>
          <w:szCs w:val="16"/>
          <w:lang w:val="en-US"/>
        </w:rPr>
        <w:t xml:space="preserve"> </w:t>
      </w:r>
      <w:r w:rsidR="00D8466F" w:rsidRPr="00C9465D">
        <w:rPr>
          <w:sz w:val="16"/>
          <w:szCs w:val="16"/>
          <w:lang w:val="en-US"/>
        </w:rPr>
        <w:t>para.</w:t>
      </w:r>
      <w:r w:rsidRPr="00C9465D">
        <w:rPr>
          <w:sz w:val="16"/>
          <w:szCs w:val="16"/>
          <w:lang w:val="en-US"/>
        </w:rPr>
        <w:t xml:space="preserve"> 106.</w:t>
      </w:r>
    </w:p>
  </w:footnote>
  <w:footnote w:id="500">
    <w:p w14:paraId="713BC220" w14:textId="71FE9D91" w:rsidR="00F4157D" w:rsidRPr="00C9465D" w:rsidRDefault="00F4157D" w:rsidP="00BD26CF">
      <w:pPr>
        <w:pStyle w:val="FootnoteText"/>
        <w:tabs>
          <w:tab w:val="left" w:pos="567"/>
        </w:tabs>
        <w:spacing w:after="120"/>
        <w:rPr>
          <w:sz w:val="16"/>
          <w:szCs w:val="16"/>
        </w:rPr>
      </w:pPr>
      <w:r w:rsidRPr="00C9465D">
        <w:rPr>
          <w:rStyle w:val="FootnoteReference"/>
          <w:sz w:val="16"/>
          <w:szCs w:val="16"/>
          <w:lang w:val="en-US"/>
        </w:rPr>
        <w:footnoteRef/>
      </w:r>
      <w:r w:rsidRPr="00C9465D">
        <w:rPr>
          <w:sz w:val="16"/>
          <w:szCs w:val="16"/>
          <w:lang w:val="en-US"/>
        </w:rPr>
        <w:t xml:space="preserve"> </w:t>
      </w:r>
      <w:r w:rsidRPr="00C9465D">
        <w:rPr>
          <w:color w:val="FF0000"/>
          <w:sz w:val="16"/>
          <w:szCs w:val="16"/>
          <w:lang w:val="en-US"/>
        </w:rPr>
        <w:tab/>
      </w:r>
      <w:r w:rsidR="00E2299F" w:rsidRPr="00C9465D">
        <w:rPr>
          <w:i/>
          <w:sz w:val="16"/>
          <w:szCs w:val="16"/>
          <w:lang w:val="en-US" w:eastAsia="x-none"/>
        </w:rPr>
        <w:t>Cf.</w:t>
      </w:r>
      <w:r w:rsidRPr="00C9465D">
        <w:rPr>
          <w:color w:val="FF0000"/>
          <w:sz w:val="16"/>
          <w:szCs w:val="16"/>
          <w:lang w:val="en-US" w:eastAsia="x-none"/>
        </w:rPr>
        <w:t xml:space="preserve"> </w:t>
      </w:r>
      <w:r w:rsidR="00D8466F" w:rsidRPr="00C9465D">
        <w:rPr>
          <w:i/>
          <w:sz w:val="16"/>
          <w:szCs w:val="16"/>
          <w:lang w:val="en-US"/>
        </w:rPr>
        <w:t>Case of</w:t>
      </w:r>
      <w:r w:rsidRPr="00C9465D">
        <w:rPr>
          <w:i/>
          <w:sz w:val="16"/>
          <w:szCs w:val="16"/>
          <w:lang w:val="en-US"/>
        </w:rPr>
        <w:t xml:space="preserve"> Ximenes Lopes </w:t>
      </w:r>
      <w:r w:rsidR="00193CBB" w:rsidRPr="00C9465D">
        <w:rPr>
          <w:i/>
          <w:sz w:val="16"/>
          <w:szCs w:val="16"/>
          <w:lang w:val="en-US"/>
        </w:rPr>
        <w:t>v.</w:t>
      </w:r>
      <w:r w:rsidRPr="00C9465D">
        <w:rPr>
          <w:i/>
          <w:sz w:val="16"/>
          <w:szCs w:val="16"/>
          <w:lang w:val="en-US"/>
        </w:rPr>
        <w:t xml:space="preserve"> </w:t>
      </w:r>
      <w:r w:rsidR="00FA5261" w:rsidRPr="00C9465D">
        <w:rPr>
          <w:i/>
          <w:sz w:val="16"/>
          <w:szCs w:val="16"/>
          <w:lang w:val="en-US"/>
        </w:rPr>
        <w:t>Brazil</w:t>
      </w:r>
      <w:r w:rsidRPr="00C9465D">
        <w:rPr>
          <w:i/>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491E2E" w:rsidRPr="00C9465D">
        <w:rPr>
          <w:sz w:val="16"/>
          <w:szCs w:val="16"/>
          <w:lang w:val="en-US"/>
        </w:rPr>
        <w:t>July 4,</w:t>
      </w:r>
      <w:r w:rsidRPr="00C9465D">
        <w:rPr>
          <w:sz w:val="16"/>
          <w:szCs w:val="16"/>
          <w:lang w:val="en-US"/>
        </w:rPr>
        <w:t xml:space="preserve"> 2006. </w:t>
      </w:r>
      <w:r w:rsidR="00E2299F" w:rsidRPr="00C9465D">
        <w:rPr>
          <w:sz w:val="16"/>
          <w:szCs w:val="16"/>
        </w:rPr>
        <w:t xml:space="preserve">Series </w:t>
      </w:r>
      <w:r w:rsidRPr="00C9465D">
        <w:rPr>
          <w:sz w:val="16"/>
          <w:szCs w:val="16"/>
        </w:rPr>
        <w:t>C No. 149</w:t>
      </w:r>
      <w:r w:rsidRPr="00C9465D">
        <w:rPr>
          <w:i/>
          <w:sz w:val="16"/>
          <w:szCs w:val="16"/>
        </w:rPr>
        <w:t>,</w:t>
      </w:r>
      <w:r w:rsidRPr="00C9465D">
        <w:rPr>
          <w:sz w:val="16"/>
          <w:szCs w:val="16"/>
        </w:rPr>
        <w:t xml:space="preserve"> </w:t>
      </w:r>
      <w:r w:rsidR="00D8466F" w:rsidRPr="00C9465D">
        <w:rPr>
          <w:sz w:val="16"/>
          <w:szCs w:val="16"/>
        </w:rPr>
        <w:t>para.</w:t>
      </w:r>
      <w:r w:rsidRPr="00C9465D">
        <w:rPr>
          <w:sz w:val="16"/>
          <w:szCs w:val="16"/>
        </w:rPr>
        <w:t xml:space="preserve"> 106.</w:t>
      </w:r>
    </w:p>
  </w:footnote>
  <w:footnote w:id="501">
    <w:p w14:paraId="708116B6" w14:textId="77777777" w:rsidR="00066500" w:rsidRPr="00C9465D" w:rsidRDefault="00066500" w:rsidP="00066500">
      <w:pPr>
        <w:pStyle w:val="FootnoteText"/>
        <w:tabs>
          <w:tab w:val="left" w:pos="567"/>
        </w:tabs>
        <w:spacing w:after="120"/>
        <w:rPr>
          <w:i/>
          <w:sz w:val="16"/>
          <w:szCs w:val="16"/>
          <w:lang w:val="en-US"/>
        </w:rPr>
      </w:pPr>
      <w:r w:rsidRPr="00C9465D">
        <w:rPr>
          <w:rStyle w:val="FootnoteReference"/>
          <w:sz w:val="16"/>
          <w:szCs w:val="16"/>
          <w:lang w:val="en-US"/>
        </w:rPr>
        <w:footnoteRef/>
      </w:r>
      <w:r w:rsidRPr="00C9465D">
        <w:rPr>
          <w:sz w:val="16"/>
          <w:szCs w:val="16"/>
        </w:rPr>
        <w:t xml:space="preserve"> </w:t>
      </w:r>
      <w:r w:rsidRPr="00C9465D">
        <w:rPr>
          <w:sz w:val="16"/>
          <w:szCs w:val="16"/>
        </w:rPr>
        <w:tab/>
      </w:r>
      <w:r w:rsidRPr="00C9465D">
        <w:rPr>
          <w:i/>
          <w:sz w:val="16"/>
          <w:szCs w:val="16"/>
        </w:rPr>
        <w:t xml:space="preserve">Cf. Case of Neira Alegría et al. v. </w:t>
      </w:r>
      <w:proofErr w:type="spellStart"/>
      <w:r w:rsidRPr="00C9465D">
        <w:rPr>
          <w:i/>
          <w:sz w:val="16"/>
          <w:szCs w:val="16"/>
        </w:rPr>
        <w:t>Peru</w:t>
      </w:r>
      <w:proofErr w:type="spellEnd"/>
      <w:r w:rsidRPr="00C9465D">
        <w:rPr>
          <w:i/>
          <w:sz w:val="16"/>
          <w:szCs w:val="16"/>
        </w:rPr>
        <w:t xml:space="preserve">. </w:t>
      </w:r>
      <w:r w:rsidRPr="00C9465D">
        <w:rPr>
          <w:i/>
          <w:sz w:val="16"/>
          <w:szCs w:val="16"/>
          <w:lang w:val="en-US"/>
        </w:rPr>
        <w:t xml:space="preserve">Reparations and costs. </w:t>
      </w:r>
      <w:r w:rsidRPr="00C9465D">
        <w:rPr>
          <w:sz w:val="16"/>
          <w:szCs w:val="16"/>
          <w:lang w:val="en-US"/>
        </w:rPr>
        <w:t xml:space="preserve">Judgment of September 19, 1996. </w:t>
      </w:r>
      <w:r w:rsidRPr="00C9465D">
        <w:rPr>
          <w:sz w:val="16"/>
          <w:szCs w:val="16"/>
        </w:rPr>
        <w:t xml:space="preserve">Series C No. 29, para. 69, and </w:t>
      </w:r>
      <w:r w:rsidRPr="00C9465D">
        <w:rPr>
          <w:rStyle w:val="Strong"/>
          <w:b w:val="0"/>
          <w:i/>
          <w:sz w:val="16"/>
          <w:szCs w:val="16"/>
        </w:rPr>
        <w:t xml:space="preserve">Case of </w:t>
      </w:r>
      <w:proofErr w:type="spellStart"/>
      <w:r w:rsidRPr="00C9465D">
        <w:rPr>
          <w:rStyle w:val="Strong"/>
          <w:b w:val="0"/>
          <w:i/>
          <w:sz w:val="16"/>
          <w:szCs w:val="16"/>
        </w:rPr>
        <w:t>Munárriz</w:t>
      </w:r>
      <w:proofErr w:type="spellEnd"/>
      <w:r w:rsidRPr="00C9465D">
        <w:rPr>
          <w:rStyle w:val="Strong"/>
          <w:b w:val="0"/>
          <w:i/>
          <w:sz w:val="16"/>
          <w:szCs w:val="16"/>
        </w:rPr>
        <w:t xml:space="preserve"> Escobar et al. v. </w:t>
      </w:r>
      <w:proofErr w:type="spellStart"/>
      <w:r w:rsidRPr="00C9465D">
        <w:rPr>
          <w:rStyle w:val="Strong"/>
          <w:b w:val="0"/>
          <w:i/>
          <w:sz w:val="16"/>
          <w:szCs w:val="16"/>
        </w:rPr>
        <w:t>Peru</w:t>
      </w:r>
      <w:proofErr w:type="spellEnd"/>
      <w:r w:rsidRPr="00C9465D">
        <w:rPr>
          <w:rStyle w:val="Strong"/>
          <w:b w:val="0"/>
          <w:i/>
          <w:sz w:val="16"/>
          <w:szCs w:val="16"/>
        </w:rPr>
        <w:t>, supra</w:t>
      </w:r>
      <w:r w:rsidRPr="00C9465D">
        <w:rPr>
          <w:rStyle w:val="Strong"/>
          <w:b w:val="0"/>
          <w:sz w:val="16"/>
          <w:szCs w:val="16"/>
        </w:rPr>
        <w:t xml:space="preserve">, para. </w:t>
      </w:r>
      <w:r w:rsidRPr="00C9465D">
        <w:rPr>
          <w:rStyle w:val="Strong"/>
          <w:b w:val="0"/>
          <w:sz w:val="16"/>
          <w:szCs w:val="16"/>
          <w:lang w:val="en-US"/>
        </w:rPr>
        <w:t>124.</w:t>
      </w:r>
      <w:r w:rsidRPr="00C9465D">
        <w:rPr>
          <w:rStyle w:val="Strong"/>
          <w:b w:val="0"/>
          <w:i/>
          <w:sz w:val="16"/>
          <w:szCs w:val="16"/>
          <w:lang w:val="en-US"/>
        </w:rPr>
        <w:t xml:space="preserve"> </w:t>
      </w:r>
    </w:p>
  </w:footnote>
  <w:footnote w:id="502">
    <w:p w14:paraId="586F0D3F" w14:textId="0B6462D8" w:rsidR="00F4157D" w:rsidRPr="00C9465D" w:rsidRDefault="00F4157D"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Arrom Suhurt</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Paraguay. </w:t>
      </w:r>
      <w:r w:rsidR="00532DEC" w:rsidRPr="00C9465D">
        <w:rPr>
          <w:i/>
          <w:sz w:val="16"/>
          <w:szCs w:val="16"/>
          <w:lang w:val="en-US"/>
        </w:rPr>
        <w:t>Merits</w:t>
      </w:r>
      <w:r w:rsidRPr="00C9465D">
        <w:rPr>
          <w:i/>
          <w:sz w:val="16"/>
          <w:szCs w:val="16"/>
          <w:lang w:val="en-US"/>
        </w:rPr>
        <w:t>.</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491E2E" w:rsidRPr="00C9465D">
        <w:rPr>
          <w:sz w:val="16"/>
          <w:szCs w:val="16"/>
          <w:lang w:val="en-US"/>
        </w:rPr>
        <w:t>May 13,</w:t>
      </w:r>
      <w:r w:rsidRPr="00C9465D">
        <w:rPr>
          <w:sz w:val="16"/>
          <w:szCs w:val="16"/>
          <w:lang w:val="en-US"/>
        </w:rPr>
        <w:t xml:space="preserve"> 2019. </w:t>
      </w:r>
      <w:r w:rsidR="00E2299F" w:rsidRPr="00C9465D">
        <w:rPr>
          <w:sz w:val="16"/>
          <w:szCs w:val="16"/>
          <w:lang w:val="en-US"/>
        </w:rPr>
        <w:t xml:space="preserve">Series </w:t>
      </w:r>
      <w:r w:rsidRPr="00C9465D">
        <w:rPr>
          <w:sz w:val="16"/>
          <w:szCs w:val="16"/>
          <w:lang w:val="en-US"/>
        </w:rPr>
        <w:t>C No. 377.</w:t>
      </w:r>
    </w:p>
  </w:footnote>
  <w:footnote w:id="503">
    <w:p w14:paraId="375C1B07" w14:textId="12D4DE64" w:rsidR="00F4157D" w:rsidRPr="00C971B8" w:rsidRDefault="00F4157D" w:rsidP="00BD26CF">
      <w:pPr>
        <w:pStyle w:val="FootnoteText"/>
        <w:tabs>
          <w:tab w:val="left" w:pos="567"/>
        </w:tabs>
        <w:spacing w:after="120"/>
        <w:rPr>
          <w:sz w:val="16"/>
          <w:szCs w:val="16"/>
          <w:lang w:val="en-US"/>
        </w:rPr>
      </w:pPr>
      <w:r w:rsidRPr="00C9465D">
        <w:rPr>
          <w:rStyle w:val="FootnoteReference"/>
          <w:sz w:val="16"/>
          <w:szCs w:val="16"/>
          <w:lang w:val="en-US"/>
        </w:rPr>
        <w:footnoteRef/>
      </w:r>
      <w:r w:rsidRPr="00C9465D">
        <w:rPr>
          <w:sz w:val="16"/>
          <w:szCs w:val="16"/>
          <w:lang w:val="en-US"/>
        </w:rPr>
        <w:t xml:space="preserve"> </w:t>
      </w:r>
      <w:r w:rsidRPr="00C9465D">
        <w:rPr>
          <w:sz w:val="16"/>
          <w:szCs w:val="16"/>
          <w:lang w:val="en-US"/>
        </w:rPr>
        <w:tab/>
      </w:r>
      <w:r w:rsidR="00E2299F" w:rsidRPr="00C9465D">
        <w:rPr>
          <w:i/>
          <w:sz w:val="16"/>
          <w:szCs w:val="16"/>
          <w:lang w:val="en-US"/>
        </w:rPr>
        <w:t>Cf.</w:t>
      </w:r>
      <w:r w:rsidRPr="00C9465D">
        <w:rPr>
          <w:i/>
          <w:sz w:val="16"/>
          <w:szCs w:val="16"/>
          <w:lang w:val="en-US"/>
        </w:rPr>
        <w:t xml:space="preserve"> </w:t>
      </w:r>
      <w:r w:rsidR="00D8466F" w:rsidRPr="00C9465D">
        <w:rPr>
          <w:i/>
          <w:sz w:val="16"/>
          <w:szCs w:val="16"/>
          <w:lang w:val="en-US"/>
        </w:rPr>
        <w:t>Case of</w:t>
      </w:r>
      <w:r w:rsidRPr="00C9465D">
        <w:rPr>
          <w:i/>
          <w:sz w:val="16"/>
          <w:szCs w:val="16"/>
          <w:lang w:val="en-US"/>
        </w:rPr>
        <w:t xml:space="preserve"> Arrom Suhurt</w:t>
      </w:r>
      <w:r w:rsidR="00193CBB" w:rsidRPr="00C9465D">
        <w:rPr>
          <w:i/>
          <w:sz w:val="16"/>
          <w:szCs w:val="16"/>
          <w:lang w:val="en-US"/>
        </w:rPr>
        <w:t xml:space="preserve"> </w:t>
      </w:r>
      <w:r w:rsidR="00D8466F" w:rsidRPr="00C9465D">
        <w:rPr>
          <w:i/>
          <w:sz w:val="16"/>
          <w:szCs w:val="16"/>
          <w:lang w:val="en-US"/>
        </w:rPr>
        <w:t>et al. v.</w:t>
      </w:r>
      <w:r w:rsidRPr="00C9465D">
        <w:rPr>
          <w:i/>
          <w:sz w:val="16"/>
          <w:szCs w:val="16"/>
          <w:lang w:val="en-US"/>
        </w:rPr>
        <w:t xml:space="preserve"> Paraguay. </w:t>
      </w:r>
      <w:r w:rsidR="00532DEC" w:rsidRPr="00C9465D">
        <w:rPr>
          <w:i/>
          <w:sz w:val="16"/>
          <w:szCs w:val="16"/>
          <w:lang w:val="en-US"/>
        </w:rPr>
        <w:t>Merits</w:t>
      </w:r>
      <w:r w:rsidRPr="00C9465D">
        <w:rPr>
          <w:i/>
          <w:sz w:val="16"/>
          <w:szCs w:val="16"/>
          <w:lang w:val="en-US"/>
        </w:rPr>
        <w:t>.</w:t>
      </w:r>
      <w:r w:rsidRPr="00C9465D">
        <w:rPr>
          <w:sz w:val="16"/>
          <w:szCs w:val="16"/>
          <w:lang w:val="en-US"/>
        </w:rPr>
        <w:t xml:space="preserve"> </w:t>
      </w:r>
      <w:r w:rsidR="00D8466F" w:rsidRPr="00C9465D">
        <w:rPr>
          <w:sz w:val="16"/>
          <w:szCs w:val="16"/>
          <w:lang w:val="en-US"/>
        </w:rPr>
        <w:t>Judgment of</w:t>
      </w:r>
      <w:r w:rsidRPr="00C9465D">
        <w:rPr>
          <w:sz w:val="16"/>
          <w:szCs w:val="16"/>
          <w:lang w:val="en-US"/>
        </w:rPr>
        <w:t xml:space="preserve"> </w:t>
      </w:r>
      <w:r w:rsidR="00491E2E" w:rsidRPr="00C9465D">
        <w:rPr>
          <w:sz w:val="16"/>
          <w:szCs w:val="16"/>
          <w:lang w:val="en-US"/>
        </w:rPr>
        <w:t>May 13,</w:t>
      </w:r>
      <w:r w:rsidRPr="00C9465D">
        <w:rPr>
          <w:sz w:val="16"/>
          <w:szCs w:val="16"/>
          <w:lang w:val="en-US"/>
        </w:rPr>
        <w:t xml:space="preserve"> 2019. </w:t>
      </w:r>
      <w:r w:rsidR="00E2299F" w:rsidRPr="00C9465D">
        <w:rPr>
          <w:sz w:val="16"/>
          <w:szCs w:val="16"/>
          <w:lang w:val="en-US"/>
        </w:rPr>
        <w:t xml:space="preserve">Series </w:t>
      </w:r>
      <w:r w:rsidRPr="00C9465D">
        <w:rPr>
          <w:sz w:val="16"/>
          <w:szCs w:val="16"/>
          <w:lang w:val="en-US"/>
        </w:rPr>
        <w:t>C No. 377.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C005" w14:textId="77777777" w:rsidR="002804F3" w:rsidRDefault="003C0F5F">
    <w:pPr>
      <w:pStyle w:val="Header"/>
    </w:pPr>
  </w:p>
  <w:p w14:paraId="1D246FE9" w14:textId="77777777" w:rsidR="002804F3" w:rsidRDefault="003C0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B66"/>
    <w:multiLevelType w:val="hybridMultilevel"/>
    <w:tmpl w:val="3830D59E"/>
    <w:lvl w:ilvl="0" w:tplc="4E2A0C4C">
      <w:start w:val="1"/>
      <w:numFmt w:val="decimal"/>
      <w:lvlText w:val="%1."/>
      <w:lvlJc w:val="left"/>
      <w:pPr>
        <w:ind w:left="513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 w15:restartNumberingAfterBreak="0">
    <w:nsid w:val="04D64702"/>
    <w:multiLevelType w:val="hybridMultilevel"/>
    <w:tmpl w:val="AD9A6C3A"/>
    <w:lvl w:ilvl="0" w:tplc="81FC0CE0">
      <w:start w:val="1"/>
      <w:numFmt w:val="decimal"/>
      <w:lvlText w:val="%1."/>
      <w:lvlJc w:val="left"/>
      <w:pPr>
        <w:ind w:left="720" w:hanging="360"/>
      </w:pPr>
      <w:rPr>
        <w:rFonts w:hint="default"/>
        <w:b w:val="0"/>
        <w:lang w:val="es-MX"/>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A87856"/>
    <w:multiLevelType w:val="hybridMultilevel"/>
    <w:tmpl w:val="CF9E72BE"/>
    <w:lvl w:ilvl="0" w:tplc="DC9E38D0">
      <w:start w:val="1"/>
      <w:numFmt w:val="lowerLetter"/>
      <w:lvlText w:val="%1."/>
      <w:lvlJc w:val="left"/>
      <w:pPr>
        <w:ind w:left="-207" w:hanging="360"/>
      </w:pPr>
      <w:rPr>
        <w:rFonts w:hint="default"/>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abstractNum w:abstractNumId="3" w15:restartNumberingAfterBreak="0">
    <w:nsid w:val="07CC3F3C"/>
    <w:multiLevelType w:val="hybridMultilevel"/>
    <w:tmpl w:val="6F9881A4"/>
    <w:lvl w:ilvl="0" w:tplc="D0E8D39A">
      <w:start w:val="1"/>
      <w:numFmt w:val="decimal"/>
      <w:lvlText w:val="%1."/>
      <w:lvlJc w:val="left"/>
      <w:pPr>
        <w:ind w:left="117" w:hanging="567"/>
      </w:pPr>
      <w:rPr>
        <w:rFonts w:ascii="Verdana" w:eastAsia="Verdana" w:hAnsi="Verdana" w:cs="Verdana" w:hint="default"/>
        <w:strike w:val="0"/>
        <w:color w:val="auto"/>
        <w:w w:val="99"/>
        <w:sz w:val="20"/>
        <w:szCs w:val="20"/>
      </w:rPr>
    </w:lvl>
    <w:lvl w:ilvl="1" w:tplc="402C5D74">
      <w:numFmt w:val="bullet"/>
      <w:lvlText w:val="•"/>
      <w:lvlJc w:val="left"/>
      <w:pPr>
        <w:ind w:left="1072" w:hanging="567"/>
      </w:pPr>
      <w:rPr>
        <w:rFonts w:hint="default"/>
      </w:rPr>
    </w:lvl>
    <w:lvl w:ilvl="2" w:tplc="C4381B26">
      <w:numFmt w:val="bullet"/>
      <w:lvlText w:val="•"/>
      <w:lvlJc w:val="left"/>
      <w:pPr>
        <w:ind w:left="2024" w:hanging="567"/>
      </w:pPr>
      <w:rPr>
        <w:rFonts w:hint="default"/>
      </w:rPr>
    </w:lvl>
    <w:lvl w:ilvl="3" w:tplc="FA3C54A0">
      <w:numFmt w:val="bullet"/>
      <w:lvlText w:val="•"/>
      <w:lvlJc w:val="left"/>
      <w:pPr>
        <w:ind w:left="2976" w:hanging="567"/>
      </w:pPr>
      <w:rPr>
        <w:rFonts w:hint="default"/>
      </w:rPr>
    </w:lvl>
    <w:lvl w:ilvl="4" w:tplc="E16C8196">
      <w:numFmt w:val="bullet"/>
      <w:lvlText w:val="•"/>
      <w:lvlJc w:val="left"/>
      <w:pPr>
        <w:ind w:left="3928" w:hanging="567"/>
      </w:pPr>
      <w:rPr>
        <w:rFonts w:hint="default"/>
      </w:rPr>
    </w:lvl>
    <w:lvl w:ilvl="5" w:tplc="BAA49FF6">
      <w:numFmt w:val="bullet"/>
      <w:lvlText w:val="•"/>
      <w:lvlJc w:val="left"/>
      <w:pPr>
        <w:ind w:left="4880" w:hanging="567"/>
      </w:pPr>
      <w:rPr>
        <w:rFonts w:hint="default"/>
      </w:rPr>
    </w:lvl>
    <w:lvl w:ilvl="6" w:tplc="489ABC8E">
      <w:numFmt w:val="bullet"/>
      <w:lvlText w:val="•"/>
      <w:lvlJc w:val="left"/>
      <w:pPr>
        <w:ind w:left="5832" w:hanging="567"/>
      </w:pPr>
      <w:rPr>
        <w:rFonts w:hint="default"/>
      </w:rPr>
    </w:lvl>
    <w:lvl w:ilvl="7" w:tplc="1FB25E34">
      <w:numFmt w:val="bullet"/>
      <w:lvlText w:val="•"/>
      <w:lvlJc w:val="left"/>
      <w:pPr>
        <w:ind w:left="6784" w:hanging="567"/>
      </w:pPr>
      <w:rPr>
        <w:rFonts w:hint="default"/>
      </w:rPr>
    </w:lvl>
    <w:lvl w:ilvl="8" w:tplc="69069A70">
      <w:numFmt w:val="bullet"/>
      <w:lvlText w:val="•"/>
      <w:lvlJc w:val="left"/>
      <w:pPr>
        <w:ind w:left="7736" w:hanging="567"/>
      </w:pPr>
      <w:rPr>
        <w:rFonts w:hint="default"/>
      </w:rPr>
    </w:lvl>
  </w:abstractNum>
  <w:abstractNum w:abstractNumId="4" w15:restartNumberingAfterBreak="0">
    <w:nsid w:val="0A2F5E98"/>
    <w:multiLevelType w:val="hybridMultilevel"/>
    <w:tmpl w:val="84FE9D9E"/>
    <w:lvl w:ilvl="0" w:tplc="56C06272">
      <w:start w:val="1"/>
      <w:numFmt w:val="decimal"/>
      <w:lvlText w:val="%1."/>
      <w:lvlJc w:val="left"/>
      <w:pPr>
        <w:ind w:left="2061" w:hanging="360"/>
      </w:pPr>
      <w:rPr>
        <w:rFonts w:cs="Times New Roman" w:hint="default"/>
        <w:b w:val="0"/>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A4F2A87"/>
    <w:multiLevelType w:val="hybridMultilevel"/>
    <w:tmpl w:val="CD6C2C34"/>
    <w:lvl w:ilvl="0" w:tplc="3A009470">
      <w:start w:val="1"/>
      <w:numFmt w:val="upperRoman"/>
      <w:lvlText w:val="%1."/>
      <w:lvlJc w:val="left"/>
      <w:pPr>
        <w:ind w:left="1080" w:hanging="720"/>
      </w:pPr>
      <w:rPr>
        <w:rFonts w:hint="default"/>
        <w:i w:val="0"/>
        <w:sz w:val="24"/>
        <w:szCs w:val="24"/>
        <w:u w:val="none"/>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0C2C19C3"/>
    <w:multiLevelType w:val="hybridMultilevel"/>
    <w:tmpl w:val="EC02C7A0"/>
    <w:lvl w:ilvl="0" w:tplc="5F3CDC52">
      <w:start w:val="1"/>
      <w:numFmt w:val="upperLetter"/>
      <w:lvlText w:val="%1."/>
      <w:lvlJc w:val="left"/>
      <w:pPr>
        <w:ind w:left="9998" w:hanging="360"/>
      </w:pPr>
      <w:rPr>
        <w:rFonts w:hint="default"/>
      </w:rPr>
    </w:lvl>
    <w:lvl w:ilvl="1" w:tplc="140A0019">
      <w:start w:val="1"/>
      <w:numFmt w:val="lowerLetter"/>
      <w:lvlText w:val="%2."/>
      <w:lvlJc w:val="left"/>
      <w:pPr>
        <w:ind w:left="10718" w:hanging="360"/>
      </w:pPr>
    </w:lvl>
    <w:lvl w:ilvl="2" w:tplc="140A001B" w:tentative="1">
      <w:start w:val="1"/>
      <w:numFmt w:val="lowerRoman"/>
      <w:lvlText w:val="%3."/>
      <w:lvlJc w:val="right"/>
      <w:pPr>
        <w:ind w:left="11438" w:hanging="180"/>
      </w:pPr>
    </w:lvl>
    <w:lvl w:ilvl="3" w:tplc="140A000F" w:tentative="1">
      <w:start w:val="1"/>
      <w:numFmt w:val="decimal"/>
      <w:lvlText w:val="%4."/>
      <w:lvlJc w:val="left"/>
      <w:pPr>
        <w:ind w:left="12158" w:hanging="360"/>
      </w:pPr>
    </w:lvl>
    <w:lvl w:ilvl="4" w:tplc="140A0019" w:tentative="1">
      <w:start w:val="1"/>
      <w:numFmt w:val="lowerLetter"/>
      <w:lvlText w:val="%5."/>
      <w:lvlJc w:val="left"/>
      <w:pPr>
        <w:ind w:left="12878" w:hanging="360"/>
      </w:pPr>
    </w:lvl>
    <w:lvl w:ilvl="5" w:tplc="140A001B" w:tentative="1">
      <w:start w:val="1"/>
      <w:numFmt w:val="lowerRoman"/>
      <w:lvlText w:val="%6."/>
      <w:lvlJc w:val="right"/>
      <w:pPr>
        <w:ind w:left="13598" w:hanging="180"/>
      </w:pPr>
    </w:lvl>
    <w:lvl w:ilvl="6" w:tplc="140A000F" w:tentative="1">
      <w:start w:val="1"/>
      <w:numFmt w:val="decimal"/>
      <w:lvlText w:val="%7."/>
      <w:lvlJc w:val="left"/>
      <w:pPr>
        <w:ind w:left="14318" w:hanging="360"/>
      </w:pPr>
    </w:lvl>
    <w:lvl w:ilvl="7" w:tplc="140A0019" w:tentative="1">
      <w:start w:val="1"/>
      <w:numFmt w:val="lowerLetter"/>
      <w:lvlText w:val="%8."/>
      <w:lvlJc w:val="left"/>
      <w:pPr>
        <w:ind w:left="15038" w:hanging="360"/>
      </w:pPr>
    </w:lvl>
    <w:lvl w:ilvl="8" w:tplc="140A001B" w:tentative="1">
      <w:start w:val="1"/>
      <w:numFmt w:val="lowerRoman"/>
      <w:lvlText w:val="%9."/>
      <w:lvlJc w:val="right"/>
      <w:pPr>
        <w:ind w:left="15758" w:hanging="180"/>
      </w:pPr>
    </w:lvl>
  </w:abstractNum>
  <w:abstractNum w:abstractNumId="7" w15:restartNumberingAfterBreak="0">
    <w:nsid w:val="15AF7DC0"/>
    <w:multiLevelType w:val="hybridMultilevel"/>
    <w:tmpl w:val="F7A2B7DA"/>
    <w:lvl w:ilvl="0" w:tplc="140A001B">
      <w:start w:val="1"/>
      <w:numFmt w:val="low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F47174F"/>
    <w:multiLevelType w:val="hybridMultilevel"/>
    <w:tmpl w:val="4516C358"/>
    <w:lvl w:ilvl="0" w:tplc="B49424E8">
      <w:start w:val="1"/>
      <w:numFmt w:val="upperLetter"/>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9" w15:restartNumberingAfterBreak="0">
    <w:nsid w:val="1FD273F9"/>
    <w:multiLevelType w:val="hybridMultilevel"/>
    <w:tmpl w:val="8472915E"/>
    <w:lvl w:ilvl="0" w:tplc="8D78AF3E">
      <w:start w:val="2"/>
      <w:numFmt w:val="upp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0" w15:restartNumberingAfterBreak="0">
    <w:nsid w:val="254E4BDD"/>
    <w:multiLevelType w:val="hybridMultilevel"/>
    <w:tmpl w:val="6A96642C"/>
    <w:lvl w:ilvl="0" w:tplc="8026A79E">
      <w:start w:val="1"/>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5EC5C34"/>
    <w:multiLevelType w:val="hybridMultilevel"/>
    <w:tmpl w:val="9962BE40"/>
    <w:lvl w:ilvl="0" w:tplc="ABF8E334">
      <w:start w:val="1"/>
      <w:numFmt w:val="decimal"/>
      <w:lvlText w:val="%1."/>
      <w:lvlJc w:val="left"/>
      <w:pPr>
        <w:ind w:left="928" w:hanging="360"/>
      </w:pPr>
      <w:rPr>
        <w:rFonts w:ascii="Verdana" w:hAnsi="Verdana" w:hint="default"/>
        <w:b w:val="0"/>
        <w:i w:val="0"/>
        <w:color w:val="auto"/>
      </w:rPr>
    </w:lvl>
    <w:lvl w:ilvl="1" w:tplc="C23AC0AA">
      <w:start w:val="1"/>
      <w:numFmt w:val="lowerLetter"/>
      <w:lvlText w:val="%2)"/>
      <w:lvlJc w:val="left"/>
      <w:pPr>
        <w:ind w:left="1080" w:hanging="360"/>
      </w:pPr>
      <w:rPr>
        <w:rFonts w:hint="default"/>
        <w:i/>
      </w:r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782CD6"/>
    <w:multiLevelType w:val="hybridMultilevel"/>
    <w:tmpl w:val="76AE736A"/>
    <w:lvl w:ilvl="0" w:tplc="140A0013">
      <w:start w:val="1"/>
      <w:numFmt w:val="upperRoman"/>
      <w:lvlText w:val="%1."/>
      <w:lvlJc w:val="right"/>
      <w:pPr>
        <w:ind w:left="1440" w:hanging="360"/>
      </w:pPr>
    </w:lvl>
    <w:lvl w:ilvl="1" w:tplc="240A0015">
      <w:start w:val="1"/>
      <w:numFmt w:val="upperLetter"/>
      <w:lvlText w:val="%2."/>
      <w:lvlJc w:val="left"/>
      <w:pPr>
        <w:ind w:left="2160" w:hanging="360"/>
      </w:pPr>
    </w:lvl>
    <w:lvl w:ilvl="2" w:tplc="73ECAB76">
      <w:start w:val="2"/>
      <w:numFmt w:val="upperLetter"/>
      <w:lvlText w:val="%3."/>
      <w:lvlJc w:val="left"/>
      <w:pPr>
        <w:ind w:left="3060" w:hanging="360"/>
      </w:pPr>
      <w:rPr>
        <w:rFonts w:hint="default"/>
      </w:r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3" w15:restartNumberingAfterBreak="0">
    <w:nsid w:val="4BF8404A"/>
    <w:multiLevelType w:val="hybridMultilevel"/>
    <w:tmpl w:val="139A5252"/>
    <w:lvl w:ilvl="0" w:tplc="2DA2FA26">
      <w:start w:val="1"/>
      <w:numFmt w:val="decimal"/>
      <w:lvlText w:val="%1."/>
      <w:lvlJc w:val="left"/>
      <w:pPr>
        <w:tabs>
          <w:tab w:val="num" w:pos="1320"/>
        </w:tabs>
        <w:ind w:left="1320" w:hanging="360"/>
      </w:pPr>
    </w:lvl>
    <w:lvl w:ilvl="1" w:tplc="0C0A0019">
      <w:start w:val="1"/>
      <w:numFmt w:val="lowerLetter"/>
      <w:lvlText w:val="%2."/>
      <w:lvlJc w:val="left"/>
      <w:pPr>
        <w:tabs>
          <w:tab w:val="num" w:pos="2040"/>
        </w:tabs>
        <w:ind w:left="2040" w:hanging="360"/>
      </w:pPr>
    </w:lvl>
    <w:lvl w:ilvl="2" w:tplc="0C0A001B">
      <w:start w:val="1"/>
      <w:numFmt w:val="lowerRoman"/>
      <w:lvlText w:val="%3."/>
      <w:lvlJc w:val="right"/>
      <w:pPr>
        <w:tabs>
          <w:tab w:val="num" w:pos="2760"/>
        </w:tabs>
        <w:ind w:left="2760" w:hanging="180"/>
      </w:pPr>
    </w:lvl>
    <w:lvl w:ilvl="3" w:tplc="0C0A000F">
      <w:start w:val="1"/>
      <w:numFmt w:val="decimal"/>
      <w:lvlText w:val="%4."/>
      <w:lvlJc w:val="left"/>
      <w:pPr>
        <w:tabs>
          <w:tab w:val="num" w:pos="3480"/>
        </w:tabs>
        <w:ind w:left="3480" w:hanging="360"/>
      </w:pPr>
    </w:lvl>
    <w:lvl w:ilvl="4" w:tplc="0C0A0019">
      <w:start w:val="1"/>
      <w:numFmt w:val="lowerLetter"/>
      <w:lvlText w:val="%5."/>
      <w:lvlJc w:val="left"/>
      <w:pPr>
        <w:tabs>
          <w:tab w:val="num" w:pos="4200"/>
        </w:tabs>
        <w:ind w:left="4200" w:hanging="360"/>
      </w:pPr>
    </w:lvl>
    <w:lvl w:ilvl="5" w:tplc="0C0A001B">
      <w:start w:val="1"/>
      <w:numFmt w:val="lowerRoman"/>
      <w:lvlText w:val="%6."/>
      <w:lvlJc w:val="right"/>
      <w:pPr>
        <w:tabs>
          <w:tab w:val="num" w:pos="4920"/>
        </w:tabs>
        <w:ind w:left="4920" w:hanging="180"/>
      </w:pPr>
    </w:lvl>
    <w:lvl w:ilvl="6" w:tplc="0C0A000F">
      <w:start w:val="1"/>
      <w:numFmt w:val="decimal"/>
      <w:lvlText w:val="%7."/>
      <w:lvlJc w:val="left"/>
      <w:pPr>
        <w:tabs>
          <w:tab w:val="num" w:pos="5640"/>
        </w:tabs>
        <w:ind w:left="5640" w:hanging="360"/>
      </w:pPr>
    </w:lvl>
    <w:lvl w:ilvl="7" w:tplc="0C0A0019">
      <w:start w:val="1"/>
      <w:numFmt w:val="lowerLetter"/>
      <w:lvlText w:val="%8."/>
      <w:lvlJc w:val="left"/>
      <w:pPr>
        <w:tabs>
          <w:tab w:val="num" w:pos="6360"/>
        </w:tabs>
        <w:ind w:left="6360" w:hanging="360"/>
      </w:pPr>
    </w:lvl>
    <w:lvl w:ilvl="8" w:tplc="0C0A001B">
      <w:start w:val="1"/>
      <w:numFmt w:val="lowerRoman"/>
      <w:lvlText w:val="%9."/>
      <w:lvlJc w:val="right"/>
      <w:pPr>
        <w:tabs>
          <w:tab w:val="num" w:pos="7080"/>
        </w:tabs>
        <w:ind w:left="7080" w:hanging="180"/>
      </w:pPr>
    </w:lvl>
  </w:abstractNum>
  <w:abstractNum w:abstractNumId="14" w15:restartNumberingAfterBreak="0">
    <w:nsid w:val="52961968"/>
    <w:multiLevelType w:val="hybridMultilevel"/>
    <w:tmpl w:val="7042ED02"/>
    <w:lvl w:ilvl="0" w:tplc="59767836">
      <w:start w:val="1"/>
      <w:numFmt w:val="upperLetter"/>
      <w:lvlText w:val="%1."/>
      <w:lvlJc w:val="left"/>
      <w:pPr>
        <w:ind w:left="1080" w:hanging="360"/>
      </w:pPr>
      <w:rPr>
        <w:rFonts w:hint="default"/>
        <w:b/>
      </w:r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5" w15:restartNumberingAfterBreak="0">
    <w:nsid w:val="5F4C2233"/>
    <w:multiLevelType w:val="hybridMultilevel"/>
    <w:tmpl w:val="7EA8578E"/>
    <w:lvl w:ilvl="0" w:tplc="6E46E8B0">
      <w:start w:val="1"/>
      <w:numFmt w:val="lowerLetter"/>
      <w:lvlText w:val="%1)"/>
      <w:lvlJc w:val="left"/>
      <w:pPr>
        <w:ind w:left="720" w:hanging="360"/>
      </w:pPr>
      <w:rPr>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2966BAF"/>
    <w:multiLevelType w:val="hybridMultilevel"/>
    <w:tmpl w:val="BBC89D4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8FD7D50"/>
    <w:multiLevelType w:val="multilevel"/>
    <w:tmpl w:val="DA604CCE"/>
    <w:lvl w:ilvl="0">
      <w:start w:val="1"/>
      <w:numFmt w:val="decimal"/>
      <w:lvlText w:val="%1."/>
      <w:lvlJc w:val="left"/>
      <w:pPr>
        <w:ind w:left="967" w:hanging="825"/>
      </w:pPr>
      <w:rPr>
        <w:rFonts w:hint="default"/>
        <w:b w:val="0"/>
        <w:i w:val="0"/>
        <w:strike w:val="0"/>
        <w:color w:val="00000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05A6F5C"/>
    <w:multiLevelType w:val="hybridMultilevel"/>
    <w:tmpl w:val="81A4E7CE"/>
    <w:lvl w:ilvl="0" w:tplc="4E568872">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n-US"/>
      </w:rPr>
    </w:lvl>
    <w:lvl w:ilvl="1" w:tplc="5C6C0158">
      <w:start w:val="7"/>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41E01BF"/>
    <w:multiLevelType w:val="hybridMultilevel"/>
    <w:tmpl w:val="66E01434"/>
    <w:lvl w:ilvl="0" w:tplc="7A5A5CB8">
      <w:start w:val="1"/>
      <w:numFmt w:val="upperLetter"/>
      <w:pStyle w:val="Heading2"/>
      <w:lvlText w:val="%1."/>
      <w:lvlJc w:val="left"/>
      <w:pPr>
        <w:ind w:left="1288" w:hanging="720"/>
      </w:pPr>
    </w:lvl>
    <w:lvl w:ilvl="1" w:tplc="140A0019">
      <w:start w:val="1"/>
      <w:numFmt w:val="lowerLetter"/>
      <w:lvlText w:val="%2."/>
      <w:lvlJc w:val="left"/>
      <w:pPr>
        <w:ind w:left="1659" w:hanging="360"/>
      </w:pPr>
    </w:lvl>
    <w:lvl w:ilvl="2" w:tplc="140A001B">
      <w:start w:val="1"/>
      <w:numFmt w:val="lowerRoman"/>
      <w:lvlText w:val="%3."/>
      <w:lvlJc w:val="right"/>
      <w:pPr>
        <w:ind w:left="2379" w:hanging="180"/>
      </w:pPr>
    </w:lvl>
    <w:lvl w:ilvl="3" w:tplc="3F309098">
      <w:start w:val="1"/>
      <w:numFmt w:val="decimal"/>
      <w:lvlText w:val="%4."/>
      <w:lvlJc w:val="left"/>
      <w:pPr>
        <w:ind w:left="3099" w:hanging="360"/>
      </w:pPr>
      <w:rPr>
        <w:rFonts w:ascii="Verdana" w:hAnsi="Verdana" w:hint="default"/>
        <w:b w:val="0"/>
        <w:color w:val="auto"/>
        <w:sz w:val="20"/>
        <w:szCs w:val="20"/>
      </w:rPr>
    </w:lvl>
    <w:lvl w:ilvl="4" w:tplc="140A0019">
      <w:start w:val="1"/>
      <w:numFmt w:val="lowerLetter"/>
      <w:lvlText w:val="%5."/>
      <w:lvlJc w:val="left"/>
      <w:pPr>
        <w:ind w:left="3819" w:hanging="360"/>
      </w:pPr>
    </w:lvl>
    <w:lvl w:ilvl="5" w:tplc="140A001B">
      <w:start w:val="1"/>
      <w:numFmt w:val="lowerRoman"/>
      <w:lvlText w:val="%6."/>
      <w:lvlJc w:val="right"/>
      <w:pPr>
        <w:ind w:left="4539" w:hanging="180"/>
      </w:pPr>
    </w:lvl>
    <w:lvl w:ilvl="6" w:tplc="140A000F">
      <w:start w:val="1"/>
      <w:numFmt w:val="decimal"/>
      <w:lvlText w:val="%7."/>
      <w:lvlJc w:val="left"/>
      <w:pPr>
        <w:ind w:left="5259" w:hanging="360"/>
      </w:pPr>
    </w:lvl>
    <w:lvl w:ilvl="7" w:tplc="140A0019">
      <w:start w:val="1"/>
      <w:numFmt w:val="lowerLetter"/>
      <w:lvlText w:val="%8."/>
      <w:lvlJc w:val="left"/>
      <w:pPr>
        <w:ind w:left="5979" w:hanging="360"/>
      </w:pPr>
    </w:lvl>
    <w:lvl w:ilvl="8" w:tplc="140A001B">
      <w:start w:val="1"/>
      <w:numFmt w:val="lowerRoman"/>
      <w:lvlText w:val="%9."/>
      <w:lvlJc w:val="right"/>
      <w:pPr>
        <w:ind w:left="6699" w:hanging="180"/>
      </w:pPr>
    </w:lvl>
  </w:abstractNum>
  <w:abstractNum w:abstractNumId="20" w15:restartNumberingAfterBreak="0">
    <w:nsid w:val="7B943B8E"/>
    <w:multiLevelType w:val="hybridMultilevel"/>
    <w:tmpl w:val="79B0DCDC"/>
    <w:lvl w:ilvl="0" w:tplc="788C03B4">
      <w:start w:val="1"/>
      <w:numFmt w:val="upperRoman"/>
      <w:lvlText w:val="%1."/>
      <w:lvlJc w:val="left"/>
      <w:pPr>
        <w:ind w:left="153" w:hanging="720"/>
      </w:pPr>
      <w:rPr>
        <w:rFonts w:hint="default"/>
        <w:b/>
        <w:bCs/>
      </w:rPr>
    </w:lvl>
    <w:lvl w:ilvl="1" w:tplc="340A0019" w:tentative="1">
      <w:start w:val="1"/>
      <w:numFmt w:val="lowerLetter"/>
      <w:lvlText w:val="%2."/>
      <w:lvlJc w:val="left"/>
      <w:pPr>
        <w:ind w:left="513" w:hanging="360"/>
      </w:pPr>
    </w:lvl>
    <w:lvl w:ilvl="2" w:tplc="340A001B" w:tentative="1">
      <w:start w:val="1"/>
      <w:numFmt w:val="lowerRoman"/>
      <w:lvlText w:val="%3."/>
      <w:lvlJc w:val="right"/>
      <w:pPr>
        <w:ind w:left="1233" w:hanging="180"/>
      </w:pPr>
    </w:lvl>
    <w:lvl w:ilvl="3" w:tplc="340A000F" w:tentative="1">
      <w:start w:val="1"/>
      <w:numFmt w:val="decimal"/>
      <w:lvlText w:val="%4."/>
      <w:lvlJc w:val="left"/>
      <w:pPr>
        <w:ind w:left="1953" w:hanging="360"/>
      </w:pPr>
    </w:lvl>
    <w:lvl w:ilvl="4" w:tplc="340A0019" w:tentative="1">
      <w:start w:val="1"/>
      <w:numFmt w:val="lowerLetter"/>
      <w:lvlText w:val="%5."/>
      <w:lvlJc w:val="left"/>
      <w:pPr>
        <w:ind w:left="2673" w:hanging="360"/>
      </w:pPr>
    </w:lvl>
    <w:lvl w:ilvl="5" w:tplc="340A001B" w:tentative="1">
      <w:start w:val="1"/>
      <w:numFmt w:val="lowerRoman"/>
      <w:lvlText w:val="%6."/>
      <w:lvlJc w:val="right"/>
      <w:pPr>
        <w:ind w:left="3393" w:hanging="180"/>
      </w:pPr>
    </w:lvl>
    <w:lvl w:ilvl="6" w:tplc="340A000F" w:tentative="1">
      <w:start w:val="1"/>
      <w:numFmt w:val="decimal"/>
      <w:lvlText w:val="%7."/>
      <w:lvlJc w:val="left"/>
      <w:pPr>
        <w:ind w:left="4113" w:hanging="360"/>
      </w:pPr>
    </w:lvl>
    <w:lvl w:ilvl="7" w:tplc="340A0019" w:tentative="1">
      <w:start w:val="1"/>
      <w:numFmt w:val="lowerLetter"/>
      <w:lvlText w:val="%8."/>
      <w:lvlJc w:val="left"/>
      <w:pPr>
        <w:ind w:left="4833" w:hanging="360"/>
      </w:pPr>
    </w:lvl>
    <w:lvl w:ilvl="8" w:tplc="340A001B" w:tentative="1">
      <w:start w:val="1"/>
      <w:numFmt w:val="lowerRoman"/>
      <w:lvlText w:val="%9."/>
      <w:lvlJc w:val="right"/>
      <w:pPr>
        <w:ind w:left="5553" w:hanging="180"/>
      </w:pPr>
    </w:lvl>
  </w:abstractNum>
  <w:num w:numId="1">
    <w:abstractNumId w:val="0"/>
  </w:num>
  <w:num w:numId="2">
    <w:abstractNumId w:val="11"/>
  </w:num>
  <w:num w:numId="3">
    <w:abstractNumId w:val="18"/>
  </w:num>
  <w:num w:numId="4">
    <w:abstractNumId w:val="9"/>
  </w:num>
  <w:num w:numId="5">
    <w:abstractNumId w:val="19"/>
  </w:num>
  <w:num w:numId="6">
    <w:abstractNumId w:val="19"/>
    <w:lvlOverride w:ilvl="0">
      <w:startOverride w:val="1"/>
    </w:lvlOverride>
  </w:num>
  <w:num w:numId="7">
    <w:abstractNumId w:val="8"/>
  </w:num>
  <w:num w:numId="8">
    <w:abstractNumId w:val="19"/>
    <w:lvlOverride w:ilvl="0">
      <w:startOverride w:val="1"/>
    </w:lvlOverride>
  </w:num>
  <w:num w:numId="9">
    <w:abstractNumId w:val="14"/>
  </w:num>
  <w:num w:numId="10">
    <w:abstractNumId w:val="0"/>
    <w:lvlOverride w:ilvl="0">
      <w:startOverride w:val="1"/>
    </w:lvlOverride>
    <w:lvlOverride w:ilvl="1">
      <w:startOverride w:val="2"/>
    </w:lvlOverride>
  </w:num>
  <w:num w:numId="11">
    <w:abstractNumId w:val="6"/>
  </w:num>
  <w:num w:numId="12">
    <w:abstractNumId w:val="18"/>
  </w:num>
  <w:num w:numId="13">
    <w:abstractNumId w:val="3"/>
  </w:num>
  <w:num w:numId="14">
    <w:abstractNumId w:val="18"/>
  </w:num>
  <w:num w:numId="15">
    <w:abstractNumId w:val="16"/>
  </w:num>
  <w:num w:numId="16">
    <w:abstractNumId w:val="15"/>
  </w:num>
  <w:num w:numId="17">
    <w:abstractNumId w:val="7"/>
  </w:num>
  <w:num w:numId="18">
    <w:abstractNumId w:val="10"/>
  </w:num>
  <w:num w:numId="19">
    <w:abstractNumId w:val="20"/>
  </w:num>
  <w:num w:numId="20">
    <w:abstractNumId w:val="2"/>
  </w:num>
  <w:num w:numId="21">
    <w:abstractNumId w:val="12"/>
  </w:num>
  <w:num w:numId="22">
    <w:abstractNumId w:val="4"/>
  </w:num>
  <w:num w:numId="23">
    <w:abstractNumId w:val="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activeWritingStyle w:appName="MSWord" w:lang="es-CR" w:vendorID="64" w:dllVersion="6" w:nlCheck="1" w:checkStyle="0"/>
  <w:activeWritingStyle w:appName="MSWord" w:lang="es-MX" w:vendorID="64" w:dllVersion="6" w:nlCheck="1" w:checkStyle="0"/>
  <w:activeWritingStyle w:appName="MSWord" w:lang="es-ES" w:vendorID="64" w:dllVersion="6" w:nlCheck="1" w:checkStyle="0"/>
  <w:activeWritingStyle w:appName="MSWord" w:lang="pt-BR" w:vendorID="64" w:dllVersion="6" w:nlCheck="1" w:checkStyle="0"/>
  <w:activeWritingStyle w:appName="MSWord" w:lang="es-CO" w:vendorID="64" w:dllVersion="6" w:nlCheck="1" w:checkStyle="0"/>
  <w:activeWritingStyle w:appName="MSWord" w:lang="en-US" w:vendorID="64" w:dllVersion="6" w:nlCheck="1" w:checkStyle="1"/>
  <w:activeWritingStyle w:appName="MSWord" w:lang="es-PE" w:vendorID="64" w:dllVersion="6" w:nlCheck="1" w:checkStyle="0"/>
  <w:activeWritingStyle w:appName="MSWord" w:lang="es-ES_tradnl" w:vendorID="64" w:dllVersion="6" w:nlCheck="1" w:checkStyle="0"/>
  <w:activeWritingStyle w:appName="MSWord" w:lang="es-CL" w:vendorID="64" w:dllVersion="6" w:nlCheck="1" w:checkStyle="0"/>
  <w:activeWritingStyle w:appName="MSWord" w:lang="es-AR" w:vendorID="64" w:dllVersion="6" w:nlCheck="1" w:checkStyle="0"/>
  <w:activeWritingStyle w:appName="MSWord" w:lang="es-EC" w:vendorID="64" w:dllVersion="6" w:nlCheck="1" w:checkStyle="0"/>
  <w:activeWritingStyle w:appName="MSWord" w:lang="es-VE" w:vendorID="64" w:dllVersion="6" w:nlCheck="1" w:checkStyle="0"/>
  <w:activeWritingStyle w:appName="MSWord" w:lang="es-HN" w:vendorID="64" w:dllVersion="6" w:nlCheck="1" w:checkStyle="0"/>
  <w:activeWritingStyle w:appName="MSWord" w:lang="es-PR" w:vendorID="64" w:dllVersion="6" w:nlCheck="1" w:checkStyle="0"/>
  <w:activeWritingStyle w:appName="MSWord" w:lang="es-DO" w:vendorID="64" w:dllVersion="6" w:nlCheck="1" w:checkStyle="0"/>
  <w:activeWritingStyle w:appName="MSWord" w:lang="es-GT" w:vendorID="64" w:dllVersion="6" w:nlCheck="1" w:checkStyle="0"/>
  <w:activeWritingStyle w:appName="MSWord" w:lang="es-C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es-MX" w:vendorID="64" w:dllVersion="0" w:nlCheck="1" w:checkStyle="0"/>
  <w:activeWritingStyle w:appName="MSWord" w:lang="es-PE" w:vendorID="64" w:dllVersion="0" w:nlCheck="1" w:checkStyle="0"/>
  <w:activeWritingStyle w:appName="MSWord" w:lang="es-DO" w:vendorID="64" w:dllVersion="0" w:nlCheck="1" w:checkStyle="0"/>
  <w:activeWritingStyle w:appName="MSWord" w:lang="en-US" w:vendorID="64" w:dllVersion="0" w:nlCheck="1" w:checkStyle="0"/>
  <w:activeWritingStyle w:appName="MSWord" w:lang="es-PR" w:vendorID="64" w:dllVersion="0" w:nlCheck="1" w:checkStyle="0"/>
  <w:activeWritingStyle w:appName="MSWord" w:lang="es-419" w:vendorID="64" w:dllVersion="0" w:nlCheck="1" w:checkStyle="0"/>
  <w:activeWritingStyle w:appName="MSWord" w:lang="fr-FR" w:vendorID="64" w:dllVersion="0" w:nlCheck="1" w:checkStyle="0"/>
  <w:activeWritingStyle w:appName="MSWord" w:lang="es-AR" w:vendorID="64" w:dllVersion="0" w:nlCheck="1" w:checkStyle="0"/>
  <w:activeWritingStyle w:appName="MSWord" w:lang="es-UY" w:vendorID="64" w:dllVersion="0" w:nlCheck="1" w:checkStyle="0"/>
  <w:activeWritingStyle w:appName="MSWord" w:lang="en-GB"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0B"/>
    <w:rsid w:val="00000458"/>
    <w:rsid w:val="0000055F"/>
    <w:rsid w:val="0000116F"/>
    <w:rsid w:val="00001D45"/>
    <w:rsid w:val="000031D5"/>
    <w:rsid w:val="00003343"/>
    <w:rsid w:val="0000348D"/>
    <w:rsid w:val="00004020"/>
    <w:rsid w:val="00004021"/>
    <w:rsid w:val="000051FA"/>
    <w:rsid w:val="00007024"/>
    <w:rsid w:val="00007FB2"/>
    <w:rsid w:val="0001190F"/>
    <w:rsid w:val="000138CD"/>
    <w:rsid w:val="00013FEB"/>
    <w:rsid w:val="000148D3"/>
    <w:rsid w:val="00016774"/>
    <w:rsid w:val="000173B2"/>
    <w:rsid w:val="000202C8"/>
    <w:rsid w:val="0002051C"/>
    <w:rsid w:val="000231BC"/>
    <w:rsid w:val="0002327C"/>
    <w:rsid w:val="00024B9A"/>
    <w:rsid w:val="00024FDE"/>
    <w:rsid w:val="00026931"/>
    <w:rsid w:val="000303FF"/>
    <w:rsid w:val="000324CD"/>
    <w:rsid w:val="00032523"/>
    <w:rsid w:val="00032C69"/>
    <w:rsid w:val="000352CE"/>
    <w:rsid w:val="00035AC8"/>
    <w:rsid w:val="00041621"/>
    <w:rsid w:val="0004191C"/>
    <w:rsid w:val="00041F63"/>
    <w:rsid w:val="0004465A"/>
    <w:rsid w:val="000470E9"/>
    <w:rsid w:val="00047DCE"/>
    <w:rsid w:val="00050702"/>
    <w:rsid w:val="00050F10"/>
    <w:rsid w:val="00051700"/>
    <w:rsid w:val="00051F5F"/>
    <w:rsid w:val="000523BF"/>
    <w:rsid w:val="00052749"/>
    <w:rsid w:val="000534A3"/>
    <w:rsid w:val="0005467C"/>
    <w:rsid w:val="00055A0F"/>
    <w:rsid w:val="00055EC1"/>
    <w:rsid w:val="00056A3C"/>
    <w:rsid w:val="0006217C"/>
    <w:rsid w:val="000628B8"/>
    <w:rsid w:val="000638C7"/>
    <w:rsid w:val="00065723"/>
    <w:rsid w:val="000658F0"/>
    <w:rsid w:val="00066500"/>
    <w:rsid w:val="00066DC7"/>
    <w:rsid w:val="00070D87"/>
    <w:rsid w:val="00071FCB"/>
    <w:rsid w:val="00072471"/>
    <w:rsid w:val="00072B06"/>
    <w:rsid w:val="00076DF8"/>
    <w:rsid w:val="000773B3"/>
    <w:rsid w:val="00077CF2"/>
    <w:rsid w:val="00082EF3"/>
    <w:rsid w:val="00083D2F"/>
    <w:rsid w:val="00086BC4"/>
    <w:rsid w:val="00086FF8"/>
    <w:rsid w:val="00087FB8"/>
    <w:rsid w:val="00092C2A"/>
    <w:rsid w:val="00092D8C"/>
    <w:rsid w:val="00093D75"/>
    <w:rsid w:val="0009429E"/>
    <w:rsid w:val="000943BE"/>
    <w:rsid w:val="00095A13"/>
    <w:rsid w:val="00095E20"/>
    <w:rsid w:val="00096856"/>
    <w:rsid w:val="000A20FF"/>
    <w:rsid w:val="000A238B"/>
    <w:rsid w:val="000A29B2"/>
    <w:rsid w:val="000A411A"/>
    <w:rsid w:val="000A46E0"/>
    <w:rsid w:val="000A5FAC"/>
    <w:rsid w:val="000A73DA"/>
    <w:rsid w:val="000A7745"/>
    <w:rsid w:val="000B0674"/>
    <w:rsid w:val="000B188E"/>
    <w:rsid w:val="000B1C13"/>
    <w:rsid w:val="000B1DA3"/>
    <w:rsid w:val="000B1E36"/>
    <w:rsid w:val="000B357E"/>
    <w:rsid w:val="000B422C"/>
    <w:rsid w:val="000B48C6"/>
    <w:rsid w:val="000B4C93"/>
    <w:rsid w:val="000B4C98"/>
    <w:rsid w:val="000B573B"/>
    <w:rsid w:val="000B5D32"/>
    <w:rsid w:val="000B5DF1"/>
    <w:rsid w:val="000B6389"/>
    <w:rsid w:val="000B737E"/>
    <w:rsid w:val="000B7E2A"/>
    <w:rsid w:val="000C03C3"/>
    <w:rsid w:val="000C3483"/>
    <w:rsid w:val="000C55B3"/>
    <w:rsid w:val="000C642C"/>
    <w:rsid w:val="000C64CA"/>
    <w:rsid w:val="000D1A38"/>
    <w:rsid w:val="000D1F57"/>
    <w:rsid w:val="000D2C37"/>
    <w:rsid w:val="000D5EBD"/>
    <w:rsid w:val="000E193E"/>
    <w:rsid w:val="000E19CD"/>
    <w:rsid w:val="000E2419"/>
    <w:rsid w:val="000E4BC2"/>
    <w:rsid w:val="000E510A"/>
    <w:rsid w:val="000E55DB"/>
    <w:rsid w:val="000E660B"/>
    <w:rsid w:val="000F02A7"/>
    <w:rsid w:val="000F07EF"/>
    <w:rsid w:val="000F1EBD"/>
    <w:rsid w:val="000F37EC"/>
    <w:rsid w:val="000F42F3"/>
    <w:rsid w:val="000F70BE"/>
    <w:rsid w:val="00100EAD"/>
    <w:rsid w:val="00102F22"/>
    <w:rsid w:val="00103981"/>
    <w:rsid w:val="001043EA"/>
    <w:rsid w:val="001056D1"/>
    <w:rsid w:val="00105B45"/>
    <w:rsid w:val="001061AF"/>
    <w:rsid w:val="00110576"/>
    <w:rsid w:val="00112FCA"/>
    <w:rsid w:val="00114E63"/>
    <w:rsid w:val="0011694B"/>
    <w:rsid w:val="00116E32"/>
    <w:rsid w:val="0012023E"/>
    <w:rsid w:val="00120389"/>
    <w:rsid w:val="00121944"/>
    <w:rsid w:val="00122078"/>
    <w:rsid w:val="00123E54"/>
    <w:rsid w:val="00123E95"/>
    <w:rsid w:val="00126D60"/>
    <w:rsid w:val="00131752"/>
    <w:rsid w:val="00133F4B"/>
    <w:rsid w:val="00134346"/>
    <w:rsid w:val="00134804"/>
    <w:rsid w:val="00134A24"/>
    <w:rsid w:val="00136DD9"/>
    <w:rsid w:val="00141BDE"/>
    <w:rsid w:val="001431D3"/>
    <w:rsid w:val="001458BF"/>
    <w:rsid w:val="001462A5"/>
    <w:rsid w:val="0014699A"/>
    <w:rsid w:val="001471EC"/>
    <w:rsid w:val="00147FA8"/>
    <w:rsid w:val="001502E3"/>
    <w:rsid w:val="00151497"/>
    <w:rsid w:val="001536A7"/>
    <w:rsid w:val="00153C9F"/>
    <w:rsid w:val="00154448"/>
    <w:rsid w:val="0015476E"/>
    <w:rsid w:val="00155BD4"/>
    <w:rsid w:val="001573C3"/>
    <w:rsid w:val="00160D13"/>
    <w:rsid w:val="001617B2"/>
    <w:rsid w:val="00161F1D"/>
    <w:rsid w:val="0016496B"/>
    <w:rsid w:val="001650C4"/>
    <w:rsid w:val="001674EB"/>
    <w:rsid w:val="00170684"/>
    <w:rsid w:val="001726F2"/>
    <w:rsid w:val="00174BAE"/>
    <w:rsid w:val="00176670"/>
    <w:rsid w:val="00176E21"/>
    <w:rsid w:val="00176F7A"/>
    <w:rsid w:val="00177BA9"/>
    <w:rsid w:val="00180147"/>
    <w:rsid w:val="001813FC"/>
    <w:rsid w:val="001828C4"/>
    <w:rsid w:val="00182A8B"/>
    <w:rsid w:val="00183C22"/>
    <w:rsid w:val="001840F7"/>
    <w:rsid w:val="0018488D"/>
    <w:rsid w:val="00184936"/>
    <w:rsid w:val="00186C0F"/>
    <w:rsid w:val="00186C7A"/>
    <w:rsid w:val="0018702E"/>
    <w:rsid w:val="001878A1"/>
    <w:rsid w:val="001878F6"/>
    <w:rsid w:val="001902D2"/>
    <w:rsid w:val="00190CB7"/>
    <w:rsid w:val="00190EBC"/>
    <w:rsid w:val="00192CC9"/>
    <w:rsid w:val="00193CBB"/>
    <w:rsid w:val="00194B20"/>
    <w:rsid w:val="00194BD5"/>
    <w:rsid w:val="00196B76"/>
    <w:rsid w:val="00197FB3"/>
    <w:rsid w:val="001A0D39"/>
    <w:rsid w:val="001A19E8"/>
    <w:rsid w:val="001A2430"/>
    <w:rsid w:val="001A3D41"/>
    <w:rsid w:val="001A43EF"/>
    <w:rsid w:val="001A45E3"/>
    <w:rsid w:val="001A46E0"/>
    <w:rsid w:val="001A47A9"/>
    <w:rsid w:val="001A4FA7"/>
    <w:rsid w:val="001A6123"/>
    <w:rsid w:val="001A6CCA"/>
    <w:rsid w:val="001B007D"/>
    <w:rsid w:val="001B0793"/>
    <w:rsid w:val="001B22F5"/>
    <w:rsid w:val="001B3D07"/>
    <w:rsid w:val="001B3EE1"/>
    <w:rsid w:val="001B578B"/>
    <w:rsid w:val="001B5BEA"/>
    <w:rsid w:val="001B5DCA"/>
    <w:rsid w:val="001B617F"/>
    <w:rsid w:val="001B743A"/>
    <w:rsid w:val="001B7DFB"/>
    <w:rsid w:val="001C20DB"/>
    <w:rsid w:val="001C2696"/>
    <w:rsid w:val="001C5103"/>
    <w:rsid w:val="001C65B7"/>
    <w:rsid w:val="001C6A23"/>
    <w:rsid w:val="001C7793"/>
    <w:rsid w:val="001C78A0"/>
    <w:rsid w:val="001C7A57"/>
    <w:rsid w:val="001D06E9"/>
    <w:rsid w:val="001D0D49"/>
    <w:rsid w:val="001D1CB5"/>
    <w:rsid w:val="001D24AB"/>
    <w:rsid w:val="001D39E5"/>
    <w:rsid w:val="001D5382"/>
    <w:rsid w:val="001D59B6"/>
    <w:rsid w:val="001E19EC"/>
    <w:rsid w:val="001E2003"/>
    <w:rsid w:val="001E3F3B"/>
    <w:rsid w:val="001E520E"/>
    <w:rsid w:val="001E5550"/>
    <w:rsid w:val="001E58D9"/>
    <w:rsid w:val="001E645E"/>
    <w:rsid w:val="001E6EE3"/>
    <w:rsid w:val="001E729E"/>
    <w:rsid w:val="001F0CBE"/>
    <w:rsid w:val="001F1ABA"/>
    <w:rsid w:val="001F29F2"/>
    <w:rsid w:val="001F3977"/>
    <w:rsid w:val="001F4CB0"/>
    <w:rsid w:val="001F59C9"/>
    <w:rsid w:val="001F65A3"/>
    <w:rsid w:val="00200307"/>
    <w:rsid w:val="0020138F"/>
    <w:rsid w:val="00201596"/>
    <w:rsid w:val="0020274B"/>
    <w:rsid w:val="002029DE"/>
    <w:rsid w:val="00202BE8"/>
    <w:rsid w:val="0020567B"/>
    <w:rsid w:val="0021004C"/>
    <w:rsid w:val="00210D7C"/>
    <w:rsid w:val="002111EB"/>
    <w:rsid w:val="00211BE1"/>
    <w:rsid w:val="0021213A"/>
    <w:rsid w:val="00213D6F"/>
    <w:rsid w:val="0021419D"/>
    <w:rsid w:val="00214C52"/>
    <w:rsid w:val="0021520C"/>
    <w:rsid w:val="00215A49"/>
    <w:rsid w:val="00216198"/>
    <w:rsid w:val="002161E4"/>
    <w:rsid w:val="00224527"/>
    <w:rsid w:val="002258EF"/>
    <w:rsid w:val="002277FE"/>
    <w:rsid w:val="002319C1"/>
    <w:rsid w:val="00232E6F"/>
    <w:rsid w:val="002335BD"/>
    <w:rsid w:val="00233C42"/>
    <w:rsid w:val="0023503A"/>
    <w:rsid w:val="00235185"/>
    <w:rsid w:val="00235E04"/>
    <w:rsid w:val="00236B58"/>
    <w:rsid w:val="00237966"/>
    <w:rsid w:val="00243887"/>
    <w:rsid w:val="00244AA4"/>
    <w:rsid w:val="002450B9"/>
    <w:rsid w:val="00245A21"/>
    <w:rsid w:val="00246532"/>
    <w:rsid w:val="00246C30"/>
    <w:rsid w:val="00246EF2"/>
    <w:rsid w:val="00250908"/>
    <w:rsid w:val="00251101"/>
    <w:rsid w:val="00251663"/>
    <w:rsid w:val="00252267"/>
    <w:rsid w:val="002544EC"/>
    <w:rsid w:val="002562FC"/>
    <w:rsid w:val="002571A8"/>
    <w:rsid w:val="00257916"/>
    <w:rsid w:val="00257F5A"/>
    <w:rsid w:val="00257FB8"/>
    <w:rsid w:val="002600D5"/>
    <w:rsid w:val="00260D95"/>
    <w:rsid w:val="0026128C"/>
    <w:rsid w:val="0026150A"/>
    <w:rsid w:val="002632CD"/>
    <w:rsid w:val="00264419"/>
    <w:rsid w:val="0026475C"/>
    <w:rsid w:val="00265953"/>
    <w:rsid w:val="002663D3"/>
    <w:rsid w:val="002664F0"/>
    <w:rsid w:val="00266753"/>
    <w:rsid w:val="00266AE1"/>
    <w:rsid w:val="00266DAE"/>
    <w:rsid w:val="0027292E"/>
    <w:rsid w:val="0027296A"/>
    <w:rsid w:val="00273951"/>
    <w:rsid w:val="0027499B"/>
    <w:rsid w:val="00275BE4"/>
    <w:rsid w:val="00277424"/>
    <w:rsid w:val="00277790"/>
    <w:rsid w:val="002778B0"/>
    <w:rsid w:val="0027794F"/>
    <w:rsid w:val="0027795B"/>
    <w:rsid w:val="00277D66"/>
    <w:rsid w:val="002819CE"/>
    <w:rsid w:val="00281A86"/>
    <w:rsid w:val="00282367"/>
    <w:rsid w:val="00283A7C"/>
    <w:rsid w:val="00283AF9"/>
    <w:rsid w:val="00284A8F"/>
    <w:rsid w:val="00285435"/>
    <w:rsid w:val="00285457"/>
    <w:rsid w:val="00285C98"/>
    <w:rsid w:val="00286978"/>
    <w:rsid w:val="00290758"/>
    <w:rsid w:val="0029176C"/>
    <w:rsid w:val="00294F5C"/>
    <w:rsid w:val="00295743"/>
    <w:rsid w:val="00295A4B"/>
    <w:rsid w:val="0029671E"/>
    <w:rsid w:val="002A0CCE"/>
    <w:rsid w:val="002A163F"/>
    <w:rsid w:val="002A1688"/>
    <w:rsid w:val="002A1FDC"/>
    <w:rsid w:val="002A2487"/>
    <w:rsid w:val="002A282C"/>
    <w:rsid w:val="002A392B"/>
    <w:rsid w:val="002A656F"/>
    <w:rsid w:val="002A69FE"/>
    <w:rsid w:val="002B29E3"/>
    <w:rsid w:val="002B45C8"/>
    <w:rsid w:val="002B4CAD"/>
    <w:rsid w:val="002B75BB"/>
    <w:rsid w:val="002C16D7"/>
    <w:rsid w:val="002C1AB6"/>
    <w:rsid w:val="002C20CB"/>
    <w:rsid w:val="002C2B28"/>
    <w:rsid w:val="002C2E15"/>
    <w:rsid w:val="002C4F12"/>
    <w:rsid w:val="002C53CA"/>
    <w:rsid w:val="002C5740"/>
    <w:rsid w:val="002C6075"/>
    <w:rsid w:val="002C7989"/>
    <w:rsid w:val="002C7A26"/>
    <w:rsid w:val="002C7D45"/>
    <w:rsid w:val="002D2057"/>
    <w:rsid w:val="002D29B8"/>
    <w:rsid w:val="002D29BB"/>
    <w:rsid w:val="002D332C"/>
    <w:rsid w:val="002D34C3"/>
    <w:rsid w:val="002D3AC7"/>
    <w:rsid w:val="002D3F8A"/>
    <w:rsid w:val="002D675C"/>
    <w:rsid w:val="002D6BBB"/>
    <w:rsid w:val="002E0781"/>
    <w:rsid w:val="002E10AD"/>
    <w:rsid w:val="002E3491"/>
    <w:rsid w:val="002E7B6D"/>
    <w:rsid w:val="002F03AA"/>
    <w:rsid w:val="002F0631"/>
    <w:rsid w:val="002F1A54"/>
    <w:rsid w:val="002F2CD1"/>
    <w:rsid w:val="002F3237"/>
    <w:rsid w:val="002F59AC"/>
    <w:rsid w:val="002F639C"/>
    <w:rsid w:val="00300482"/>
    <w:rsid w:val="00301F0C"/>
    <w:rsid w:val="00304512"/>
    <w:rsid w:val="00306D86"/>
    <w:rsid w:val="003076BC"/>
    <w:rsid w:val="00310778"/>
    <w:rsid w:val="00310F0B"/>
    <w:rsid w:val="003115FA"/>
    <w:rsid w:val="00312ED8"/>
    <w:rsid w:val="00313380"/>
    <w:rsid w:val="00313620"/>
    <w:rsid w:val="00313F41"/>
    <w:rsid w:val="00316F29"/>
    <w:rsid w:val="0032071C"/>
    <w:rsid w:val="003241BF"/>
    <w:rsid w:val="003248D9"/>
    <w:rsid w:val="00325524"/>
    <w:rsid w:val="003256DD"/>
    <w:rsid w:val="003342EE"/>
    <w:rsid w:val="00334E80"/>
    <w:rsid w:val="00335700"/>
    <w:rsid w:val="00335D32"/>
    <w:rsid w:val="0033742F"/>
    <w:rsid w:val="00342101"/>
    <w:rsid w:val="00343335"/>
    <w:rsid w:val="00344670"/>
    <w:rsid w:val="003446F9"/>
    <w:rsid w:val="003449C9"/>
    <w:rsid w:val="00344D62"/>
    <w:rsid w:val="00345B7E"/>
    <w:rsid w:val="00346EF9"/>
    <w:rsid w:val="0035187D"/>
    <w:rsid w:val="00351DEE"/>
    <w:rsid w:val="00352474"/>
    <w:rsid w:val="00356118"/>
    <w:rsid w:val="0035702B"/>
    <w:rsid w:val="00357831"/>
    <w:rsid w:val="00357D8C"/>
    <w:rsid w:val="003602AB"/>
    <w:rsid w:val="003608E6"/>
    <w:rsid w:val="00360CDD"/>
    <w:rsid w:val="00360F32"/>
    <w:rsid w:val="0036244E"/>
    <w:rsid w:val="003631FF"/>
    <w:rsid w:val="0036378C"/>
    <w:rsid w:val="00364C33"/>
    <w:rsid w:val="003676D9"/>
    <w:rsid w:val="00370C93"/>
    <w:rsid w:val="00371851"/>
    <w:rsid w:val="00371C1F"/>
    <w:rsid w:val="00372138"/>
    <w:rsid w:val="003725F0"/>
    <w:rsid w:val="00374C78"/>
    <w:rsid w:val="00380B5D"/>
    <w:rsid w:val="00381DCC"/>
    <w:rsid w:val="00382711"/>
    <w:rsid w:val="00385E8C"/>
    <w:rsid w:val="00386B01"/>
    <w:rsid w:val="0038743A"/>
    <w:rsid w:val="0039027B"/>
    <w:rsid w:val="00391119"/>
    <w:rsid w:val="0039307D"/>
    <w:rsid w:val="00393A24"/>
    <w:rsid w:val="00393F5D"/>
    <w:rsid w:val="00397E36"/>
    <w:rsid w:val="003A165E"/>
    <w:rsid w:val="003A2481"/>
    <w:rsid w:val="003A2506"/>
    <w:rsid w:val="003A25FD"/>
    <w:rsid w:val="003A45E4"/>
    <w:rsid w:val="003A58F3"/>
    <w:rsid w:val="003B1089"/>
    <w:rsid w:val="003B1239"/>
    <w:rsid w:val="003B14BF"/>
    <w:rsid w:val="003B1584"/>
    <w:rsid w:val="003B2005"/>
    <w:rsid w:val="003B3CBB"/>
    <w:rsid w:val="003B490E"/>
    <w:rsid w:val="003B7608"/>
    <w:rsid w:val="003C0F5F"/>
    <w:rsid w:val="003C0F68"/>
    <w:rsid w:val="003C10C1"/>
    <w:rsid w:val="003C3063"/>
    <w:rsid w:val="003C4579"/>
    <w:rsid w:val="003C4648"/>
    <w:rsid w:val="003C493B"/>
    <w:rsid w:val="003C4A88"/>
    <w:rsid w:val="003C4C7D"/>
    <w:rsid w:val="003C5253"/>
    <w:rsid w:val="003C6295"/>
    <w:rsid w:val="003C62B8"/>
    <w:rsid w:val="003C6C61"/>
    <w:rsid w:val="003D089E"/>
    <w:rsid w:val="003D08F6"/>
    <w:rsid w:val="003D2B47"/>
    <w:rsid w:val="003D48F7"/>
    <w:rsid w:val="003D53BB"/>
    <w:rsid w:val="003D5974"/>
    <w:rsid w:val="003D6301"/>
    <w:rsid w:val="003E0263"/>
    <w:rsid w:val="003E2FE4"/>
    <w:rsid w:val="003E43A8"/>
    <w:rsid w:val="003E4A58"/>
    <w:rsid w:val="003E638D"/>
    <w:rsid w:val="003E680F"/>
    <w:rsid w:val="003E725E"/>
    <w:rsid w:val="003E7EFC"/>
    <w:rsid w:val="003F0BC3"/>
    <w:rsid w:val="003F0DC6"/>
    <w:rsid w:val="003F179A"/>
    <w:rsid w:val="003F5B07"/>
    <w:rsid w:val="0040026D"/>
    <w:rsid w:val="00400452"/>
    <w:rsid w:val="004006C0"/>
    <w:rsid w:val="00402F51"/>
    <w:rsid w:val="0040694D"/>
    <w:rsid w:val="00406C17"/>
    <w:rsid w:val="0041297D"/>
    <w:rsid w:val="00413532"/>
    <w:rsid w:val="00413624"/>
    <w:rsid w:val="004140D3"/>
    <w:rsid w:val="00414743"/>
    <w:rsid w:val="00414F7B"/>
    <w:rsid w:val="00416109"/>
    <w:rsid w:val="00416E1C"/>
    <w:rsid w:val="0041721A"/>
    <w:rsid w:val="004179CA"/>
    <w:rsid w:val="004207EE"/>
    <w:rsid w:val="0042142B"/>
    <w:rsid w:val="00422D91"/>
    <w:rsid w:val="004244BC"/>
    <w:rsid w:val="004307D4"/>
    <w:rsid w:val="0043255A"/>
    <w:rsid w:val="00432708"/>
    <w:rsid w:val="0043347F"/>
    <w:rsid w:val="00433B7D"/>
    <w:rsid w:val="00441122"/>
    <w:rsid w:val="00442A99"/>
    <w:rsid w:val="00444B08"/>
    <w:rsid w:val="00444C0B"/>
    <w:rsid w:val="0045035F"/>
    <w:rsid w:val="004508B2"/>
    <w:rsid w:val="00455E4B"/>
    <w:rsid w:val="0045637F"/>
    <w:rsid w:val="00456E37"/>
    <w:rsid w:val="0045766A"/>
    <w:rsid w:val="0046252F"/>
    <w:rsid w:val="00463ACE"/>
    <w:rsid w:val="00464113"/>
    <w:rsid w:val="0046505B"/>
    <w:rsid w:val="00466C46"/>
    <w:rsid w:val="004700AD"/>
    <w:rsid w:val="00471D98"/>
    <w:rsid w:val="00471ED8"/>
    <w:rsid w:val="004726B8"/>
    <w:rsid w:val="00472E33"/>
    <w:rsid w:val="00472EC3"/>
    <w:rsid w:val="004774FF"/>
    <w:rsid w:val="004828D2"/>
    <w:rsid w:val="004835AE"/>
    <w:rsid w:val="0048463B"/>
    <w:rsid w:val="0048553E"/>
    <w:rsid w:val="0048589E"/>
    <w:rsid w:val="00485923"/>
    <w:rsid w:val="00486C69"/>
    <w:rsid w:val="00486D30"/>
    <w:rsid w:val="00487E79"/>
    <w:rsid w:val="004904E1"/>
    <w:rsid w:val="004906FE"/>
    <w:rsid w:val="00491E2E"/>
    <w:rsid w:val="004952F2"/>
    <w:rsid w:val="00495EE6"/>
    <w:rsid w:val="00496133"/>
    <w:rsid w:val="004972DF"/>
    <w:rsid w:val="004A0CD5"/>
    <w:rsid w:val="004A4977"/>
    <w:rsid w:val="004A7DEE"/>
    <w:rsid w:val="004B0FF4"/>
    <w:rsid w:val="004B5D80"/>
    <w:rsid w:val="004B609F"/>
    <w:rsid w:val="004B68B1"/>
    <w:rsid w:val="004C169D"/>
    <w:rsid w:val="004C1F3E"/>
    <w:rsid w:val="004C2E93"/>
    <w:rsid w:val="004C31A4"/>
    <w:rsid w:val="004C4167"/>
    <w:rsid w:val="004C5E70"/>
    <w:rsid w:val="004D067F"/>
    <w:rsid w:val="004D2418"/>
    <w:rsid w:val="004D337E"/>
    <w:rsid w:val="004D3F3D"/>
    <w:rsid w:val="004D5ADC"/>
    <w:rsid w:val="004E09B2"/>
    <w:rsid w:val="004E1720"/>
    <w:rsid w:val="004E22C3"/>
    <w:rsid w:val="004E315F"/>
    <w:rsid w:val="004E41C1"/>
    <w:rsid w:val="004E5FE7"/>
    <w:rsid w:val="004E608B"/>
    <w:rsid w:val="004E6DB8"/>
    <w:rsid w:val="004F2CE1"/>
    <w:rsid w:val="004F3AEE"/>
    <w:rsid w:val="004F479F"/>
    <w:rsid w:val="004F5593"/>
    <w:rsid w:val="004F66EA"/>
    <w:rsid w:val="00500A18"/>
    <w:rsid w:val="00501733"/>
    <w:rsid w:val="005043CC"/>
    <w:rsid w:val="0050627E"/>
    <w:rsid w:val="005069F4"/>
    <w:rsid w:val="0051118B"/>
    <w:rsid w:val="00512FD0"/>
    <w:rsid w:val="00513943"/>
    <w:rsid w:val="00514F8A"/>
    <w:rsid w:val="0051699A"/>
    <w:rsid w:val="00516C89"/>
    <w:rsid w:val="00517815"/>
    <w:rsid w:val="00517D23"/>
    <w:rsid w:val="00520411"/>
    <w:rsid w:val="00520482"/>
    <w:rsid w:val="005219E0"/>
    <w:rsid w:val="0052418E"/>
    <w:rsid w:val="00524861"/>
    <w:rsid w:val="00525345"/>
    <w:rsid w:val="00527D35"/>
    <w:rsid w:val="00531B59"/>
    <w:rsid w:val="00532DEC"/>
    <w:rsid w:val="00532E10"/>
    <w:rsid w:val="00535137"/>
    <w:rsid w:val="005420C7"/>
    <w:rsid w:val="0054223A"/>
    <w:rsid w:val="005439A2"/>
    <w:rsid w:val="005449EF"/>
    <w:rsid w:val="00544F71"/>
    <w:rsid w:val="0054543B"/>
    <w:rsid w:val="005457EC"/>
    <w:rsid w:val="0054753D"/>
    <w:rsid w:val="00550AD8"/>
    <w:rsid w:val="0055286B"/>
    <w:rsid w:val="00552E30"/>
    <w:rsid w:val="0055319C"/>
    <w:rsid w:val="005534DA"/>
    <w:rsid w:val="00553D62"/>
    <w:rsid w:val="005559D7"/>
    <w:rsid w:val="00555D95"/>
    <w:rsid w:val="00556FCB"/>
    <w:rsid w:val="0055771F"/>
    <w:rsid w:val="00561A0C"/>
    <w:rsid w:val="00561A22"/>
    <w:rsid w:val="00564599"/>
    <w:rsid w:val="00565A28"/>
    <w:rsid w:val="0056646D"/>
    <w:rsid w:val="00570194"/>
    <w:rsid w:val="00572B84"/>
    <w:rsid w:val="0057302E"/>
    <w:rsid w:val="0057306C"/>
    <w:rsid w:val="005741E3"/>
    <w:rsid w:val="00575621"/>
    <w:rsid w:val="00576FEB"/>
    <w:rsid w:val="00577DE0"/>
    <w:rsid w:val="005817F1"/>
    <w:rsid w:val="00581AE7"/>
    <w:rsid w:val="00585080"/>
    <w:rsid w:val="00585AB9"/>
    <w:rsid w:val="00586845"/>
    <w:rsid w:val="00592D5B"/>
    <w:rsid w:val="00593C0F"/>
    <w:rsid w:val="00595215"/>
    <w:rsid w:val="00597672"/>
    <w:rsid w:val="005976A3"/>
    <w:rsid w:val="00597AF6"/>
    <w:rsid w:val="005A058F"/>
    <w:rsid w:val="005A0B42"/>
    <w:rsid w:val="005A2106"/>
    <w:rsid w:val="005A4459"/>
    <w:rsid w:val="005A4589"/>
    <w:rsid w:val="005A5285"/>
    <w:rsid w:val="005A6367"/>
    <w:rsid w:val="005A655C"/>
    <w:rsid w:val="005A68F9"/>
    <w:rsid w:val="005A78B6"/>
    <w:rsid w:val="005B0272"/>
    <w:rsid w:val="005B20AE"/>
    <w:rsid w:val="005B20D0"/>
    <w:rsid w:val="005B3D16"/>
    <w:rsid w:val="005B43F7"/>
    <w:rsid w:val="005B568A"/>
    <w:rsid w:val="005B6DA6"/>
    <w:rsid w:val="005B721B"/>
    <w:rsid w:val="005B76AC"/>
    <w:rsid w:val="005B7EE9"/>
    <w:rsid w:val="005C19E7"/>
    <w:rsid w:val="005C1FF8"/>
    <w:rsid w:val="005C2F1D"/>
    <w:rsid w:val="005C4063"/>
    <w:rsid w:val="005C7CA6"/>
    <w:rsid w:val="005D0655"/>
    <w:rsid w:val="005D091E"/>
    <w:rsid w:val="005D1FB3"/>
    <w:rsid w:val="005D2844"/>
    <w:rsid w:val="005D4FBC"/>
    <w:rsid w:val="005D533C"/>
    <w:rsid w:val="005D5EAF"/>
    <w:rsid w:val="005D636E"/>
    <w:rsid w:val="005D79EB"/>
    <w:rsid w:val="005E1754"/>
    <w:rsid w:val="005E2E1C"/>
    <w:rsid w:val="005E5F70"/>
    <w:rsid w:val="005E6B9A"/>
    <w:rsid w:val="005E7E76"/>
    <w:rsid w:val="005F10F8"/>
    <w:rsid w:val="005F1325"/>
    <w:rsid w:val="005F1BE6"/>
    <w:rsid w:val="005F1C0F"/>
    <w:rsid w:val="005F1F95"/>
    <w:rsid w:val="005F4695"/>
    <w:rsid w:val="005F4DF9"/>
    <w:rsid w:val="005F653E"/>
    <w:rsid w:val="005F70A9"/>
    <w:rsid w:val="005F7221"/>
    <w:rsid w:val="006029D7"/>
    <w:rsid w:val="00603283"/>
    <w:rsid w:val="0060386B"/>
    <w:rsid w:val="00604B20"/>
    <w:rsid w:val="00604E52"/>
    <w:rsid w:val="00605244"/>
    <w:rsid w:val="006056FD"/>
    <w:rsid w:val="006064C9"/>
    <w:rsid w:val="006069D7"/>
    <w:rsid w:val="00606B6C"/>
    <w:rsid w:val="00610C35"/>
    <w:rsid w:val="00610F98"/>
    <w:rsid w:val="00611330"/>
    <w:rsid w:val="00611D46"/>
    <w:rsid w:val="00611E18"/>
    <w:rsid w:val="00612539"/>
    <w:rsid w:val="00614488"/>
    <w:rsid w:val="00616EB3"/>
    <w:rsid w:val="00617486"/>
    <w:rsid w:val="00617A49"/>
    <w:rsid w:val="0062171B"/>
    <w:rsid w:val="00621AEB"/>
    <w:rsid w:val="0062204B"/>
    <w:rsid w:val="00623578"/>
    <w:rsid w:val="00623AC8"/>
    <w:rsid w:val="00623B2A"/>
    <w:rsid w:val="006254F5"/>
    <w:rsid w:val="00626D13"/>
    <w:rsid w:val="006272B8"/>
    <w:rsid w:val="00627B54"/>
    <w:rsid w:val="0063030D"/>
    <w:rsid w:val="00630FC0"/>
    <w:rsid w:val="00632CFA"/>
    <w:rsid w:val="00633E69"/>
    <w:rsid w:val="006358D2"/>
    <w:rsid w:val="006379F7"/>
    <w:rsid w:val="00640067"/>
    <w:rsid w:val="0064160C"/>
    <w:rsid w:val="006417E8"/>
    <w:rsid w:val="00641F5F"/>
    <w:rsid w:val="006428FA"/>
    <w:rsid w:val="006437D0"/>
    <w:rsid w:val="00643B02"/>
    <w:rsid w:val="00643B99"/>
    <w:rsid w:val="00643D73"/>
    <w:rsid w:val="00644976"/>
    <w:rsid w:val="00644AA7"/>
    <w:rsid w:val="00644B05"/>
    <w:rsid w:val="00644DD4"/>
    <w:rsid w:val="00645799"/>
    <w:rsid w:val="00645804"/>
    <w:rsid w:val="0064665B"/>
    <w:rsid w:val="006475AF"/>
    <w:rsid w:val="00650BF9"/>
    <w:rsid w:val="00651251"/>
    <w:rsid w:val="00652468"/>
    <w:rsid w:val="00652F39"/>
    <w:rsid w:val="00653966"/>
    <w:rsid w:val="00653D5C"/>
    <w:rsid w:val="00657B1F"/>
    <w:rsid w:val="00664AE7"/>
    <w:rsid w:val="00664E9B"/>
    <w:rsid w:val="00665184"/>
    <w:rsid w:val="0066570F"/>
    <w:rsid w:val="00665BB2"/>
    <w:rsid w:val="00666D5B"/>
    <w:rsid w:val="006677F4"/>
    <w:rsid w:val="00667CB8"/>
    <w:rsid w:val="006705E2"/>
    <w:rsid w:val="00670835"/>
    <w:rsid w:val="00672550"/>
    <w:rsid w:val="00672579"/>
    <w:rsid w:val="00674752"/>
    <w:rsid w:val="0067527A"/>
    <w:rsid w:val="006758E3"/>
    <w:rsid w:val="00675F73"/>
    <w:rsid w:val="0067755C"/>
    <w:rsid w:val="00677AF4"/>
    <w:rsid w:val="006808B7"/>
    <w:rsid w:val="00680EB9"/>
    <w:rsid w:val="00681FCB"/>
    <w:rsid w:val="006836BD"/>
    <w:rsid w:val="006841AB"/>
    <w:rsid w:val="00685501"/>
    <w:rsid w:val="00686862"/>
    <w:rsid w:val="006873D3"/>
    <w:rsid w:val="00687906"/>
    <w:rsid w:val="00687CA6"/>
    <w:rsid w:val="0069093A"/>
    <w:rsid w:val="00691F99"/>
    <w:rsid w:val="00692A3C"/>
    <w:rsid w:val="00694DBC"/>
    <w:rsid w:val="00696C31"/>
    <w:rsid w:val="006970B9"/>
    <w:rsid w:val="006A17EA"/>
    <w:rsid w:val="006A2334"/>
    <w:rsid w:val="006A363D"/>
    <w:rsid w:val="006A388E"/>
    <w:rsid w:val="006A3DAB"/>
    <w:rsid w:val="006A3DE1"/>
    <w:rsid w:val="006A5339"/>
    <w:rsid w:val="006A7203"/>
    <w:rsid w:val="006B5E44"/>
    <w:rsid w:val="006B644A"/>
    <w:rsid w:val="006B76D8"/>
    <w:rsid w:val="006C0D9E"/>
    <w:rsid w:val="006C761E"/>
    <w:rsid w:val="006C79CF"/>
    <w:rsid w:val="006D60F8"/>
    <w:rsid w:val="006D61A7"/>
    <w:rsid w:val="006D73A9"/>
    <w:rsid w:val="006D7633"/>
    <w:rsid w:val="006D7C8D"/>
    <w:rsid w:val="006E1468"/>
    <w:rsid w:val="006E27B7"/>
    <w:rsid w:val="006E3AED"/>
    <w:rsid w:val="006E6EE7"/>
    <w:rsid w:val="006F051B"/>
    <w:rsid w:val="006F128A"/>
    <w:rsid w:val="006F2A43"/>
    <w:rsid w:val="006F414F"/>
    <w:rsid w:val="006F4406"/>
    <w:rsid w:val="006F7373"/>
    <w:rsid w:val="006F7C2F"/>
    <w:rsid w:val="00701D48"/>
    <w:rsid w:val="0070369E"/>
    <w:rsid w:val="00704D7B"/>
    <w:rsid w:val="00707554"/>
    <w:rsid w:val="00707742"/>
    <w:rsid w:val="00707C0F"/>
    <w:rsid w:val="00710A7F"/>
    <w:rsid w:val="0071460F"/>
    <w:rsid w:val="00716571"/>
    <w:rsid w:val="00716636"/>
    <w:rsid w:val="007173DB"/>
    <w:rsid w:val="00720775"/>
    <w:rsid w:val="00721A86"/>
    <w:rsid w:val="007234A8"/>
    <w:rsid w:val="00724C95"/>
    <w:rsid w:val="007254F0"/>
    <w:rsid w:val="00725655"/>
    <w:rsid w:val="007257EF"/>
    <w:rsid w:val="00725DAA"/>
    <w:rsid w:val="0072784C"/>
    <w:rsid w:val="007279AB"/>
    <w:rsid w:val="00731D2E"/>
    <w:rsid w:val="00731E29"/>
    <w:rsid w:val="00731ED2"/>
    <w:rsid w:val="00731FB5"/>
    <w:rsid w:val="00732854"/>
    <w:rsid w:val="007336D0"/>
    <w:rsid w:val="00734F5A"/>
    <w:rsid w:val="0073681B"/>
    <w:rsid w:val="00743183"/>
    <w:rsid w:val="007441A4"/>
    <w:rsid w:val="00744924"/>
    <w:rsid w:val="00750481"/>
    <w:rsid w:val="00751424"/>
    <w:rsid w:val="00751BFB"/>
    <w:rsid w:val="00752E64"/>
    <w:rsid w:val="0075407B"/>
    <w:rsid w:val="007540C2"/>
    <w:rsid w:val="007556E2"/>
    <w:rsid w:val="00756E75"/>
    <w:rsid w:val="007576BE"/>
    <w:rsid w:val="00760331"/>
    <w:rsid w:val="00760D70"/>
    <w:rsid w:val="007622DC"/>
    <w:rsid w:val="00762513"/>
    <w:rsid w:val="00762577"/>
    <w:rsid w:val="00762723"/>
    <w:rsid w:val="00763E57"/>
    <w:rsid w:val="00764285"/>
    <w:rsid w:val="00765695"/>
    <w:rsid w:val="00766510"/>
    <w:rsid w:val="00770064"/>
    <w:rsid w:val="00770475"/>
    <w:rsid w:val="00771127"/>
    <w:rsid w:val="00773CC1"/>
    <w:rsid w:val="007740E3"/>
    <w:rsid w:val="0077540D"/>
    <w:rsid w:val="00776417"/>
    <w:rsid w:val="0077790B"/>
    <w:rsid w:val="00780FAF"/>
    <w:rsid w:val="0078472D"/>
    <w:rsid w:val="007866C0"/>
    <w:rsid w:val="00787E97"/>
    <w:rsid w:val="0079358F"/>
    <w:rsid w:val="00796564"/>
    <w:rsid w:val="007A2C8D"/>
    <w:rsid w:val="007A384E"/>
    <w:rsid w:val="007A39E8"/>
    <w:rsid w:val="007A3CA5"/>
    <w:rsid w:val="007A4DD2"/>
    <w:rsid w:val="007A654B"/>
    <w:rsid w:val="007B08E5"/>
    <w:rsid w:val="007B2793"/>
    <w:rsid w:val="007B27B1"/>
    <w:rsid w:val="007B78F0"/>
    <w:rsid w:val="007C0219"/>
    <w:rsid w:val="007C086B"/>
    <w:rsid w:val="007C2CFA"/>
    <w:rsid w:val="007C3FAD"/>
    <w:rsid w:val="007C4FD3"/>
    <w:rsid w:val="007C7AB3"/>
    <w:rsid w:val="007D1769"/>
    <w:rsid w:val="007D1A00"/>
    <w:rsid w:val="007D2395"/>
    <w:rsid w:val="007D2F22"/>
    <w:rsid w:val="007D75BF"/>
    <w:rsid w:val="007D769A"/>
    <w:rsid w:val="007D799C"/>
    <w:rsid w:val="007D7BE8"/>
    <w:rsid w:val="007D7C97"/>
    <w:rsid w:val="007E0C25"/>
    <w:rsid w:val="007E1216"/>
    <w:rsid w:val="007E16AE"/>
    <w:rsid w:val="007E60A4"/>
    <w:rsid w:val="007E6448"/>
    <w:rsid w:val="007E6D1B"/>
    <w:rsid w:val="007E75F4"/>
    <w:rsid w:val="007E7B18"/>
    <w:rsid w:val="007E7F1A"/>
    <w:rsid w:val="007F1674"/>
    <w:rsid w:val="007F198C"/>
    <w:rsid w:val="007F1FD9"/>
    <w:rsid w:val="007F2DB3"/>
    <w:rsid w:val="007F358F"/>
    <w:rsid w:val="007F3B66"/>
    <w:rsid w:val="007F418C"/>
    <w:rsid w:val="007F4C44"/>
    <w:rsid w:val="007F66C0"/>
    <w:rsid w:val="00802841"/>
    <w:rsid w:val="008028E6"/>
    <w:rsid w:val="00803697"/>
    <w:rsid w:val="00805179"/>
    <w:rsid w:val="0080525E"/>
    <w:rsid w:val="0080679C"/>
    <w:rsid w:val="00806AF6"/>
    <w:rsid w:val="00811460"/>
    <w:rsid w:val="00811475"/>
    <w:rsid w:val="00812D37"/>
    <w:rsid w:val="00812FA8"/>
    <w:rsid w:val="00813093"/>
    <w:rsid w:val="00813618"/>
    <w:rsid w:val="00813A22"/>
    <w:rsid w:val="00813C84"/>
    <w:rsid w:val="00814728"/>
    <w:rsid w:val="008149CA"/>
    <w:rsid w:val="0081686B"/>
    <w:rsid w:val="00816B71"/>
    <w:rsid w:val="00822C7B"/>
    <w:rsid w:val="00823ED3"/>
    <w:rsid w:val="0082406E"/>
    <w:rsid w:val="0082498A"/>
    <w:rsid w:val="00831222"/>
    <w:rsid w:val="00833652"/>
    <w:rsid w:val="008340AB"/>
    <w:rsid w:val="00834FCC"/>
    <w:rsid w:val="00835267"/>
    <w:rsid w:val="008353B7"/>
    <w:rsid w:val="00835FAD"/>
    <w:rsid w:val="0083633F"/>
    <w:rsid w:val="00837018"/>
    <w:rsid w:val="00837713"/>
    <w:rsid w:val="008401D2"/>
    <w:rsid w:val="00842E79"/>
    <w:rsid w:val="008454BE"/>
    <w:rsid w:val="008455AE"/>
    <w:rsid w:val="00845E7D"/>
    <w:rsid w:val="00847488"/>
    <w:rsid w:val="00851E21"/>
    <w:rsid w:val="00855BD6"/>
    <w:rsid w:val="00857342"/>
    <w:rsid w:val="00861499"/>
    <w:rsid w:val="00861B65"/>
    <w:rsid w:val="00861D41"/>
    <w:rsid w:val="008668A4"/>
    <w:rsid w:val="00872BA4"/>
    <w:rsid w:val="00874068"/>
    <w:rsid w:val="008756ED"/>
    <w:rsid w:val="00875AC2"/>
    <w:rsid w:val="008764F7"/>
    <w:rsid w:val="00876755"/>
    <w:rsid w:val="0088080B"/>
    <w:rsid w:val="008811BD"/>
    <w:rsid w:val="00882D97"/>
    <w:rsid w:val="00883A59"/>
    <w:rsid w:val="00884615"/>
    <w:rsid w:val="008846EE"/>
    <w:rsid w:val="00884734"/>
    <w:rsid w:val="00884D80"/>
    <w:rsid w:val="00886EEB"/>
    <w:rsid w:val="00887902"/>
    <w:rsid w:val="00891474"/>
    <w:rsid w:val="00891BEF"/>
    <w:rsid w:val="00892398"/>
    <w:rsid w:val="0089304D"/>
    <w:rsid w:val="0089315D"/>
    <w:rsid w:val="00893FA3"/>
    <w:rsid w:val="00895093"/>
    <w:rsid w:val="008964D7"/>
    <w:rsid w:val="00896DF9"/>
    <w:rsid w:val="00897418"/>
    <w:rsid w:val="00897E43"/>
    <w:rsid w:val="008A185E"/>
    <w:rsid w:val="008A4DCF"/>
    <w:rsid w:val="008A722D"/>
    <w:rsid w:val="008A7660"/>
    <w:rsid w:val="008A78A7"/>
    <w:rsid w:val="008B6C23"/>
    <w:rsid w:val="008C0F66"/>
    <w:rsid w:val="008C17CC"/>
    <w:rsid w:val="008C2989"/>
    <w:rsid w:val="008C2C70"/>
    <w:rsid w:val="008C52CC"/>
    <w:rsid w:val="008D130B"/>
    <w:rsid w:val="008D141B"/>
    <w:rsid w:val="008D1ED2"/>
    <w:rsid w:val="008D4BDD"/>
    <w:rsid w:val="008D5235"/>
    <w:rsid w:val="008D5F28"/>
    <w:rsid w:val="008D662E"/>
    <w:rsid w:val="008D756F"/>
    <w:rsid w:val="008D7772"/>
    <w:rsid w:val="008E07E6"/>
    <w:rsid w:val="008E1E6B"/>
    <w:rsid w:val="008E1FCB"/>
    <w:rsid w:val="008E38CF"/>
    <w:rsid w:val="008E3E7F"/>
    <w:rsid w:val="008E4FC5"/>
    <w:rsid w:val="008E5B0F"/>
    <w:rsid w:val="008E7508"/>
    <w:rsid w:val="008F0A72"/>
    <w:rsid w:val="008F13A4"/>
    <w:rsid w:val="008F17CD"/>
    <w:rsid w:val="008F2060"/>
    <w:rsid w:val="008F2417"/>
    <w:rsid w:val="008F330F"/>
    <w:rsid w:val="008F453C"/>
    <w:rsid w:val="008F4B1A"/>
    <w:rsid w:val="008F5FEA"/>
    <w:rsid w:val="008F69D3"/>
    <w:rsid w:val="008F7542"/>
    <w:rsid w:val="00900FAB"/>
    <w:rsid w:val="0090168D"/>
    <w:rsid w:val="00903788"/>
    <w:rsid w:val="00905B0B"/>
    <w:rsid w:val="00905DA7"/>
    <w:rsid w:val="00906CAD"/>
    <w:rsid w:val="00906F65"/>
    <w:rsid w:val="0091026A"/>
    <w:rsid w:val="0091067E"/>
    <w:rsid w:val="00911871"/>
    <w:rsid w:val="00912FFF"/>
    <w:rsid w:val="00913540"/>
    <w:rsid w:val="009173F8"/>
    <w:rsid w:val="00917BF6"/>
    <w:rsid w:val="00920327"/>
    <w:rsid w:val="00924875"/>
    <w:rsid w:val="00925043"/>
    <w:rsid w:val="00926C03"/>
    <w:rsid w:val="009304FA"/>
    <w:rsid w:val="009311D5"/>
    <w:rsid w:val="00932822"/>
    <w:rsid w:val="00932896"/>
    <w:rsid w:val="0093474C"/>
    <w:rsid w:val="00934F76"/>
    <w:rsid w:val="00934FAA"/>
    <w:rsid w:val="00935F38"/>
    <w:rsid w:val="009369D1"/>
    <w:rsid w:val="00936B63"/>
    <w:rsid w:val="00936C92"/>
    <w:rsid w:val="00936EAB"/>
    <w:rsid w:val="00937D61"/>
    <w:rsid w:val="00940F60"/>
    <w:rsid w:val="009412AA"/>
    <w:rsid w:val="00941AFF"/>
    <w:rsid w:val="0094203A"/>
    <w:rsid w:val="00943B04"/>
    <w:rsid w:val="00943E39"/>
    <w:rsid w:val="00944593"/>
    <w:rsid w:val="0094483A"/>
    <w:rsid w:val="00944AA1"/>
    <w:rsid w:val="00944DBF"/>
    <w:rsid w:val="00945FA5"/>
    <w:rsid w:val="0095120C"/>
    <w:rsid w:val="00951809"/>
    <w:rsid w:val="00951DBD"/>
    <w:rsid w:val="00952EF7"/>
    <w:rsid w:val="00955775"/>
    <w:rsid w:val="00960FB5"/>
    <w:rsid w:val="00964FAB"/>
    <w:rsid w:val="00965396"/>
    <w:rsid w:val="0096569B"/>
    <w:rsid w:val="00965808"/>
    <w:rsid w:val="00967F81"/>
    <w:rsid w:val="00970816"/>
    <w:rsid w:val="00970BA6"/>
    <w:rsid w:val="00972561"/>
    <w:rsid w:val="00972602"/>
    <w:rsid w:val="00972F63"/>
    <w:rsid w:val="009739EB"/>
    <w:rsid w:val="00974BF6"/>
    <w:rsid w:val="0097587D"/>
    <w:rsid w:val="009769A6"/>
    <w:rsid w:val="00982F79"/>
    <w:rsid w:val="00983136"/>
    <w:rsid w:val="00983417"/>
    <w:rsid w:val="009838D4"/>
    <w:rsid w:val="009845D6"/>
    <w:rsid w:val="009851A4"/>
    <w:rsid w:val="00985D05"/>
    <w:rsid w:val="00991347"/>
    <w:rsid w:val="009922D2"/>
    <w:rsid w:val="00992343"/>
    <w:rsid w:val="00992C98"/>
    <w:rsid w:val="00994F5D"/>
    <w:rsid w:val="009A3850"/>
    <w:rsid w:val="009A552A"/>
    <w:rsid w:val="009A6217"/>
    <w:rsid w:val="009B062B"/>
    <w:rsid w:val="009B19F2"/>
    <w:rsid w:val="009B4441"/>
    <w:rsid w:val="009B4E86"/>
    <w:rsid w:val="009B4EDB"/>
    <w:rsid w:val="009B52A3"/>
    <w:rsid w:val="009B7F8E"/>
    <w:rsid w:val="009C0BCE"/>
    <w:rsid w:val="009C123F"/>
    <w:rsid w:val="009C2147"/>
    <w:rsid w:val="009C3788"/>
    <w:rsid w:val="009C390B"/>
    <w:rsid w:val="009C6038"/>
    <w:rsid w:val="009C6BBF"/>
    <w:rsid w:val="009D1A53"/>
    <w:rsid w:val="009D39B3"/>
    <w:rsid w:val="009D494C"/>
    <w:rsid w:val="009D5E52"/>
    <w:rsid w:val="009E16EF"/>
    <w:rsid w:val="009E222C"/>
    <w:rsid w:val="009E34A8"/>
    <w:rsid w:val="009E5D69"/>
    <w:rsid w:val="009E68E8"/>
    <w:rsid w:val="009E7742"/>
    <w:rsid w:val="009E7D48"/>
    <w:rsid w:val="009F143D"/>
    <w:rsid w:val="009F1961"/>
    <w:rsid w:val="009F3A60"/>
    <w:rsid w:val="009F3B9A"/>
    <w:rsid w:val="009F4B36"/>
    <w:rsid w:val="009F5EBB"/>
    <w:rsid w:val="009F7EFF"/>
    <w:rsid w:val="00A07A57"/>
    <w:rsid w:val="00A10BFA"/>
    <w:rsid w:val="00A1104A"/>
    <w:rsid w:val="00A1107A"/>
    <w:rsid w:val="00A11159"/>
    <w:rsid w:val="00A11A93"/>
    <w:rsid w:val="00A12114"/>
    <w:rsid w:val="00A12B5F"/>
    <w:rsid w:val="00A13817"/>
    <w:rsid w:val="00A1551D"/>
    <w:rsid w:val="00A16197"/>
    <w:rsid w:val="00A16DD5"/>
    <w:rsid w:val="00A16E23"/>
    <w:rsid w:val="00A16F95"/>
    <w:rsid w:val="00A218CF"/>
    <w:rsid w:val="00A21BCB"/>
    <w:rsid w:val="00A24594"/>
    <w:rsid w:val="00A258F7"/>
    <w:rsid w:val="00A310B9"/>
    <w:rsid w:val="00A336C6"/>
    <w:rsid w:val="00A35921"/>
    <w:rsid w:val="00A36943"/>
    <w:rsid w:val="00A37101"/>
    <w:rsid w:val="00A37800"/>
    <w:rsid w:val="00A37AC5"/>
    <w:rsid w:val="00A37FAF"/>
    <w:rsid w:val="00A43935"/>
    <w:rsid w:val="00A465F7"/>
    <w:rsid w:val="00A47679"/>
    <w:rsid w:val="00A529A8"/>
    <w:rsid w:val="00A53B46"/>
    <w:rsid w:val="00A5429E"/>
    <w:rsid w:val="00A54D91"/>
    <w:rsid w:val="00A56812"/>
    <w:rsid w:val="00A56F98"/>
    <w:rsid w:val="00A57F4A"/>
    <w:rsid w:val="00A608CB"/>
    <w:rsid w:val="00A61DDC"/>
    <w:rsid w:val="00A62659"/>
    <w:rsid w:val="00A62BBE"/>
    <w:rsid w:val="00A63FAB"/>
    <w:rsid w:val="00A64968"/>
    <w:rsid w:val="00A64D16"/>
    <w:rsid w:val="00A6693B"/>
    <w:rsid w:val="00A703B6"/>
    <w:rsid w:val="00A70868"/>
    <w:rsid w:val="00A71273"/>
    <w:rsid w:val="00A77F0E"/>
    <w:rsid w:val="00A77FAA"/>
    <w:rsid w:val="00A80158"/>
    <w:rsid w:val="00A80A4D"/>
    <w:rsid w:val="00A816EB"/>
    <w:rsid w:val="00A818D2"/>
    <w:rsid w:val="00A82488"/>
    <w:rsid w:val="00A82CBA"/>
    <w:rsid w:val="00A83BB2"/>
    <w:rsid w:val="00A8627D"/>
    <w:rsid w:val="00A86C54"/>
    <w:rsid w:val="00A90057"/>
    <w:rsid w:val="00A9150B"/>
    <w:rsid w:val="00A915E3"/>
    <w:rsid w:val="00A92FC0"/>
    <w:rsid w:val="00A97B82"/>
    <w:rsid w:val="00AA08F2"/>
    <w:rsid w:val="00AA0C9A"/>
    <w:rsid w:val="00AA23E4"/>
    <w:rsid w:val="00AA3786"/>
    <w:rsid w:val="00AA3C22"/>
    <w:rsid w:val="00AA5E3B"/>
    <w:rsid w:val="00AB08B9"/>
    <w:rsid w:val="00AB2038"/>
    <w:rsid w:val="00AB4725"/>
    <w:rsid w:val="00AB4761"/>
    <w:rsid w:val="00AB48F8"/>
    <w:rsid w:val="00AB498A"/>
    <w:rsid w:val="00AB527E"/>
    <w:rsid w:val="00AB607A"/>
    <w:rsid w:val="00AB631D"/>
    <w:rsid w:val="00AB6D5B"/>
    <w:rsid w:val="00AB7573"/>
    <w:rsid w:val="00AB7610"/>
    <w:rsid w:val="00AB78B7"/>
    <w:rsid w:val="00AB7963"/>
    <w:rsid w:val="00AC0EB3"/>
    <w:rsid w:val="00AC1354"/>
    <w:rsid w:val="00AC19CB"/>
    <w:rsid w:val="00AC22BA"/>
    <w:rsid w:val="00AC3592"/>
    <w:rsid w:val="00AC5728"/>
    <w:rsid w:val="00AC5BB1"/>
    <w:rsid w:val="00AC61A3"/>
    <w:rsid w:val="00AC6BC6"/>
    <w:rsid w:val="00AD1DCF"/>
    <w:rsid w:val="00AD1EDB"/>
    <w:rsid w:val="00AD2AAC"/>
    <w:rsid w:val="00AD54C1"/>
    <w:rsid w:val="00AD5AD9"/>
    <w:rsid w:val="00AD75DB"/>
    <w:rsid w:val="00AD777E"/>
    <w:rsid w:val="00AE0473"/>
    <w:rsid w:val="00AE18A4"/>
    <w:rsid w:val="00AE2055"/>
    <w:rsid w:val="00AE2157"/>
    <w:rsid w:val="00AE28B7"/>
    <w:rsid w:val="00AE5BC6"/>
    <w:rsid w:val="00AE752D"/>
    <w:rsid w:val="00AE7F70"/>
    <w:rsid w:val="00AF3DED"/>
    <w:rsid w:val="00AF644B"/>
    <w:rsid w:val="00AF66B9"/>
    <w:rsid w:val="00AF6A9C"/>
    <w:rsid w:val="00AF7DFD"/>
    <w:rsid w:val="00B01A52"/>
    <w:rsid w:val="00B03BF4"/>
    <w:rsid w:val="00B0411B"/>
    <w:rsid w:val="00B05598"/>
    <w:rsid w:val="00B05B17"/>
    <w:rsid w:val="00B07F41"/>
    <w:rsid w:val="00B07FDE"/>
    <w:rsid w:val="00B10501"/>
    <w:rsid w:val="00B10535"/>
    <w:rsid w:val="00B113A9"/>
    <w:rsid w:val="00B138FF"/>
    <w:rsid w:val="00B1462A"/>
    <w:rsid w:val="00B14BB1"/>
    <w:rsid w:val="00B15162"/>
    <w:rsid w:val="00B1525D"/>
    <w:rsid w:val="00B165AD"/>
    <w:rsid w:val="00B22FBB"/>
    <w:rsid w:val="00B259D5"/>
    <w:rsid w:val="00B25DFB"/>
    <w:rsid w:val="00B269A5"/>
    <w:rsid w:val="00B26DAD"/>
    <w:rsid w:val="00B30AF4"/>
    <w:rsid w:val="00B32A87"/>
    <w:rsid w:val="00B4099D"/>
    <w:rsid w:val="00B4122F"/>
    <w:rsid w:val="00B412B2"/>
    <w:rsid w:val="00B45DE7"/>
    <w:rsid w:val="00B46191"/>
    <w:rsid w:val="00B4633B"/>
    <w:rsid w:val="00B50000"/>
    <w:rsid w:val="00B50B1B"/>
    <w:rsid w:val="00B50D07"/>
    <w:rsid w:val="00B525C8"/>
    <w:rsid w:val="00B53EED"/>
    <w:rsid w:val="00B5735B"/>
    <w:rsid w:val="00B573E1"/>
    <w:rsid w:val="00B60082"/>
    <w:rsid w:val="00B63846"/>
    <w:rsid w:val="00B64203"/>
    <w:rsid w:val="00B65F61"/>
    <w:rsid w:val="00B65FAE"/>
    <w:rsid w:val="00B6652A"/>
    <w:rsid w:val="00B67735"/>
    <w:rsid w:val="00B70575"/>
    <w:rsid w:val="00B712CD"/>
    <w:rsid w:val="00B71AC0"/>
    <w:rsid w:val="00B71E4D"/>
    <w:rsid w:val="00B7384A"/>
    <w:rsid w:val="00B73DF9"/>
    <w:rsid w:val="00B747B2"/>
    <w:rsid w:val="00B74BB8"/>
    <w:rsid w:val="00B74FD0"/>
    <w:rsid w:val="00B75E3A"/>
    <w:rsid w:val="00B77D7E"/>
    <w:rsid w:val="00B80663"/>
    <w:rsid w:val="00B80A25"/>
    <w:rsid w:val="00B80C71"/>
    <w:rsid w:val="00B810E3"/>
    <w:rsid w:val="00B8161B"/>
    <w:rsid w:val="00B84842"/>
    <w:rsid w:val="00B85ABC"/>
    <w:rsid w:val="00B85D56"/>
    <w:rsid w:val="00B86034"/>
    <w:rsid w:val="00B8770E"/>
    <w:rsid w:val="00B904D2"/>
    <w:rsid w:val="00B90CE6"/>
    <w:rsid w:val="00B92F46"/>
    <w:rsid w:val="00B93251"/>
    <w:rsid w:val="00B94007"/>
    <w:rsid w:val="00B949F1"/>
    <w:rsid w:val="00B94BE6"/>
    <w:rsid w:val="00B950CB"/>
    <w:rsid w:val="00BA1431"/>
    <w:rsid w:val="00BA1735"/>
    <w:rsid w:val="00BA19CC"/>
    <w:rsid w:val="00BA1EF2"/>
    <w:rsid w:val="00BA3732"/>
    <w:rsid w:val="00BA7CFC"/>
    <w:rsid w:val="00BA7D7A"/>
    <w:rsid w:val="00BB23B8"/>
    <w:rsid w:val="00BB3384"/>
    <w:rsid w:val="00BB39C0"/>
    <w:rsid w:val="00BB3E54"/>
    <w:rsid w:val="00BB407B"/>
    <w:rsid w:val="00BB4184"/>
    <w:rsid w:val="00BB4519"/>
    <w:rsid w:val="00BB5E49"/>
    <w:rsid w:val="00BB622D"/>
    <w:rsid w:val="00BB7607"/>
    <w:rsid w:val="00BB7EF7"/>
    <w:rsid w:val="00BC0F6C"/>
    <w:rsid w:val="00BC1EE9"/>
    <w:rsid w:val="00BC36C2"/>
    <w:rsid w:val="00BC390A"/>
    <w:rsid w:val="00BC6C33"/>
    <w:rsid w:val="00BC7D8F"/>
    <w:rsid w:val="00BD055F"/>
    <w:rsid w:val="00BD0BA1"/>
    <w:rsid w:val="00BD179F"/>
    <w:rsid w:val="00BD26CF"/>
    <w:rsid w:val="00BD2FF3"/>
    <w:rsid w:val="00BD3922"/>
    <w:rsid w:val="00BD3C26"/>
    <w:rsid w:val="00BD451E"/>
    <w:rsid w:val="00BD504E"/>
    <w:rsid w:val="00BD62BB"/>
    <w:rsid w:val="00BE3814"/>
    <w:rsid w:val="00BE387E"/>
    <w:rsid w:val="00BE3B22"/>
    <w:rsid w:val="00BE40CB"/>
    <w:rsid w:val="00BE4B98"/>
    <w:rsid w:val="00BE7B90"/>
    <w:rsid w:val="00BF13CB"/>
    <w:rsid w:val="00BF14DC"/>
    <w:rsid w:val="00BF493C"/>
    <w:rsid w:val="00BF6AD0"/>
    <w:rsid w:val="00BF6EDC"/>
    <w:rsid w:val="00C00820"/>
    <w:rsid w:val="00C0163B"/>
    <w:rsid w:val="00C026EB"/>
    <w:rsid w:val="00C0621A"/>
    <w:rsid w:val="00C06F10"/>
    <w:rsid w:val="00C1326A"/>
    <w:rsid w:val="00C136BC"/>
    <w:rsid w:val="00C13EA3"/>
    <w:rsid w:val="00C141F8"/>
    <w:rsid w:val="00C150DE"/>
    <w:rsid w:val="00C165EC"/>
    <w:rsid w:val="00C171FA"/>
    <w:rsid w:val="00C201E0"/>
    <w:rsid w:val="00C20E65"/>
    <w:rsid w:val="00C21BB6"/>
    <w:rsid w:val="00C21ECB"/>
    <w:rsid w:val="00C23229"/>
    <w:rsid w:val="00C24250"/>
    <w:rsid w:val="00C24F16"/>
    <w:rsid w:val="00C250E7"/>
    <w:rsid w:val="00C26969"/>
    <w:rsid w:val="00C2772C"/>
    <w:rsid w:val="00C3175F"/>
    <w:rsid w:val="00C32C70"/>
    <w:rsid w:val="00C32E77"/>
    <w:rsid w:val="00C33962"/>
    <w:rsid w:val="00C33A2D"/>
    <w:rsid w:val="00C37F2F"/>
    <w:rsid w:val="00C404B9"/>
    <w:rsid w:val="00C41D41"/>
    <w:rsid w:val="00C42D05"/>
    <w:rsid w:val="00C445B4"/>
    <w:rsid w:val="00C4465A"/>
    <w:rsid w:val="00C45015"/>
    <w:rsid w:val="00C45621"/>
    <w:rsid w:val="00C45DFF"/>
    <w:rsid w:val="00C46659"/>
    <w:rsid w:val="00C52294"/>
    <w:rsid w:val="00C52323"/>
    <w:rsid w:val="00C53875"/>
    <w:rsid w:val="00C55255"/>
    <w:rsid w:val="00C55E8F"/>
    <w:rsid w:val="00C5676D"/>
    <w:rsid w:val="00C57B99"/>
    <w:rsid w:val="00C57BD6"/>
    <w:rsid w:val="00C60660"/>
    <w:rsid w:val="00C6290E"/>
    <w:rsid w:val="00C62B0F"/>
    <w:rsid w:val="00C62B20"/>
    <w:rsid w:val="00C62EB0"/>
    <w:rsid w:val="00C63263"/>
    <w:rsid w:val="00C6357F"/>
    <w:rsid w:val="00C63964"/>
    <w:rsid w:val="00C64D56"/>
    <w:rsid w:val="00C66DA6"/>
    <w:rsid w:val="00C6791D"/>
    <w:rsid w:val="00C67B9A"/>
    <w:rsid w:val="00C70C4A"/>
    <w:rsid w:val="00C72FC4"/>
    <w:rsid w:val="00C73658"/>
    <w:rsid w:val="00C73A88"/>
    <w:rsid w:val="00C7414F"/>
    <w:rsid w:val="00C74790"/>
    <w:rsid w:val="00C803A2"/>
    <w:rsid w:val="00C81131"/>
    <w:rsid w:val="00C820B1"/>
    <w:rsid w:val="00C82FFF"/>
    <w:rsid w:val="00C8432C"/>
    <w:rsid w:val="00C84917"/>
    <w:rsid w:val="00C84EA9"/>
    <w:rsid w:val="00C84F46"/>
    <w:rsid w:val="00C85643"/>
    <w:rsid w:val="00C85A6A"/>
    <w:rsid w:val="00C86F54"/>
    <w:rsid w:val="00C8741F"/>
    <w:rsid w:val="00C905F6"/>
    <w:rsid w:val="00C90902"/>
    <w:rsid w:val="00C91C43"/>
    <w:rsid w:val="00C927F7"/>
    <w:rsid w:val="00C9351F"/>
    <w:rsid w:val="00C9465D"/>
    <w:rsid w:val="00C95315"/>
    <w:rsid w:val="00C95348"/>
    <w:rsid w:val="00C96147"/>
    <w:rsid w:val="00C962AA"/>
    <w:rsid w:val="00C96D92"/>
    <w:rsid w:val="00C971B8"/>
    <w:rsid w:val="00C9734A"/>
    <w:rsid w:val="00C97678"/>
    <w:rsid w:val="00C97DDD"/>
    <w:rsid w:val="00CA1A5E"/>
    <w:rsid w:val="00CA251F"/>
    <w:rsid w:val="00CA2B1A"/>
    <w:rsid w:val="00CA35CD"/>
    <w:rsid w:val="00CA50F7"/>
    <w:rsid w:val="00CA6B4C"/>
    <w:rsid w:val="00CB0768"/>
    <w:rsid w:val="00CB07DB"/>
    <w:rsid w:val="00CB0A32"/>
    <w:rsid w:val="00CB0DE6"/>
    <w:rsid w:val="00CB1815"/>
    <w:rsid w:val="00CB19F4"/>
    <w:rsid w:val="00CB2236"/>
    <w:rsid w:val="00CB378D"/>
    <w:rsid w:val="00CB46D4"/>
    <w:rsid w:val="00CB4E35"/>
    <w:rsid w:val="00CB59E2"/>
    <w:rsid w:val="00CB59EE"/>
    <w:rsid w:val="00CB5C38"/>
    <w:rsid w:val="00CB6768"/>
    <w:rsid w:val="00CC0377"/>
    <w:rsid w:val="00CC049A"/>
    <w:rsid w:val="00CC2101"/>
    <w:rsid w:val="00CC2389"/>
    <w:rsid w:val="00CC2EAB"/>
    <w:rsid w:val="00CC3E64"/>
    <w:rsid w:val="00CC4536"/>
    <w:rsid w:val="00CC46D4"/>
    <w:rsid w:val="00CC609E"/>
    <w:rsid w:val="00CC734E"/>
    <w:rsid w:val="00CC7A21"/>
    <w:rsid w:val="00CD2283"/>
    <w:rsid w:val="00CD245D"/>
    <w:rsid w:val="00CD4ADD"/>
    <w:rsid w:val="00CD4B47"/>
    <w:rsid w:val="00CD5B78"/>
    <w:rsid w:val="00CD6A67"/>
    <w:rsid w:val="00CE1101"/>
    <w:rsid w:val="00CE33F2"/>
    <w:rsid w:val="00CE403D"/>
    <w:rsid w:val="00CE41C2"/>
    <w:rsid w:val="00CE4EE6"/>
    <w:rsid w:val="00CE5734"/>
    <w:rsid w:val="00CE5F18"/>
    <w:rsid w:val="00CF0173"/>
    <w:rsid w:val="00CF2BF2"/>
    <w:rsid w:val="00CF2E20"/>
    <w:rsid w:val="00CF327A"/>
    <w:rsid w:val="00CF3A9D"/>
    <w:rsid w:val="00CF54BB"/>
    <w:rsid w:val="00CF6514"/>
    <w:rsid w:val="00D01463"/>
    <w:rsid w:val="00D02E94"/>
    <w:rsid w:val="00D02F01"/>
    <w:rsid w:val="00D03F97"/>
    <w:rsid w:val="00D05E87"/>
    <w:rsid w:val="00D060C0"/>
    <w:rsid w:val="00D06660"/>
    <w:rsid w:val="00D07854"/>
    <w:rsid w:val="00D07A0A"/>
    <w:rsid w:val="00D07AFD"/>
    <w:rsid w:val="00D1004F"/>
    <w:rsid w:val="00D10157"/>
    <w:rsid w:val="00D12009"/>
    <w:rsid w:val="00D12C0E"/>
    <w:rsid w:val="00D12D5D"/>
    <w:rsid w:val="00D15074"/>
    <w:rsid w:val="00D15250"/>
    <w:rsid w:val="00D171CA"/>
    <w:rsid w:val="00D17F9F"/>
    <w:rsid w:val="00D2022A"/>
    <w:rsid w:val="00D20D64"/>
    <w:rsid w:val="00D230AF"/>
    <w:rsid w:val="00D2383D"/>
    <w:rsid w:val="00D277B8"/>
    <w:rsid w:val="00D30701"/>
    <w:rsid w:val="00D3105B"/>
    <w:rsid w:val="00D31142"/>
    <w:rsid w:val="00D32612"/>
    <w:rsid w:val="00D33055"/>
    <w:rsid w:val="00D333B6"/>
    <w:rsid w:val="00D334E7"/>
    <w:rsid w:val="00D33680"/>
    <w:rsid w:val="00D33748"/>
    <w:rsid w:val="00D33F54"/>
    <w:rsid w:val="00D351AD"/>
    <w:rsid w:val="00D37FD4"/>
    <w:rsid w:val="00D40735"/>
    <w:rsid w:val="00D41E99"/>
    <w:rsid w:val="00D42D24"/>
    <w:rsid w:val="00D43BA8"/>
    <w:rsid w:val="00D45309"/>
    <w:rsid w:val="00D462D0"/>
    <w:rsid w:val="00D468F1"/>
    <w:rsid w:val="00D46BC9"/>
    <w:rsid w:val="00D47F8D"/>
    <w:rsid w:val="00D53666"/>
    <w:rsid w:val="00D5611B"/>
    <w:rsid w:val="00D56185"/>
    <w:rsid w:val="00D56D68"/>
    <w:rsid w:val="00D611BA"/>
    <w:rsid w:val="00D61212"/>
    <w:rsid w:val="00D6244F"/>
    <w:rsid w:val="00D62689"/>
    <w:rsid w:val="00D62B40"/>
    <w:rsid w:val="00D6348C"/>
    <w:rsid w:val="00D649ED"/>
    <w:rsid w:val="00D65901"/>
    <w:rsid w:val="00D660B6"/>
    <w:rsid w:val="00D669F9"/>
    <w:rsid w:val="00D670BC"/>
    <w:rsid w:val="00D6728F"/>
    <w:rsid w:val="00D71CA4"/>
    <w:rsid w:val="00D72413"/>
    <w:rsid w:val="00D729CD"/>
    <w:rsid w:val="00D74FC9"/>
    <w:rsid w:val="00D750CC"/>
    <w:rsid w:val="00D7655F"/>
    <w:rsid w:val="00D77B50"/>
    <w:rsid w:val="00D77B82"/>
    <w:rsid w:val="00D8017B"/>
    <w:rsid w:val="00D81CFA"/>
    <w:rsid w:val="00D8209E"/>
    <w:rsid w:val="00D83EF7"/>
    <w:rsid w:val="00D8466F"/>
    <w:rsid w:val="00D84E4A"/>
    <w:rsid w:val="00D85850"/>
    <w:rsid w:val="00D859AB"/>
    <w:rsid w:val="00D977E1"/>
    <w:rsid w:val="00D97F2D"/>
    <w:rsid w:val="00DA115D"/>
    <w:rsid w:val="00DA1B6C"/>
    <w:rsid w:val="00DA1BC7"/>
    <w:rsid w:val="00DA1DED"/>
    <w:rsid w:val="00DA2363"/>
    <w:rsid w:val="00DA38B9"/>
    <w:rsid w:val="00DA52AB"/>
    <w:rsid w:val="00DA5646"/>
    <w:rsid w:val="00DA6287"/>
    <w:rsid w:val="00DA64A6"/>
    <w:rsid w:val="00DB025E"/>
    <w:rsid w:val="00DB0E08"/>
    <w:rsid w:val="00DB478E"/>
    <w:rsid w:val="00DB4A27"/>
    <w:rsid w:val="00DC3C0B"/>
    <w:rsid w:val="00DC40AC"/>
    <w:rsid w:val="00DC458B"/>
    <w:rsid w:val="00DC4D19"/>
    <w:rsid w:val="00DC64D4"/>
    <w:rsid w:val="00DD17E7"/>
    <w:rsid w:val="00DD20F3"/>
    <w:rsid w:val="00DD2D29"/>
    <w:rsid w:val="00DD3A5C"/>
    <w:rsid w:val="00DD3B6B"/>
    <w:rsid w:val="00DD4383"/>
    <w:rsid w:val="00DD45B9"/>
    <w:rsid w:val="00DD5B00"/>
    <w:rsid w:val="00DD6B7B"/>
    <w:rsid w:val="00DD7060"/>
    <w:rsid w:val="00DE0780"/>
    <w:rsid w:val="00DE19FB"/>
    <w:rsid w:val="00DE1CE9"/>
    <w:rsid w:val="00DE514F"/>
    <w:rsid w:val="00DE693F"/>
    <w:rsid w:val="00DE7035"/>
    <w:rsid w:val="00DF0C44"/>
    <w:rsid w:val="00DF100C"/>
    <w:rsid w:val="00DF1BD4"/>
    <w:rsid w:val="00DF2848"/>
    <w:rsid w:val="00DF29DA"/>
    <w:rsid w:val="00DF35CA"/>
    <w:rsid w:val="00DF371D"/>
    <w:rsid w:val="00DF54FF"/>
    <w:rsid w:val="00DF6404"/>
    <w:rsid w:val="00DF7429"/>
    <w:rsid w:val="00DF7CA3"/>
    <w:rsid w:val="00DF7E99"/>
    <w:rsid w:val="00E00CD5"/>
    <w:rsid w:val="00E011A7"/>
    <w:rsid w:val="00E01824"/>
    <w:rsid w:val="00E018A9"/>
    <w:rsid w:val="00E040CD"/>
    <w:rsid w:val="00E10655"/>
    <w:rsid w:val="00E10AFA"/>
    <w:rsid w:val="00E127B5"/>
    <w:rsid w:val="00E13711"/>
    <w:rsid w:val="00E15293"/>
    <w:rsid w:val="00E15405"/>
    <w:rsid w:val="00E15CB2"/>
    <w:rsid w:val="00E16334"/>
    <w:rsid w:val="00E16CC3"/>
    <w:rsid w:val="00E17A86"/>
    <w:rsid w:val="00E20465"/>
    <w:rsid w:val="00E210A6"/>
    <w:rsid w:val="00E2299F"/>
    <w:rsid w:val="00E22D13"/>
    <w:rsid w:val="00E24723"/>
    <w:rsid w:val="00E25F0A"/>
    <w:rsid w:val="00E2766C"/>
    <w:rsid w:val="00E27BBA"/>
    <w:rsid w:val="00E301E7"/>
    <w:rsid w:val="00E3027D"/>
    <w:rsid w:val="00E3139F"/>
    <w:rsid w:val="00E31D11"/>
    <w:rsid w:val="00E32B3E"/>
    <w:rsid w:val="00E336A5"/>
    <w:rsid w:val="00E34B6C"/>
    <w:rsid w:val="00E34E62"/>
    <w:rsid w:val="00E417FA"/>
    <w:rsid w:val="00E41B35"/>
    <w:rsid w:val="00E41E7E"/>
    <w:rsid w:val="00E42682"/>
    <w:rsid w:val="00E44D5B"/>
    <w:rsid w:val="00E50B69"/>
    <w:rsid w:val="00E50B98"/>
    <w:rsid w:val="00E538FD"/>
    <w:rsid w:val="00E5784B"/>
    <w:rsid w:val="00E6036F"/>
    <w:rsid w:val="00E611B7"/>
    <w:rsid w:val="00E62061"/>
    <w:rsid w:val="00E626CA"/>
    <w:rsid w:val="00E628FE"/>
    <w:rsid w:val="00E62D96"/>
    <w:rsid w:val="00E6346A"/>
    <w:rsid w:val="00E639F1"/>
    <w:rsid w:val="00E64DBD"/>
    <w:rsid w:val="00E65B33"/>
    <w:rsid w:val="00E71FF7"/>
    <w:rsid w:val="00E7215C"/>
    <w:rsid w:val="00E72C82"/>
    <w:rsid w:val="00E73A85"/>
    <w:rsid w:val="00E750DC"/>
    <w:rsid w:val="00E75636"/>
    <w:rsid w:val="00E77247"/>
    <w:rsid w:val="00E77594"/>
    <w:rsid w:val="00E80420"/>
    <w:rsid w:val="00E82C7F"/>
    <w:rsid w:val="00E83D1D"/>
    <w:rsid w:val="00E83EB5"/>
    <w:rsid w:val="00E854B7"/>
    <w:rsid w:val="00E867FB"/>
    <w:rsid w:val="00E877D6"/>
    <w:rsid w:val="00E87A6C"/>
    <w:rsid w:val="00E90B85"/>
    <w:rsid w:val="00E9186E"/>
    <w:rsid w:val="00E92045"/>
    <w:rsid w:val="00E93D11"/>
    <w:rsid w:val="00E94130"/>
    <w:rsid w:val="00E94BC0"/>
    <w:rsid w:val="00E95349"/>
    <w:rsid w:val="00E95DC4"/>
    <w:rsid w:val="00E967DB"/>
    <w:rsid w:val="00E970BA"/>
    <w:rsid w:val="00EA2706"/>
    <w:rsid w:val="00EA27DC"/>
    <w:rsid w:val="00EA340A"/>
    <w:rsid w:val="00EA5345"/>
    <w:rsid w:val="00EA6165"/>
    <w:rsid w:val="00EA641B"/>
    <w:rsid w:val="00EA6E40"/>
    <w:rsid w:val="00EB00F4"/>
    <w:rsid w:val="00EB2E3B"/>
    <w:rsid w:val="00EB2EC5"/>
    <w:rsid w:val="00EB3502"/>
    <w:rsid w:val="00EB435B"/>
    <w:rsid w:val="00EB76B1"/>
    <w:rsid w:val="00EC136F"/>
    <w:rsid w:val="00EC1733"/>
    <w:rsid w:val="00EC259F"/>
    <w:rsid w:val="00EC290C"/>
    <w:rsid w:val="00EC3D07"/>
    <w:rsid w:val="00ED2A28"/>
    <w:rsid w:val="00ED3160"/>
    <w:rsid w:val="00ED4019"/>
    <w:rsid w:val="00ED4110"/>
    <w:rsid w:val="00ED4AE9"/>
    <w:rsid w:val="00ED6072"/>
    <w:rsid w:val="00ED6970"/>
    <w:rsid w:val="00ED73FD"/>
    <w:rsid w:val="00ED7D93"/>
    <w:rsid w:val="00EE3AA6"/>
    <w:rsid w:val="00EE591D"/>
    <w:rsid w:val="00EE74B6"/>
    <w:rsid w:val="00EF094B"/>
    <w:rsid w:val="00EF0E21"/>
    <w:rsid w:val="00EF19A4"/>
    <w:rsid w:val="00EF2F87"/>
    <w:rsid w:val="00EF3307"/>
    <w:rsid w:val="00EF56E0"/>
    <w:rsid w:val="00EF5DCD"/>
    <w:rsid w:val="00EF6E75"/>
    <w:rsid w:val="00F00F65"/>
    <w:rsid w:val="00F01A5A"/>
    <w:rsid w:val="00F0203B"/>
    <w:rsid w:val="00F03131"/>
    <w:rsid w:val="00F044F7"/>
    <w:rsid w:val="00F06A99"/>
    <w:rsid w:val="00F109BD"/>
    <w:rsid w:val="00F136F0"/>
    <w:rsid w:val="00F14D93"/>
    <w:rsid w:val="00F159E1"/>
    <w:rsid w:val="00F169E3"/>
    <w:rsid w:val="00F176A5"/>
    <w:rsid w:val="00F21763"/>
    <w:rsid w:val="00F22AFF"/>
    <w:rsid w:val="00F22C5C"/>
    <w:rsid w:val="00F265FF"/>
    <w:rsid w:val="00F27189"/>
    <w:rsid w:val="00F2797F"/>
    <w:rsid w:val="00F31EB4"/>
    <w:rsid w:val="00F32F72"/>
    <w:rsid w:val="00F3461F"/>
    <w:rsid w:val="00F358B9"/>
    <w:rsid w:val="00F36D8F"/>
    <w:rsid w:val="00F4157D"/>
    <w:rsid w:val="00F42C89"/>
    <w:rsid w:val="00F42E0C"/>
    <w:rsid w:val="00F44133"/>
    <w:rsid w:val="00F44594"/>
    <w:rsid w:val="00F45280"/>
    <w:rsid w:val="00F46FFC"/>
    <w:rsid w:val="00F47B2B"/>
    <w:rsid w:val="00F50AD5"/>
    <w:rsid w:val="00F514B2"/>
    <w:rsid w:val="00F51C61"/>
    <w:rsid w:val="00F52FB5"/>
    <w:rsid w:val="00F53F61"/>
    <w:rsid w:val="00F54B86"/>
    <w:rsid w:val="00F569DA"/>
    <w:rsid w:val="00F60097"/>
    <w:rsid w:val="00F60B94"/>
    <w:rsid w:val="00F60F7A"/>
    <w:rsid w:val="00F61312"/>
    <w:rsid w:val="00F616DF"/>
    <w:rsid w:val="00F621AD"/>
    <w:rsid w:val="00F65A80"/>
    <w:rsid w:val="00F67734"/>
    <w:rsid w:val="00F70AE4"/>
    <w:rsid w:val="00F717CA"/>
    <w:rsid w:val="00F71BA1"/>
    <w:rsid w:val="00F7235E"/>
    <w:rsid w:val="00F723B0"/>
    <w:rsid w:val="00F7278D"/>
    <w:rsid w:val="00F72CF9"/>
    <w:rsid w:val="00F72E2A"/>
    <w:rsid w:val="00F735E9"/>
    <w:rsid w:val="00F73C7B"/>
    <w:rsid w:val="00F73EB7"/>
    <w:rsid w:val="00F75F34"/>
    <w:rsid w:val="00F81B24"/>
    <w:rsid w:val="00F81BC3"/>
    <w:rsid w:val="00F8381F"/>
    <w:rsid w:val="00F83853"/>
    <w:rsid w:val="00F86722"/>
    <w:rsid w:val="00F871EA"/>
    <w:rsid w:val="00F87385"/>
    <w:rsid w:val="00F879B7"/>
    <w:rsid w:val="00F91866"/>
    <w:rsid w:val="00F938DF"/>
    <w:rsid w:val="00F93B81"/>
    <w:rsid w:val="00F94248"/>
    <w:rsid w:val="00F96588"/>
    <w:rsid w:val="00FA0CB9"/>
    <w:rsid w:val="00FA26C3"/>
    <w:rsid w:val="00FA276C"/>
    <w:rsid w:val="00FA33EA"/>
    <w:rsid w:val="00FA5261"/>
    <w:rsid w:val="00FA6ACF"/>
    <w:rsid w:val="00FB0A7C"/>
    <w:rsid w:val="00FB48B2"/>
    <w:rsid w:val="00FB4DD9"/>
    <w:rsid w:val="00FB52D0"/>
    <w:rsid w:val="00FB6848"/>
    <w:rsid w:val="00FB75FA"/>
    <w:rsid w:val="00FB7A5E"/>
    <w:rsid w:val="00FC01D3"/>
    <w:rsid w:val="00FC022A"/>
    <w:rsid w:val="00FC0346"/>
    <w:rsid w:val="00FC05C3"/>
    <w:rsid w:val="00FC1894"/>
    <w:rsid w:val="00FC1E26"/>
    <w:rsid w:val="00FC263D"/>
    <w:rsid w:val="00FC2ED6"/>
    <w:rsid w:val="00FC5021"/>
    <w:rsid w:val="00FC5552"/>
    <w:rsid w:val="00FC6426"/>
    <w:rsid w:val="00FC6A45"/>
    <w:rsid w:val="00FC71AB"/>
    <w:rsid w:val="00FD164E"/>
    <w:rsid w:val="00FD3452"/>
    <w:rsid w:val="00FD394B"/>
    <w:rsid w:val="00FD3AF6"/>
    <w:rsid w:val="00FD3CFB"/>
    <w:rsid w:val="00FD5679"/>
    <w:rsid w:val="00FD631A"/>
    <w:rsid w:val="00FD70F7"/>
    <w:rsid w:val="00FE193A"/>
    <w:rsid w:val="00FE212D"/>
    <w:rsid w:val="00FE22D5"/>
    <w:rsid w:val="00FE2B01"/>
    <w:rsid w:val="00FE2ED9"/>
    <w:rsid w:val="00FE4725"/>
    <w:rsid w:val="00FE569A"/>
    <w:rsid w:val="00FE63CB"/>
    <w:rsid w:val="00FE7008"/>
    <w:rsid w:val="00FE7899"/>
    <w:rsid w:val="00FF43F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4581"/>
  <w15:chartTrackingRefBased/>
  <w15:docId w15:val="{CE940906-EAC8-4E13-8860-11285E9E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E5784B"/>
    <w:pPr>
      <w:autoSpaceDE w:val="0"/>
      <w:autoSpaceDN w:val="0"/>
      <w:adjustRightInd w:val="0"/>
      <w:spacing w:before="240" w:after="240" w:line="240" w:lineRule="auto"/>
      <w:ind w:left="0"/>
      <w:jc w:val="center"/>
      <w:outlineLvl w:val="0"/>
    </w:pPr>
    <w:rPr>
      <w:rFonts w:cs="Arial"/>
      <w:b/>
      <w:lang w:val="es-ES"/>
    </w:rPr>
  </w:style>
  <w:style w:type="paragraph" w:styleId="Heading2">
    <w:name w:val="heading 2"/>
    <w:basedOn w:val="Normal"/>
    <w:next w:val="Normal"/>
    <w:link w:val="Heading2Char"/>
    <w:unhideWhenUsed/>
    <w:qFormat/>
    <w:rsid w:val="00BB407B"/>
    <w:pPr>
      <w:keepNext/>
      <w:numPr>
        <w:numId w:val="5"/>
      </w:numPr>
      <w:autoSpaceDE w:val="0"/>
      <w:autoSpaceDN w:val="0"/>
      <w:adjustRightInd w:val="0"/>
      <w:spacing w:before="240" w:after="240" w:line="240" w:lineRule="auto"/>
      <w:ind w:left="1134" w:hanging="567"/>
      <w:jc w:val="both"/>
      <w:outlineLvl w:val="1"/>
    </w:pPr>
    <w:rPr>
      <w:rFonts w:ascii="Verdana" w:hAnsi="Verdana" w:cs="Arial"/>
      <w:b/>
      <w:i/>
      <w:sz w:val="20"/>
      <w:szCs w:val="20"/>
    </w:rPr>
  </w:style>
  <w:style w:type="paragraph" w:styleId="Heading3">
    <w:name w:val="heading 3"/>
    <w:basedOn w:val="Normal"/>
    <w:next w:val="Normal"/>
    <w:link w:val="Heading3Char"/>
    <w:uiPriority w:val="9"/>
    <w:unhideWhenUsed/>
    <w:qFormat/>
    <w:rsid w:val="00C95348"/>
    <w:pPr>
      <w:tabs>
        <w:tab w:val="left" w:pos="1701"/>
      </w:tabs>
      <w:spacing w:before="240" w:after="240" w:line="240" w:lineRule="auto"/>
      <w:ind w:left="1134"/>
      <w:jc w:val="both"/>
      <w:outlineLvl w:val="2"/>
    </w:pPr>
    <w:rPr>
      <w:rFonts w:ascii="Verdana" w:hAnsi="Verdana"/>
      <w:b/>
      <w:sz w:val="20"/>
      <w:szCs w:val="20"/>
      <w:lang w:eastAsia="es-MX"/>
    </w:rPr>
  </w:style>
  <w:style w:type="paragraph" w:styleId="Heading4">
    <w:name w:val="heading 4"/>
    <w:basedOn w:val="Normal"/>
    <w:next w:val="Normal"/>
    <w:link w:val="Heading4Char"/>
    <w:unhideWhenUsed/>
    <w:qFormat/>
    <w:rsid w:val="001A6123"/>
    <w:pPr>
      <w:keepNext/>
      <w:keepLines/>
      <w:tabs>
        <w:tab w:val="left" w:pos="2268"/>
      </w:tabs>
      <w:spacing w:before="240" w:after="240"/>
      <w:ind w:left="2268" w:hanging="567"/>
      <w:outlineLvl w:val="3"/>
    </w:pPr>
    <w:rPr>
      <w:rFonts w:ascii="Verdana" w:eastAsiaTheme="majorEastAsia" w:hAnsi="Verdana" w:cstheme="majorBidi"/>
      <w:iCs/>
      <w:sz w:val="20"/>
      <w:szCs w:val="20"/>
      <w:u w:val="single"/>
    </w:rPr>
  </w:style>
  <w:style w:type="paragraph" w:styleId="Heading5">
    <w:name w:val="heading 5"/>
    <w:basedOn w:val="Normal"/>
    <w:next w:val="Normal"/>
    <w:link w:val="Heading5Char"/>
    <w:uiPriority w:val="9"/>
    <w:unhideWhenUsed/>
    <w:qFormat/>
    <w:rsid w:val="002E7B6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E7B6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2E7B6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2E7B6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7B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unhideWhenUsed/>
    <w:rsid w:val="00087FB8"/>
    <w:pPr>
      <w:tabs>
        <w:tab w:val="center" w:pos="4419"/>
        <w:tab w:val="right" w:pos="8838"/>
      </w:tabs>
      <w:spacing w:after="0" w:line="240" w:lineRule="auto"/>
    </w:pPr>
  </w:style>
  <w:style w:type="character" w:customStyle="1" w:styleId="HeaderChar">
    <w:name w:val="Header Char"/>
    <w:aliases w:val="encabezado Char"/>
    <w:basedOn w:val="DefaultParagraphFont"/>
    <w:link w:val="Header"/>
    <w:uiPriority w:val="99"/>
    <w:rsid w:val="00087FB8"/>
  </w:style>
  <w:style w:type="paragraph" w:styleId="Footer">
    <w:name w:val="footer"/>
    <w:aliases w:val="3_G"/>
    <w:basedOn w:val="Normal"/>
    <w:link w:val="FooterChar"/>
    <w:uiPriority w:val="99"/>
    <w:unhideWhenUsed/>
    <w:qFormat/>
    <w:rsid w:val="00087FB8"/>
    <w:pPr>
      <w:tabs>
        <w:tab w:val="center" w:pos="4419"/>
        <w:tab w:val="right" w:pos="8838"/>
      </w:tabs>
      <w:spacing w:after="0" w:line="240" w:lineRule="auto"/>
    </w:pPr>
  </w:style>
  <w:style w:type="character" w:customStyle="1" w:styleId="FooterChar">
    <w:name w:val="Footer Char"/>
    <w:aliases w:val="3_G Char"/>
    <w:basedOn w:val="DefaultParagraphFont"/>
    <w:link w:val="Footer"/>
    <w:uiPriority w:val="99"/>
    <w:rsid w:val="00087FB8"/>
  </w:style>
  <w:style w:type="character" w:customStyle="1" w:styleId="Heading1Char">
    <w:name w:val="Heading 1 Char"/>
    <w:basedOn w:val="DefaultParagraphFont"/>
    <w:link w:val="Heading1"/>
    <w:uiPriority w:val="9"/>
    <w:rsid w:val="00E5784B"/>
    <w:rPr>
      <w:rFonts w:ascii="Verdana" w:hAnsi="Verdana" w:cs="Arial"/>
      <w:b/>
      <w:sz w:val="20"/>
      <w:szCs w:val="20"/>
      <w:lang w:val="es-ES"/>
    </w:rPr>
  </w:style>
  <w:style w:type="character" w:customStyle="1" w:styleId="Heading2Char">
    <w:name w:val="Heading 2 Char"/>
    <w:basedOn w:val="DefaultParagraphFont"/>
    <w:link w:val="Heading2"/>
    <w:rsid w:val="00BB407B"/>
    <w:rPr>
      <w:rFonts w:ascii="Verdana" w:hAnsi="Verdana" w:cs="Arial"/>
      <w:b/>
      <w:i/>
      <w:sz w:val="20"/>
      <w:szCs w:val="20"/>
    </w:rPr>
  </w:style>
  <w:style w:type="character" w:customStyle="1" w:styleId="Heading3Char">
    <w:name w:val="Heading 3 Char"/>
    <w:basedOn w:val="DefaultParagraphFont"/>
    <w:link w:val="Heading3"/>
    <w:uiPriority w:val="9"/>
    <w:rsid w:val="00C95348"/>
    <w:rPr>
      <w:rFonts w:ascii="Verdana" w:hAnsi="Verdana"/>
      <w:b/>
      <w:sz w:val="20"/>
      <w:szCs w:val="20"/>
      <w:lang w:eastAsia="es-MX"/>
    </w:rPr>
  </w:style>
  <w:style w:type="paragraph" w:styleId="ListParagraph">
    <w:name w:val="List Paragraph"/>
    <w:aliases w:val="List Paragraph2,Lista vistosa - Énfasis 11,Párrafo de lista1,List Paragraph1,Colorful List - Accent 11,Subtle Emphasis1,Footnote1,List Paragraph11,Parrafos"/>
    <w:basedOn w:val="Normal"/>
    <w:link w:val="ListParagraphChar"/>
    <w:uiPriority w:val="34"/>
    <w:qFormat/>
    <w:rsid w:val="00D42D24"/>
    <w:pPr>
      <w:spacing w:after="0" w:line="276" w:lineRule="auto"/>
      <w:ind w:left="720"/>
      <w:contextualSpacing/>
      <w:jc w:val="both"/>
    </w:pPr>
    <w:rPr>
      <w:rFonts w:ascii="Verdana" w:hAnsi="Verdana"/>
      <w:sz w:val="20"/>
      <w:szCs w:val="20"/>
    </w:rPr>
  </w:style>
  <w:style w:type="paragraph" w:styleId="CommentText">
    <w:name w:val="annotation text"/>
    <w:basedOn w:val="Normal"/>
    <w:link w:val="CommentTextChar"/>
    <w:uiPriority w:val="99"/>
    <w:unhideWhenUsed/>
    <w:rsid w:val="00D42D24"/>
    <w:pPr>
      <w:spacing w:after="0" w:line="240" w:lineRule="auto"/>
      <w:jc w:val="both"/>
    </w:pPr>
    <w:rPr>
      <w:rFonts w:ascii="Verdana" w:hAnsi="Verdana"/>
      <w:sz w:val="20"/>
      <w:szCs w:val="20"/>
    </w:rPr>
  </w:style>
  <w:style w:type="character" w:customStyle="1" w:styleId="CommentTextChar">
    <w:name w:val="Comment Text Char"/>
    <w:basedOn w:val="DefaultParagraphFont"/>
    <w:link w:val="CommentText"/>
    <w:uiPriority w:val="99"/>
    <w:rsid w:val="00D42D24"/>
    <w:rPr>
      <w:rFonts w:ascii="Verdana" w:hAnsi="Verdana"/>
      <w:sz w:val="20"/>
      <w:szCs w:val="20"/>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
    <w:unhideWhenUsed/>
    <w:qFormat/>
    <w:rsid w:val="00D42D24"/>
    <w:pPr>
      <w:autoSpaceDE w:val="0"/>
      <w:autoSpaceDN w:val="0"/>
      <w:adjustRightInd w:val="0"/>
      <w:spacing w:after="0" w:line="240" w:lineRule="auto"/>
      <w:jc w:val="both"/>
    </w:pPr>
    <w:rPr>
      <w:rFonts w:ascii="Verdana" w:hAnsi="Verdana" w:cs="Arial"/>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qFormat/>
    <w:rsid w:val="00D42D24"/>
    <w:rPr>
      <w:rFonts w:ascii="Verdana" w:hAnsi="Verdana" w:cs="Arial"/>
      <w:sz w:val="20"/>
      <w:szCs w:val="20"/>
    </w:rPr>
  </w:style>
  <w:style w:type="character" w:styleId="FootnoteReference">
    <w:name w:val="footnote reference"/>
    <w:aliases w:val="Footnotes refss,Texto de nota al pie,Appel note de bas de page,Footnote number,referencia nota al pie,BVI fnr,f,Ref. de nota al pie.,4_G,16 Point,Superscript 6 Point,Footnote symbol,Footnote,Texto nota al pie,Footnote Reference Char3"/>
    <w:basedOn w:val="DefaultParagraphFont"/>
    <w:link w:val="4GChar"/>
    <w:unhideWhenUsed/>
    <w:qFormat/>
    <w:rsid w:val="00D42D24"/>
    <w:rPr>
      <w:vertAlign w:val="superscript"/>
    </w:rPr>
  </w:style>
  <w:style w:type="paragraph" w:customStyle="1" w:styleId="Footnotes">
    <w:name w:val="**. Footnotes"/>
    <w:basedOn w:val="FootnoteText"/>
    <w:link w:val="FootnotesChar"/>
    <w:autoRedefine/>
    <w:qFormat/>
    <w:rsid w:val="00D42D24"/>
    <w:pPr>
      <w:tabs>
        <w:tab w:val="left" w:pos="426"/>
      </w:tabs>
      <w:autoSpaceDE/>
      <w:autoSpaceDN/>
      <w:adjustRightInd/>
      <w:spacing w:before="120" w:after="120"/>
    </w:pPr>
    <w:rPr>
      <w:rFonts w:eastAsia="Times New Roman" w:cs="Palatino-Italic"/>
      <w:iCs/>
      <w:spacing w:val="-4"/>
      <w:sz w:val="16"/>
      <w:szCs w:val="16"/>
      <w:lang w:val="es-ES" w:bidi="en-US"/>
    </w:rPr>
  </w:style>
  <w:style w:type="character" w:customStyle="1" w:styleId="FootnotesChar">
    <w:name w:val="**. Footnotes Char"/>
    <w:basedOn w:val="DefaultParagraphFont"/>
    <w:link w:val="Footnotes"/>
    <w:rsid w:val="00D42D24"/>
    <w:rPr>
      <w:rFonts w:ascii="Verdana" w:eastAsia="Times New Roman" w:hAnsi="Verdana" w:cs="Palatino-Italic"/>
      <w:iCs/>
      <w:spacing w:val="-4"/>
      <w:sz w:val="16"/>
      <w:szCs w:val="16"/>
      <w:lang w:val="es-ES" w:bidi="en-US"/>
    </w:rPr>
  </w:style>
  <w:style w:type="table" w:styleId="TableGrid">
    <w:name w:val="Table Grid"/>
    <w:basedOn w:val="TableNormal"/>
    <w:uiPriority w:val="59"/>
    <w:rsid w:val="00D42D2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D42D24"/>
    <w:pPr>
      <w:autoSpaceDE w:val="0"/>
      <w:autoSpaceDN w:val="0"/>
      <w:adjustRightInd w:val="0"/>
      <w:spacing w:after="0" w:line="240" w:lineRule="auto"/>
      <w:jc w:val="both"/>
    </w:pPr>
    <w:rPr>
      <w:rFonts w:ascii="Verdana" w:hAnsi="Verdana" w:cs="Arial"/>
      <w:sz w:val="20"/>
      <w:szCs w:val="20"/>
    </w:rPr>
  </w:style>
  <w:style w:type="character" w:customStyle="1" w:styleId="BodyText2Char">
    <w:name w:val="Body Text 2 Char"/>
    <w:basedOn w:val="DefaultParagraphFont"/>
    <w:link w:val="BodyText2"/>
    <w:uiPriority w:val="99"/>
    <w:rsid w:val="00D42D24"/>
    <w:rPr>
      <w:rFonts w:ascii="Verdana" w:hAnsi="Verdana" w:cs="Arial"/>
      <w:sz w:val="20"/>
      <w:szCs w:val="20"/>
    </w:rPr>
  </w:style>
  <w:style w:type="character" w:customStyle="1" w:styleId="ListParagraphChar">
    <w:name w:val="List Paragraph Char"/>
    <w:aliases w:val="List Paragraph2 Char,Lista vistosa - Énfasis 11 Char,Párrafo de lista1 Char,List Paragraph1 Char,Colorful List - Accent 11 Char,Subtle Emphasis1 Char,Footnote1 Char,List Paragraph11 Char,Parrafos Char"/>
    <w:link w:val="ListParagraph"/>
    <w:uiPriority w:val="34"/>
    <w:locked/>
    <w:rsid w:val="00D42D24"/>
    <w:rPr>
      <w:rFonts w:ascii="Verdana" w:hAnsi="Verdana"/>
      <w:sz w:val="20"/>
      <w:szCs w:val="20"/>
    </w:rPr>
  </w:style>
  <w:style w:type="character" w:styleId="Hyperlink">
    <w:name w:val="Hyperlink"/>
    <w:basedOn w:val="DefaultParagraphFont"/>
    <w:uiPriority w:val="99"/>
    <w:unhideWhenUsed/>
    <w:rsid w:val="00D42D24"/>
    <w:rPr>
      <w:color w:val="0000FF"/>
      <w:u w:val="single"/>
    </w:rPr>
  </w:style>
  <w:style w:type="character" w:styleId="Strong">
    <w:name w:val="Strong"/>
    <w:aliases w:val="Heading 2.1"/>
    <w:basedOn w:val="DefaultParagraphFont"/>
    <w:uiPriority w:val="22"/>
    <w:qFormat/>
    <w:rsid w:val="00D42D24"/>
    <w:rPr>
      <w:b/>
      <w:bCs/>
    </w:rPr>
  </w:style>
  <w:style w:type="character" w:customStyle="1" w:styleId="PrrafodeSentenciaChar">
    <w:name w:val="*. Párrafo de Sentencia Char"/>
    <w:link w:val="PrrafodeSentencia"/>
    <w:locked/>
    <w:rsid w:val="00D42D24"/>
    <w:rPr>
      <w:rFonts w:ascii="Verdana" w:eastAsia="Batang" w:hAnsi="Verdana"/>
      <w:spacing w:val="-4"/>
      <w:sz w:val="20"/>
      <w:lang w:eastAsia="es-MX"/>
    </w:rPr>
  </w:style>
  <w:style w:type="paragraph" w:customStyle="1" w:styleId="PrrafodeSentencia">
    <w:name w:val="*. Párrafo de Sentencia"/>
    <w:basedOn w:val="Normal"/>
    <w:next w:val="Normal"/>
    <w:link w:val="PrrafodeSentenciaChar"/>
    <w:qFormat/>
    <w:rsid w:val="00D42D24"/>
    <w:pPr>
      <w:tabs>
        <w:tab w:val="left" w:pos="567"/>
      </w:tabs>
      <w:spacing w:after="0" w:line="240" w:lineRule="auto"/>
      <w:jc w:val="both"/>
    </w:pPr>
    <w:rPr>
      <w:rFonts w:ascii="Verdana" w:eastAsia="Batang" w:hAnsi="Verdana"/>
      <w:spacing w:val="-4"/>
      <w:sz w:val="20"/>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D42D24"/>
    <w:pPr>
      <w:spacing w:after="0" w:line="240" w:lineRule="auto"/>
      <w:jc w:val="both"/>
    </w:pPr>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982F79"/>
    <w:pPr>
      <w:spacing w:line="240" w:lineRule="exact"/>
    </w:pPr>
    <w:rPr>
      <w:vertAlign w:val="superscript"/>
      <w:lang w:val="en-US"/>
    </w:rPr>
  </w:style>
  <w:style w:type="paragraph" w:customStyle="1" w:styleId="Numberedparagraphs">
    <w:name w:val="Numbered paragraphs"/>
    <w:basedOn w:val="Normal"/>
    <w:link w:val="NumberedparagraphsCar"/>
    <w:qFormat/>
    <w:rsid w:val="00AA3C22"/>
    <w:pPr>
      <w:numPr>
        <w:numId w:val="3"/>
      </w:numPr>
      <w:tabs>
        <w:tab w:val="clear" w:pos="720"/>
        <w:tab w:val="num" w:pos="567"/>
      </w:tabs>
      <w:spacing w:before="120" w:after="120" w:line="240" w:lineRule="auto"/>
      <w:jc w:val="both"/>
    </w:pPr>
    <w:rPr>
      <w:rFonts w:ascii="Verdana" w:eastAsia="MS Mincho" w:hAnsi="Verdana" w:cs="Arial"/>
      <w:color w:val="000000"/>
      <w:sz w:val="20"/>
      <w:szCs w:val="20"/>
      <w:lang w:val="es-ES_tradnl"/>
    </w:rPr>
  </w:style>
  <w:style w:type="character" w:customStyle="1" w:styleId="NumberedparagraphsCar">
    <w:name w:val="Numbered paragraphs Car"/>
    <w:basedOn w:val="DefaultParagraphFont"/>
    <w:link w:val="Numberedparagraphs"/>
    <w:rsid w:val="00AA3C22"/>
    <w:rPr>
      <w:rFonts w:ascii="Verdana" w:eastAsia="MS Mincho" w:hAnsi="Verdana" w:cs="Arial"/>
      <w:color w:val="000000"/>
      <w:sz w:val="20"/>
      <w:szCs w:val="20"/>
      <w:lang w:val="es-ES_tradnl"/>
    </w:rPr>
  </w:style>
  <w:style w:type="paragraph" w:styleId="EndnoteText">
    <w:name w:val="endnote text"/>
    <w:basedOn w:val="Normal"/>
    <w:link w:val="EndnoteTextChar"/>
    <w:qFormat/>
    <w:rsid w:val="00951DBD"/>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0" w:line="240" w:lineRule="auto"/>
      <w:jc w:val="both"/>
    </w:pPr>
    <w:rPr>
      <w:rFonts w:ascii="CG Times" w:eastAsia="Calibri" w:hAnsi="CG Times" w:cs="Times New Roman"/>
      <w:sz w:val="20"/>
      <w:szCs w:val="20"/>
      <w:lang w:val="es-ES" w:eastAsia="x-none"/>
    </w:rPr>
  </w:style>
  <w:style w:type="character" w:customStyle="1" w:styleId="EndnoteTextChar">
    <w:name w:val="Endnote Text Char"/>
    <w:basedOn w:val="DefaultParagraphFont"/>
    <w:link w:val="EndnoteText"/>
    <w:rsid w:val="00951DBD"/>
    <w:rPr>
      <w:rFonts w:ascii="CG Times" w:eastAsia="Calibri" w:hAnsi="CG Times" w:cs="Times New Roman"/>
      <w:sz w:val="20"/>
      <w:szCs w:val="20"/>
      <w:lang w:val="es-ES" w:eastAsia="x-none"/>
    </w:rPr>
  </w:style>
  <w:style w:type="character" w:styleId="CommentReference">
    <w:name w:val="annotation reference"/>
    <w:basedOn w:val="DefaultParagraphFont"/>
    <w:uiPriority w:val="99"/>
    <w:unhideWhenUsed/>
    <w:rsid w:val="00951DBD"/>
    <w:rPr>
      <w:sz w:val="16"/>
      <w:szCs w:val="16"/>
    </w:rPr>
  </w:style>
  <w:style w:type="paragraph" w:styleId="CommentSubject">
    <w:name w:val="annotation subject"/>
    <w:basedOn w:val="CommentText"/>
    <w:next w:val="CommentText"/>
    <w:link w:val="CommentSubjectChar"/>
    <w:uiPriority w:val="99"/>
    <w:semiHidden/>
    <w:unhideWhenUsed/>
    <w:rsid w:val="00951DBD"/>
    <w:pPr>
      <w:spacing w:after="160"/>
      <w:jc w:val="left"/>
    </w:pPr>
    <w:rPr>
      <w:rFonts w:asciiTheme="minorHAnsi" w:hAnsiTheme="minorHAnsi"/>
      <w:b/>
      <w:bCs/>
    </w:rPr>
  </w:style>
  <w:style w:type="character" w:customStyle="1" w:styleId="CommentSubjectChar">
    <w:name w:val="Comment Subject Char"/>
    <w:basedOn w:val="CommentTextChar"/>
    <w:link w:val="CommentSubject"/>
    <w:uiPriority w:val="99"/>
    <w:semiHidden/>
    <w:rsid w:val="00951DBD"/>
    <w:rPr>
      <w:rFonts w:ascii="Verdana" w:hAnsi="Verdana"/>
      <w:b/>
      <w:bCs/>
      <w:sz w:val="20"/>
      <w:szCs w:val="20"/>
    </w:rPr>
  </w:style>
  <w:style w:type="paragraph" w:styleId="BalloonText">
    <w:name w:val="Balloon Text"/>
    <w:basedOn w:val="Normal"/>
    <w:link w:val="BalloonTextChar"/>
    <w:uiPriority w:val="99"/>
    <w:semiHidden/>
    <w:unhideWhenUsed/>
    <w:rsid w:val="00951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DBD"/>
    <w:rPr>
      <w:rFonts w:ascii="Segoe UI" w:hAnsi="Segoe UI" w:cs="Segoe UI"/>
      <w:sz w:val="18"/>
      <w:szCs w:val="18"/>
    </w:rPr>
  </w:style>
  <w:style w:type="paragraph" w:customStyle="1" w:styleId="Prrafodelista4">
    <w:name w:val="Párrafo de lista4"/>
    <w:basedOn w:val="Normal"/>
    <w:uiPriority w:val="99"/>
    <w:qFormat/>
    <w:rsid w:val="0064160C"/>
    <w:pPr>
      <w:spacing w:after="0" w:line="240" w:lineRule="auto"/>
      <w:ind w:left="720"/>
    </w:pPr>
    <w:rPr>
      <w:rFonts w:ascii="Verdana" w:eastAsia="Times New Roman" w:hAnsi="Verdana" w:cs="Times New Roman"/>
      <w:sz w:val="20"/>
      <w:szCs w:val="20"/>
      <w:lang w:val="es-ES_tradnl"/>
    </w:rPr>
  </w:style>
  <w:style w:type="character" w:customStyle="1" w:styleId="FootnoteAnchor">
    <w:name w:val="Footnote Anchor"/>
    <w:rsid w:val="003D2B47"/>
    <w:rPr>
      <w:vertAlign w:val="superscript"/>
    </w:rPr>
  </w:style>
  <w:style w:type="character" w:customStyle="1" w:styleId="Estilo1Car">
    <w:name w:val="Estilo1 Car"/>
    <w:basedOn w:val="DefaultParagraphFont"/>
    <w:link w:val="Estilo1"/>
    <w:locked/>
    <w:rsid w:val="00B525C8"/>
    <w:rPr>
      <w:rFonts w:ascii="Verdana" w:eastAsia="Batang" w:hAnsi="Verdana" w:cs="Times"/>
      <w:i/>
      <w:sz w:val="20"/>
      <w:szCs w:val="24"/>
      <w:lang w:val="es-ES_tradnl"/>
    </w:rPr>
  </w:style>
  <w:style w:type="paragraph" w:customStyle="1" w:styleId="Estilo1">
    <w:name w:val="Estilo1"/>
    <w:basedOn w:val="Normal"/>
    <w:link w:val="Estilo1Car"/>
    <w:qFormat/>
    <w:rsid w:val="00B525C8"/>
    <w:pPr>
      <w:spacing w:after="120" w:line="240" w:lineRule="auto"/>
      <w:ind w:left="2018" w:right="6" w:hanging="180"/>
      <w:jc w:val="both"/>
    </w:pPr>
    <w:rPr>
      <w:rFonts w:ascii="Verdana" w:eastAsia="Batang" w:hAnsi="Verdana" w:cs="Times"/>
      <w:i/>
      <w:sz w:val="20"/>
      <w:szCs w:val="24"/>
      <w:lang w:val="es-ES_tradnl"/>
    </w:rPr>
  </w:style>
  <w:style w:type="character" w:customStyle="1" w:styleId="Heading4Char">
    <w:name w:val="Heading 4 Char"/>
    <w:basedOn w:val="DefaultParagraphFont"/>
    <w:link w:val="Heading4"/>
    <w:rsid w:val="001A6123"/>
    <w:rPr>
      <w:rFonts w:ascii="Verdana" w:eastAsiaTheme="majorEastAsia" w:hAnsi="Verdana" w:cstheme="majorBidi"/>
      <w:iCs/>
      <w:sz w:val="20"/>
      <w:szCs w:val="20"/>
      <w:u w:val="single"/>
    </w:rPr>
  </w:style>
  <w:style w:type="paragraph" w:styleId="NormalWeb">
    <w:name w:val="Normal (Web)"/>
    <w:aliases w:val="Normal (Web) Char1,Normal (Web) Char Char,Normal (Web) Char1 Char,Normal (Web) Char Char Char"/>
    <w:basedOn w:val="Normal"/>
    <w:unhideWhenUsed/>
    <w:rsid w:val="00626D13"/>
    <w:pPr>
      <w:spacing w:after="200" w:line="276" w:lineRule="auto"/>
    </w:pPr>
    <w:rPr>
      <w:rFonts w:ascii="Times New Roman" w:hAnsi="Times New Roman" w:cs="Times New Roman"/>
      <w:sz w:val="24"/>
      <w:szCs w:val="24"/>
      <w:lang w:val="es-MX"/>
    </w:rPr>
  </w:style>
  <w:style w:type="character" w:styleId="HTMLTypewriter">
    <w:name w:val="HTML Typewriter"/>
    <w:basedOn w:val="DefaultParagraphFont"/>
    <w:semiHidden/>
    <w:unhideWhenUsed/>
    <w:rsid w:val="00796564"/>
    <w:rPr>
      <w:rFonts w:ascii="Arial Unicode MS" w:eastAsia="Arial Unicode MS" w:hAnsi="Arial Unicode MS" w:cs="Arial Unicode MS" w:hint="default"/>
      <w:sz w:val="20"/>
      <w:szCs w:val="20"/>
    </w:rPr>
  </w:style>
  <w:style w:type="paragraph" w:customStyle="1" w:styleId="SingleTxtG">
    <w:name w:val="_ Single Txt_G"/>
    <w:basedOn w:val="Normal"/>
    <w:link w:val="SingleTxtGChar"/>
    <w:qFormat/>
    <w:rsid w:val="007B08E5"/>
    <w:pPr>
      <w:spacing w:after="120" w:line="240" w:lineRule="atLeast"/>
      <w:ind w:left="1134" w:right="1134"/>
      <w:jc w:val="both"/>
    </w:pPr>
    <w:rPr>
      <w:rFonts w:ascii="Times New Roman" w:eastAsia="Times New Roman" w:hAnsi="Times New Roman" w:cs="Times New Roman"/>
      <w:sz w:val="20"/>
      <w:szCs w:val="20"/>
      <w:lang w:val="es-ES" w:eastAsia="es-ES"/>
    </w:rPr>
  </w:style>
  <w:style w:type="character" w:customStyle="1" w:styleId="SingleTxtGChar">
    <w:name w:val="_ Single Txt_G Char"/>
    <w:basedOn w:val="DefaultParagraphFont"/>
    <w:link w:val="SingleTxtG"/>
    <w:rsid w:val="00BE387E"/>
    <w:rPr>
      <w:rFonts w:ascii="Times New Roman" w:eastAsia="Times New Roman" w:hAnsi="Times New Roman" w:cs="Times New Roman"/>
      <w:sz w:val="20"/>
      <w:szCs w:val="20"/>
      <w:lang w:val="es-ES" w:eastAsia="es-ES"/>
    </w:rPr>
  </w:style>
  <w:style w:type="character" w:customStyle="1" w:styleId="Heading9Char">
    <w:name w:val="Heading 9 Char"/>
    <w:basedOn w:val="DefaultParagraphFont"/>
    <w:link w:val="Heading9"/>
    <w:uiPriority w:val="9"/>
    <w:semiHidden/>
    <w:rsid w:val="002E7B6D"/>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rsid w:val="002E7B6D"/>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rsid w:val="002E7B6D"/>
    <w:rPr>
      <w:rFonts w:asciiTheme="majorHAnsi" w:eastAsiaTheme="majorEastAsia" w:hAnsiTheme="majorHAnsi" w:cstheme="majorBidi"/>
      <w:i/>
      <w:iCs/>
      <w:color w:val="1F4D78" w:themeColor="accent1" w:themeShade="7F"/>
    </w:rPr>
  </w:style>
  <w:style w:type="character" w:customStyle="1" w:styleId="Heading6Char">
    <w:name w:val="Heading 6 Char"/>
    <w:basedOn w:val="DefaultParagraphFont"/>
    <w:link w:val="Heading6"/>
    <w:uiPriority w:val="9"/>
    <w:rsid w:val="002E7B6D"/>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rsid w:val="002E7B6D"/>
    <w:rPr>
      <w:rFonts w:asciiTheme="majorHAnsi" w:eastAsiaTheme="majorEastAsia" w:hAnsiTheme="majorHAnsi" w:cstheme="majorBidi"/>
      <w:color w:val="2E74B5" w:themeColor="accent1" w:themeShade="BF"/>
    </w:rPr>
  </w:style>
  <w:style w:type="paragraph" w:styleId="Revision">
    <w:name w:val="Revision"/>
    <w:hidden/>
    <w:uiPriority w:val="99"/>
    <w:semiHidden/>
    <w:rsid w:val="00632CFA"/>
    <w:pPr>
      <w:spacing w:after="0" w:line="240" w:lineRule="auto"/>
    </w:pPr>
  </w:style>
  <w:style w:type="paragraph" w:customStyle="1" w:styleId="Default">
    <w:name w:val="Default"/>
    <w:link w:val="DefaultChar"/>
    <w:rsid w:val="00D46BC9"/>
    <w:pPr>
      <w:autoSpaceDE w:val="0"/>
      <w:autoSpaceDN w:val="0"/>
      <w:adjustRightInd w:val="0"/>
      <w:spacing w:after="0" w:line="240" w:lineRule="auto"/>
    </w:pPr>
    <w:rPr>
      <w:rFonts w:ascii="Verdana" w:eastAsia="Times New Roman" w:hAnsi="Verdana" w:cs="Verdana"/>
      <w:color w:val="000000"/>
      <w:sz w:val="24"/>
      <w:szCs w:val="24"/>
      <w:lang w:eastAsia="es-CR"/>
    </w:rPr>
  </w:style>
  <w:style w:type="character" w:styleId="Emphasis">
    <w:name w:val="Emphasis"/>
    <w:uiPriority w:val="20"/>
    <w:qFormat/>
    <w:rsid w:val="00D46BC9"/>
    <w:rPr>
      <w:b/>
      <w:bCs/>
      <w:i/>
      <w:iCs/>
      <w:spacing w:val="10"/>
      <w:bdr w:val="none" w:sz="0" w:space="0" w:color="auto"/>
      <w:shd w:val="clear" w:color="auto" w:fill="auto"/>
    </w:rPr>
  </w:style>
  <w:style w:type="character" w:customStyle="1" w:styleId="DefaultChar">
    <w:name w:val="Default Char"/>
    <w:link w:val="Default"/>
    <w:rsid w:val="00D46BC9"/>
    <w:rPr>
      <w:rFonts w:ascii="Verdana" w:eastAsia="Times New Roman" w:hAnsi="Verdana" w:cs="Verdana"/>
      <w:color w:val="000000"/>
      <w:sz w:val="24"/>
      <w:szCs w:val="24"/>
      <w:lang w:eastAsia="es-CR"/>
    </w:rPr>
  </w:style>
  <w:style w:type="paragraph" w:styleId="Title">
    <w:name w:val="Title"/>
    <w:basedOn w:val="Heading1"/>
    <w:next w:val="Normal"/>
    <w:link w:val="TitleChar"/>
    <w:qFormat/>
    <w:rsid w:val="00C66DA6"/>
    <w:pPr>
      <w:tabs>
        <w:tab w:val="center" w:pos="4320"/>
        <w:tab w:val="right" w:pos="8640"/>
      </w:tabs>
      <w:autoSpaceDE/>
      <w:autoSpaceDN/>
      <w:adjustRightInd/>
    </w:pPr>
    <w:rPr>
      <w:rFonts w:eastAsia="Times New Roman" w:cs="Times New Roman"/>
      <w:b w:val="0"/>
      <w:lang w:eastAsia="es-ES"/>
    </w:rPr>
  </w:style>
  <w:style w:type="character" w:customStyle="1" w:styleId="TitleChar">
    <w:name w:val="Title Char"/>
    <w:basedOn w:val="DefaultParagraphFont"/>
    <w:link w:val="Title"/>
    <w:rsid w:val="00C66DA6"/>
    <w:rPr>
      <w:rFonts w:ascii="Verdana" w:eastAsia="Times New Roman" w:hAnsi="Verdana" w:cs="Times New Roman"/>
      <w:sz w:val="20"/>
      <w:szCs w:val="20"/>
      <w:lang w:eastAsia="es-ES"/>
    </w:rPr>
  </w:style>
  <w:style w:type="paragraph" w:customStyle="1" w:styleId="Textoindependiente1">
    <w:name w:val="Texto independiente1"/>
    <w:basedOn w:val="Normal"/>
    <w:rsid w:val="00C66DA6"/>
    <w:pPr>
      <w:widowControl w:val="0"/>
      <w:spacing w:after="0" w:line="240" w:lineRule="auto"/>
      <w:jc w:val="both"/>
    </w:pPr>
    <w:rPr>
      <w:rFonts w:ascii="New York" w:eastAsia="Times New Roman" w:hAnsi="New York" w:cs="Times New Roman"/>
      <w:sz w:val="20"/>
      <w:szCs w:val="20"/>
      <w:lang w:val="es-ES_tradnl"/>
    </w:rPr>
  </w:style>
  <w:style w:type="paragraph" w:customStyle="1" w:styleId="citaindirecta">
    <w:name w:val="cita indirecta"/>
    <w:basedOn w:val="Normal"/>
    <w:uiPriority w:val="99"/>
    <w:rsid w:val="00C66DA6"/>
    <w:pPr>
      <w:spacing w:after="0" w:line="240" w:lineRule="auto"/>
      <w:ind w:left="708"/>
      <w:jc w:val="both"/>
    </w:pPr>
    <w:rPr>
      <w:rFonts w:ascii="Verdana" w:eastAsia="Times New Roman" w:hAnsi="Verdana" w:cs="Times New Roman"/>
      <w:sz w:val="20"/>
      <w:szCs w:val="20"/>
      <w:lang w:val="es-ES_tradnl" w:eastAsia="es-MX"/>
    </w:rPr>
  </w:style>
  <w:style w:type="character" w:customStyle="1" w:styleId="PrrafodelistaCar1">
    <w:name w:val="Párrafo de lista Car1"/>
    <w:aliases w:val="List Paragraph1 Car1,Colorful List - Accent 11 Car1,Párrafo de lista1 Car1,List Paragraph2 Car1,Lista vistosa - Énfasis 11 Car1,Subtle Emphasis1 Car1,Footnote1 Car1,List Paragraph11 Car"/>
    <w:basedOn w:val="DefaultParagraphFont"/>
    <w:uiPriority w:val="34"/>
    <w:locked/>
    <w:rsid w:val="003E680F"/>
    <w:rPr>
      <w:rFonts w:ascii="Verdana" w:eastAsia="MS Mincho" w:hAnsi="Verdana" w:cs="Times New Roman"/>
      <w:sz w:val="20"/>
      <w:szCs w:val="24"/>
    </w:rPr>
  </w:style>
  <w:style w:type="character" w:styleId="LineNumber">
    <w:name w:val="line number"/>
    <w:basedOn w:val="DefaultParagraphFont"/>
    <w:uiPriority w:val="99"/>
    <w:semiHidden/>
    <w:unhideWhenUsed/>
    <w:rsid w:val="00382711"/>
  </w:style>
  <w:style w:type="paragraph" w:styleId="BodyText">
    <w:name w:val="Body Text"/>
    <w:basedOn w:val="Normal"/>
    <w:link w:val="BodyTextChar"/>
    <w:uiPriority w:val="99"/>
    <w:unhideWhenUsed/>
    <w:rsid w:val="00EE3AA6"/>
    <w:pPr>
      <w:spacing w:after="120"/>
    </w:pPr>
  </w:style>
  <w:style w:type="character" w:customStyle="1" w:styleId="BodyTextChar">
    <w:name w:val="Body Text Char"/>
    <w:basedOn w:val="DefaultParagraphFont"/>
    <w:link w:val="BodyText"/>
    <w:uiPriority w:val="99"/>
    <w:rsid w:val="00EE3AA6"/>
  </w:style>
  <w:style w:type="paragraph" w:styleId="TOCHeading">
    <w:name w:val="TOC Heading"/>
    <w:basedOn w:val="Heading1"/>
    <w:next w:val="Normal"/>
    <w:uiPriority w:val="39"/>
    <w:unhideWhenUsed/>
    <w:qFormat/>
    <w:rsid w:val="000303FF"/>
    <w:pPr>
      <w:keepNext/>
      <w:keepLines/>
      <w:autoSpaceDE/>
      <w:autoSpaceDN/>
      <w:adjustRightInd/>
      <w:spacing w:line="259" w:lineRule="auto"/>
      <w:contextualSpacing w:val="0"/>
      <w:jc w:val="left"/>
      <w:outlineLvl w:val="9"/>
    </w:pPr>
    <w:rPr>
      <w:rFonts w:asciiTheme="majorHAnsi" w:eastAsiaTheme="majorEastAsia" w:hAnsiTheme="majorHAnsi" w:cstheme="majorBidi"/>
      <w:b w:val="0"/>
      <w:color w:val="2E74B5" w:themeColor="accent1" w:themeShade="BF"/>
      <w:sz w:val="32"/>
      <w:szCs w:val="32"/>
      <w:lang w:eastAsia="es-CR"/>
    </w:rPr>
  </w:style>
  <w:style w:type="paragraph" w:styleId="TOC1">
    <w:name w:val="toc 1"/>
    <w:basedOn w:val="Normal"/>
    <w:next w:val="Normal"/>
    <w:autoRedefine/>
    <w:uiPriority w:val="39"/>
    <w:unhideWhenUsed/>
    <w:rsid w:val="00416109"/>
    <w:pPr>
      <w:tabs>
        <w:tab w:val="left" w:pos="567"/>
        <w:tab w:val="left" w:pos="660"/>
        <w:tab w:val="right" w:leader="dot" w:pos="9630"/>
      </w:tabs>
      <w:spacing w:before="100" w:after="100"/>
      <w:jc w:val="both"/>
    </w:pPr>
  </w:style>
  <w:style w:type="paragraph" w:styleId="TOC2">
    <w:name w:val="toc 2"/>
    <w:basedOn w:val="Normal"/>
    <w:next w:val="Normal"/>
    <w:autoRedefine/>
    <w:uiPriority w:val="39"/>
    <w:unhideWhenUsed/>
    <w:rsid w:val="003676D9"/>
    <w:pPr>
      <w:tabs>
        <w:tab w:val="left" w:pos="567"/>
        <w:tab w:val="right" w:leader="dot" w:pos="9630"/>
      </w:tabs>
      <w:spacing w:after="0" w:line="276" w:lineRule="auto"/>
      <w:jc w:val="both"/>
    </w:pPr>
  </w:style>
  <w:style w:type="paragraph" w:styleId="TOC3">
    <w:name w:val="toc 3"/>
    <w:basedOn w:val="Normal"/>
    <w:next w:val="Normal"/>
    <w:autoRedefine/>
    <w:uiPriority w:val="39"/>
    <w:unhideWhenUsed/>
    <w:rsid w:val="000303FF"/>
    <w:pPr>
      <w:tabs>
        <w:tab w:val="left" w:pos="284"/>
        <w:tab w:val="left" w:pos="709"/>
        <w:tab w:val="right" w:leader="dot" w:pos="9630"/>
      </w:tabs>
      <w:spacing w:after="0" w:line="276" w:lineRule="auto"/>
      <w:ind w:left="284"/>
      <w:jc w:val="both"/>
    </w:pPr>
  </w:style>
  <w:style w:type="character" w:customStyle="1" w:styleId="TextonotapieCar1">
    <w:name w:val="Texto nota pie Car1"/>
    <w:aliases w:val="FA Fu Car1,Footnote Text Char Char Char Char Char Car1,Footnote Text Char Char Char Char Car1,Footnote reference Car1,Footnote Text Char Char Char Car1,FA Fu Car Car1,FA Fu Car Car Car,Footnote Text Cha Car1,FA Fußnotentext Car1"/>
    <w:basedOn w:val="DefaultParagraphFont"/>
    <w:semiHidden/>
    <w:locked/>
    <w:rsid w:val="003C62B8"/>
    <w:rPr>
      <w:rFonts w:ascii="Verdana" w:eastAsia="Calibri" w:hAnsi="Verdana" w:cs="Verdana"/>
      <w:sz w:val="16"/>
      <w:szCs w:val="16"/>
      <w:lang w:val="es-ES_tradnl" w:eastAsia="es-ES"/>
    </w:rPr>
  </w:style>
  <w:style w:type="character" w:customStyle="1" w:styleId="None">
    <w:name w:val="None"/>
    <w:rsid w:val="000A7745"/>
  </w:style>
  <w:style w:type="paragraph" w:customStyle="1" w:styleId="Ttulo1">
    <w:name w:val="Título1"/>
    <w:basedOn w:val="Normal"/>
    <w:rsid w:val="000A7745"/>
    <w:pPr>
      <w:spacing w:line="240" w:lineRule="atLeast"/>
      <w:ind w:left="-567" w:right="-567"/>
      <w:jc w:val="center"/>
    </w:pPr>
    <w:rPr>
      <w:rFonts w:ascii="Verdana" w:eastAsia="Times New Roman" w:hAnsi="Verdana" w:cs="Times New Roman"/>
      <w:b/>
      <w:bCs/>
      <w:sz w:val="20"/>
      <w:szCs w:val="20"/>
      <w:lang w:val="es-ES" w:eastAsia="es-ES"/>
    </w:rPr>
  </w:style>
  <w:style w:type="character" w:customStyle="1" w:styleId="titlechar1">
    <w:name w:val="title__char1"/>
    <w:basedOn w:val="DefaultParagraphFont"/>
    <w:rsid w:val="000A7745"/>
    <w:rPr>
      <w:rFonts w:ascii="Verdana" w:hAnsi="Verdana" w:hint="default"/>
      <w:b/>
      <w:bCs/>
      <w:sz w:val="20"/>
      <w:szCs w:val="20"/>
    </w:rPr>
  </w:style>
  <w:style w:type="paragraph" w:styleId="HTMLPreformatted">
    <w:name w:val="HTML Preformatted"/>
    <w:basedOn w:val="Normal"/>
    <w:link w:val="HTMLPreformattedChar"/>
    <w:uiPriority w:val="99"/>
    <w:unhideWhenUsed/>
    <w:rsid w:val="000A7745"/>
    <w:pPr>
      <w:spacing w:line="240" w:lineRule="auto"/>
      <w:ind w:left="-567"/>
      <w:jc w:val="both"/>
    </w:pPr>
    <w:rPr>
      <w:rFonts w:ascii="Consolas" w:hAnsi="Consolas"/>
      <w:sz w:val="20"/>
      <w:szCs w:val="20"/>
      <w:lang w:val="es-CL"/>
    </w:rPr>
  </w:style>
  <w:style w:type="character" w:customStyle="1" w:styleId="HTMLPreformattedChar">
    <w:name w:val="HTML Preformatted Char"/>
    <w:basedOn w:val="DefaultParagraphFont"/>
    <w:link w:val="HTMLPreformatted"/>
    <w:uiPriority w:val="99"/>
    <w:rsid w:val="000A7745"/>
    <w:rPr>
      <w:rFonts w:ascii="Consolas" w:hAnsi="Consolas"/>
      <w:sz w:val="20"/>
      <w:szCs w:val="20"/>
      <w:lang w:val="es-CL"/>
    </w:rPr>
  </w:style>
  <w:style w:type="paragraph" w:customStyle="1" w:styleId="j">
    <w:name w:val="j"/>
    <w:basedOn w:val="Normal"/>
    <w:rsid w:val="000A7745"/>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nacep">
    <w:name w:val="n_acep"/>
    <w:basedOn w:val="DefaultParagraphFont"/>
    <w:rsid w:val="000A7745"/>
  </w:style>
  <w:style w:type="character" w:styleId="UnresolvedMention">
    <w:name w:val="Unresolved Mention"/>
    <w:basedOn w:val="DefaultParagraphFont"/>
    <w:uiPriority w:val="99"/>
    <w:semiHidden/>
    <w:unhideWhenUsed/>
    <w:rsid w:val="00FA5261"/>
    <w:rPr>
      <w:color w:val="605E5C"/>
      <w:shd w:val="clear" w:color="auto" w:fill="E1DFDD"/>
    </w:rPr>
  </w:style>
  <w:style w:type="character" w:customStyle="1" w:styleId="markedcontent">
    <w:name w:val="markedcontent"/>
    <w:basedOn w:val="DefaultParagraphFont"/>
    <w:rsid w:val="007F66C0"/>
  </w:style>
  <w:style w:type="character" w:customStyle="1" w:styleId="tagtrans">
    <w:name w:val="tag_trans"/>
    <w:basedOn w:val="DefaultParagraphFont"/>
    <w:rsid w:val="00C67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6424">
      <w:bodyDiv w:val="1"/>
      <w:marLeft w:val="0"/>
      <w:marRight w:val="0"/>
      <w:marTop w:val="0"/>
      <w:marBottom w:val="0"/>
      <w:divBdr>
        <w:top w:val="none" w:sz="0" w:space="0" w:color="auto"/>
        <w:left w:val="none" w:sz="0" w:space="0" w:color="auto"/>
        <w:bottom w:val="none" w:sz="0" w:space="0" w:color="auto"/>
        <w:right w:val="none" w:sz="0" w:space="0" w:color="auto"/>
      </w:divBdr>
    </w:div>
    <w:div w:id="194121574">
      <w:bodyDiv w:val="1"/>
      <w:marLeft w:val="0"/>
      <w:marRight w:val="0"/>
      <w:marTop w:val="0"/>
      <w:marBottom w:val="0"/>
      <w:divBdr>
        <w:top w:val="none" w:sz="0" w:space="0" w:color="auto"/>
        <w:left w:val="none" w:sz="0" w:space="0" w:color="auto"/>
        <w:bottom w:val="none" w:sz="0" w:space="0" w:color="auto"/>
        <w:right w:val="none" w:sz="0" w:space="0" w:color="auto"/>
      </w:divBdr>
    </w:div>
    <w:div w:id="226721324">
      <w:bodyDiv w:val="1"/>
      <w:marLeft w:val="0"/>
      <w:marRight w:val="0"/>
      <w:marTop w:val="0"/>
      <w:marBottom w:val="0"/>
      <w:divBdr>
        <w:top w:val="none" w:sz="0" w:space="0" w:color="auto"/>
        <w:left w:val="none" w:sz="0" w:space="0" w:color="auto"/>
        <w:bottom w:val="none" w:sz="0" w:space="0" w:color="auto"/>
        <w:right w:val="none" w:sz="0" w:space="0" w:color="auto"/>
      </w:divBdr>
    </w:div>
    <w:div w:id="315653080">
      <w:bodyDiv w:val="1"/>
      <w:marLeft w:val="0"/>
      <w:marRight w:val="0"/>
      <w:marTop w:val="0"/>
      <w:marBottom w:val="0"/>
      <w:divBdr>
        <w:top w:val="none" w:sz="0" w:space="0" w:color="auto"/>
        <w:left w:val="none" w:sz="0" w:space="0" w:color="auto"/>
        <w:bottom w:val="none" w:sz="0" w:space="0" w:color="auto"/>
        <w:right w:val="none" w:sz="0" w:space="0" w:color="auto"/>
      </w:divBdr>
    </w:div>
    <w:div w:id="404449519">
      <w:bodyDiv w:val="1"/>
      <w:marLeft w:val="0"/>
      <w:marRight w:val="0"/>
      <w:marTop w:val="0"/>
      <w:marBottom w:val="0"/>
      <w:divBdr>
        <w:top w:val="none" w:sz="0" w:space="0" w:color="auto"/>
        <w:left w:val="none" w:sz="0" w:space="0" w:color="auto"/>
        <w:bottom w:val="none" w:sz="0" w:space="0" w:color="auto"/>
        <w:right w:val="none" w:sz="0" w:space="0" w:color="auto"/>
      </w:divBdr>
    </w:div>
    <w:div w:id="491141643">
      <w:bodyDiv w:val="1"/>
      <w:marLeft w:val="0"/>
      <w:marRight w:val="0"/>
      <w:marTop w:val="0"/>
      <w:marBottom w:val="0"/>
      <w:divBdr>
        <w:top w:val="none" w:sz="0" w:space="0" w:color="auto"/>
        <w:left w:val="none" w:sz="0" w:space="0" w:color="auto"/>
        <w:bottom w:val="none" w:sz="0" w:space="0" w:color="auto"/>
        <w:right w:val="none" w:sz="0" w:space="0" w:color="auto"/>
      </w:divBdr>
    </w:div>
    <w:div w:id="501431392">
      <w:bodyDiv w:val="1"/>
      <w:marLeft w:val="0"/>
      <w:marRight w:val="0"/>
      <w:marTop w:val="0"/>
      <w:marBottom w:val="0"/>
      <w:divBdr>
        <w:top w:val="none" w:sz="0" w:space="0" w:color="auto"/>
        <w:left w:val="none" w:sz="0" w:space="0" w:color="auto"/>
        <w:bottom w:val="none" w:sz="0" w:space="0" w:color="auto"/>
        <w:right w:val="none" w:sz="0" w:space="0" w:color="auto"/>
      </w:divBdr>
    </w:div>
    <w:div w:id="557320608">
      <w:bodyDiv w:val="1"/>
      <w:marLeft w:val="0"/>
      <w:marRight w:val="0"/>
      <w:marTop w:val="0"/>
      <w:marBottom w:val="0"/>
      <w:divBdr>
        <w:top w:val="none" w:sz="0" w:space="0" w:color="auto"/>
        <w:left w:val="none" w:sz="0" w:space="0" w:color="auto"/>
        <w:bottom w:val="none" w:sz="0" w:space="0" w:color="auto"/>
        <w:right w:val="none" w:sz="0" w:space="0" w:color="auto"/>
      </w:divBdr>
      <w:divsChild>
        <w:div w:id="660935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15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63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1831056">
      <w:bodyDiv w:val="1"/>
      <w:marLeft w:val="0"/>
      <w:marRight w:val="0"/>
      <w:marTop w:val="0"/>
      <w:marBottom w:val="0"/>
      <w:divBdr>
        <w:top w:val="none" w:sz="0" w:space="0" w:color="auto"/>
        <w:left w:val="none" w:sz="0" w:space="0" w:color="auto"/>
        <w:bottom w:val="none" w:sz="0" w:space="0" w:color="auto"/>
        <w:right w:val="none" w:sz="0" w:space="0" w:color="auto"/>
      </w:divBdr>
    </w:div>
    <w:div w:id="846940906">
      <w:bodyDiv w:val="1"/>
      <w:marLeft w:val="0"/>
      <w:marRight w:val="0"/>
      <w:marTop w:val="0"/>
      <w:marBottom w:val="0"/>
      <w:divBdr>
        <w:top w:val="none" w:sz="0" w:space="0" w:color="auto"/>
        <w:left w:val="none" w:sz="0" w:space="0" w:color="auto"/>
        <w:bottom w:val="none" w:sz="0" w:space="0" w:color="auto"/>
        <w:right w:val="none" w:sz="0" w:space="0" w:color="auto"/>
      </w:divBdr>
    </w:div>
    <w:div w:id="863982388">
      <w:bodyDiv w:val="1"/>
      <w:marLeft w:val="0"/>
      <w:marRight w:val="0"/>
      <w:marTop w:val="0"/>
      <w:marBottom w:val="0"/>
      <w:divBdr>
        <w:top w:val="none" w:sz="0" w:space="0" w:color="auto"/>
        <w:left w:val="none" w:sz="0" w:space="0" w:color="auto"/>
        <w:bottom w:val="none" w:sz="0" w:space="0" w:color="auto"/>
        <w:right w:val="none" w:sz="0" w:space="0" w:color="auto"/>
      </w:divBdr>
    </w:div>
    <w:div w:id="912156059">
      <w:bodyDiv w:val="1"/>
      <w:marLeft w:val="0"/>
      <w:marRight w:val="0"/>
      <w:marTop w:val="0"/>
      <w:marBottom w:val="0"/>
      <w:divBdr>
        <w:top w:val="none" w:sz="0" w:space="0" w:color="auto"/>
        <w:left w:val="none" w:sz="0" w:space="0" w:color="auto"/>
        <w:bottom w:val="none" w:sz="0" w:space="0" w:color="auto"/>
        <w:right w:val="none" w:sz="0" w:space="0" w:color="auto"/>
      </w:divBdr>
    </w:div>
    <w:div w:id="932322962">
      <w:bodyDiv w:val="1"/>
      <w:marLeft w:val="0"/>
      <w:marRight w:val="0"/>
      <w:marTop w:val="0"/>
      <w:marBottom w:val="0"/>
      <w:divBdr>
        <w:top w:val="none" w:sz="0" w:space="0" w:color="auto"/>
        <w:left w:val="none" w:sz="0" w:space="0" w:color="auto"/>
        <w:bottom w:val="none" w:sz="0" w:space="0" w:color="auto"/>
        <w:right w:val="none" w:sz="0" w:space="0" w:color="auto"/>
      </w:divBdr>
      <w:divsChild>
        <w:div w:id="1280995320">
          <w:marLeft w:val="0"/>
          <w:marRight w:val="0"/>
          <w:marTop w:val="0"/>
          <w:marBottom w:val="0"/>
          <w:divBdr>
            <w:top w:val="none" w:sz="0" w:space="0" w:color="auto"/>
            <w:left w:val="none" w:sz="0" w:space="0" w:color="auto"/>
            <w:bottom w:val="none" w:sz="0" w:space="0" w:color="auto"/>
            <w:right w:val="none" w:sz="0" w:space="0" w:color="auto"/>
          </w:divBdr>
          <w:divsChild>
            <w:div w:id="66370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30680">
      <w:bodyDiv w:val="1"/>
      <w:marLeft w:val="0"/>
      <w:marRight w:val="0"/>
      <w:marTop w:val="0"/>
      <w:marBottom w:val="0"/>
      <w:divBdr>
        <w:top w:val="none" w:sz="0" w:space="0" w:color="auto"/>
        <w:left w:val="none" w:sz="0" w:space="0" w:color="auto"/>
        <w:bottom w:val="none" w:sz="0" w:space="0" w:color="auto"/>
        <w:right w:val="none" w:sz="0" w:space="0" w:color="auto"/>
      </w:divBdr>
    </w:div>
    <w:div w:id="992752599">
      <w:bodyDiv w:val="1"/>
      <w:marLeft w:val="0"/>
      <w:marRight w:val="0"/>
      <w:marTop w:val="0"/>
      <w:marBottom w:val="0"/>
      <w:divBdr>
        <w:top w:val="none" w:sz="0" w:space="0" w:color="auto"/>
        <w:left w:val="none" w:sz="0" w:space="0" w:color="auto"/>
        <w:bottom w:val="none" w:sz="0" w:space="0" w:color="auto"/>
        <w:right w:val="none" w:sz="0" w:space="0" w:color="auto"/>
      </w:divBdr>
    </w:div>
    <w:div w:id="1055011969">
      <w:bodyDiv w:val="1"/>
      <w:marLeft w:val="0"/>
      <w:marRight w:val="0"/>
      <w:marTop w:val="0"/>
      <w:marBottom w:val="0"/>
      <w:divBdr>
        <w:top w:val="none" w:sz="0" w:space="0" w:color="auto"/>
        <w:left w:val="none" w:sz="0" w:space="0" w:color="auto"/>
        <w:bottom w:val="none" w:sz="0" w:space="0" w:color="auto"/>
        <w:right w:val="none" w:sz="0" w:space="0" w:color="auto"/>
      </w:divBdr>
    </w:div>
    <w:div w:id="1059744639">
      <w:bodyDiv w:val="1"/>
      <w:marLeft w:val="0"/>
      <w:marRight w:val="0"/>
      <w:marTop w:val="0"/>
      <w:marBottom w:val="0"/>
      <w:divBdr>
        <w:top w:val="none" w:sz="0" w:space="0" w:color="auto"/>
        <w:left w:val="none" w:sz="0" w:space="0" w:color="auto"/>
        <w:bottom w:val="none" w:sz="0" w:space="0" w:color="auto"/>
        <w:right w:val="none" w:sz="0" w:space="0" w:color="auto"/>
      </w:divBdr>
    </w:div>
    <w:div w:id="1233542928">
      <w:bodyDiv w:val="1"/>
      <w:marLeft w:val="0"/>
      <w:marRight w:val="0"/>
      <w:marTop w:val="0"/>
      <w:marBottom w:val="0"/>
      <w:divBdr>
        <w:top w:val="none" w:sz="0" w:space="0" w:color="auto"/>
        <w:left w:val="none" w:sz="0" w:space="0" w:color="auto"/>
        <w:bottom w:val="none" w:sz="0" w:space="0" w:color="auto"/>
        <w:right w:val="none" w:sz="0" w:space="0" w:color="auto"/>
      </w:divBdr>
    </w:div>
    <w:div w:id="1254321989">
      <w:bodyDiv w:val="1"/>
      <w:marLeft w:val="0"/>
      <w:marRight w:val="0"/>
      <w:marTop w:val="0"/>
      <w:marBottom w:val="0"/>
      <w:divBdr>
        <w:top w:val="none" w:sz="0" w:space="0" w:color="auto"/>
        <w:left w:val="none" w:sz="0" w:space="0" w:color="auto"/>
        <w:bottom w:val="none" w:sz="0" w:space="0" w:color="auto"/>
        <w:right w:val="none" w:sz="0" w:space="0" w:color="auto"/>
      </w:divBdr>
    </w:div>
    <w:div w:id="1430277831">
      <w:bodyDiv w:val="1"/>
      <w:marLeft w:val="0"/>
      <w:marRight w:val="0"/>
      <w:marTop w:val="0"/>
      <w:marBottom w:val="0"/>
      <w:divBdr>
        <w:top w:val="none" w:sz="0" w:space="0" w:color="auto"/>
        <w:left w:val="none" w:sz="0" w:space="0" w:color="auto"/>
        <w:bottom w:val="none" w:sz="0" w:space="0" w:color="auto"/>
        <w:right w:val="none" w:sz="0" w:space="0" w:color="auto"/>
      </w:divBdr>
    </w:div>
    <w:div w:id="1501580329">
      <w:bodyDiv w:val="1"/>
      <w:marLeft w:val="0"/>
      <w:marRight w:val="0"/>
      <w:marTop w:val="0"/>
      <w:marBottom w:val="0"/>
      <w:divBdr>
        <w:top w:val="none" w:sz="0" w:space="0" w:color="auto"/>
        <w:left w:val="none" w:sz="0" w:space="0" w:color="auto"/>
        <w:bottom w:val="none" w:sz="0" w:space="0" w:color="auto"/>
        <w:right w:val="none" w:sz="0" w:space="0" w:color="auto"/>
      </w:divBdr>
    </w:div>
    <w:div w:id="1573008316">
      <w:bodyDiv w:val="1"/>
      <w:marLeft w:val="0"/>
      <w:marRight w:val="0"/>
      <w:marTop w:val="0"/>
      <w:marBottom w:val="0"/>
      <w:divBdr>
        <w:top w:val="none" w:sz="0" w:space="0" w:color="auto"/>
        <w:left w:val="none" w:sz="0" w:space="0" w:color="auto"/>
        <w:bottom w:val="none" w:sz="0" w:space="0" w:color="auto"/>
        <w:right w:val="none" w:sz="0" w:space="0" w:color="auto"/>
      </w:divBdr>
    </w:div>
    <w:div w:id="1649242543">
      <w:bodyDiv w:val="1"/>
      <w:marLeft w:val="0"/>
      <w:marRight w:val="0"/>
      <w:marTop w:val="0"/>
      <w:marBottom w:val="0"/>
      <w:divBdr>
        <w:top w:val="none" w:sz="0" w:space="0" w:color="auto"/>
        <w:left w:val="none" w:sz="0" w:space="0" w:color="auto"/>
        <w:bottom w:val="none" w:sz="0" w:space="0" w:color="auto"/>
        <w:right w:val="none" w:sz="0" w:space="0" w:color="auto"/>
      </w:divBdr>
    </w:div>
    <w:div w:id="1686596217">
      <w:bodyDiv w:val="1"/>
      <w:marLeft w:val="0"/>
      <w:marRight w:val="0"/>
      <w:marTop w:val="0"/>
      <w:marBottom w:val="0"/>
      <w:divBdr>
        <w:top w:val="none" w:sz="0" w:space="0" w:color="auto"/>
        <w:left w:val="none" w:sz="0" w:space="0" w:color="auto"/>
        <w:bottom w:val="none" w:sz="0" w:space="0" w:color="auto"/>
        <w:right w:val="none" w:sz="0" w:space="0" w:color="auto"/>
      </w:divBdr>
    </w:div>
    <w:div w:id="1694726234">
      <w:bodyDiv w:val="1"/>
      <w:marLeft w:val="0"/>
      <w:marRight w:val="0"/>
      <w:marTop w:val="0"/>
      <w:marBottom w:val="0"/>
      <w:divBdr>
        <w:top w:val="none" w:sz="0" w:space="0" w:color="auto"/>
        <w:left w:val="none" w:sz="0" w:space="0" w:color="auto"/>
        <w:bottom w:val="none" w:sz="0" w:space="0" w:color="auto"/>
        <w:right w:val="none" w:sz="0" w:space="0" w:color="auto"/>
      </w:divBdr>
    </w:div>
    <w:div w:id="1745371405">
      <w:bodyDiv w:val="1"/>
      <w:marLeft w:val="0"/>
      <w:marRight w:val="0"/>
      <w:marTop w:val="0"/>
      <w:marBottom w:val="0"/>
      <w:divBdr>
        <w:top w:val="none" w:sz="0" w:space="0" w:color="auto"/>
        <w:left w:val="none" w:sz="0" w:space="0" w:color="auto"/>
        <w:bottom w:val="none" w:sz="0" w:space="0" w:color="auto"/>
        <w:right w:val="none" w:sz="0" w:space="0" w:color="auto"/>
      </w:divBdr>
    </w:div>
    <w:div w:id="191099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oas.org/juridico/spanish/Tratados/a-52.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multimedia/sesiones/157/default.asp" TargetMode="External"/><Relationship Id="rId13" Type="http://schemas.openxmlformats.org/officeDocument/2006/relationships/hyperlink" Target="https://www.who.int/publications/i/item/epilepsy-a-public-health-imperative" TargetMode="External"/><Relationship Id="rId18" Type="http://schemas.openxmlformats.org/officeDocument/2006/relationships/hyperlink" Target="https://www.corteidh.or.cr/tablas/32092.pdf" TargetMode="External"/><Relationship Id="rId3" Type="http://schemas.openxmlformats.org/officeDocument/2006/relationships/hyperlink" Target="http://www.oas.org/es/cidh/multimedia/sesiones/157/default.asp" TargetMode="External"/><Relationship Id="rId7" Type="http://schemas.openxmlformats.org/officeDocument/2006/relationships/hyperlink" Target="https://treaties.un.org/Pages/%20ViewDetails.aspx?src=TREATY&amp;mtdsg_no=IV-15&amp;chapter=4&amp;clang=_en" TargetMode="External"/><Relationship Id="rId12" Type="http://schemas.openxmlformats.org/officeDocument/2006/relationships/hyperlink" Target="https://www.who.int/news-room/fact-sheets/detail/epilepsy" TargetMode="External"/><Relationship Id="rId17" Type="http://schemas.openxmlformats.org/officeDocument/2006/relationships/hyperlink" Target="https://chicagounbound.uchicago.edu/cgi/viewcontent.cgi?article=1052&amp;context=uclf" TargetMode="External"/><Relationship Id="rId2" Type="http://schemas.openxmlformats.org/officeDocument/2006/relationships/hyperlink" Target="https://www.corteidh.or.cr/tablas/alerta/comunicado/cp-27-2020.html" TargetMode="External"/><Relationship Id="rId16" Type="http://schemas.openxmlformats.org/officeDocument/2006/relationships/hyperlink" Target="http://www.oas.org/es/sadye/inclusion-social/protocolo-ssv/docs/pss-res-2262-es.doc" TargetMode="External"/><Relationship Id="rId1" Type="http://schemas.openxmlformats.org/officeDocument/2006/relationships/hyperlink" Target="http://www.corteidh.or.cr/docs/asuntos/guachala_09_10_20.pdf" TargetMode="External"/><Relationship Id="rId6" Type="http://schemas.openxmlformats.org/officeDocument/2006/relationships/hyperlink" Target="https://www.oas.org/juridico/spanish/firmas/a-65.html" TargetMode="External"/><Relationship Id="rId11" Type="http://schemas.openxmlformats.org/officeDocument/2006/relationships/hyperlink" Target="https://www.who.int/publications/i/item/epilepsy-a-public-health-imperative" TargetMode="External"/><Relationship Id="rId5" Type="http://schemas.openxmlformats.org/officeDocument/2006/relationships/hyperlink" Target="http://hrlibrary.umn.edu/iachr/series_A_OC-18.html" TargetMode="External"/><Relationship Id="rId15" Type="http://schemas.openxmlformats.org/officeDocument/2006/relationships/hyperlink" Target="http://hrlibrary.umn.edu/iachr/b_11_4h.htm" TargetMode="External"/><Relationship Id="rId10" Type="http://schemas.openxmlformats.org/officeDocument/2006/relationships/hyperlink" Target="file:///C:/Users/user/AppData/Local/Temp/WHO-MSD-MER-19.2-eng.pdf" TargetMode="External"/><Relationship Id="rId4" Type="http://schemas.openxmlformats.org/officeDocument/2006/relationships/hyperlink" Target="http://hrlibrary.umn.edu/iachr/b_11_4d.htm" TargetMode="External"/><Relationship Id="rId9" Type="http://schemas.openxmlformats.org/officeDocument/2006/relationships/hyperlink" Target="https://www.who.int/news-room/fact-sheets/detail/epilepsy" TargetMode="External"/><Relationship Id="rId14" Type="http://schemas.openxmlformats.org/officeDocument/2006/relationships/hyperlink" Target="https://www.who.int/publications/i/item/epilepsy-a-public-health-imperativ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77741-BA61-4D15-97F3-B29E1EC9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46190</Words>
  <Characters>263287</Characters>
  <Application>Microsoft Office Word</Application>
  <DocSecurity>0</DocSecurity>
  <Lines>2194</Lines>
  <Paragraphs>617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Penny Houghton</cp:lastModifiedBy>
  <cp:revision>4</cp:revision>
  <dcterms:created xsi:type="dcterms:W3CDTF">2021-07-16T17:09:00Z</dcterms:created>
  <dcterms:modified xsi:type="dcterms:W3CDTF">2021-07-16T17:10:00Z</dcterms:modified>
</cp:coreProperties>
</file>