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DC88" w14:textId="77777777" w:rsidR="00F85D5F" w:rsidRPr="00DD4006" w:rsidRDefault="00F85D5F" w:rsidP="00F85D5F">
      <w:pPr>
        <w:pStyle w:val="Textoindependiente"/>
        <w:tabs>
          <w:tab w:val="left" w:pos="142"/>
          <w:tab w:val="left" w:pos="6597"/>
        </w:tabs>
      </w:pPr>
    </w:p>
    <w:p w14:paraId="4FCE1231" w14:textId="77777777" w:rsidR="00F85D5F" w:rsidRPr="00DD4006" w:rsidRDefault="00F85D5F" w:rsidP="00F85D5F">
      <w:pPr>
        <w:pStyle w:val="Textoindependiente"/>
        <w:tabs>
          <w:tab w:val="left" w:pos="142"/>
        </w:tabs>
      </w:pPr>
    </w:p>
    <w:p w14:paraId="2F9CB1E7" w14:textId="77777777" w:rsidR="00F85D5F" w:rsidRPr="00DD4006" w:rsidRDefault="00F85D5F" w:rsidP="00F85D5F">
      <w:pPr>
        <w:pStyle w:val="Textoindependiente"/>
        <w:tabs>
          <w:tab w:val="left" w:pos="142"/>
        </w:tabs>
      </w:pPr>
    </w:p>
    <w:p w14:paraId="2961A510" w14:textId="77777777" w:rsidR="00F85D5F" w:rsidRPr="00DD4006" w:rsidRDefault="00F85D5F" w:rsidP="00F85D5F">
      <w:pPr>
        <w:pStyle w:val="Textoindependiente"/>
        <w:tabs>
          <w:tab w:val="left" w:pos="142"/>
        </w:tabs>
      </w:pPr>
    </w:p>
    <w:p w14:paraId="22062EDB" w14:textId="77777777" w:rsidR="00F85D5F" w:rsidRPr="00DD4006" w:rsidRDefault="00F85D5F" w:rsidP="00F85D5F">
      <w:pPr>
        <w:pStyle w:val="Textoindependiente"/>
        <w:tabs>
          <w:tab w:val="left" w:pos="142"/>
        </w:tabs>
      </w:pPr>
    </w:p>
    <w:p w14:paraId="62404B71" w14:textId="77777777" w:rsidR="00F85D5F" w:rsidRPr="00DD4006" w:rsidRDefault="00F85D5F" w:rsidP="00F85D5F">
      <w:pPr>
        <w:pStyle w:val="Textoindependiente"/>
        <w:tabs>
          <w:tab w:val="left" w:pos="142"/>
        </w:tabs>
      </w:pPr>
    </w:p>
    <w:p w14:paraId="579B1D9E" w14:textId="77777777" w:rsidR="00F85D5F" w:rsidRPr="00DD4006" w:rsidRDefault="00F85D5F" w:rsidP="00F85D5F">
      <w:pPr>
        <w:pStyle w:val="Textoindependiente"/>
        <w:tabs>
          <w:tab w:val="left" w:pos="142"/>
        </w:tabs>
      </w:pPr>
    </w:p>
    <w:p w14:paraId="74CC21FE" w14:textId="77777777" w:rsidR="00F85D5F" w:rsidRPr="00DD4006" w:rsidRDefault="00F85D5F" w:rsidP="00F85D5F">
      <w:pPr>
        <w:pStyle w:val="Textoindependiente"/>
        <w:tabs>
          <w:tab w:val="left" w:pos="142"/>
        </w:tabs>
        <w:jc w:val="center"/>
        <w:rPr>
          <w:b/>
        </w:rPr>
      </w:pPr>
    </w:p>
    <w:p w14:paraId="5641072E" w14:textId="77777777" w:rsidR="00F85D5F" w:rsidRPr="00C837DD" w:rsidRDefault="00F85D5F" w:rsidP="00F85D5F">
      <w:pPr>
        <w:tabs>
          <w:tab w:val="left" w:pos="142"/>
        </w:tabs>
        <w:jc w:val="center"/>
        <w:rPr>
          <w:b/>
          <w:sz w:val="20"/>
          <w:szCs w:val="20"/>
        </w:rPr>
      </w:pPr>
      <w:bookmarkStart w:id="0" w:name="seriec_412_esp"/>
      <w:bookmarkEnd w:id="0"/>
      <w:r w:rsidRPr="00C837DD">
        <w:rPr>
          <w:b/>
          <w:sz w:val="20"/>
          <w:szCs w:val="20"/>
        </w:rPr>
        <w:t xml:space="preserve">INTER-AMERICAN COURT OF HUMAN RIGHTS </w:t>
      </w:r>
    </w:p>
    <w:p w14:paraId="17BD5DEF" w14:textId="77777777" w:rsidR="00F85D5F" w:rsidRPr="00C837DD" w:rsidRDefault="00F85D5F" w:rsidP="00F85D5F">
      <w:pPr>
        <w:pStyle w:val="Textoindependiente"/>
        <w:tabs>
          <w:tab w:val="left" w:pos="142"/>
        </w:tabs>
        <w:jc w:val="center"/>
        <w:rPr>
          <w:b/>
        </w:rPr>
      </w:pPr>
    </w:p>
    <w:p w14:paraId="56C954B7" w14:textId="77777777" w:rsidR="00F85D5F" w:rsidRPr="00C837DD" w:rsidRDefault="00F85D5F" w:rsidP="00F85D5F">
      <w:pPr>
        <w:pStyle w:val="Textoindependiente"/>
        <w:tabs>
          <w:tab w:val="left" w:pos="142"/>
        </w:tabs>
        <w:rPr>
          <w:b/>
        </w:rPr>
      </w:pPr>
    </w:p>
    <w:p w14:paraId="04C3E7D8" w14:textId="77777777" w:rsidR="00F85D5F" w:rsidRPr="00C837DD" w:rsidRDefault="00F85D5F" w:rsidP="00F85D5F">
      <w:pPr>
        <w:tabs>
          <w:tab w:val="left" w:pos="142"/>
        </w:tabs>
        <w:jc w:val="center"/>
        <w:rPr>
          <w:b/>
          <w:sz w:val="20"/>
          <w:szCs w:val="20"/>
        </w:rPr>
      </w:pPr>
      <w:r w:rsidRPr="00C837DD">
        <w:rPr>
          <w:b/>
          <w:sz w:val="20"/>
          <w:szCs w:val="20"/>
        </w:rPr>
        <w:t>CASE OF BARBOSA DE SOUZA ET AL. V. BRAZIL</w:t>
      </w:r>
    </w:p>
    <w:p w14:paraId="6AA20A81" w14:textId="77777777" w:rsidR="00F85D5F" w:rsidRPr="00C837DD" w:rsidRDefault="00F85D5F" w:rsidP="00F85D5F">
      <w:pPr>
        <w:tabs>
          <w:tab w:val="left" w:pos="142"/>
        </w:tabs>
        <w:jc w:val="center"/>
        <w:rPr>
          <w:b/>
          <w:sz w:val="20"/>
          <w:szCs w:val="20"/>
        </w:rPr>
      </w:pPr>
    </w:p>
    <w:p w14:paraId="6579EA2D" w14:textId="77777777" w:rsidR="00F85D5F" w:rsidRPr="00C837DD" w:rsidRDefault="00F85D5F" w:rsidP="00F85D5F">
      <w:pPr>
        <w:tabs>
          <w:tab w:val="left" w:pos="142"/>
        </w:tabs>
        <w:jc w:val="center"/>
        <w:rPr>
          <w:b/>
          <w:sz w:val="20"/>
          <w:szCs w:val="20"/>
        </w:rPr>
      </w:pPr>
    </w:p>
    <w:p w14:paraId="1119AF18" w14:textId="77777777" w:rsidR="00F85D5F" w:rsidRPr="00C837DD" w:rsidRDefault="00F85D5F" w:rsidP="00F85D5F">
      <w:pPr>
        <w:tabs>
          <w:tab w:val="left" w:pos="142"/>
        </w:tabs>
        <w:jc w:val="center"/>
        <w:rPr>
          <w:rStyle w:val="None"/>
          <w:sz w:val="20"/>
          <w:szCs w:val="20"/>
        </w:rPr>
      </w:pPr>
      <w:r w:rsidRPr="00C837DD">
        <w:rPr>
          <w:b/>
          <w:sz w:val="20"/>
          <w:szCs w:val="20"/>
        </w:rPr>
        <w:t>JUDGMENT OF SEPTEMBER 7, 2021</w:t>
      </w:r>
    </w:p>
    <w:p w14:paraId="215EF108" w14:textId="77777777" w:rsidR="00F85D5F" w:rsidRPr="00C837DD" w:rsidRDefault="00F85D5F" w:rsidP="00F85D5F">
      <w:pPr>
        <w:tabs>
          <w:tab w:val="left" w:pos="142"/>
        </w:tabs>
        <w:jc w:val="center"/>
        <w:rPr>
          <w:b/>
          <w:i/>
          <w:sz w:val="20"/>
          <w:szCs w:val="20"/>
        </w:rPr>
      </w:pPr>
      <w:r w:rsidRPr="00C837DD">
        <w:rPr>
          <w:b/>
          <w:i/>
          <w:sz w:val="20"/>
          <w:szCs w:val="20"/>
        </w:rPr>
        <w:t>(Preliminary objections, merits, reparations and costs)</w:t>
      </w:r>
    </w:p>
    <w:p w14:paraId="5251740E" w14:textId="77777777" w:rsidR="00F85D5F" w:rsidRPr="00C837DD" w:rsidRDefault="00F85D5F" w:rsidP="00F85D5F">
      <w:pPr>
        <w:pStyle w:val="Textoindependiente"/>
        <w:tabs>
          <w:tab w:val="left" w:pos="142"/>
        </w:tabs>
        <w:rPr>
          <w:b/>
        </w:rPr>
      </w:pPr>
    </w:p>
    <w:p w14:paraId="19DE271D" w14:textId="77777777" w:rsidR="00F85D5F" w:rsidRPr="00C837DD" w:rsidRDefault="00F85D5F" w:rsidP="00F85D5F">
      <w:pPr>
        <w:pStyle w:val="Textoindependiente"/>
        <w:tabs>
          <w:tab w:val="left" w:pos="142"/>
        </w:tabs>
        <w:rPr>
          <w:b/>
        </w:rPr>
      </w:pPr>
    </w:p>
    <w:p w14:paraId="7A8F37D5" w14:textId="77777777" w:rsidR="00F85D5F" w:rsidRPr="00C837DD" w:rsidRDefault="00F85D5F" w:rsidP="00F85D5F">
      <w:pPr>
        <w:pStyle w:val="Textoindependiente"/>
        <w:tabs>
          <w:tab w:val="left" w:pos="142"/>
        </w:tabs>
        <w:rPr>
          <w:b/>
        </w:rPr>
      </w:pPr>
    </w:p>
    <w:p w14:paraId="635DDE56" w14:textId="6B39E517" w:rsidR="00F85D5F" w:rsidRPr="00C837DD" w:rsidRDefault="00F85D5F" w:rsidP="00F85D5F">
      <w:pPr>
        <w:tabs>
          <w:tab w:val="left" w:pos="142"/>
        </w:tabs>
        <w:rPr>
          <w:i/>
          <w:sz w:val="20"/>
          <w:szCs w:val="20"/>
        </w:rPr>
      </w:pPr>
      <w:r w:rsidRPr="00C837DD">
        <w:rPr>
          <w:sz w:val="20"/>
          <w:szCs w:val="20"/>
        </w:rPr>
        <w:t>In the case</w:t>
      </w:r>
      <w:r w:rsidR="00976B10" w:rsidRPr="00C837DD">
        <w:rPr>
          <w:sz w:val="20"/>
          <w:szCs w:val="20"/>
        </w:rPr>
        <w:t xml:space="preserve"> of</w:t>
      </w:r>
      <w:r w:rsidRPr="00C837DD">
        <w:rPr>
          <w:sz w:val="20"/>
          <w:szCs w:val="20"/>
        </w:rPr>
        <w:t xml:space="preserve"> </w:t>
      </w:r>
      <w:r w:rsidRPr="00C837DD">
        <w:rPr>
          <w:i/>
          <w:sz w:val="20"/>
          <w:szCs w:val="20"/>
        </w:rPr>
        <w:t>Barbosa de Souza et al. v. Brazil,</w:t>
      </w:r>
    </w:p>
    <w:p w14:paraId="2327821B" w14:textId="77777777" w:rsidR="00F85D5F" w:rsidRPr="00C837DD" w:rsidRDefault="00F85D5F" w:rsidP="00F85D5F">
      <w:pPr>
        <w:pStyle w:val="Textoindependiente"/>
        <w:tabs>
          <w:tab w:val="left" w:pos="142"/>
        </w:tabs>
        <w:rPr>
          <w:i/>
        </w:rPr>
      </w:pPr>
    </w:p>
    <w:p w14:paraId="3DB6F8C3" w14:textId="2CBA98D5" w:rsidR="00F85D5F" w:rsidRPr="00C837DD" w:rsidRDefault="00F85D5F" w:rsidP="00F85D5F">
      <w:pPr>
        <w:pStyle w:val="Textoindependiente"/>
        <w:tabs>
          <w:tab w:val="left" w:pos="142"/>
        </w:tabs>
      </w:pPr>
      <w:r w:rsidRPr="00C837DD">
        <w:t xml:space="preserve">the Inter-American Court of Human Rights (hereinafter “the Inter-American Court” or “the Court”), composed of the following </w:t>
      </w:r>
      <w:r w:rsidR="00335258">
        <w:t>j</w:t>
      </w:r>
      <w:r w:rsidRPr="00C837DD">
        <w:t>udges:</w:t>
      </w:r>
      <w:r w:rsidRPr="00C837DD">
        <w:rPr>
          <w:rStyle w:val="Refdenotaalpie"/>
        </w:rPr>
        <w:t xml:space="preserve"> </w:t>
      </w:r>
      <w:r w:rsidRPr="00C837DD">
        <w:rPr>
          <w:rStyle w:val="Refdenotaalpie"/>
        </w:rPr>
        <w:footnoteReference w:customMarkFollows="1" w:id="1"/>
        <w:t>*</w:t>
      </w:r>
    </w:p>
    <w:p w14:paraId="2F721819" w14:textId="77777777" w:rsidR="00F85D5F" w:rsidRPr="00C837DD" w:rsidRDefault="00F85D5F" w:rsidP="00F85D5F">
      <w:pPr>
        <w:pStyle w:val="Textoindependiente"/>
        <w:tabs>
          <w:tab w:val="left" w:pos="142"/>
        </w:tabs>
      </w:pPr>
    </w:p>
    <w:p w14:paraId="471346F5" w14:textId="77777777" w:rsidR="00F85D5F" w:rsidRPr="00C837DD" w:rsidRDefault="00F85D5F" w:rsidP="00F85D5F">
      <w:pPr>
        <w:pStyle w:val="citaindirecta"/>
        <w:tabs>
          <w:tab w:val="left" w:pos="142"/>
        </w:tabs>
        <w:ind w:left="0"/>
        <w:rPr>
          <w:lang w:val="en-US"/>
        </w:rPr>
      </w:pPr>
      <w:r w:rsidRPr="00C837DD">
        <w:rPr>
          <w:lang w:val="en-US"/>
        </w:rPr>
        <w:t xml:space="preserve">Elizabeth Odio Benito, President; </w:t>
      </w:r>
    </w:p>
    <w:p w14:paraId="4995F09B" w14:textId="77777777" w:rsidR="00F85D5F" w:rsidRPr="00C837DD" w:rsidRDefault="00F85D5F" w:rsidP="00F85D5F">
      <w:pPr>
        <w:pStyle w:val="citaindirecta"/>
        <w:tabs>
          <w:tab w:val="left" w:pos="142"/>
        </w:tabs>
        <w:ind w:left="0"/>
        <w:rPr>
          <w:lang w:val="en-US"/>
        </w:rPr>
      </w:pPr>
      <w:r w:rsidRPr="00C837DD">
        <w:rPr>
          <w:lang w:val="en-US"/>
        </w:rPr>
        <w:t>L. Patricio Pazmiño Freire, Vice President;</w:t>
      </w:r>
    </w:p>
    <w:p w14:paraId="183C4EB7" w14:textId="77777777" w:rsidR="00F85D5F" w:rsidRPr="00C837DD" w:rsidRDefault="00F85D5F" w:rsidP="00F85D5F">
      <w:pPr>
        <w:pStyle w:val="citaindirecta"/>
        <w:tabs>
          <w:tab w:val="left" w:pos="142"/>
        </w:tabs>
        <w:ind w:left="0"/>
        <w:rPr>
          <w:lang w:val="en-US"/>
        </w:rPr>
      </w:pPr>
      <w:r w:rsidRPr="00C837DD">
        <w:rPr>
          <w:lang w:val="en-US"/>
        </w:rPr>
        <w:t>Humberto Antonio Sierra Porto, Judge;</w:t>
      </w:r>
    </w:p>
    <w:p w14:paraId="5CA4853D" w14:textId="77777777" w:rsidR="00F85D5F" w:rsidRPr="00C837DD" w:rsidRDefault="00F85D5F" w:rsidP="00F85D5F">
      <w:pPr>
        <w:pStyle w:val="citaindirecta"/>
        <w:tabs>
          <w:tab w:val="left" w:pos="142"/>
        </w:tabs>
        <w:ind w:left="0"/>
        <w:rPr>
          <w:lang w:val="en-US"/>
        </w:rPr>
      </w:pPr>
      <w:r w:rsidRPr="00C837DD">
        <w:rPr>
          <w:lang w:val="en-US"/>
        </w:rPr>
        <w:t>Eduardo Ferrer Mac-Gregor Poisot, Judge;</w:t>
      </w:r>
    </w:p>
    <w:p w14:paraId="2E986F4B" w14:textId="77777777" w:rsidR="00F85D5F" w:rsidRPr="00C837DD" w:rsidRDefault="00F85D5F" w:rsidP="00F85D5F">
      <w:pPr>
        <w:pStyle w:val="citaindirecta"/>
        <w:tabs>
          <w:tab w:val="left" w:pos="142"/>
        </w:tabs>
        <w:ind w:left="0"/>
        <w:rPr>
          <w:lang w:val="en-US"/>
        </w:rPr>
      </w:pPr>
      <w:r w:rsidRPr="00C837DD">
        <w:rPr>
          <w:lang w:val="en-US"/>
        </w:rPr>
        <w:t>Eugenio Raúl Zaffaroni, Judge, and</w:t>
      </w:r>
    </w:p>
    <w:p w14:paraId="28F26CEF" w14:textId="77777777" w:rsidR="00F85D5F" w:rsidRPr="00C837DD" w:rsidRDefault="00F85D5F" w:rsidP="00F85D5F">
      <w:pPr>
        <w:pStyle w:val="citaindirecta"/>
        <w:tabs>
          <w:tab w:val="left" w:pos="142"/>
        </w:tabs>
        <w:ind w:left="0"/>
        <w:rPr>
          <w:lang w:val="en-US"/>
        </w:rPr>
      </w:pPr>
      <w:r w:rsidRPr="00C837DD">
        <w:rPr>
          <w:lang w:val="en-US"/>
        </w:rPr>
        <w:t>Ricardo Pérez Manrique, Judge;</w:t>
      </w:r>
    </w:p>
    <w:p w14:paraId="7749DABF" w14:textId="77777777" w:rsidR="00F85D5F" w:rsidRPr="00C837DD" w:rsidRDefault="00F85D5F" w:rsidP="00F85D5F">
      <w:pPr>
        <w:pStyle w:val="Textoindependiente"/>
        <w:tabs>
          <w:tab w:val="left" w:pos="142"/>
        </w:tabs>
      </w:pPr>
    </w:p>
    <w:p w14:paraId="6759CDFE" w14:textId="77777777" w:rsidR="00F85D5F" w:rsidRPr="00C837DD" w:rsidRDefault="00F85D5F" w:rsidP="00F85D5F">
      <w:pPr>
        <w:pStyle w:val="Textoindependiente"/>
        <w:tabs>
          <w:tab w:val="left" w:pos="142"/>
        </w:tabs>
      </w:pPr>
    </w:p>
    <w:p w14:paraId="7B4065CE" w14:textId="77777777" w:rsidR="00F85D5F" w:rsidRPr="00C837DD" w:rsidRDefault="00F85D5F" w:rsidP="00F85D5F">
      <w:pPr>
        <w:pStyle w:val="Textoindependiente"/>
        <w:tabs>
          <w:tab w:val="left" w:pos="142"/>
        </w:tabs>
      </w:pPr>
      <w:r w:rsidRPr="00C837DD">
        <w:t xml:space="preserve">also present, </w:t>
      </w:r>
    </w:p>
    <w:p w14:paraId="708E9C8C" w14:textId="77777777" w:rsidR="00F85D5F" w:rsidRPr="00C837DD" w:rsidRDefault="00F85D5F" w:rsidP="00F85D5F">
      <w:pPr>
        <w:pStyle w:val="Textoindependiente"/>
        <w:tabs>
          <w:tab w:val="left" w:pos="142"/>
        </w:tabs>
      </w:pPr>
    </w:p>
    <w:p w14:paraId="2A18ABDC" w14:textId="77777777" w:rsidR="00F85D5F" w:rsidRPr="00C837DD" w:rsidRDefault="00F85D5F" w:rsidP="00F85D5F">
      <w:pPr>
        <w:pStyle w:val="citaindirecta"/>
        <w:tabs>
          <w:tab w:val="left" w:pos="142"/>
        </w:tabs>
        <w:ind w:left="0"/>
        <w:rPr>
          <w:lang w:val="en-US"/>
        </w:rPr>
      </w:pPr>
      <w:r w:rsidRPr="00C837DD">
        <w:rPr>
          <w:lang w:val="en-US"/>
        </w:rPr>
        <w:t>Pablo Saavedra Alessandri, Secretary, and</w:t>
      </w:r>
    </w:p>
    <w:p w14:paraId="0F85DA49" w14:textId="77777777" w:rsidR="00F85D5F" w:rsidRPr="00C837DD" w:rsidRDefault="00F85D5F" w:rsidP="00F85D5F">
      <w:pPr>
        <w:pStyle w:val="citaindirecta"/>
        <w:tabs>
          <w:tab w:val="left" w:pos="142"/>
        </w:tabs>
        <w:ind w:left="0"/>
        <w:rPr>
          <w:lang w:val="en-US"/>
        </w:rPr>
      </w:pPr>
      <w:r w:rsidRPr="00C837DD">
        <w:rPr>
          <w:lang w:val="en-US"/>
        </w:rPr>
        <w:t>Romina I. Sijniensky, Deputy Secretary</w:t>
      </w:r>
      <w:hyperlink w:anchor="_bookmark1" w:history="1"/>
      <w:r w:rsidRPr="00C837DD">
        <w:rPr>
          <w:lang w:val="en-US"/>
        </w:rPr>
        <w:t>,</w:t>
      </w:r>
    </w:p>
    <w:p w14:paraId="1D13E150" w14:textId="77777777" w:rsidR="00F85D5F" w:rsidRPr="00C837DD" w:rsidRDefault="00F85D5F" w:rsidP="00F85D5F">
      <w:pPr>
        <w:pStyle w:val="citaindirecta"/>
        <w:tabs>
          <w:tab w:val="left" w:pos="142"/>
        </w:tabs>
        <w:ind w:left="0"/>
        <w:rPr>
          <w:lang w:val="en-US"/>
        </w:rPr>
      </w:pPr>
    </w:p>
    <w:p w14:paraId="1EB775C8" w14:textId="77777777" w:rsidR="00F85D5F" w:rsidRPr="00C837DD" w:rsidRDefault="00F85D5F" w:rsidP="00F85D5F">
      <w:pPr>
        <w:pStyle w:val="Textoindependiente"/>
        <w:tabs>
          <w:tab w:val="left" w:pos="142"/>
        </w:tabs>
      </w:pPr>
    </w:p>
    <w:p w14:paraId="7F2E4A93" w14:textId="793D6078" w:rsidR="00F85D5F" w:rsidRPr="00C837DD" w:rsidRDefault="00F85D5F" w:rsidP="00F85D5F">
      <w:pPr>
        <w:pStyle w:val="Textoindependiente"/>
        <w:tabs>
          <w:tab w:val="left" w:pos="142"/>
        </w:tabs>
        <w:jc w:val="both"/>
      </w:pPr>
      <w:r w:rsidRPr="00C837DD">
        <w:t xml:space="preserve">in accordance with Articles 62(3) and 63(1) of the American Convention on Human Rights (hereinafter “the American Convention” or “the Convention”) and with Articles 31, 32, 42, 65 and 67 of the </w:t>
      </w:r>
      <w:r w:rsidR="00976B10" w:rsidRPr="00C837DD">
        <w:t xml:space="preserve">Court’s </w:t>
      </w:r>
      <w:r w:rsidRPr="00C837DD">
        <w:t xml:space="preserve">Rules of Procedure (hereinafter “the Rules” or “the Rules of the Court”), delivers this </w:t>
      </w:r>
      <w:r w:rsidR="00976B10" w:rsidRPr="00C837DD">
        <w:t>j</w:t>
      </w:r>
      <w:r w:rsidRPr="00C837DD">
        <w:t>udgment which is structured as follows:</w:t>
      </w:r>
    </w:p>
    <w:p w14:paraId="2DEFF033" w14:textId="77777777" w:rsidR="00F85D5F" w:rsidRPr="00C837DD" w:rsidRDefault="00F85D5F" w:rsidP="00F85D5F">
      <w:pPr>
        <w:tabs>
          <w:tab w:val="left" w:pos="142"/>
        </w:tabs>
        <w:rPr>
          <w:b/>
          <w:bCs/>
          <w:sz w:val="20"/>
          <w:szCs w:val="20"/>
        </w:rPr>
      </w:pPr>
      <w:r w:rsidRPr="00C837DD">
        <w:rPr>
          <w:sz w:val="20"/>
          <w:szCs w:val="20"/>
        </w:rPr>
        <w:br w:type="page"/>
      </w:r>
    </w:p>
    <w:p w14:paraId="68DEA5AC" w14:textId="77777777" w:rsidR="00F85D5F" w:rsidRPr="00C837DD" w:rsidRDefault="00F85D5F" w:rsidP="00F85D5F">
      <w:pPr>
        <w:tabs>
          <w:tab w:val="left" w:pos="142"/>
        </w:tabs>
        <w:jc w:val="center"/>
        <w:rPr>
          <w:b/>
          <w:sz w:val="18"/>
          <w:szCs w:val="18"/>
        </w:rPr>
      </w:pPr>
      <w:r w:rsidRPr="00C837DD">
        <w:rPr>
          <w:b/>
          <w:sz w:val="18"/>
          <w:szCs w:val="18"/>
        </w:rPr>
        <w:lastRenderedPageBreak/>
        <w:t>TABLE OF CONTENTS</w:t>
      </w:r>
    </w:p>
    <w:p w14:paraId="4086ACD3" w14:textId="77777777" w:rsidR="00F85D5F" w:rsidRPr="00C837DD" w:rsidRDefault="00F85D5F" w:rsidP="00F85D5F">
      <w:pPr>
        <w:tabs>
          <w:tab w:val="left" w:pos="142"/>
        </w:tabs>
        <w:jc w:val="both"/>
        <w:rPr>
          <w:b/>
          <w:sz w:val="18"/>
          <w:szCs w:val="18"/>
        </w:rPr>
      </w:pPr>
    </w:p>
    <w:p w14:paraId="09A0DF5D" w14:textId="65B7478E" w:rsidR="00F85D5F" w:rsidRPr="00C837DD" w:rsidRDefault="00F85D5F" w:rsidP="00F85D5F">
      <w:pPr>
        <w:pStyle w:val="TDC1"/>
        <w:tabs>
          <w:tab w:val="right" w:leader="dot" w:pos="9463"/>
        </w:tabs>
        <w:rPr>
          <w:rFonts w:ascii="Verdana" w:eastAsiaTheme="minorEastAsia" w:hAnsi="Verdana" w:cstheme="minorBidi"/>
          <w:b w:val="0"/>
          <w:bCs w:val="0"/>
          <w:caps w:val="0"/>
          <w:sz w:val="18"/>
          <w:szCs w:val="18"/>
          <w:lang w:eastAsia="es-CR"/>
        </w:rPr>
      </w:pPr>
      <w:r w:rsidRPr="00C837DD">
        <w:rPr>
          <w:rStyle w:val="None"/>
          <w:rFonts w:ascii="Verdana" w:hAnsi="Verdana"/>
          <w:sz w:val="18"/>
          <w:szCs w:val="18"/>
        </w:rPr>
        <w:fldChar w:fldCharType="begin"/>
      </w:r>
      <w:r w:rsidRPr="00C837DD">
        <w:rPr>
          <w:rStyle w:val="None"/>
          <w:rFonts w:ascii="Verdana" w:hAnsi="Verdana"/>
          <w:sz w:val="18"/>
          <w:szCs w:val="18"/>
        </w:rPr>
        <w:instrText xml:space="preserve"> TOC \o "1-5" \h \z \u </w:instrText>
      </w:r>
      <w:r w:rsidRPr="00C837DD">
        <w:rPr>
          <w:rStyle w:val="None"/>
          <w:rFonts w:ascii="Verdana" w:hAnsi="Verdana"/>
          <w:sz w:val="18"/>
          <w:szCs w:val="18"/>
        </w:rPr>
        <w:fldChar w:fldCharType="separate"/>
      </w:r>
      <w:hyperlink w:anchor="_Toc85001860" w:history="1">
        <w:r w:rsidRPr="00C837DD">
          <w:rPr>
            <w:rStyle w:val="Hipervnculo"/>
            <w:rFonts w:ascii="Verdana" w:hAnsi="Verdana"/>
            <w:sz w:val="18"/>
            <w:szCs w:val="18"/>
          </w:rPr>
          <w:t>I INTRODUCTION of the CASE AND PURPOSE OF THE DISPUTE</w:t>
        </w:r>
        <w:r w:rsidRPr="00C837DD">
          <w:rPr>
            <w:rFonts w:ascii="Verdana" w:hAnsi="Verdana"/>
            <w:webHidden/>
            <w:sz w:val="18"/>
            <w:szCs w:val="18"/>
          </w:rPr>
          <w:tab/>
        </w:r>
        <w:r w:rsidRPr="00C837DD">
          <w:rPr>
            <w:rFonts w:ascii="Verdana" w:hAnsi="Verdana"/>
            <w:webHidden/>
            <w:sz w:val="18"/>
            <w:szCs w:val="18"/>
          </w:rPr>
          <w:fldChar w:fldCharType="begin"/>
        </w:r>
        <w:r w:rsidRPr="00C837DD">
          <w:rPr>
            <w:rFonts w:ascii="Verdana" w:hAnsi="Verdana"/>
            <w:webHidden/>
            <w:sz w:val="18"/>
            <w:szCs w:val="18"/>
          </w:rPr>
          <w:instrText xml:space="preserve"> PAGEREF _Toc85001860 \h </w:instrText>
        </w:r>
        <w:r w:rsidRPr="00C837DD">
          <w:rPr>
            <w:rFonts w:ascii="Verdana" w:hAnsi="Verdana"/>
            <w:webHidden/>
            <w:sz w:val="18"/>
            <w:szCs w:val="18"/>
          </w:rPr>
        </w:r>
        <w:r w:rsidRPr="00C837DD">
          <w:rPr>
            <w:rFonts w:ascii="Verdana" w:hAnsi="Verdana"/>
            <w:webHidden/>
            <w:sz w:val="18"/>
            <w:szCs w:val="18"/>
          </w:rPr>
          <w:fldChar w:fldCharType="separate"/>
        </w:r>
        <w:r w:rsidR="005F3A79">
          <w:rPr>
            <w:rFonts w:ascii="Verdana" w:hAnsi="Verdana"/>
            <w:noProof/>
            <w:webHidden/>
            <w:sz w:val="18"/>
            <w:szCs w:val="18"/>
          </w:rPr>
          <w:t>4</w:t>
        </w:r>
        <w:r w:rsidRPr="00C837DD">
          <w:rPr>
            <w:rFonts w:ascii="Verdana" w:hAnsi="Verdana"/>
            <w:webHidden/>
            <w:sz w:val="18"/>
            <w:szCs w:val="18"/>
          </w:rPr>
          <w:fldChar w:fldCharType="end"/>
        </w:r>
      </w:hyperlink>
    </w:p>
    <w:p w14:paraId="7BA5BBE9" w14:textId="4DDDAD17"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61" w:history="1">
        <w:r w:rsidR="00F85D5F" w:rsidRPr="00C837DD">
          <w:rPr>
            <w:rStyle w:val="Hipervnculo"/>
            <w:rFonts w:ascii="Verdana" w:hAnsi="Verdana"/>
            <w:sz w:val="18"/>
            <w:szCs w:val="18"/>
          </w:rPr>
          <w:t>II PROCEEDINGS BEFORE THE COURT</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_Toc85001861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w:t>
        </w:r>
        <w:r w:rsidR="00F85D5F" w:rsidRPr="00C837DD">
          <w:rPr>
            <w:rFonts w:ascii="Verdana" w:hAnsi="Verdana"/>
            <w:webHidden/>
            <w:sz w:val="18"/>
            <w:szCs w:val="18"/>
          </w:rPr>
          <w:fldChar w:fldCharType="end"/>
        </w:r>
      </w:hyperlink>
    </w:p>
    <w:p w14:paraId="2026E4A4" w14:textId="3B5E11B5"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62" w:history="1">
        <w:r w:rsidR="00F85D5F" w:rsidRPr="00C837DD">
          <w:rPr>
            <w:rStyle w:val="Hipervnculo"/>
            <w:rFonts w:ascii="Verdana" w:hAnsi="Verdana"/>
            <w:sz w:val="18"/>
            <w:szCs w:val="18"/>
          </w:rPr>
          <w:t>III JURISDICTION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_Toc85001862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7</w:t>
        </w:r>
        <w:r w:rsidR="00F85D5F" w:rsidRPr="00C837DD">
          <w:rPr>
            <w:rFonts w:ascii="Verdana" w:hAnsi="Verdana"/>
            <w:webHidden/>
            <w:sz w:val="18"/>
            <w:szCs w:val="18"/>
          </w:rPr>
          <w:fldChar w:fldCharType="end"/>
        </w:r>
      </w:hyperlink>
    </w:p>
    <w:p w14:paraId="0F1E18F6" w14:textId="22B1AD4D"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63" w:history="1">
        <w:r w:rsidR="00F85D5F" w:rsidRPr="00C837DD">
          <w:rPr>
            <w:rStyle w:val="Hipervnculo"/>
            <w:rFonts w:ascii="Verdana" w:hAnsi="Verdana"/>
            <w:sz w:val="18"/>
            <w:szCs w:val="18"/>
          </w:rPr>
          <w:t>IV PRELIMINARY OBJECTIONS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_Toc85001863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7</w:t>
        </w:r>
        <w:r w:rsidR="00F85D5F" w:rsidRPr="00C837DD">
          <w:rPr>
            <w:rFonts w:ascii="Verdana" w:hAnsi="Verdana"/>
            <w:webHidden/>
            <w:sz w:val="18"/>
            <w:szCs w:val="18"/>
          </w:rPr>
          <w:fldChar w:fldCharType="end"/>
        </w:r>
      </w:hyperlink>
    </w:p>
    <w:p w14:paraId="10B03D62" w14:textId="0E55B05A"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64"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 xml:space="preserve">Alleged lack of jurisdiction </w:t>
        </w:r>
        <w:r w:rsidR="00F85D5F" w:rsidRPr="00C837DD">
          <w:rPr>
            <w:rStyle w:val="Hipervnculo"/>
            <w:rFonts w:ascii="Verdana" w:hAnsi="Verdana"/>
            <w:i/>
            <w:sz w:val="18"/>
            <w:szCs w:val="18"/>
          </w:rPr>
          <w:t>ratione temporis</w:t>
        </w:r>
        <w:r w:rsidR="00F85D5F" w:rsidRPr="00C837DD">
          <w:rPr>
            <w:rStyle w:val="Hipervnculo"/>
            <w:rFonts w:ascii="Verdana" w:hAnsi="Verdana"/>
            <w:sz w:val="18"/>
            <w:szCs w:val="18"/>
          </w:rPr>
          <w:t xml:space="preserve"> in relation to facts prior to the date of </w:t>
        </w:r>
        <w:r w:rsidR="00335258">
          <w:rPr>
            <w:rStyle w:val="Hipervnculo"/>
            <w:rFonts w:ascii="Verdana" w:hAnsi="Verdana"/>
            <w:sz w:val="18"/>
            <w:szCs w:val="18"/>
          </w:rPr>
          <w:t xml:space="preserve">recognition </w:t>
        </w:r>
        <w:r w:rsidR="00F85D5F" w:rsidRPr="00C837DD">
          <w:rPr>
            <w:rStyle w:val="Hipervnculo"/>
            <w:rFonts w:ascii="Verdana" w:hAnsi="Verdana"/>
            <w:sz w:val="18"/>
            <w:szCs w:val="18"/>
          </w:rPr>
          <w:t>of the Court’s jurisdiction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_Toc85001864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8</w:t>
        </w:r>
        <w:r w:rsidR="00F85D5F" w:rsidRPr="00C837DD">
          <w:rPr>
            <w:rFonts w:ascii="Verdana" w:hAnsi="Verdana"/>
            <w:webHidden/>
            <w:sz w:val="18"/>
            <w:szCs w:val="18"/>
          </w:rPr>
          <w:fldChar w:fldCharType="end"/>
        </w:r>
      </w:hyperlink>
    </w:p>
    <w:p w14:paraId="542F8BED" w14:textId="2A55B083"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865" w:history="1">
        <w:r w:rsidR="00F85D5F" w:rsidRPr="00C837DD">
          <w:rPr>
            <w:rStyle w:val="Hipervnculo"/>
            <w:rFonts w:ascii="Verdana" w:hAnsi="Verdana"/>
            <w:bCs/>
            <w:spacing w:val="-2"/>
            <w:w w:val="99"/>
            <w:sz w:val="18"/>
            <w:szCs w:val="18"/>
          </w:rPr>
          <w:t>A.1.</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Arguments of the parties and of the Commission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_Toc85001865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8</w:t>
        </w:r>
        <w:r w:rsidR="00F85D5F" w:rsidRPr="00C837DD">
          <w:rPr>
            <w:rFonts w:ascii="Verdana" w:hAnsi="Verdana"/>
            <w:webHidden/>
            <w:sz w:val="18"/>
            <w:szCs w:val="18"/>
          </w:rPr>
          <w:fldChar w:fldCharType="end"/>
        </w:r>
      </w:hyperlink>
    </w:p>
    <w:p w14:paraId="3F17ED32" w14:textId="168EA1B7"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866" w:history="1">
        <w:r w:rsidR="00F85D5F" w:rsidRPr="00C837DD">
          <w:rPr>
            <w:rStyle w:val="Hipervnculo"/>
            <w:rFonts w:ascii="Verdana" w:hAnsi="Verdana"/>
            <w:sz w:val="18"/>
            <w:szCs w:val="18"/>
          </w:rPr>
          <w:t>A.2</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Considerations of the Court</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_Toc85001866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9</w:t>
        </w:r>
        <w:r w:rsidR="00F85D5F" w:rsidRPr="00C837DD">
          <w:rPr>
            <w:rFonts w:ascii="Verdana" w:hAnsi="Verdana"/>
            <w:webHidden/>
            <w:sz w:val="18"/>
            <w:szCs w:val="18"/>
          </w:rPr>
          <w:fldChar w:fldCharType="end"/>
        </w:r>
      </w:hyperlink>
    </w:p>
    <w:p w14:paraId="13F378CC" w14:textId="121533B3"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67" w:history="1">
        <w:r w:rsidR="00F85D5F" w:rsidRPr="00C837DD">
          <w:rPr>
            <w:rStyle w:val="Hipervnculo"/>
            <w:rFonts w:ascii="Verdana" w:hAnsi="Verdana"/>
            <w:bCs/>
            <w:spacing w:val="-2"/>
            <w:w w:val="99"/>
            <w:sz w:val="18"/>
            <w:szCs w:val="18"/>
          </w:rPr>
          <w:t>B.</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Alleged failure to exhaust domestic remedies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_Toc85001867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9</w:t>
        </w:r>
        <w:r w:rsidR="00F85D5F" w:rsidRPr="00C837DD">
          <w:rPr>
            <w:rFonts w:ascii="Verdana" w:hAnsi="Verdana"/>
            <w:webHidden/>
            <w:sz w:val="18"/>
            <w:szCs w:val="18"/>
          </w:rPr>
          <w:fldChar w:fldCharType="end"/>
        </w:r>
      </w:hyperlink>
    </w:p>
    <w:p w14:paraId="7E6DF795" w14:textId="401B77F6"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868" w:history="1">
        <w:r w:rsidR="00F85D5F" w:rsidRPr="00C837DD">
          <w:rPr>
            <w:rStyle w:val="Hipervnculo"/>
            <w:rFonts w:ascii="Verdana" w:hAnsi="Verdana"/>
            <w:spacing w:val="-1"/>
            <w:w w:val="99"/>
            <w:sz w:val="18"/>
            <w:szCs w:val="18"/>
          </w:rPr>
          <w:t>B.1.</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Arguments of the parties and of the Commission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_Toc85001868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9</w:t>
        </w:r>
        <w:r w:rsidR="00F85D5F" w:rsidRPr="00C837DD">
          <w:rPr>
            <w:rFonts w:ascii="Verdana" w:hAnsi="Verdana"/>
            <w:webHidden/>
            <w:sz w:val="18"/>
            <w:szCs w:val="18"/>
          </w:rPr>
          <w:fldChar w:fldCharType="end"/>
        </w:r>
      </w:hyperlink>
    </w:p>
    <w:p w14:paraId="5BC00849" w14:textId="4366252B"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869" w:history="1">
        <w:r w:rsidR="00F85D5F" w:rsidRPr="00C837DD">
          <w:rPr>
            <w:rStyle w:val="Hipervnculo"/>
            <w:rFonts w:ascii="Verdana" w:hAnsi="Verdana"/>
            <w:sz w:val="18"/>
            <w:szCs w:val="18"/>
          </w:rPr>
          <w:t>B.2</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Considerations of the Court</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_Toc85001869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11</w:t>
        </w:r>
        <w:r w:rsidR="00F85D5F" w:rsidRPr="00C837DD">
          <w:rPr>
            <w:rFonts w:ascii="Verdana" w:hAnsi="Verdana"/>
            <w:webHidden/>
            <w:sz w:val="18"/>
            <w:szCs w:val="18"/>
          </w:rPr>
          <w:fldChar w:fldCharType="end"/>
        </w:r>
      </w:hyperlink>
    </w:p>
    <w:p w14:paraId="710ACDC8" w14:textId="3B2BEA8B"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70" w:history="1">
        <w:r w:rsidR="00F85D5F" w:rsidRPr="00C837DD">
          <w:rPr>
            <w:rStyle w:val="Hipervnculo"/>
            <w:rFonts w:ascii="Verdana" w:hAnsi="Verdana"/>
            <w:sz w:val="18"/>
            <w:szCs w:val="18"/>
          </w:rPr>
          <w:t xml:space="preserve">V </w:t>
        </w:r>
        <w:r w:rsidR="000516DA" w:rsidRPr="00C837DD">
          <w:rPr>
            <w:rStyle w:val="Hipervnculo"/>
            <w:rFonts w:ascii="Verdana" w:hAnsi="Verdana"/>
            <w:sz w:val="18"/>
            <w:szCs w:val="18"/>
          </w:rPr>
          <w:t xml:space="preserve">PRIOR </w:t>
        </w:r>
        <w:r w:rsidR="00F85D5F" w:rsidRPr="00C837DD">
          <w:rPr>
            <w:rStyle w:val="Hipervnculo"/>
            <w:rFonts w:ascii="Verdana" w:hAnsi="Verdana"/>
            <w:sz w:val="18"/>
            <w:szCs w:val="18"/>
          </w:rPr>
          <w:t>CONSIDERATION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_Toc85001870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13</w:t>
        </w:r>
        <w:r w:rsidR="00F85D5F" w:rsidRPr="00C837DD">
          <w:rPr>
            <w:rFonts w:ascii="Verdana" w:hAnsi="Verdana"/>
            <w:webHidden/>
            <w:sz w:val="18"/>
            <w:szCs w:val="18"/>
          </w:rPr>
          <w:fldChar w:fldCharType="end"/>
        </w:r>
      </w:hyperlink>
    </w:p>
    <w:p w14:paraId="468555C3" w14:textId="6CE26ADC"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1"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Arguments of the parties and of the Commission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_Toc85001871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13</w:t>
        </w:r>
        <w:r w:rsidR="00F85D5F" w:rsidRPr="00C837DD">
          <w:rPr>
            <w:rFonts w:ascii="Verdana" w:hAnsi="Verdana"/>
            <w:webHidden/>
            <w:sz w:val="18"/>
            <w:szCs w:val="18"/>
          </w:rPr>
          <w:fldChar w:fldCharType="end"/>
        </w:r>
      </w:hyperlink>
    </w:p>
    <w:p w14:paraId="0437E718" w14:textId="09347408"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2" w:history="1">
        <w:r w:rsidR="00F85D5F" w:rsidRPr="00C837DD">
          <w:rPr>
            <w:rStyle w:val="Hipervnculo"/>
            <w:rFonts w:ascii="Verdana" w:hAnsi="Verdana"/>
            <w:bCs/>
            <w:spacing w:val="-2"/>
            <w:w w:val="99"/>
            <w:sz w:val="18"/>
            <w:szCs w:val="18"/>
          </w:rPr>
          <w:t>B.</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Considerations of the Court</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_Toc85001872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13</w:t>
        </w:r>
        <w:r w:rsidR="00F85D5F" w:rsidRPr="00C837DD">
          <w:rPr>
            <w:rFonts w:ascii="Verdana" w:hAnsi="Verdana"/>
            <w:webHidden/>
            <w:sz w:val="18"/>
            <w:szCs w:val="18"/>
          </w:rPr>
          <w:fldChar w:fldCharType="end"/>
        </w:r>
      </w:hyperlink>
    </w:p>
    <w:p w14:paraId="6FA9419B" w14:textId="7F55C0D0"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73" w:history="1">
        <w:r w:rsidR="00F85D5F" w:rsidRPr="00C837DD">
          <w:rPr>
            <w:rStyle w:val="Hipervnculo"/>
            <w:rFonts w:ascii="Verdana" w:hAnsi="Verdana"/>
            <w:sz w:val="18"/>
            <w:szCs w:val="18"/>
          </w:rPr>
          <w:t>VI EVIDENCE</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_Toc85001873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14</w:t>
        </w:r>
        <w:r w:rsidR="00F85D5F" w:rsidRPr="00C837DD">
          <w:rPr>
            <w:rFonts w:ascii="Verdana" w:hAnsi="Verdana"/>
            <w:webHidden/>
            <w:sz w:val="18"/>
            <w:szCs w:val="18"/>
          </w:rPr>
          <w:fldChar w:fldCharType="end"/>
        </w:r>
      </w:hyperlink>
    </w:p>
    <w:p w14:paraId="4B46D8DC" w14:textId="115DF35F"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4"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Admissibility of the documentary evidence</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_Toc85001874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14</w:t>
        </w:r>
        <w:r w:rsidR="00F85D5F" w:rsidRPr="00C837DD">
          <w:rPr>
            <w:rFonts w:ascii="Verdana" w:hAnsi="Verdana"/>
            <w:webHidden/>
            <w:sz w:val="18"/>
            <w:szCs w:val="18"/>
          </w:rPr>
          <w:fldChar w:fldCharType="end"/>
        </w:r>
      </w:hyperlink>
    </w:p>
    <w:p w14:paraId="77FA4C01" w14:textId="3EFC80F4"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5" w:history="1">
        <w:r w:rsidR="00F85D5F" w:rsidRPr="00C837DD">
          <w:rPr>
            <w:rStyle w:val="Hipervnculo"/>
            <w:rFonts w:ascii="Verdana" w:hAnsi="Verdana"/>
            <w:bCs/>
            <w:spacing w:val="-2"/>
            <w:w w:val="99"/>
            <w:sz w:val="18"/>
            <w:szCs w:val="18"/>
          </w:rPr>
          <w:t>B.</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Admissibility of the testimonial and expert evidence</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_Toc85001875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14</w:t>
        </w:r>
        <w:r w:rsidR="00F85D5F" w:rsidRPr="00C837DD">
          <w:rPr>
            <w:rFonts w:ascii="Verdana" w:hAnsi="Verdana"/>
            <w:webHidden/>
            <w:sz w:val="18"/>
            <w:szCs w:val="18"/>
          </w:rPr>
          <w:fldChar w:fldCharType="end"/>
        </w:r>
      </w:hyperlink>
    </w:p>
    <w:p w14:paraId="5842CBA1" w14:textId="31331AFC"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76" w:history="1">
        <w:r w:rsidR="00F85D5F" w:rsidRPr="00C837DD">
          <w:rPr>
            <w:rStyle w:val="Hipervnculo"/>
            <w:rFonts w:ascii="Verdana" w:hAnsi="Verdana"/>
            <w:sz w:val="18"/>
            <w:szCs w:val="18"/>
          </w:rPr>
          <w:t>VII FACTS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_Toc85001876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15</w:t>
        </w:r>
        <w:r w:rsidR="00F85D5F" w:rsidRPr="00C837DD">
          <w:rPr>
            <w:rFonts w:ascii="Verdana" w:hAnsi="Verdana"/>
            <w:webHidden/>
            <w:sz w:val="18"/>
            <w:szCs w:val="18"/>
          </w:rPr>
          <w:fldChar w:fldCharType="end"/>
        </w:r>
      </w:hyperlink>
    </w:p>
    <w:p w14:paraId="158AD6B4" w14:textId="405AA36E"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7"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t>T</w:t>
        </w:r>
        <w:r w:rsidR="00F85D5F" w:rsidRPr="00C837DD">
          <w:rPr>
            <w:rStyle w:val="Hipervnculo"/>
            <w:rFonts w:ascii="Verdana" w:hAnsi="Verdana"/>
            <w:sz w:val="18"/>
            <w:szCs w:val="18"/>
          </w:rPr>
          <w:t>he context of violence against women in Brazil</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_Toc85001877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15</w:t>
        </w:r>
        <w:r w:rsidR="00F85D5F" w:rsidRPr="00C837DD">
          <w:rPr>
            <w:rFonts w:ascii="Verdana" w:hAnsi="Verdana"/>
            <w:webHidden/>
            <w:sz w:val="18"/>
            <w:szCs w:val="18"/>
          </w:rPr>
          <w:fldChar w:fldCharType="end"/>
        </w:r>
      </w:hyperlink>
    </w:p>
    <w:p w14:paraId="0A5B6A7F" w14:textId="5FA192BE"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8" w:history="1">
        <w:r w:rsidR="00F85D5F" w:rsidRPr="00C837DD">
          <w:rPr>
            <w:rStyle w:val="Hipervnculo"/>
            <w:rFonts w:ascii="Verdana" w:hAnsi="Verdana"/>
            <w:sz w:val="18"/>
            <w:szCs w:val="18"/>
          </w:rPr>
          <w:t>B.</w:t>
        </w:r>
        <w:r w:rsidR="00F85D5F" w:rsidRPr="00C837DD">
          <w:rPr>
            <w:rFonts w:ascii="Verdana" w:eastAsiaTheme="minorEastAsia" w:hAnsi="Verdana" w:cstheme="minorBidi"/>
            <w:smallCaps w:val="0"/>
            <w:sz w:val="18"/>
            <w:szCs w:val="18"/>
            <w:lang w:eastAsia="es-CR"/>
          </w:rPr>
          <w:tab/>
          <w:t>T</w:t>
        </w:r>
        <w:r w:rsidR="00F85D5F" w:rsidRPr="00C837DD">
          <w:rPr>
            <w:rStyle w:val="Hipervnculo"/>
            <w:rFonts w:ascii="Verdana" w:hAnsi="Verdana"/>
            <w:sz w:val="18"/>
            <w:szCs w:val="18"/>
          </w:rPr>
          <w:t>he re</w:t>
        </w:r>
        <w:r w:rsidR="000516DA" w:rsidRPr="00C837DD">
          <w:rPr>
            <w:rStyle w:val="Hipervnculo"/>
            <w:rFonts w:ascii="Verdana" w:hAnsi="Verdana"/>
            <w:sz w:val="18"/>
            <w:szCs w:val="18"/>
          </w:rPr>
          <w:t>levant re</w:t>
        </w:r>
        <w:r w:rsidR="00F85D5F" w:rsidRPr="00C837DD">
          <w:rPr>
            <w:rStyle w:val="Hipervnculo"/>
            <w:rFonts w:ascii="Verdana" w:hAnsi="Verdana"/>
            <w:sz w:val="18"/>
            <w:szCs w:val="18"/>
          </w:rPr>
          <w:t>gulatory framework</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_Toc85001878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19</w:t>
        </w:r>
        <w:r w:rsidR="00F85D5F" w:rsidRPr="00C837DD">
          <w:rPr>
            <w:rFonts w:ascii="Verdana" w:hAnsi="Verdana"/>
            <w:webHidden/>
            <w:sz w:val="18"/>
            <w:szCs w:val="18"/>
          </w:rPr>
          <w:fldChar w:fldCharType="end"/>
        </w:r>
      </w:hyperlink>
    </w:p>
    <w:p w14:paraId="701138F7" w14:textId="6D0A2204"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79" w:history="1">
        <w:r w:rsidR="00F85D5F" w:rsidRPr="00C837DD">
          <w:rPr>
            <w:rStyle w:val="Hipervnculo"/>
            <w:rFonts w:ascii="Verdana" w:hAnsi="Verdana"/>
            <w:bCs/>
            <w:spacing w:val="-2"/>
            <w:w w:val="99"/>
            <w:sz w:val="18"/>
            <w:szCs w:val="18"/>
          </w:rPr>
          <w:t>C.</w:t>
        </w:r>
        <w:r w:rsidR="00F85D5F" w:rsidRPr="00C837DD">
          <w:rPr>
            <w:rFonts w:ascii="Verdana" w:eastAsiaTheme="minorEastAsia" w:hAnsi="Verdana" w:cstheme="minorBidi"/>
            <w:smallCaps w:val="0"/>
            <w:sz w:val="18"/>
            <w:szCs w:val="18"/>
            <w:lang w:eastAsia="es-CR"/>
          </w:rPr>
          <w:tab/>
        </w:r>
        <w:r w:rsidR="00976B10" w:rsidRPr="00C837DD">
          <w:rPr>
            <w:rStyle w:val="Hipervnculo"/>
            <w:rFonts w:ascii="Verdana" w:hAnsi="Verdana"/>
            <w:sz w:val="18"/>
            <w:szCs w:val="18"/>
          </w:rPr>
          <w:t>T</w:t>
        </w:r>
        <w:r w:rsidR="00F85D5F" w:rsidRPr="00C837DD">
          <w:rPr>
            <w:rStyle w:val="Hipervnculo"/>
            <w:rFonts w:ascii="Verdana" w:hAnsi="Verdana"/>
            <w:sz w:val="18"/>
            <w:szCs w:val="18"/>
          </w:rPr>
          <w:t xml:space="preserve">he </w:t>
        </w:r>
        <w:r w:rsidR="00976B10" w:rsidRPr="00C837DD">
          <w:rPr>
            <w:rStyle w:val="Hipervnculo"/>
            <w:rFonts w:ascii="Verdana" w:hAnsi="Verdana"/>
            <w:sz w:val="18"/>
            <w:szCs w:val="18"/>
          </w:rPr>
          <w:t xml:space="preserve">murder </w:t>
        </w:r>
        <w:r w:rsidR="00F85D5F" w:rsidRPr="00C837DD">
          <w:rPr>
            <w:rStyle w:val="Hipervnculo"/>
            <w:rFonts w:ascii="Verdana" w:hAnsi="Verdana"/>
            <w:sz w:val="18"/>
            <w:szCs w:val="18"/>
          </w:rPr>
          <w:t xml:space="preserve">of </w:t>
        </w:r>
        <w:r w:rsidR="00B8009F" w:rsidRPr="00C837DD">
          <w:rPr>
            <w:rStyle w:val="Hipervnculo"/>
            <w:rFonts w:ascii="Verdana" w:hAnsi="Verdana"/>
            <w:sz w:val="18"/>
            <w:szCs w:val="18"/>
          </w:rPr>
          <w:t>Márcia</w:t>
        </w:r>
        <w:r w:rsidR="00F85D5F" w:rsidRPr="00C837DD">
          <w:rPr>
            <w:rStyle w:val="Hipervnculo"/>
            <w:rFonts w:ascii="Verdana" w:hAnsi="Verdana"/>
            <w:sz w:val="18"/>
            <w:szCs w:val="18"/>
          </w:rPr>
          <w:t xml:space="preserve"> Barbosa de Souza</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_Toc85001879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21</w:t>
        </w:r>
        <w:r w:rsidR="00F85D5F" w:rsidRPr="00C837DD">
          <w:rPr>
            <w:rFonts w:ascii="Verdana" w:hAnsi="Verdana"/>
            <w:webHidden/>
            <w:sz w:val="18"/>
            <w:szCs w:val="18"/>
          </w:rPr>
          <w:fldChar w:fldCharType="end"/>
        </w:r>
      </w:hyperlink>
    </w:p>
    <w:p w14:paraId="5FC349B9" w14:textId="69120ED4"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80" w:history="1">
        <w:r w:rsidR="00F85D5F" w:rsidRPr="00C837DD">
          <w:rPr>
            <w:rStyle w:val="Hipervnculo"/>
            <w:rFonts w:ascii="Verdana" w:hAnsi="Verdana"/>
            <w:bCs/>
            <w:spacing w:val="-2"/>
            <w:w w:val="99"/>
            <w:sz w:val="18"/>
            <w:szCs w:val="18"/>
          </w:rPr>
          <w:t>D.</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Domestic proceedings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_Toc85001880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23</w:t>
        </w:r>
        <w:r w:rsidR="00F85D5F" w:rsidRPr="00C837DD">
          <w:rPr>
            <w:rFonts w:ascii="Verdana" w:hAnsi="Verdana"/>
            <w:webHidden/>
            <w:sz w:val="18"/>
            <w:szCs w:val="18"/>
          </w:rPr>
          <w:fldChar w:fldCharType="end"/>
        </w:r>
      </w:hyperlink>
    </w:p>
    <w:p w14:paraId="61F030EC" w14:textId="6350B994" w:rsidR="00F85D5F" w:rsidRPr="00C837DD" w:rsidRDefault="00A61610" w:rsidP="00F85D5F">
      <w:pPr>
        <w:pStyle w:val="TDC3"/>
        <w:tabs>
          <w:tab w:val="left" w:pos="1276"/>
          <w:tab w:val="right" w:leader="dot" w:pos="9463"/>
        </w:tabs>
        <w:ind w:left="851" w:hanging="411"/>
        <w:jc w:val="both"/>
        <w:rPr>
          <w:rFonts w:ascii="Verdana" w:eastAsiaTheme="minorEastAsia" w:hAnsi="Verdana" w:cstheme="minorBidi"/>
          <w:i w:val="0"/>
          <w:iCs w:val="0"/>
          <w:sz w:val="18"/>
          <w:szCs w:val="18"/>
          <w:lang w:eastAsia="es-CR"/>
        </w:rPr>
      </w:pPr>
      <w:hyperlink w:anchor="_Toc85001881" w:history="1">
        <w:r w:rsidR="00F85D5F" w:rsidRPr="00C837DD">
          <w:rPr>
            <w:rStyle w:val="Hipervnculo"/>
            <w:rFonts w:ascii="Verdana" w:hAnsi="Verdana"/>
            <w:sz w:val="18"/>
            <w:szCs w:val="18"/>
          </w:rPr>
          <w:t>D.1</w:t>
        </w:r>
        <w:r w:rsidR="00F85D5F" w:rsidRPr="00C837DD">
          <w:rPr>
            <w:rFonts w:ascii="Verdana" w:eastAsiaTheme="minorEastAsia" w:hAnsi="Verdana" w:cstheme="minorBidi"/>
            <w:i w:val="0"/>
            <w:iCs w:val="0"/>
            <w:sz w:val="18"/>
            <w:szCs w:val="18"/>
            <w:lang w:eastAsia="es-CR"/>
          </w:rPr>
          <w:tab/>
        </w:r>
        <w:r w:rsidR="000516DA" w:rsidRPr="00C837DD">
          <w:rPr>
            <w:rStyle w:val="Hipervnculo"/>
            <w:rFonts w:ascii="Verdana" w:hAnsi="Verdana"/>
            <w:sz w:val="18"/>
            <w:szCs w:val="18"/>
          </w:rPr>
          <w:t>I</w:t>
        </w:r>
        <w:r w:rsidR="00F85D5F" w:rsidRPr="00C837DD">
          <w:rPr>
            <w:rStyle w:val="Hipervnculo"/>
            <w:rFonts w:ascii="Verdana" w:hAnsi="Verdana"/>
            <w:sz w:val="18"/>
            <w:szCs w:val="18"/>
          </w:rPr>
          <w:t xml:space="preserve">nvestigations conducted by the </w:t>
        </w:r>
        <w:r w:rsidR="000516DA" w:rsidRPr="00C837DD">
          <w:rPr>
            <w:rStyle w:val="Hipervnculo"/>
            <w:rFonts w:ascii="Verdana" w:hAnsi="Verdana"/>
            <w:sz w:val="18"/>
            <w:szCs w:val="18"/>
          </w:rPr>
          <w:t>Attorney General’s Office</w:t>
        </w:r>
        <w:r w:rsidR="00F85D5F" w:rsidRPr="00C837DD">
          <w:rPr>
            <w:rStyle w:val="Hipervnculo"/>
            <w:rFonts w:ascii="Verdana" w:hAnsi="Verdana"/>
            <w:sz w:val="18"/>
            <w:szCs w:val="18"/>
          </w:rPr>
          <w:t xml:space="preserve"> of the state of Paraíba re</w:t>
        </w:r>
        <w:r w:rsidR="000516DA" w:rsidRPr="00C837DD">
          <w:rPr>
            <w:rStyle w:val="Hipervnculo"/>
            <w:rFonts w:ascii="Verdana" w:hAnsi="Verdana"/>
            <w:sz w:val="18"/>
            <w:szCs w:val="18"/>
          </w:rPr>
          <w:t xml:space="preserve">garding </w:t>
        </w:r>
        <w:r w:rsidR="00F85D5F" w:rsidRPr="00C837DD">
          <w:rPr>
            <w:rStyle w:val="Hipervnculo"/>
            <w:rFonts w:ascii="Verdana" w:hAnsi="Verdana"/>
            <w:sz w:val="18"/>
            <w:szCs w:val="18"/>
          </w:rPr>
          <w:t>Aércio Pereira de Lima</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_Toc85001881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24</w:t>
        </w:r>
        <w:r w:rsidR="00F85D5F" w:rsidRPr="00C837DD">
          <w:rPr>
            <w:rFonts w:ascii="Verdana" w:hAnsi="Verdana"/>
            <w:webHidden/>
            <w:sz w:val="18"/>
            <w:szCs w:val="18"/>
          </w:rPr>
          <w:fldChar w:fldCharType="end"/>
        </w:r>
      </w:hyperlink>
    </w:p>
    <w:p w14:paraId="5691AB18" w14:textId="44455353" w:rsidR="00F85D5F" w:rsidRPr="00C837DD" w:rsidRDefault="00A61610" w:rsidP="00F85D5F">
      <w:pPr>
        <w:pStyle w:val="TDC3"/>
        <w:tabs>
          <w:tab w:val="right" w:leader="dot" w:pos="9463"/>
        </w:tabs>
        <w:ind w:left="851" w:hanging="411"/>
        <w:jc w:val="both"/>
        <w:rPr>
          <w:rFonts w:ascii="Verdana" w:eastAsiaTheme="minorEastAsia" w:hAnsi="Verdana" w:cstheme="minorBidi"/>
          <w:i w:val="0"/>
          <w:iCs w:val="0"/>
          <w:sz w:val="18"/>
          <w:szCs w:val="18"/>
          <w:lang w:eastAsia="es-CR"/>
        </w:rPr>
      </w:pPr>
      <w:hyperlink w:anchor="_Toc85001882" w:history="1">
        <w:r w:rsidR="00F85D5F" w:rsidRPr="00C837DD">
          <w:rPr>
            <w:rStyle w:val="Hipervnculo"/>
            <w:rFonts w:ascii="Verdana" w:hAnsi="Verdana"/>
            <w:sz w:val="18"/>
            <w:szCs w:val="18"/>
          </w:rPr>
          <w:t>D.2</w:t>
        </w:r>
        <w:r w:rsidR="00F85D5F" w:rsidRPr="00C837DD">
          <w:rPr>
            <w:rFonts w:ascii="Verdana" w:eastAsiaTheme="minorEastAsia" w:hAnsi="Verdana" w:cstheme="minorBidi"/>
            <w:i w:val="0"/>
            <w:iCs w:val="0"/>
            <w:sz w:val="18"/>
            <w:szCs w:val="18"/>
            <w:lang w:eastAsia="es-CR"/>
          </w:rPr>
          <w:tab/>
        </w:r>
        <w:r w:rsidR="000516DA" w:rsidRPr="00C837DD">
          <w:rPr>
            <w:rStyle w:val="Hipervnculo"/>
            <w:rFonts w:ascii="Verdana" w:hAnsi="Verdana"/>
            <w:sz w:val="18"/>
            <w:szCs w:val="18"/>
          </w:rPr>
          <w:t>I</w:t>
        </w:r>
        <w:r w:rsidR="00F85D5F" w:rsidRPr="00C837DD">
          <w:rPr>
            <w:rStyle w:val="Hipervnculo"/>
            <w:rFonts w:ascii="Verdana" w:hAnsi="Verdana"/>
            <w:sz w:val="18"/>
            <w:szCs w:val="18"/>
          </w:rPr>
          <w:t xml:space="preserve">nvestigations conducted by the Civil Police </w:t>
        </w:r>
        <w:r w:rsidR="000516DA" w:rsidRPr="00C837DD">
          <w:rPr>
            <w:rStyle w:val="Hipervnculo"/>
            <w:rFonts w:ascii="Verdana" w:hAnsi="Verdana"/>
            <w:sz w:val="18"/>
            <w:szCs w:val="18"/>
          </w:rPr>
          <w:t xml:space="preserve">regarding </w:t>
        </w:r>
        <w:r w:rsidR="00F85D5F" w:rsidRPr="00C837DD">
          <w:rPr>
            <w:rStyle w:val="Hipervnculo"/>
            <w:rFonts w:ascii="Verdana" w:hAnsi="Verdana"/>
            <w:sz w:val="18"/>
            <w:szCs w:val="18"/>
          </w:rPr>
          <w:t>D.D.P.M., M.D.M., L.B.S. and A.G.A.M.</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_Toc85001882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26</w:t>
        </w:r>
        <w:r w:rsidR="00F85D5F" w:rsidRPr="00C837DD">
          <w:rPr>
            <w:rFonts w:ascii="Verdana" w:hAnsi="Verdana"/>
            <w:webHidden/>
            <w:sz w:val="18"/>
            <w:szCs w:val="18"/>
          </w:rPr>
          <w:fldChar w:fldCharType="end"/>
        </w:r>
      </w:hyperlink>
    </w:p>
    <w:p w14:paraId="2D5D9DFF" w14:textId="6A9FC9ED"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83" w:history="1">
        <w:r w:rsidR="00F85D5F" w:rsidRPr="00C837DD">
          <w:rPr>
            <w:rStyle w:val="Hipervnculo"/>
            <w:rFonts w:ascii="Verdana" w:hAnsi="Verdana"/>
            <w:sz w:val="18"/>
            <w:szCs w:val="18"/>
          </w:rPr>
          <w:t>VIII MERITS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_Toc85001883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27</w:t>
        </w:r>
        <w:r w:rsidR="00F85D5F" w:rsidRPr="00C837DD">
          <w:rPr>
            <w:rFonts w:ascii="Verdana" w:hAnsi="Verdana"/>
            <w:webHidden/>
            <w:sz w:val="18"/>
            <w:szCs w:val="18"/>
          </w:rPr>
          <w:fldChar w:fldCharType="end"/>
        </w:r>
      </w:hyperlink>
    </w:p>
    <w:p w14:paraId="7B831726" w14:textId="514D4D22" w:rsidR="00F85D5F" w:rsidRPr="00C837DD" w:rsidRDefault="00A61610" w:rsidP="00F85D5F">
      <w:pPr>
        <w:pStyle w:val="TDC2"/>
        <w:tabs>
          <w:tab w:val="right" w:leader="dot" w:pos="9463"/>
        </w:tabs>
        <w:ind w:left="142"/>
        <w:jc w:val="both"/>
        <w:rPr>
          <w:rFonts w:ascii="Verdana" w:eastAsiaTheme="minorEastAsia" w:hAnsi="Verdana" w:cstheme="minorBidi"/>
          <w:smallCaps w:val="0"/>
          <w:sz w:val="18"/>
          <w:szCs w:val="18"/>
          <w:lang w:eastAsia="es-CR"/>
        </w:rPr>
      </w:pPr>
      <w:hyperlink w:anchor="_Toc85001884" w:history="1">
        <w:r w:rsidR="00F85D5F" w:rsidRPr="00C837DD">
          <w:rPr>
            <w:rStyle w:val="Hipervnculo"/>
            <w:rFonts w:ascii="Verdana" w:hAnsi="Verdana"/>
            <w:b/>
            <w:sz w:val="18"/>
            <w:szCs w:val="18"/>
          </w:rPr>
          <w:t>VIII-1 RIGHTS TO JUDICIAL GUARANTEES, EQUALITY BEFORE THE LAW AND JUDICIAL PROTECTION, IN RELATION TO THE OBLIGATIONS OF RESPECT AND GUARANTEE, THE DUTY TO ADOPT PROVISIONS OF DOMESTIC LAW AND THE OBLIGATIONS ESTABLISHED IN ARTICLE 7 OF THE BELÉM DO PARÁ</w:t>
        </w:r>
        <w:r w:rsidR="000516DA" w:rsidRPr="00C837DD">
          <w:rPr>
            <w:rStyle w:val="Hipervnculo"/>
            <w:rFonts w:ascii="Verdana" w:hAnsi="Verdana"/>
            <w:b/>
            <w:sz w:val="18"/>
            <w:szCs w:val="18"/>
          </w:rPr>
          <w:t xml:space="preserve"> CONVENTION</w:t>
        </w:r>
        <w:r w:rsidR="00F85D5F" w:rsidRPr="00C837DD">
          <w:rPr>
            <w:rStyle w:val="Hipervnculo"/>
            <w:rFonts w:ascii="Verdana" w:hAnsi="Verdana"/>
            <w:webHidden/>
            <w:sz w:val="18"/>
            <w:szCs w:val="18"/>
          </w:rPr>
          <w:tab/>
        </w:r>
        <w:r w:rsidR="00F85D5F" w:rsidRPr="00C837DD">
          <w:rPr>
            <w:rStyle w:val="Hipervnculo"/>
            <w:rFonts w:ascii="Verdana" w:hAnsi="Verdana"/>
            <w:webHidden/>
            <w:sz w:val="18"/>
            <w:szCs w:val="18"/>
          </w:rPr>
          <w:fldChar w:fldCharType="begin"/>
        </w:r>
        <w:r w:rsidR="00F85D5F" w:rsidRPr="00C837DD">
          <w:rPr>
            <w:rStyle w:val="Hipervnculo"/>
            <w:rFonts w:ascii="Verdana" w:hAnsi="Verdana"/>
            <w:webHidden/>
            <w:sz w:val="18"/>
            <w:szCs w:val="18"/>
          </w:rPr>
          <w:instrText xml:space="preserve"> PAGEREF _Toc85001884 \h </w:instrText>
        </w:r>
        <w:r w:rsidR="00F85D5F" w:rsidRPr="00C837DD">
          <w:rPr>
            <w:rStyle w:val="Hipervnculo"/>
            <w:rFonts w:ascii="Verdana" w:hAnsi="Verdana"/>
            <w:webHidden/>
            <w:sz w:val="18"/>
            <w:szCs w:val="18"/>
          </w:rPr>
        </w:r>
        <w:r w:rsidR="00F85D5F" w:rsidRPr="00C837DD">
          <w:rPr>
            <w:rStyle w:val="Hipervnculo"/>
            <w:rFonts w:ascii="Verdana" w:hAnsi="Verdana"/>
            <w:webHidden/>
            <w:sz w:val="18"/>
            <w:szCs w:val="18"/>
          </w:rPr>
          <w:fldChar w:fldCharType="separate"/>
        </w:r>
        <w:r w:rsidR="005F3A79">
          <w:rPr>
            <w:rStyle w:val="Hipervnculo"/>
            <w:rFonts w:ascii="Verdana" w:hAnsi="Verdana"/>
            <w:noProof/>
            <w:webHidden/>
            <w:sz w:val="18"/>
            <w:szCs w:val="18"/>
          </w:rPr>
          <w:t>28</w:t>
        </w:r>
        <w:r w:rsidR="00F85D5F" w:rsidRPr="00C837DD">
          <w:rPr>
            <w:rStyle w:val="Hipervnculo"/>
            <w:rFonts w:ascii="Verdana" w:hAnsi="Verdana"/>
            <w:webHidden/>
            <w:sz w:val="18"/>
            <w:szCs w:val="18"/>
          </w:rPr>
          <w:fldChar w:fldCharType="end"/>
        </w:r>
      </w:hyperlink>
    </w:p>
    <w:p w14:paraId="6F1C1300" w14:textId="74B94C59"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85"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Arguments of the parties and of the Commission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_Toc85001885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28</w:t>
        </w:r>
        <w:r w:rsidR="00F85D5F" w:rsidRPr="00C837DD">
          <w:rPr>
            <w:rFonts w:ascii="Verdana" w:hAnsi="Verdana"/>
            <w:webHidden/>
            <w:sz w:val="18"/>
            <w:szCs w:val="18"/>
          </w:rPr>
          <w:fldChar w:fldCharType="end"/>
        </w:r>
      </w:hyperlink>
    </w:p>
    <w:p w14:paraId="2311CD21" w14:textId="0445B58E"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86" w:history="1">
        <w:r w:rsidR="00F85D5F" w:rsidRPr="00C837DD">
          <w:rPr>
            <w:rStyle w:val="Hipervnculo"/>
            <w:rFonts w:ascii="Verdana" w:hAnsi="Verdana"/>
            <w:bCs/>
            <w:spacing w:val="-2"/>
            <w:w w:val="99"/>
            <w:sz w:val="18"/>
            <w:szCs w:val="18"/>
          </w:rPr>
          <w:t>B.</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Considerations of the Court</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_Toc85001886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30</w:t>
        </w:r>
        <w:r w:rsidR="00F85D5F" w:rsidRPr="00C837DD">
          <w:rPr>
            <w:rFonts w:ascii="Verdana" w:hAnsi="Verdana"/>
            <w:webHidden/>
            <w:sz w:val="18"/>
            <w:szCs w:val="18"/>
          </w:rPr>
          <w:fldChar w:fldCharType="end"/>
        </w:r>
      </w:hyperlink>
    </w:p>
    <w:p w14:paraId="7CF734A4" w14:textId="5B8A4010" w:rsidR="00F85D5F" w:rsidRPr="00C837DD" w:rsidRDefault="00A61610" w:rsidP="00F85D5F">
      <w:pPr>
        <w:pStyle w:val="TDC4"/>
        <w:tabs>
          <w:tab w:val="left" w:pos="993"/>
          <w:tab w:val="right" w:leader="dot" w:pos="9463"/>
        </w:tabs>
        <w:ind w:left="426"/>
        <w:rPr>
          <w:rFonts w:ascii="Verdana" w:eastAsiaTheme="minorEastAsia" w:hAnsi="Verdana" w:cstheme="minorBidi"/>
          <w:lang w:eastAsia="es-CR"/>
        </w:rPr>
      </w:pPr>
      <w:hyperlink w:anchor="_Toc85001887" w:history="1">
        <w:r w:rsidR="00F85D5F" w:rsidRPr="00C837DD">
          <w:rPr>
            <w:rStyle w:val="Hipervnculo"/>
            <w:rFonts w:ascii="Verdana" w:hAnsi="Verdana"/>
            <w:i/>
          </w:rPr>
          <w:t>B.1</w:t>
        </w:r>
        <w:r w:rsidR="00F85D5F" w:rsidRPr="00C837DD">
          <w:rPr>
            <w:rFonts w:ascii="Verdana" w:eastAsiaTheme="minorEastAsia" w:hAnsi="Verdana" w:cstheme="minorBidi"/>
            <w:i/>
            <w:lang w:eastAsia="es-CR"/>
          </w:rPr>
          <w:tab/>
          <w:t xml:space="preserve">The </w:t>
        </w:r>
        <w:r w:rsidR="00F85D5F" w:rsidRPr="00C837DD">
          <w:rPr>
            <w:rStyle w:val="Hipervnculo"/>
            <w:rFonts w:ascii="Verdana" w:hAnsi="Verdana"/>
            <w:i/>
          </w:rPr>
          <w:t>alleged i</w:t>
        </w:r>
        <w:r w:rsidR="00976B10" w:rsidRPr="00C837DD">
          <w:rPr>
            <w:rStyle w:val="Hipervnculo"/>
            <w:rFonts w:ascii="Verdana" w:hAnsi="Verdana"/>
            <w:i/>
          </w:rPr>
          <w:t xml:space="preserve">nappropriate </w:t>
        </w:r>
        <w:r w:rsidR="00F85D5F" w:rsidRPr="00C837DD">
          <w:rPr>
            <w:rStyle w:val="Hipervnculo"/>
            <w:rFonts w:ascii="Verdana" w:hAnsi="Verdana"/>
            <w:i/>
          </w:rPr>
          <w:t>application of parliamentary immunity</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_Toc85001887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30</w:t>
        </w:r>
        <w:r w:rsidR="00F85D5F" w:rsidRPr="00C837DD">
          <w:rPr>
            <w:rFonts w:ascii="Verdana" w:hAnsi="Verdana"/>
            <w:webHidden/>
          </w:rPr>
          <w:fldChar w:fldCharType="end"/>
        </w:r>
      </w:hyperlink>
    </w:p>
    <w:p w14:paraId="32AB669F" w14:textId="68063690" w:rsidR="00F85D5F" w:rsidRPr="00C837DD" w:rsidRDefault="00A61610" w:rsidP="00F85D5F">
      <w:pPr>
        <w:pStyle w:val="TDC5"/>
        <w:tabs>
          <w:tab w:val="left" w:pos="1320"/>
          <w:tab w:val="right" w:leader="dot" w:pos="9463"/>
        </w:tabs>
        <w:ind w:left="993"/>
        <w:rPr>
          <w:rFonts w:ascii="Verdana" w:eastAsiaTheme="minorEastAsia" w:hAnsi="Verdana" w:cstheme="minorBidi"/>
          <w:lang w:eastAsia="es-CR"/>
        </w:rPr>
      </w:pPr>
      <w:hyperlink w:anchor="_Toc85001888" w:history="1">
        <w:r w:rsidR="00F85D5F" w:rsidRPr="00C837DD">
          <w:rPr>
            <w:rStyle w:val="Hipervnculo"/>
            <w:rFonts w:ascii="Verdana" w:hAnsi="Verdana"/>
            <w:w w:val="99"/>
          </w:rPr>
          <w:t>a.</w:t>
        </w:r>
        <w:r w:rsidR="00F85D5F" w:rsidRPr="00C837DD">
          <w:rPr>
            <w:rFonts w:ascii="Verdana" w:eastAsiaTheme="minorEastAsia" w:hAnsi="Verdana" w:cstheme="minorBidi"/>
            <w:lang w:eastAsia="es-CR"/>
          </w:rPr>
          <w:tab/>
        </w:r>
        <w:r w:rsidR="00F85D5F" w:rsidRPr="00C837DD">
          <w:rPr>
            <w:rStyle w:val="Hipervnculo"/>
            <w:rFonts w:ascii="Verdana" w:hAnsi="Verdana"/>
          </w:rPr>
          <w:t>Concept and rules on parliamentary immunity</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_Toc85001888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30</w:t>
        </w:r>
        <w:r w:rsidR="00F85D5F" w:rsidRPr="00C837DD">
          <w:rPr>
            <w:rFonts w:ascii="Verdana" w:hAnsi="Verdana"/>
            <w:webHidden/>
          </w:rPr>
          <w:fldChar w:fldCharType="end"/>
        </w:r>
      </w:hyperlink>
    </w:p>
    <w:p w14:paraId="748CC317" w14:textId="23BD56C4" w:rsidR="00F85D5F" w:rsidRPr="00C837DD" w:rsidRDefault="00A61610" w:rsidP="00F85D5F">
      <w:pPr>
        <w:pStyle w:val="TDC5"/>
        <w:tabs>
          <w:tab w:val="left" w:pos="1320"/>
          <w:tab w:val="right" w:leader="dot" w:pos="9463"/>
        </w:tabs>
        <w:ind w:left="993"/>
        <w:jc w:val="both"/>
        <w:rPr>
          <w:rFonts w:ascii="Verdana" w:eastAsiaTheme="minorEastAsia" w:hAnsi="Verdana" w:cstheme="minorBidi"/>
          <w:lang w:eastAsia="es-CR"/>
        </w:rPr>
      </w:pPr>
      <w:hyperlink w:anchor="_Toc85001889" w:history="1">
        <w:r w:rsidR="00F85D5F" w:rsidRPr="00C837DD">
          <w:rPr>
            <w:rStyle w:val="Hipervnculo"/>
            <w:rFonts w:ascii="Verdana" w:hAnsi="Verdana"/>
          </w:rPr>
          <w:t>b.</w:t>
        </w:r>
        <w:r w:rsidR="00F85D5F" w:rsidRPr="00C837DD">
          <w:rPr>
            <w:rFonts w:ascii="Verdana" w:eastAsiaTheme="minorEastAsia" w:hAnsi="Verdana" w:cstheme="minorBidi"/>
            <w:lang w:eastAsia="es-CR"/>
          </w:rPr>
          <w:tab/>
        </w:r>
        <w:r w:rsidR="00F85D5F" w:rsidRPr="00C837DD">
          <w:rPr>
            <w:rStyle w:val="Hipervnculo"/>
            <w:rFonts w:ascii="Verdana" w:hAnsi="Verdana"/>
          </w:rPr>
          <w:t xml:space="preserve">The application of procedural parliamentary immunity to the criminal proceedings for the homicide of </w:t>
        </w:r>
        <w:r w:rsidR="00B8009F" w:rsidRPr="00C837DD">
          <w:rPr>
            <w:rStyle w:val="Hipervnculo"/>
            <w:rFonts w:ascii="Verdana" w:hAnsi="Verdana"/>
          </w:rPr>
          <w:t>Márcia</w:t>
        </w:r>
        <w:r w:rsidR="00F85D5F" w:rsidRPr="00C837DD">
          <w:rPr>
            <w:rStyle w:val="Hipervnculo"/>
            <w:rFonts w:ascii="Verdana" w:hAnsi="Verdana"/>
          </w:rPr>
          <w:t xml:space="preserve"> Barbosa de Souza</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_Toc85001889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34</w:t>
        </w:r>
        <w:r w:rsidR="00F85D5F" w:rsidRPr="00C837DD">
          <w:rPr>
            <w:rFonts w:ascii="Verdana" w:hAnsi="Verdana"/>
            <w:webHidden/>
          </w:rPr>
          <w:fldChar w:fldCharType="end"/>
        </w:r>
      </w:hyperlink>
    </w:p>
    <w:p w14:paraId="572547AF" w14:textId="3F5AFA2B" w:rsidR="00F85D5F" w:rsidRPr="00C837DD" w:rsidRDefault="00A61610" w:rsidP="00F85D5F">
      <w:pPr>
        <w:pStyle w:val="TDC4"/>
        <w:tabs>
          <w:tab w:val="left" w:pos="993"/>
          <w:tab w:val="right" w:leader="dot" w:pos="9463"/>
        </w:tabs>
        <w:ind w:left="426"/>
        <w:rPr>
          <w:rFonts w:ascii="Verdana" w:eastAsiaTheme="minorEastAsia" w:hAnsi="Verdana" w:cstheme="minorBidi"/>
          <w:lang w:eastAsia="es-CR"/>
        </w:rPr>
      </w:pPr>
      <w:hyperlink w:anchor="_Toc85001890" w:history="1">
        <w:r w:rsidR="00F85D5F" w:rsidRPr="00C837DD">
          <w:rPr>
            <w:rStyle w:val="Hipervnculo"/>
            <w:rFonts w:ascii="Verdana" w:hAnsi="Verdana"/>
            <w:i/>
          </w:rPr>
          <w:t>B.2</w:t>
        </w:r>
        <w:r w:rsidR="00F85D5F" w:rsidRPr="00C837DD">
          <w:rPr>
            <w:rFonts w:ascii="Verdana" w:eastAsiaTheme="minorEastAsia" w:hAnsi="Verdana" w:cstheme="minorBidi"/>
            <w:i/>
            <w:lang w:eastAsia="es-CR"/>
          </w:rPr>
          <w:tab/>
          <w:t>The a</w:t>
        </w:r>
        <w:r w:rsidR="00F85D5F" w:rsidRPr="00C837DD">
          <w:rPr>
            <w:rStyle w:val="Hipervnculo"/>
            <w:rFonts w:ascii="Verdana" w:hAnsi="Verdana"/>
            <w:i/>
          </w:rPr>
          <w:t>lleged lack of due diligence in the investigation of the other suspects</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_Toc85001890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38</w:t>
        </w:r>
        <w:r w:rsidR="00F85D5F" w:rsidRPr="00C837DD">
          <w:rPr>
            <w:rFonts w:ascii="Verdana" w:hAnsi="Verdana"/>
            <w:webHidden/>
          </w:rPr>
          <w:fldChar w:fldCharType="end"/>
        </w:r>
      </w:hyperlink>
    </w:p>
    <w:p w14:paraId="4C3BE801" w14:textId="3E84FB0E" w:rsidR="00F85D5F" w:rsidRPr="00C837DD" w:rsidRDefault="00A61610" w:rsidP="00F85D5F">
      <w:pPr>
        <w:pStyle w:val="TDC4"/>
        <w:tabs>
          <w:tab w:val="left" w:pos="993"/>
          <w:tab w:val="right" w:leader="dot" w:pos="9463"/>
        </w:tabs>
        <w:ind w:left="426"/>
        <w:rPr>
          <w:rFonts w:ascii="Verdana" w:eastAsiaTheme="minorEastAsia" w:hAnsi="Verdana" w:cstheme="minorBidi"/>
          <w:lang w:eastAsia="es-CR"/>
        </w:rPr>
      </w:pPr>
      <w:hyperlink w:anchor="_Toc85001891" w:history="1">
        <w:r w:rsidR="00F85D5F" w:rsidRPr="00C837DD">
          <w:rPr>
            <w:rStyle w:val="Hipervnculo"/>
            <w:rFonts w:ascii="Verdana" w:hAnsi="Verdana"/>
            <w:i/>
          </w:rPr>
          <w:t>B.3</w:t>
        </w:r>
        <w:r w:rsidR="00F85D5F" w:rsidRPr="00C837DD">
          <w:rPr>
            <w:rFonts w:ascii="Verdana" w:eastAsiaTheme="minorEastAsia" w:hAnsi="Verdana" w:cstheme="minorBidi"/>
            <w:i/>
            <w:lang w:eastAsia="es-CR"/>
          </w:rPr>
          <w:tab/>
          <w:t>The a</w:t>
        </w:r>
        <w:r w:rsidR="00F85D5F" w:rsidRPr="00C837DD">
          <w:rPr>
            <w:rStyle w:val="Hipervnculo"/>
            <w:rFonts w:ascii="Verdana" w:hAnsi="Verdana"/>
            <w:i/>
          </w:rPr>
          <w:t>lleged violation of the guarantee of reasonable time</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_Toc85001891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40</w:t>
        </w:r>
        <w:r w:rsidR="00F85D5F" w:rsidRPr="00C837DD">
          <w:rPr>
            <w:rFonts w:ascii="Verdana" w:hAnsi="Verdana"/>
            <w:webHidden/>
          </w:rPr>
          <w:fldChar w:fldCharType="end"/>
        </w:r>
      </w:hyperlink>
    </w:p>
    <w:p w14:paraId="314049A1" w14:textId="3003159E" w:rsidR="00F85D5F" w:rsidRPr="00C837DD" w:rsidRDefault="00A61610" w:rsidP="00F85D5F">
      <w:pPr>
        <w:pStyle w:val="TDC4"/>
        <w:tabs>
          <w:tab w:val="left" w:pos="993"/>
          <w:tab w:val="right" w:leader="dot" w:pos="9463"/>
        </w:tabs>
        <w:ind w:left="426"/>
        <w:rPr>
          <w:rFonts w:ascii="Verdana" w:eastAsiaTheme="minorEastAsia" w:hAnsi="Verdana" w:cstheme="minorBidi"/>
          <w:lang w:eastAsia="es-CR"/>
        </w:rPr>
      </w:pPr>
      <w:hyperlink w:anchor="_Toc85001892" w:history="1">
        <w:r w:rsidR="00F85D5F" w:rsidRPr="00C837DD">
          <w:rPr>
            <w:rStyle w:val="Hipervnculo"/>
            <w:rFonts w:ascii="Verdana" w:hAnsi="Verdana"/>
            <w:i/>
          </w:rPr>
          <w:t>B.4</w:t>
        </w:r>
        <w:r w:rsidR="00F85D5F" w:rsidRPr="00C837DD">
          <w:rPr>
            <w:rFonts w:ascii="Verdana" w:eastAsiaTheme="minorEastAsia" w:hAnsi="Verdana" w:cstheme="minorBidi"/>
            <w:i/>
            <w:lang w:eastAsia="es-CR"/>
          </w:rPr>
          <w:tab/>
          <w:t xml:space="preserve">The </w:t>
        </w:r>
        <w:r w:rsidR="00F85D5F" w:rsidRPr="00C837DD">
          <w:rPr>
            <w:rStyle w:val="Hipervnculo"/>
            <w:rFonts w:ascii="Verdana" w:hAnsi="Verdana"/>
            <w:i/>
          </w:rPr>
          <w:t>alleged use of gender stereotypes in the investigations</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_Toc85001892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41</w:t>
        </w:r>
        <w:r w:rsidR="00F85D5F" w:rsidRPr="00C837DD">
          <w:rPr>
            <w:rFonts w:ascii="Verdana" w:hAnsi="Verdana"/>
            <w:webHidden/>
          </w:rPr>
          <w:fldChar w:fldCharType="end"/>
        </w:r>
      </w:hyperlink>
    </w:p>
    <w:p w14:paraId="0A55621C" w14:textId="039728C6" w:rsidR="00F85D5F" w:rsidRPr="00C837DD" w:rsidRDefault="00A61610" w:rsidP="00F85D5F">
      <w:pPr>
        <w:pStyle w:val="TDC4"/>
        <w:tabs>
          <w:tab w:val="left" w:pos="993"/>
          <w:tab w:val="right" w:leader="dot" w:pos="9463"/>
        </w:tabs>
        <w:ind w:left="426"/>
        <w:rPr>
          <w:rFonts w:ascii="Verdana" w:eastAsiaTheme="minorEastAsia" w:hAnsi="Verdana" w:cstheme="minorBidi"/>
          <w:lang w:eastAsia="es-CR"/>
        </w:rPr>
      </w:pPr>
      <w:hyperlink w:anchor="_Toc85001893" w:history="1">
        <w:r w:rsidR="00F85D5F" w:rsidRPr="00C837DD">
          <w:rPr>
            <w:rStyle w:val="Hipervnculo"/>
            <w:rFonts w:ascii="Verdana" w:hAnsi="Verdana"/>
            <w:i/>
          </w:rPr>
          <w:t>B.5</w:t>
        </w:r>
        <w:r w:rsidR="00F85D5F" w:rsidRPr="00C837DD">
          <w:rPr>
            <w:rFonts w:ascii="Verdana" w:eastAsiaTheme="minorEastAsia" w:hAnsi="Verdana" w:cstheme="minorBidi"/>
            <w:i/>
            <w:lang w:eastAsia="es-CR"/>
          </w:rPr>
          <w:tab/>
        </w:r>
        <w:r w:rsidR="00F85D5F" w:rsidRPr="00C837DD">
          <w:rPr>
            <w:rStyle w:val="Hipervnculo"/>
            <w:rFonts w:ascii="Verdana" w:hAnsi="Verdana"/>
            <w:i/>
          </w:rPr>
          <w:t>Conclusion</w:t>
        </w:r>
        <w:r w:rsidR="00F85D5F" w:rsidRPr="00C837DD">
          <w:rPr>
            <w:rFonts w:ascii="Verdana" w:hAnsi="Verdana"/>
            <w:webHidden/>
          </w:rPr>
          <w:tab/>
        </w:r>
        <w:r w:rsidR="00F85D5F" w:rsidRPr="00C837DD">
          <w:rPr>
            <w:rFonts w:ascii="Verdana" w:hAnsi="Verdana"/>
            <w:webHidden/>
          </w:rPr>
          <w:fldChar w:fldCharType="begin"/>
        </w:r>
        <w:r w:rsidR="00F85D5F" w:rsidRPr="00C837DD">
          <w:rPr>
            <w:rFonts w:ascii="Verdana" w:hAnsi="Verdana"/>
            <w:webHidden/>
          </w:rPr>
          <w:instrText xml:space="preserve"> PAGEREF _Toc85001893 \h </w:instrText>
        </w:r>
        <w:r w:rsidR="00F85D5F" w:rsidRPr="00C837DD">
          <w:rPr>
            <w:rFonts w:ascii="Verdana" w:hAnsi="Verdana"/>
            <w:webHidden/>
          </w:rPr>
        </w:r>
        <w:r w:rsidR="00F85D5F" w:rsidRPr="00C837DD">
          <w:rPr>
            <w:rFonts w:ascii="Verdana" w:hAnsi="Verdana"/>
            <w:webHidden/>
          </w:rPr>
          <w:fldChar w:fldCharType="separate"/>
        </w:r>
        <w:r w:rsidR="005F3A79">
          <w:rPr>
            <w:rFonts w:ascii="Verdana" w:hAnsi="Verdana"/>
            <w:noProof/>
            <w:webHidden/>
          </w:rPr>
          <w:t>44</w:t>
        </w:r>
        <w:r w:rsidR="00F85D5F" w:rsidRPr="00C837DD">
          <w:rPr>
            <w:rFonts w:ascii="Verdana" w:hAnsi="Verdana"/>
            <w:webHidden/>
          </w:rPr>
          <w:fldChar w:fldCharType="end"/>
        </w:r>
      </w:hyperlink>
    </w:p>
    <w:p w14:paraId="08A17DA1" w14:textId="03D1B4F9" w:rsidR="00F85D5F" w:rsidRPr="00C837DD" w:rsidRDefault="00A61610" w:rsidP="00F85D5F">
      <w:pPr>
        <w:pStyle w:val="TDC1"/>
        <w:tabs>
          <w:tab w:val="right" w:leader="dot" w:pos="9463"/>
        </w:tabs>
        <w:ind w:left="142"/>
        <w:jc w:val="both"/>
        <w:rPr>
          <w:rFonts w:ascii="Verdana" w:eastAsiaTheme="minorEastAsia" w:hAnsi="Verdana" w:cstheme="minorBidi"/>
          <w:b w:val="0"/>
          <w:bCs w:val="0"/>
          <w:caps w:val="0"/>
          <w:sz w:val="18"/>
          <w:szCs w:val="18"/>
          <w:lang w:eastAsia="es-CR"/>
        </w:rPr>
      </w:pPr>
      <w:hyperlink w:anchor="_Toc85001894" w:history="1">
        <w:r w:rsidR="00F85D5F" w:rsidRPr="00C837DD">
          <w:rPr>
            <w:rStyle w:val="Hipervnculo"/>
            <w:rFonts w:ascii="Verdana" w:hAnsi="Verdana"/>
            <w:sz w:val="18"/>
            <w:szCs w:val="18"/>
          </w:rPr>
          <w:t xml:space="preserve">VIII-2   RIGHT TO personal integrity of </w:t>
        </w:r>
        <w:r w:rsidR="00B8009F" w:rsidRPr="00C837DD">
          <w:rPr>
            <w:rStyle w:val="Hipervnculo"/>
            <w:rFonts w:ascii="Verdana" w:hAnsi="Verdana"/>
            <w:sz w:val="18"/>
            <w:szCs w:val="18"/>
          </w:rPr>
          <w:t>MÁRCIA</w:t>
        </w:r>
        <w:r w:rsidR="00F85D5F" w:rsidRPr="00C837DD">
          <w:rPr>
            <w:rStyle w:val="Hipervnculo"/>
            <w:rFonts w:ascii="Verdana" w:hAnsi="Verdana"/>
            <w:sz w:val="18"/>
            <w:szCs w:val="18"/>
          </w:rPr>
          <w:t xml:space="preserve"> Barbosa de Souza</w:t>
        </w:r>
        <w:r w:rsidR="000516DA" w:rsidRPr="00C837DD">
          <w:rPr>
            <w:rStyle w:val="Hipervnculo"/>
            <w:rFonts w:ascii="Verdana" w:hAnsi="Verdana"/>
            <w:sz w:val="18"/>
            <w:szCs w:val="18"/>
          </w:rPr>
          <w:t xml:space="preserve">´s NEXT OF KIN </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_Toc85001894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45</w:t>
        </w:r>
        <w:r w:rsidR="00F85D5F" w:rsidRPr="00C837DD">
          <w:rPr>
            <w:rFonts w:ascii="Verdana" w:hAnsi="Verdana"/>
            <w:webHidden/>
            <w:sz w:val="18"/>
            <w:szCs w:val="18"/>
          </w:rPr>
          <w:fldChar w:fldCharType="end"/>
        </w:r>
      </w:hyperlink>
    </w:p>
    <w:p w14:paraId="365D3878" w14:textId="08073A1A"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95"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Arguments of the parties and of the Commission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_Toc85001895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45</w:t>
        </w:r>
        <w:r w:rsidR="00F85D5F" w:rsidRPr="00C837DD">
          <w:rPr>
            <w:rFonts w:ascii="Verdana" w:hAnsi="Verdana"/>
            <w:webHidden/>
            <w:sz w:val="18"/>
            <w:szCs w:val="18"/>
          </w:rPr>
          <w:fldChar w:fldCharType="end"/>
        </w:r>
      </w:hyperlink>
    </w:p>
    <w:p w14:paraId="314C292A" w14:textId="4F8DF9AF" w:rsidR="00F85D5F" w:rsidRPr="00C837DD" w:rsidRDefault="00F85D5F" w:rsidP="00F85D5F">
      <w:pPr>
        <w:pStyle w:val="TDC3"/>
        <w:tabs>
          <w:tab w:val="left" w:pos="567"/>
          <w:tab w:val="right" w:leader="dot" w:pos="9463"/>
        </w:tabs>
        <w:ind w:left="142"/>
        <w:rPr>
          <w:rFonts w:ascii="Verdana" w:eastAsiaTheme="minorEastAsia" w:hAnsi="Verdana" w:cstheme="minorBidi"/>
          <w:i w:val="0"/>
          <w:iCs w:val="0"/>
          <w:sz w:val="18"/>
          <w:szCs w:val="18"/>
          <w:lang w:eastAsia="es-CR"/>
        </w:rPr>
      </w:pPr>
      <w:r w:rsidRPr="00C837DD">
        <w:rPr>
          <w:rStyle w:val="Hipervnculo"/>
          <w:rFonts w:ascii="Verdana" w:hAnsi="Verdana"/>
          <w:i w:val="0"/>
          <w:sz w:val="18"/>
          <w:szCs w:val="18"/>
        </w:rPr>
        <w:t xml:space="preserve"> </w:t>
      </w:r>
      <w:hyperlink w:anchor="_Toc85001896" w:history="1">
        <w:r w:rsidRPr="00C837DD">
          <w:rPr>
            <w:rStyle w:val="Hipervnculo"/>
            <w:rFonts w:ascii="Verdana" w:hAnsi="Verdana"/>
            <w:i w:val="0"/>
            <w:smallCaps/>
            <w:sz w:val="18"/>
            <w:szCs w:val="18"/>
          </w:rPr>
          <w:t>B.</w:t>
        </w:r>
        <w:r w:rsidRPr="00C837DD">
          <w:rPr>
            <w:rFonts w:ascii="Verdana" w:eastAsiaTheme="minorEastAsia" w:hAnsi="Verdana" w:cstheme="minorBidi"/>
            <w:i w:val="0"/>
            <w:iCs w:val="0"/>
            <w:smallCaps/>
            <w:sz w:val="18"/>
            <w:szCs w:val="18"/>
            <w:lang w:eastAsia="es-CR"/>
          </w:rPr>
          <w:tab/>
          <w:t xml:space="preserve">  </w:t>
        </w:r>
        <w:r w:rsidRPr="00C837DD">
          <w:rPr>
            <w:rStyle w:val="Hipervnculo"/>
            <w:rFonts w:ascii="Verdana" w:hAnsi="Verdana"/>
            <w:i w:val="0"/>
            <w:smallCaps/>
            <w:sz w:val="18"/>
            <w:szCs w:val="18"/>
          </w:rPr>
          <w:t>Considerations of the Court</w:t>
        </w:r>
        <w:r w:rsidRPr="00C837DD">
          <w:rPr>
            <w:rFonts w:ascii="Verdana" w:hAnsi="Verdana"/>
            <w:webHidden/>
            <w:sz w:val="18"/>
            <w:szCs w:val="18"/>
          </w:rPr>
          <w:tab/>
        </w:r>
        <w:r w:rsidRPr="00C837DD">
          <w:rPr>
            <w:rFonts w:ascii="Verdana" w:hAnsi="Verdana"/>
            <w:webHidden/>
            <w:sz w:val="18"/>
            <w:szCs w:val="18"/>
          </w:rPr>
          <w:fldChar w:fldCharType="begin"/>
        </w:r>
        <w:r w:rsidRPr="00C837DD">
          <w:rPr>
            <w:rFonts w:ascii="Verdana" w:hAnsi="Verdana"/>
            <w:webHidden/>
            <w:sz w:val="18"/>
            <w:szCs w:val="18"/>
          </w:rPr>
          <w:instrText xml:space="preserve"> PAGEREF _Toc85001896 \h </w:instrText>
        </w:r>
        <w:r w:rsidRPr="00C837DD">
          <w:rPr>
            <w:rFonts w:ascii="Verdana" w:hAnsi="Verdana"/>
            <w:webHidden/>
            <w:sz w:val="18"/>
            <w:szCs w:val="18"/>
          </w:rPr>
        </w:r>
        <w:r w:rsidRPr="00C837DD">
          <w:rPr>
            <w:rFonts w:ascii="Verdana" w:hAnsi="Verdana"/>
            <w:webHidden/>
            <w:sz w:val="18"/>
            <w:szCs w:val="18"/>
          </w:rPr>
          <w:fldChar w:fldCharType="separate"/>
        </w:r>
        <w:r w:rsidR="005F3A79">
          <w:rPr>
            <w:rFonts w:ascii="Verdana" w:hAnsi="Verdana"/>
            <w:noProof/>
            <w:webHidden/>
            <w:sz w:val="18"/>
            <w:szCs w:val="18"/>
          </w:rPr>
          <w:t>45</w:t>
        </w:r>
        <w:r w:rsidRPr="00C837DD">
          <w:rPr>
            <w:rFonts w:ascii="Verdana" w:hAnsi="Verdana"/>
            <w:webHidden/>
            <w:sz w:val="18"/>
            <w:szCs w:val="18"/>
          </w:rPr>
          <w:fldChar w:fldCharType="end"/>
        </w:r>
      </w:hyperlink>
    </w:p>
    <w:p w14:paraId="51D3F45E" w14:textId="52A4E53B"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897" w:history="1">
        <w:r w:rsidR="00F85D5F" w:rsidRPr="00C837DD">
          <w:rPr>
            <w:rStyle w:val="Hipervnculo"/>
            <w:rFonts w:ascii="Verdana" w:hAnsi="Verdana"/>
            <w:sz w:val="18"/>
            <w:szCs w:val="18"/>
          </w:rPr>
          <w:t>IX REPARATIONS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_Toc85001897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47</w:t>
        </w:r>
        <w:r w:rsidR="00F85D5F" w:rsidRPr="00C837DD">
          <w:rPr>
            <w:rFonts w:ascii="Verdana" w:hAnsi="Verdana"/>
            <w:webHidden/>
            <w:sz w:val="18"/>
            <w:szCs w:val="18"/>
          </w:rPr>
          <w:fldChar w:fldCharType="end"/>
        </w:r>
      </w:hyperlink>
    </w:p>
    <w:p w14:paraId="4B529842" w14:textId="28B2C77B"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898" w:history="1">
        <w:r w:rsidR="00F85D5F" w:rsidRPr="00C837DD">
          <w:rPr>
            <w:rStyle w:val="Hipervnculo"/>
            <w:rFonts w:ascii="Verdana" w:hAnsi="Verdana"/>
            <w:bCs/>
            <w:spacing w:val="-2"/>
            <w:w w:val="99"/>
            <w:sz w:val="18"/>
            <w:szCs w:val="18"/>
          </w:rPr>
          <w:t>A.</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Injured Party</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_Toc85001898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48</w:t>
        </w:r>
        <w:r w:rsidR="00F85D5F" w:rsidRPr="00C837DD">
          <w:rPr>
            <w:rFonts w:ascii="Verdana" w:hAnsi="Verdana"/>
            <w:webHidden/>
            <w:sz w:val="18"/>
            <w:szCs w:val="18"/>
          </w:rPr>
          <w:fldChar w:fldCharType="end"/>
        </w:r>
      </w:hyperlink>
    </w:p>
    <w:p w14:paraId="3AA7FB36" w14:textId="7F0DCBAF" w:rsidR="00F85D5F" w:rsidRPr="00C837DD" w:rsidRDefault="00A61610" w:rsidP="00F85D5F">
      <w:pPr>
        <w:pStyle w:val="TDC2"/>
        <w:tabs>
          <w:tab w:val="left" w:pos="660"/>
          <w:tab w:val="right" w:leader="dot" w:pos="9463"/>
        </w:tabs>
        <w:jc w:val="both"/>
        <w:rPr>
          <w:rFonts w:ascii="Verdana" w:eastAsiaTheme="minorEastAsia" w:hAnsi="Verdana" w:cstheme="minorBidi"/>
          <w:smallCaps w:val="0"/>
          <w:sz w:val="18"/>
          <w:szCs w:val="18"/>
          <w:lang w:eastAsia="es-CR"/>
        </w:rPr>
      </w:pPr>
      <w:hyperlink w:anchor="_Toc85001899" w:history="1">
        <w:r w:rsidR="00F85D5F" w:rsidRPr="00C837DD">
          <w:rPr>
            <w:rStyle w:val="Hipervnculo"/>
            <w:rFonts w:ascii="Verdana" w:hAnsi="Verdana"/>
            <w:bCs/>
            <w:spacing w:val="-2"/>
            <w:w w:val="99"/>
            <w:sz w:val="18"/>
            <w:szCs w:val="18"/>
          </w:rPr>
          <w:t>B.</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Obligation to investigate the facts, identify, prosecute, and if appropriate, punish those responsible</w:t>
        </w:r>
        <w:r w:rsidR="00F85D5F" w:rsidRPr="00C837DD">
          <w:rPr>
            <w:rFonts w:ascii="Verdana" w:hAnsi="Verdana"/>
            <w:webHidden/>
            <w:sz w:val="18"/>
            <w:szCs w:val="18"/>
          </w:rPr>
          <w:tab/>
          <w:t>………………………………………………………………………………………………………………………………………………………..</w:t>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_Toc85001899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48</w:t>
        </w:r>
        <w:r w:rsidR="00F85D5F" w:rsidRPr="00C837DD">
          <w:rPr>
            <w:rFonts w:ascii="Verdana" w:hAnsi="Verdana"/>
            <w:webHidden/>
            <w:sz w:val="18"/>
            <w:szCs w:val="18"/>
          </w:rPr>
          <w:fldChar w:fldCharType="end"/>
        </w:r>
      </w:hyperlink>
    </w:p>
    <w:p w14:paraId="595D1B49" w14:textId="2F3ACB8F"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00" w:history="1">
        <w:r w:rsidR="00F85D5F" w:rsidRPr="00C837DD">
          <w:rPr>
            <w:rStyle w:val="Hipervnculo"/>
            <w:rFonts w:ascii="Verdana" w:hAnsi="Verdana"/>
            <w:bCs/>
            <w:spacing w:val="-2"/>
            <w:w w:val="99"/>
            <w:sz w:val="18"/>
            <w:szCs w:val="18"/>
          </w:rPr>
          <w:t>C.</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Measures of satisfaction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_Toc85001900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49</w:t>
        </w:r>
        <w:r w:rsidR="00F85D5F" w:rsidRPr="00C837DD">
          <w:rPr>
            <w:rFonts w:ascii="Verdana" w:hAnsi="Verdana"/>
            <w:webHidden/>
            <w:sz w:val="18"/>
            <w:szCs w:val="18"/>
          </w:rPr>
          <w:fldChar w:fldCharType="end"/>
        </w:r>
      </w:hyperlink>
    </w:p>
    <w:p w14:paraId="63ECA319" w14:textId="7F8A610B"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01" w:history="1">
        <w:r w:rsidR="00F85D5F" w:rsidRPr="00C837DD">
          <w:rPr>
            <w:rStyle w:val="Hipervnculo"/>
            <w:rFonts w:ascii="Verdana" w:hAnsi="Verdana"/>
            <w:bCs/>
            <w:spacing w:val="-2"/>
            <w:w w:val="99"/>
            <w:sz w:val="18"/>
            <w:szCs w:val="18"/>
          </w:rPr>
          <w:t>D.</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Measures of rehabilitation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_Toc85001901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50</w:t>
        </w:r>
        <w:r w:rsidR="00F85D5F" w:rsidRPr="00C837DD">
          <w:rPr>
            <w:rFonts w:ascii="Verdana" w:hAnsi="Verdana"/>
            <w:webHidden/>
            <w:sz w:val="18"/>
            <w:szCs w:val="18"/>
          </w:rPr>
          <w:fldChar w:fldCharType="end"/>
        </w:r>
      </w:hyperlink>
    </w:p>
    <w:p w14:paraId="0839DF49" w14:textId="4659C3C7"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02" w:history="1">
        <w:r w:rsidR="00F85D5F" w:rsidRPr="00C837DD">
          <w:rPr>
            <w:rStyle w:val="Hipervnculo"/>
            <w:rFonts w:ascii="Verdana" w:hAnsi="Verdana"/>
            <w:bCs/>
            <w:spacing w:val="-2"/>
            <w:w w:val="99"/>
            <w:sz w:val="18"/>
            <w:szCs w:val="18"/>
          </w:rPr>
          <w:t>E.</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Guarantees of non-repetition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_Toc85001902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51</w:t>
        </w:r>
        <w:r w:rsidR="00F85D5F" w:rsidRPr="00C837DD">
          <w:rPr>
            <w:rFonts w:ascii="Verdana" w:hAnsi="Verdana"/>
            <w:webHidden/>
            <w:sz w:val="18"/>
            <w:szCs w:val="18"/>
          </w:rPr>
          <w:fldChar w:fldCharType="end"/>
        </w:r>
      </w:hyperlink>
    </w:p>
    <w:p w14:paraId="2F37A7E5" w14:textId="4CC24A13"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903" w:history="1">
        <w:r w:rsidR="00F85D5F" w:rsidRPr="00C837DD">
          <w:rPr>
            <w:rStyle w:val="Hipervnculo"/>
            <w:rFonts w:ascii="Verdana" w:hAnsi="Verdana"/>
            <w:sz w:val="18"/>
            <w:szCs w:val="18"/>
          </w:rPr>
          <w:t>E.1</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Statistics on gender violence</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_Toc85001903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52</w:t>
        </w:r>
        <w:r w:rsidR="00F85D5F" w:rsidRPr="00C837DD">
          <w:rPr>
            <w:rFonts w:ascii="Verdana" w:hAnsi="Verdana"/>
            <w:webHidden/>
            <w:sz w:val="18"/>
            <w:szCs w:val="18"/>
          </w:rPr>
          <w:fldChar w:fldCharType="end"/>
        </w:r>
      </w:hyperlink>
    </w:p>
    <w:p w14:paraId="0530D4C3" w14:textId="32626D12"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904" w:history="1">
        <w:r w:rsidR="00F85D5F" w:rsidRPr="00C837DD">
          <w:rPr>
            <w:rStyle w:val="Hipervnculo"/>
            <w:rFonts w:ascii="Verdana" w:hAnsi="Verdana"/>
            <w:sz w:val="18"/>
            <w:szCs w:val="18"/>
          </w:rPr>
          <w:t>E.2</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Implementation of training programs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_Toc85001904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53</w:t>
        </w:r>
        <w:r w:rsidR="00F85D5F" w:rsidRPr="00C837DD">
          <w:rPr>
            <w:rFonts w:ascii="Verdana" w:hAnsi="Verdana"/>
            <w:webHidden/>
            <w:sz w:val="18"/>
            <w:szCs w:val="18"/>
          </w:rPr>
          <w:fldChar w:fldCharType="end"/>
        </w:r>
      </w:hyperlink>
    </w:p>
    <w:p w14:paraId="3D5EE4C7" w14:textId="02412495" w:rsidR="00F85D5F" w:rsidRPr="00C837DD" w:rsidRDefault="00A61610" w:rsidP="00F85D5F">
      <w:pPr>
        <w:pStyle w:val="TDC3"/>
        <w:tabs>
          <w:tab w:val="left" w:pos="1100"/>
          <w:tab w:val="right" w:leader="dot" w:pos="9463"/>
        </w:tabs>
        <w:ind w:left="1134" w:hanging="694"/>
        <w:jc w:val="both"/>
        <w:rPr>
          <w:rFonts w:ascii="Verdana" w:eastAsiaTheme="minorEastAsia" w:hAnsi="Verdana" w:cstheme="minorBidi"/>
          <w:i w:val="0"/>
          <w:iCs w:val="0"/>
          <w:sz w:val="18"/>
          <w:szCs w:val="18"/>
          <w:lang w:eastAsia="es-CR"/>
        </w:rPr>
      </w:pPr>
      <w:hyperlink w:anchor="_Toc85001905" w:history="1">
        <w:r w:rsidR="00F85D5F" w:rsidRPr="00C837DD">
          <w:rPr>
            <w:rStyle w:val="Hipervnculo"/>
            <w:rFonts w:ascii="Verdana" w:hAnsi="Verdana"/>
            <w:sz w:val="18"/>
            <w:szCs w:val="18"/>
          </w:rPr>
          <w:t>E.3</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 xml:space="preserve">Adoption of a standardized protocol for the investigation of </w:t>
        </w:r>
        <w:r w:rsidR="00EB1425">
          <w:rPr>
            <w:rStyle w:val="Hipervnculo"/>
            <w:rFonts w:ascii="Verdana" w:hAnsi="Verdana"/>
            <w:sz w:val="18"/>
            <w:szCs w:val="18"/>
          </w:rPr>
          <w:t xml:space="preserve">gender-based </w:t>
        </w:r>
        <w:r w:rsidR="00F85D5F" w:rsidRPr="00C837DD">
          <w:rPr>
            <w:rStyle w:val="Hipervnculo"/>
            <w:rFonts w:ascii="Verdana" w:hAnsi="Verdana"/>
            <w:sz w:val="18"/>
            <w:szCs w:val="18"/>
          </w:rPr>
          <w:t>violent deaths of women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_Toc85001905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b/>
            <w:bCs/>
            <w:noProof/>
            <w:webHidden/>
            <w:sz w:val="18"/>
            <w:szCs w:val="18"/>
            <w:lang w:val="es-ES"/>
          </w:rPr>
          <w:t>¡Error! Marcador no definido.</w:t>
        </w:r>
        <w:r w:rsidR="00F85D5F" w:rsidRPr="00C837DD">
          <w:rPr>
            <w:rFonts w:ascii="Verdana" w:hAnsi="Verdana"/>
            <w:webHidden/>
            <w:sz w:val="18"/>
            <w:szCs w:val="18"/>
          </w:rPr>
          <w:fldChar w:fldCharType="end"/>
        </w:r>
      </w:hyperlink>
    </w:p>
    <w:p w14:paraId="7C7B7903" w14:textId="61EEA300"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906" w:history="1">
        <w:r w:rsidR="00F85D5F" w:rsidRPr="00C837DD">
          <w:rPr>
            <w:rStyle w:val="Hipervnculo"/>
            <w:rFonts w:ascii="Verdana" w:hAnsi="Verdana"/>
            <w:sz w:val="18"/>
            <w:szCs w:val="18"/>
          </w:rPr>
          <w:t>E.4</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Rules o</w:t>
        </w:r>
        <w:r w:rsidR="00EB1425">
          <w:rPr>
            <w:rStyle w:val="Hipervnculo"/>
            <w:rFonts w:ascii="Verdana" w:hAnsi="Verdana"/>
            <w:sz w:val="18"/>
            <w:szCs w:val="18"/>
          </w:rPr>
          <w:t>n</w:t>
        </w:r>
        <w:r w:rsidR="00F85D5F" w:rsidRPr="00C837DD">
          <w:rPr>
            <w:rStyle w:val="Hipervnculo"/>
            <w:rFonts w:ascii="Verdana" w:hAnsi="Verdana"/>
            <w:sz w:val="18"/>
            <w:szCs w:val="18"/>
          </w:rPr>
          <w:t xml:space="preserve"> parliamentary immunity</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_Toc85001906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55</w:t>
        </w:r>
        <w:r w:rsidR="00F85D5F" w:rsidRPr="00C837DD">
          <w:rPr>
            <w:rFonts w:ascii="Verdana" w:hAnsi="Verdana"/>
            <w:webHidden/>
            <w:sz w:val="18"/>
            <w:szCs w:val="18"/>
          </w:rPr>
          <w:fldChar w:fldCharType="end"/>
        </w:r>
      </w:hyperlink>
    </w:p>
    <w:p w14:paraId="27DE5650" w14:textId="082FE95B"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907" w:history="1">
        <w:r w:rsidR="00F85D5F" w:rsidRPr="00C837DD">
          <w:rPr>
            <w:rStyle w:val="Hipervnculo"/>
            <w:rFonts w:ascii="Verdana" w:hAnsi="Verdana"/>
            <w:sz w:val="18"/>
            <w:szCs w:val="18"/>
          </w:rPr>
          <w:t>E.5</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Other guarantees of non-repetition requested</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_Toc85001907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55</w:t>
        </w:r>
        <w:r w:rsidR="00F85D5F" w:rsidRPr="00C837DD">
          <w:rPr>
            <w:rFonts w:ascii="Verdana" w:hAnsi="Verdana"/>
            <w:webHidden/>
            <w:sz w:val="18"/>
            <w:szCs w:val="18"/>
          </w:rPr>
          <w:fldChar w:fldCharType="end"/>
        </w:r>
      </w:hyperlink>
    </w:p>
    <w:p w14:paraId="17A1F609" w14:textId="0216518E"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08" w:history="1">
        <w:r w:rsidR="00F85D5F" w:rsidRPr="00C837DD">
          <w:rPr>
            <w:rStyle w:val="Hipervnculo"/>
            <w:rFonts w:ascii="Verdana" w:hAnsi="Verdana"/>
            <w:bCs/>
            <w:spacing w:val="-2"/>
            <w:w w:val="99"/>
            <w:sz w:val="18"/>
            <w:szCs w:val="18"/>
          </w:rPr>
          <w:t>F.</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Compensation</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_Toc85001908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55</w:t>
        </w:r>
        <w:r w:rsidR="00F85D5F" w:rsidRPr="00C837DD">
          <w:rPr>
            <w:rFonts w:ascii="Verdana" w:hAnsi="Verdana"/>
            <w:webHidden/>
            <w:sz w:val="18"/>
            <w:szCs w:val="18"/>
          </w:rPr>
          <w:fldChar w:fldCharType="end"/>
        </w:r>
      </w:hyperlink>
    </w:p>
    <w:p w14:paraId="3B6868DF" w14:textId="3F8D2993" w:rsidR="00F85D5F" w:rsidRPr="00C837DD" w:rsidRDefault="00A61610" w:rsidP="00F85D5F">
      <w:pPr>
        <w:pStyle w:val="TDC3"/>
        <w:tabs>
          <w:tab w:val="left" w:pos="1100"/>
          <w:tab w:val="right" w:leader="dot" w:pos="9463"/>
        </w:tabs>
        <w:rPr>
          <w:rFonts w:ascii="Verdana" w:eastAsiaTheme="minorEastAsia" w:hAnsi="Verdana" w:cstheme="minorBidi"/>
          <w:i w:val="0"/>
          <w:iCs w:val="0"/>
          <w:sz w:val="18"/>
          <w:szCs w:val="18"/>
          <w:lang w:eastAsia="es-CR"/>
        </w:rPr>
      </w:pPr>
      <w:hyperlink w:anchor="_Toc85001909" w:history="1">
        <w:r w:rsidR="00F85D5F" w:rsidRPr="00C837DD">
          <w:rPr>
            <w:rStyle w:val="Hipervnculo"/>
            <w:rFonts w:ascii="Verdana" w:hAnsi="Verdana"/>
            <w:sz w:val="18"/>
            <w:szCs w:val="18"/>
          </w:rPr>
          <w:t>F.1</w:t>
        </w:r>
        <w:r w:rsidR="00F85D5F" w:rsidRPr="00C837DD">
          <w:rPr>
            <w:rFonts w:ascii="Verdana" w:eastAsiaTheme="minorEastAsia" w:hAnsi="Verdana" w:cstheme="minorBidi"/>
            <w:i w:val="0"/>
            <w:iCs w:val="0"/>
            <w:sz w:val="18"/>
            <w:szCs w:val="18"/>
            <w:lang w:eastAsia="es-CR"/>
          </w:rPr>
          <w:tab/>
        </w:r>
        <w:r w:rsidR="00F85D5F" w:rsidRPr="00C837DD">
          <w:rPr>
            <w:rStyle w:val="Hipervnculo"/>
            <w:rFonts w:ascii="Verdana" w:hAnsi="Verdana"/>
            <w:sz w:val="18"/>
            <w:szCs w:val="18"/>
          </w:rPr>
          <w:t>Pecuniary and non-pecuniary damage</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_Toc85001909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b/>
            <w:bCs/>
            <w:noProof/>
            <w:webHidden/>
            <w:sz w:val="18"/>
            <w:szCs w:val="18"/>
            <w:lang w:val="es-ES"/>
          </w:rPr>
          <w:t>¡Error! Marcador no definido.</w:t>
        </w:r>
        <w:r w:rsidR="00F85D5F" w:rsidRPr="00C837DD">
          <w:rPr>
            <w:rFonts w:ascii="Verdana" w:hAnsi="Verdana"/>
            <w:webHidden/>
            <w:sz w:val="18"/>
            <w:szCs w:val="18"/>
          </w:rPr>
          <w:fldChar w:fldCharType="end"/>
        </w:r>
      </w:hyperlink>
    </w:p>
    <w:p w14:paraId="2F8C164B" w14:textId="57679406"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10" w:history="1">
        <w:r w:rsidR="00F85D5F" w:rsidRPr="00C837DD">
          <w:rPr>
            <w:rStyle w:val="Hipervnculo"/>
            <w:rFonts w:ascii="Verdana" w:hAnsi="Verdana"/>
            <w:bCs/>
            <w:spacing w:val="-2"/>
            <w:w w:val="99"/>
            <w:sz w:val="18"/>
            <w:szCs w:val="18"/>
          </w:rPr>
          <w:t>G.</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Costs and Expenses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_Toc85001910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57</w:t>
        </w:r>
        <w:r w:rsidR="00F85D5F" w:rsidRPr="00C837DD">
          <w:rPr>
            <w:rFonts w:ascii="Verdana" w:hAnsi="Verdana"/>
            <w:webHidden/>
            <w:sz w:val="18"/>
            <w:szCs w:val="18"/>
          </w:rPr>
          <w:fldChar w:fldCharType="end"/>
        </w:r>
      </w:hyperlink>
    </w:p>
    <w:p w14:paraId="2C400893" w14:textId="7F03BB66"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11" w:history="1">
        <w:r w:rsidR="00F85D5F" w:rsidRPr="00C837DD">
          <w:rPr>
            <w:rStyle w:val="Hipervnculo"/>
            <w:rFonts w:ascii="Verdana" w:hAnsi="Verdana"/>
            <w:bCs/>
            <w:spacing w:val="-2"/>
            <w:w w:val="99"/>
            <w:sz w:val="18"/>
            <w:szCs w:val="18"/>
          </w:rPr>
          <w:t>H.</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Reimbursement of expenses to the Victims’ Legal Assistance Fund</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_Toc85001911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58</w:t>
        </w:r>
        <w:r w:rsidR="00F85D5F" w:rsidRPr="00C837DD">
          <w:rPr>
            <w:rFonts w:ascii="Verdana" w:hAnsi="Verdana"/>
            <w:webHidden/>
            <w:sz w:val="18"/>
            <w:szCs w:val="18"/>
          </w:rPr>
          <w:fldChar w:fldCharType="end"/>
        </w:r>
      </w:hyperlink>
    </w:p>
    <w:p w14:paraId="2F95B443" w14:textId="24F12797" w:rsidR="00F85D5F" w:rsidRPr="00C837DD" w:rsidRDefault="00A61610" w:rsidP="00F85D5F">
      <w:pPr>
        <w:pStyle w:val="TDC2"/>
        <w:tabs>
          <w:tab w:val="left" w:pos="660"/>
          <w:tab w:val="right" w:leader="dot" w:pos="9463"/>
        </w:tabs>
        <w:rPr>
          <w:rFonts w:ascii="Verdana" w:eastAsiaTheme="minorEastAsia" w:hAnsi="Verdana" w:cstheme="minorBidi"/>
          <w:smallCaps w:val="0"/>
          <w:sz w:val="18"/>
          <w:szCs w:val="18"/>
          <w:lang w:eastAsia="es-CR"/>
        </w:rPr>
      </w:pPr>
      <w:hyperlink w:anchor="_Toc85001912" w:history="1">
        <w:r w:rsidR="00F85D5F" w:rsidRPr="00C837DD">
          <w:rPr>
            <w:rStyle w:val="Hipervnculo"/>
            <w:rFonts w:ascii="Verdana" w:hAnsi="Verdana"/>
            <w:bCs/>
            <w:spacing w:val="-2"/>
            <w:w w:val="99"/>
            <w:sz w:val="18"/>
            <w:szCs w:val="18"/>
          </w:rPr>
          <w:t>I.</w:t>
        </w:r>
        <w:r w:rsidR="00F85D5F" w:rsidRPr="00C837DD">
          <w:rPr>
            <w:rFonts w:ascii="Verdana" w:eastAsiaTheme="minorEastAsia" w:hAnsi="Verdana" w:cstheme="minorBidi"/>
            <w:smallCaps w:val="0"/>
            <w:sz w:val="18"/>
            <w:szCs w:val="18"/>
            <w:lang w:eastAsia="es-CR"/>
          </w:rPr>
          <w:tab/>
        </w:r>
        <w:r w:rsidR="00F85D5F" w:rsidRPr="00C837DD">
          <w:rPr>
            <w:rStyle w:val="Hipervnculo"/>
            <w:rFonts w:ascii="Verdana" w:hAnsi="Verdana"/>
            <w:sz w:val="18"/>
            <w:szCs w:val="18"/>
          </w:rPr>
          <w:t>M</w:t>
        </w:r>
        <w:r w:rsidR="00EB1425">
          <w:rPr>
            <w:rStyle w:val="Hipervnculo"/>
            <w:rFonts w:ascii="Verdana" w:hAnsi="Verdana"/>
            <w:sz w:val="18"/>
            <w:szCs w:val="18"/>
          </w:rPr>
          <w:t xml:space="preserve">ethod </w:t>
        </w:r>
        <w:r w:rsidR="00F85D5F" w:rsidRPr="00C837DD">
          <w:rPr>
            <w:rStyle w:val="Hipervnculo"/>
            <w:rFonts w:ascii="Verdana" w:hAnsi="Verdana"/>
            <w:sz w:val="18"/>
            <w:szCs w:val="18"/>
          </w:rPr>
          <w:t>of compliance with the payments ordered</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_Toc85001912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59</w:t>
        </w:r>
        <w:r w:rsidR="00F85D5F" w:rsidRPr="00C837DD">
          <w:rPr>
            <w:rFonts w:ascii="Verdana" w:hAnsi="Verdana"/>
            <w:webHidden/>
            <w:sz w:val="18"/>
            <w:szCs w:val="18"/>
          </w:rPr>
          <w:fldChar w:fldCharType="end"/>
        </w:r>
      </w:hyperlink>
    </w:p>
    <w:p w14:paraId="1D314569" w14:textId="5D4CA63A" w:rsidR="00F85D5F" w:rsidRPr="00C837DD" w:rsidRDefault="00A61610" w:rsidP="00F85D5F">
      <w:pPr>
        <w:pStyle w:val="TDC1"/>
        <w:tabs>
          <w:tab w:val="right" w:leader="dot" w:pos="9463"/>
        </w:tabs>
        <w:rPr>
          <w:rFonts w:ascii="Verdana" w:eastAsiaTheme="minorEastAsia" w:hAnsi="Verdana" w:cstheme="minorBidi"/>
          <w:b w:val="0"/>
          <w:bCs w:val="0"/>
          <w:caps w:val="0"/>
          <w:sz w:val="18"/>
          <w:szCs w:val="18"/>
          <w:lang w:eastAsia="es-CR"/>
        </w:rPr>
      </w:pPr>
      <w:hyperlink w:anchor="_Toc85001913" w:history="1">
        <w:r w:rsidR="00F85D5F" w:rsidRPr="00C837DD">
          <w:rPr>
            <w:rStyle w:val="Hipervnculo"/>
            <w:rFonts w:ascii="Verdana" w:hAnsi="Verdana"/>
            <w:sz w:val="18"/>
            <w:szCs w:val="18"/>
          </w:rPr>
          <w:t>X OPERATIVE PARAGRAPHS</w:t>
        </w:r>
        <w:r w:rsidR="00F85D5F" w:rsidRPr="00C837DD">
          <w:rPr>
            <w:rFonts w:ascii="Verdana" w:hAnsi="Verdana"/>
            <w:webHidden/>
            <w:sz w:val="18"/>
            <w:szCs w:val="18"/>
          </w:rPr>
          <w:tab/>
        </w:r>
        <w:r w:rsidR="00F85D5F" w:rsidRPr="00C837DD">
          <w:rPr>
            <w:rFonts w:ascii="Verdana" w:hAnsi="Verdana"/>
            <w:webHidden/>
            <w:sz w:val="18"/>
            <w:szCs w:val="18"/>
          </w:rPr>
          <w:fldChar w:fldCharType="begin"/>
        </w:r>
        <w:r w:rsidR="00F85D5F" w:rsidRPr="00C837DD">
          <w:rPr>
            <w:rFonts w:ascii="Verdana" w:hAnsi="Verdana"/>
            <w:webHidden/>
            <w:sz w:val="18"/>
            <w:szCs w:val="18"/>
          </w:rPr>
          <w:instrText xml:space="preserve"> PAGEREF _Toc85001913 \h </w:instrText>
        </w:r>
        <w:r w:rsidR="00F85D5F" w:rsidRPr="00C837DD">
          <w:rPr>
            <w:rFonts w:ascii="Verdana" w:hAnsi="Verdana"/>
            <w:webHidden/>
            <w:sz w:val="18"/>
            <w:szCs w:val="18"/>
          </w:rPr>
        </w:r>
        <w:r w:rsidR="00F85D5F" w:rsidRPr="00C837DD">
          <w:rPr>
            <w:rFonts w:ascii="Verdana" w:hAnsi="Verdana"/>
            <w:webHidden/>
            <w:sz w:val="18"/>
            <w:szCs w:val="18"/>
          </w:rPr>
          <w:fldChar w:fldCharType="separate"/>
        </w:r>
        <w:r w:rsidR="005F3A79">
          <w:rPr>
            <w:rFonts w:ascii="Verdana" w:hAnsi="Verdana"/>
            <w:noProof/>
            <w:webHidden/>
            <w:sz w:val="18"/>
            <w:szCs w:val="18"/>
          </w:rPr>
          <w:t>60</w:t>
        </w:r>
        <w:r w:rsidR="00F85D5F" w:rsidRPr="00C837DD">
          <w:rPr>
            <w:rFonts w:ascii="Verdana" w:hAnsi="Verdana"/>
            <w:webHidden/>
            <w:sz w:val="18"/>
            <w:szCs w:val="18"/>
          </w:rPr>
          <w:fldChar w:fldCharType="end"/>
        </w:r>
      </w:hyperlink>
    </w:p>
    <w:p w14:paraId="0640832C" w14:textId="77777777" w:rsidR="00F85D5F" w:rsidRPr="00C837DD" w:rsidRDefault="00F85D5F" w:rsidP="00F85D5F">
      <w:pPr>
        <w:pStyle w:val="Ttulo1"/>
        <w:tabs>
          <w:tab w:val="left" w:pos="142"/>
        </w:tabs>
        <w:spacing w:before="80" w:after="80"/>
        <w:jc w:val="both"/>
        <w:rPr>
          <w:rStyle w:val="None"/>
          <w:lang w:val="en-US"/>
        </w:rPr>
      </w:pPr>
      <w:r w:rsidRPr="00C837DD">
        <w:rPr>
          <w:rStyle w:val="None"/>
          <w:sz w:val="18"/>
          <w:szCs w:val="18"/>
          <w:lang w:val="en-US"/>
        </w:rPr>
        <w:fldChar w:fldCharType="end"/>
      </w:r>
    </w:p>
    <w:p w14:paraId="73F4E109" w14:textId="77777777" w:rsidR="00F85D5F" w:rsidRPr="00C837DD" w:rsidRDefault="00F85D5F" w:rsidP="00F85D5F">
      <w:pPr>
        <w:tabs>
          <w:tab w:val="left" w:pos="142"/>
        </w:tabs>
        <w:spacing w:before="80" w:after="80"/>
        <w:jc w:val="both"/>
        <w:rPr>
          <w:sz w:val="20"/>
          <w:szCs w:val="20"/>
        </w:rPr>
      </w:pPr>
      <w:r w:rsidRPr="00C837DD">
        <w:rPr>
          <w:sz w:val="20"/>
          <w:szCs w:val="20"/>
        </w:rPr>
        <w:br w:type="page"/>
      </w:r>
    </w:p>
    <w:p w14:paraId="1469FD00" w14:textId="77777777" w:rsidR="00F85D5F" w:rsidRPr="00C837DD" w:rsidRDefault="00F85D5F" w:rsidP="00F85D5F">
      <w:pPr>
        <w:pStyle w:val="Ttulo1"/>
        <w:tabs>
          <w:tab w:val="left" w:pos="142"/>
        </w:tabs>
        <w:rPr>
          <w:w w:val="100"/>
          <w:lang w:val="en-US"/>
        </w:rPr>
      </w:pPr>
      <w:bookmarkStart w:id="1" w:name="I_INTRODUCCIÓN_DE_LA_CAUSA_Y_OBJETO_DE_L"/>
      <w:bookmarkStart w:id="2" w:name="_bookmark2"/>
      <w:bookmarkStart w:id="3" w:name="_Toc79178772"/>
      <w:bookmarkStart w:id="4" w:name="_Toc85001860"/>
      <w:bookmarkEnd w:id="1"/>
      <w:bookmarkEnd w:id="2"/>
      <w:r w:rsidRPr="00C837DD">
        <w:rPr>
          <w:w w:val="100"/>
          <w:lang w:val="en-US"/>
        </w:rPr>
        <w:lastRenderedPageBreak/>
        <w:t>I</w:t>
      </w:r>
      <w:bookmarkEnd w:id="3"/>
      <w:r w:rsidRPr="00C837DD">
        <w:rPr>
          <w:w w:val="100"/>
          <w:lang w:val="en-US"/>
        </w:rPr>
        <w:br/>
        <w:t xml:space="preserve">INTRODUCTION OF THE CASE AND PURPOSE OF THE DISPUTE </w:t>
      </w:r>
      <w:bookmarkEnd w:id="4"/>
    </w:p>
    <w:p w14:paraId="411B9DAD" w14:textId="77777777" w:rsidR="00F85D5F" w:rsidRPr="00C837DD" w:rsidRDefault="00F85D5F" w:rsidP="00F85D5F">
      <w:pPr>
        <w:tabs>
          <w:tab w:val="left" w:pos="142"/>
        </w:tabs>
        <w:jc w:val="center"/>
        <w:rPr>
          <w:b/>
          <w:sz w:val="20"/>
          <w:szCs w:val="20"/>
        </w:rPr>
      </w:pPr>
    </w:p>
    <w:p w14:paraId="5B7CC3EC" w14:textId="248937D6" w:rsidR="00F85D5F" w:rsidRPr="00C837DD" w:rsidRDefault="00F85D5F" w:rsidP="00F85D5F">
      <w:pPr>
        <w:pStyle w:val="Prrafodelista"/>
        <w:numPr>
          <w:ilvl w:val="0"/>
          <w:numId w:val="3"/>
        </w:numPr>
        <w:tabs>
          <w:tab w:val="left" w:pos="142"/>
          <w:tab w:val="left" w:pos="685"/>
        </w:tabs>
        <w:ind w:left="0" w:firstLine="0"/>
        <w:rPr>
          <w:sz w:val="20"/>
          <w:szCs w:val="20"/>
        </w:rPr>
      </w:pPr>
      <w:r w:rsidRPr="00C837DD">
        <w:rPr>
          <w:i/>
          <w:sz w:val="20"/>
          <w:szCs w:val="20"/>
        </w:rPr>
        <w:t>The case submitted to the Court</w:t>
      </w:r>
      <w:r w:rsidRPr="00C837DD">
        <w:rPr>
          <w:sz w:val="20"/>
          <w:szCs w:val="20"/>
        </w:rPr>
        <w:t>. On July 11, 2019, the Inter-American Commission o</w:t>
      </w:r>
      <w:r w:rsidR="001170F4" w:rsidRPr="00C837DD">
        <w:rPr>
          <w:sz w:val="20"/>
          <w:szCs w:val="20"/>
        </w:rPr>
        <w:t>n</w:t>
      </w:r>
      <w:r w:rsidRPr="00C837DD">
        <w:rPr>
          <w:sz w:val="20"/>
          <w:szCs w:val="20"/>
        </w:rPr>
        <w:t xml:space="preserve"> Human Rights (hereinafter “the Inter-American Commission” or “the Commission”) submitted to the jurisdiction of the Inter-American Court, in accordance with Articles 51 and 61 of the American Convention, the case</w:t>
      </w:r>
      <w:r w:rsidR="005F4A76" w:rsidRPr="00C837DD">
        <w:rPr>
          <w:sz w:val="20"/>
          <w:szCs w:val="20"/>
        </w:rPr>
        <w:t xml:space="preserve"> of</w:t>
      </w:r>
      <w:r w:rsidRPr="00C837DD">
        <w:rPr>
          <w:i/>
          <w:sz w:val="20"/>
          <w:szCs w:val="20"/>
        </w:rPr>
        <w:t xml:space="preserve"> </w:t>
      </w:r>
      <w:r w:rsidR="00EB1425">
        <w:rPr>
          <w:i/>
          <w:sz w:val="20"/>
          <w:szCs w:val="20"/>
        </w:rPr>
        <w:t>“</w:t>
      </w:r>
      <w:r w:rsidR="00B8009F" w:rsidRPr="00C837DD">
        <w:rPr>
          <w:sz w:val="20"/>
          <w:szCs w:val="20"/>
        </w:rPr>
        <w:t>Márcia</w:t>
      </w:r>
      <w:r w:rsidRPr="00C837DD">
        <w:rPr>
          <w:sz w:val="20"/>
          <w:szCs w:val="20"/>
        </w:rPr>
        <w:t xml:space="preserve"> Barbosa de Souza and her </w:t>
      </w:r>
      <w:r w:rsidR="001170F4" w:rsidRPr="00C837DD">
        <w:rPr>
          <w:sz w:val="20"/>
          <w:szCs w:val="20"/>
        </w:rPr>
        <w:t xml:space="preserve">family concerning </w:t>
      </w:r>
      <w:r w:rsidRPr="00C837DD">
        <w:rPr>
          <w:sz w:val="20"/>
          <w:szCs w:val="20"/>
        </w:rPr>
        <w:t>the Federa</w:t>
      </w:r>
      <w:r w:rsidR="005F4A76" w:rsidRPr="00C837DD">
        <w:rPr>
          <w:sz w:val="20"/>
          <w:szCs w:val="20"/>
        </w:rPr>
        <w:t>tive</w:t>
      </w:r>
      <w:r w:rsidRPr="00C837DD">
        <w:rPr>
          <w:sz w:val="20"/>
          <w:szCs w:val="20"/>
        </w:rPr>
        <w:t xml:space="preserve"> Republic of Brazil” (hereinafter “the State”, “the State of Brazil” or “Brazil”). According to the Commission,</w:t>
      </w:r>
      <w:r w:rsidRPr="00C837DD">
        <w:rPr>
          <w:rFonts w:eastAsia="Calibri"/>
          <w:sz w:val="20"/>
          <w:szCs w:val="20"/>
        </w:rPr>
        <w:t xml:space="preserve"> the dispute relates to the alleged situation of impunity surrounding the death of </w:t>
      </w:r>
      <w:r w:rsidR="00B8009F" w:rsidRPr="00C837DD">
        <w:rPr>
          <w:rFonts w:eastAsia="Calibri"/>
          <w:sz w:val="20"/>
          <w:szCs w:val="20"/>
        </w:rPr>
        <w:t>Márcia</w:t>
      </w:r>
      <w:r w:rsidRPr="00C837DD">
        <w:rPr>
          <w:rFonts w:eastAsia="Calibri"/>
          <w:sz w:val="20"/>
          <w:szCs w:val="20"/>
        </w:rPr>
        <w:t xml:space="preserve"> Barbosa de Souza, in June 1998, at the hands of the then state deputy, Mr. Aércio Pereira de Lima. </w:t>
      </w:r>
      <w:r w:rsidRPr="00C837DD">
        <w:rPr>
          <w:rFonts w:cs="Arial"/>
          <w:sz w:val="20"/>
          <w:szCs w:val="20"/>
        </w:rPr>
        <w:t xml:space="preserve">The Commission </w:t>
      </w:r>
      <w:r w:rsidR="005F4A76" w:rsidRPr="00C837DD">
        <w:rPr>
          <w:rFonts w:cs="Arial"/>
          <w:sz w:val="20"/>
          <w:szCs w:val="20"/>
        </w:rPr>
        <w:t xml:space="preserve">concluded </w:t>
      </w:r>
      <w:r w:rsidRPr="00C837DD">
        <w:rPr>
          <w:rFonts w:cs="Arial"/>
          <w:sz w:val="20"/>
          <w:szCs w:val="20"/>
        </w:rPr>
        <w:t xml:space="preserve">that: i) “parliamentary immunity </w:t>
      </w:r>
      <w:r w:rsidR="005F4A76" w:rsidRPr="00C837DD">
        <w:rPr>
          <w:rFonts w:cs="Arial"/>
          <w:sz w:val="20"/>
          <w:szCs w:val="20"/>
        </w:rPr>
        <w:t xml:space="preserve">as </w:t>
      </w:r>
      <w:r w:rsidRPr="00C837DD">
        <w:rPr>
          <w:rFonts w:cs="Arial"/>
          <w:sz w:val="20"/>
          <w:szCs w:val="20"/>
        </w:rPr>
        <w:t xml:space="preserve">defined in the domestic regulations” </w:t>
      </w:r>
      <w:r w:rsidR="00EB1425">
        <w:rPr>
          <w:rFonts w:cs="Arial"/>
          <w:sz w:val="20"/>
          <w:szCs w:val="20"/>
        </w:rPr>
        <w:t xml:space="preserve">resulted in </w:t>
      </w:r>
      <w:r w:rsidR="005F4A76" w:rsidRPr="00C837DD">
        <w:rPr>
          <w:rFonts w:cs="Arial"/>
          <w:sz w:val="20"/>
          <w:szCs w:val="20"/>
        </w:rPr>
        <w:t xml:space="preserve">a discriminatory </w:t>
      </w:r>
      <w:r w:rsidRPr="00C837DD">
        <w:rPr>
          <w:rFonts w:cs="Arial"/>
          <w:sz w:val="20"/>
          <w:szCs w:val="20"/>
        </w:rPr>
        <w:t xml:space="preserve">delay in the criminal proceedings, ii) “the </w:t>
      </w:r>
      <w:r w:rsidR="007D2FF4" w:rsidRPr="00C837DD">
        <w:rPr>
          <w:rFonts w:cs="Arial"/>
          <w:sz w:val="20"/>
          <w:szCs w:val="20"/>
        </w:rPr>
        <w:t xml:space="preserve">fact that the </w:t>
      </w:r>
      <w:r w:rsidRPr="00C837DD">
        <w:rPr>
          <w:rFonts w:cs="Arial"/>
          <w:sz w:val="20"/>
          <w:szCs w:val="20"/>
        </w:rPr>
        <w:t xml:space="preserve">investigation and [the] criminal trial for the death of </w:t>
      </w:r>
      <w:r w:rsidR="00B8009F" w:rsidRPr="00C837DD">
        <w:rPr>
          <w:rFonts w:cs="Arial"/>
          <w:sz w:val="20"/>
          <w:szCs w:val="20"/>
        </w:rPr>
        <w:t>Márcia</w:t>
      </w:r>
      <w:r w:rsidRPr="00C837DD">
        <w:rPr>
          <w:rFonts w:cs="Arial"/>
          <w:sz w:val="20"/>
          <w:szCs w:val="20"/>
        </w:rPr>
        <w:t xml:space="preserve"> Barbosa de Souza </w:t>
      </w:r>
      <w:r w:rsidR="007D2FF4" w:rsidRPr="00C837DD">
        <w:rPr>
          <w:rFonts w:cs="Arial"/>
          <w:sz w:val="20"/>
          <w:szCs w:val="20"/>
        </w:rPr>
        <w:t xml:space="preserve">took more than nine years violated </w:t>
      </w:r>
      <w:r w:rsidRPr="00C837DD">
        <w:rPr>
          <w:rFonts w:cs="Arial"/>
          <w:sz w:val="20"/>
          <w:szCs w:val="20"/>
        </w:rPr>
        <w:t xml:space="preserve">the guarantee of reasonable time and </w:t>
      </w:r>
      <w:r w:rsidR="007D2FF4" w:rsidRPr="00C837DD">
        <w:rPr>
          <w:rFonts w:cs="Arial"/>
          <w:sz w:val="20"/>
          <w:szCs w:val="20"/>
        </w:rPr>
        <w:t xml:space="preserve">constituted </w:t>
      </w:r>
      <w:r w:rsidRPr="00C837DD">
        <w:rPr>
          <w:rFonts w:cs="Arial"/>
          <w:sz w:val="20"/>
          <w:szCs w:val="20"/>
        </w:rPr>
        <w:t xml:space="preserve">a denial of justice” iii) “the evidentiary deficiencies were not resolved, nor were all the lines of investigation exhausted, </w:t>
      </w:r>
      <w:r w:rsidR="007D2FF4" w:rsidRPr="00C837DD">
        <w:rPr>
          <w:rFonts w:cs="Arial"/>
          <w:sz w:val="20"/>
          <w:szCs w:val="20"/>
        </w:rPr>
        <w:t>a</w:t>
      </w:r>
      <w:r w:rsidRPr="00C837DD">
        <w:rPr>
          <w:rFonts w:cs="Arial"/>
          <w:sz w:val="20"/>
          <w:szCs w:val="20"/>
        </w:rPr>
        <w:t xml:space="preserve"> situation </w:t>
      </w:r>
      <w:r w:rsidR="007D2FF4" w:rsidRPr="00C837DD">
        <w:rPr>
          <w:rFonts w:cs="Arial"/>
          <w:sz w:val="20"/>
          <w:szCs w:val="20"/>
        </w:rPr>
        <w:t xml:space="preserve">that </w:t>
      </w:r>
      <w:r w:rsidRPr="00C837DD">
        <w:rPr>
          <w:rFonts w:cs="Arial"/>
          <w:sz w:val="20"/>
          <w:szCs w:val="20"/>
        </w:rPr>
        <w:t xml:space="preserve">was incompatible with the duty to investigate with due diligence” and iv) the </w:t>
      </w:r>
      <w:r w:rsidR="007D2FF4" w:rsidRPr="00C837DD">
        <w:rPr>
          <w:rFonts w:cs="Arial"/>
          <w:sz w:val="20"/>
          <w:szCs w:val="20"/>
        </w:rPr>
        <w:t xml:space="preserve">murder </w:t>
      </w:r>
      <w:r w:rsidRPr="00C837DD">
        <w:rPr>
          <w:rFonts w:cs="Arial"/>
          <w:sz w:val="20"/>
          <w:szCs w:val="20"/>
        </w:rPr>
        <w:t xml:space="preserve">of </w:t>
      </w:r>
      <w:r w:rsidR="00B8009F" w:rsidRPr="00C837DD">
        <w:rPr>
          <w:rFonts w:cs="Arial"/>
          <w:sz w:val="20"/>
          <w:szCs w:val="20"/>
        </w:rPr>
        <w:t>Márcia</w:t>
      </w:r>
      <w:r w:rsidRPr="00C837DD">
        <w:rPr>
          <w:rFonts w:cs="Arial"/>
          <w:sz w:val="20"/>
          <w:szCs w:val="20"/>
        </w:rPr>
        <w:t xml:space="preserve"> Barbosa de Souza, as a consequence of an act of violence, together with the failings and delays in the investigations and the criminal proceedings, affected the mental integrity of her next of kin. </w:t>
      </w:r>
    </w:p>
    <w:p w14:paraId="5C7518E9" w14:textId="77777777" w:rsidR="00F85D5F" w:rsidRPr="00C837DD" w:rsidRDefault="00F85D5F" w:rsidP="00F85D5F">
      <w:pPr>
        <w:pStyle w:val="Prrafodelista"/>
        <w:tabs>
          <w:tab w:val="left" w:pos="142"/>
          <w:tab w:val="left" w:pos="685"/>
        </w:tabs>
        <w:ind w:left="0"/>
        <w:rPr>
          <w:sz w:val="20"/>
          <w:szCs w:val="20"/>
        </w:rPr>
      </w:pPr>
    </w:p>
    <w:p w14:paraId="13499D3B" w14:textId="77777777" w:rsidR="00F85D5F" w:rsidRPr="00C837DD" w:rsidRDefault="00F85D5F" w:rsidP="00F85D5F">
      <w:pPr>
        <w:pStyle w:val="Prrafodelista"/>
        <w:numPr>
          <w:ilvl w:val="0"/>
          <w:numId w:val="3"/>
        </w:numPr>
        <w:tabs>
          <w:tab w:val="left" w:pos="142"/>
          <w:tab w:val="left" w:pos="685"/>
        </w:tabs>
        <w:ind w:left="0" w:firstLine="0"/>
        <w:rPr>
          <w:sz w:val="20"/>
          <w:szCs w:val="20"/>
        </w:rPr>
      </w:pPr>
      <w:r w:rsidRPr="00C837DD">
        <w:rPr>
          <w:i/>
          <w:sz w:val="20"/>
          <w:szCs w:val="20"/>
        </w:rPr>
        <w:t>Procedure before the Commission</w:t>
      </w:r>
      <w:r w:rsidRPr="00C837DD">
        <w:rPr>
          <w:sz w:val="20"/>
          <w:szCs w:val="20"/>
        </w:rPr>
        <w:t>. The procedure before the Commission was as follows:</w:t>
      </w:r>
    </w:p>
    <w:p w14:paraId="0A219A35" w14:textId="77777777" w:rsidR="00F85D5F" w:rsidRPr="00C837DD" w:rsidRDefault="00F85D5F" w:rsidP="00F85D5F">
      <w:pPr>
        <w:tabs>
          <w:tab w:val="left" w:pos="142"/>
          <w:tab w:val="left" w:pos="685"/>
        </w:tabs>
        <w:rPr>
          <w:sz w:val="20"/>
          <w:szCs w:val="20"/>
        </w:rPr>
      </w:pPr>
    </w:p>
    <w:p w14:paraId="46259874" w14:textId="26D6D70B" w:rsidR="00F85D5F" w:rsidRPr="00C837DD" w:rsidRDefault="00F85D5F" w:rsidP="00F85D5F">
      <w:pPr>
        <w:pStyle w:val="Prrafodelista"/>
        <w:numPr>
          <w:ilvl w:val="1"/>
          <w:numId w:val="3"/>
        </w:numPr>
        <w:tabs>
          <w:tab w:val="left" w:pos="142"/>
          <w:tab w:val="left" w:pos="685"/>
        </w:tabs>
        <w:ind w:left="993"/>
        <w:rPr>
          <w:sz w:val="20"/>
          <w:szCs w:val="20"/>
        </w:rPr>
      </w:pPr>
      <w:r w:rsidRPr="00C837DD">
        <w:rPr>
          <w:i/>
          <w:sz w:val="20"/>
          <w:szCs w:val="20"/>
        </w:rPr>
        <w:t>Petition</w:t>
      </w:r>
      <w:r w:rsidRPr="00C837DD">
        <w:rPr>
          <w:sz w:val="20"/>
          <w:szCs w:val="20"/>
        </w:rPr>
        <w:t xml:space="preserve">. On March 28, 2000, the Center for Justice and International Law (CEJIL), the </w:t>
      </w:r>
      <w:r w:rsidRPr="00C837DD">
        <w:rPr>
          <w:i/>
          <w:sz w:val="20"/>
          <w:szCs w:val="20"/>
        </w:rPr>
        <w:t xml:space="preserve">Movimento Nacional </w:t>
      </w:r>
      <w:r w:rsidR="007D2FF4" w:rsidRPr="00C837DD">
        <w:rPr>
          <w:i/>
          <w:sz w:val="20"/>
          <w:szCs w:val="20"/>
        </w:rPr>
        <w:t>de</w:t>
      </w:r>
      <w:r w:rsidRPr="00C837DD">
        <w:rPr>
          <w:i/>
          <w:sz w:val="20"/>
          <w:szCs w:val="20"/>
        </w:rPr>
        <w:t xml:space="preserve"> Direitos Humanos</w:t>
      </w:r>
      <w:r w:rsidRPr="00C837DD">
        <w:rPr>
          <w:sz w:val="20"/>
          <w:szCs w:val="20"/>
        </w:rPr>
        <w:t xml:space="preserve"> (MNDH) /</w:t>
      </w:r>
      <w:r w:rsidRPr="006327C0">
        <w:rPr>
          <w:i/>
          <w:iCs/>
          <w:sz w:val="20"/>
          <w:szCs w:val="20"/>
        </w:rPr>
        <w:t>Regional Nordeste</w:t>
      </w:r>
      <w:r w:rsidRPr="00C837DD">
        <w:rPr>
          <w:sz w:val="20"/>
          <w:szCs w:val="20"/>
        </w:rPr>
        <w:t xml:space="preserve"> and the </w:t>
      </w:r>
      <w:r w:rsidRPr="00C837DD">
        <w:rPr>
          <w:i/>
          <w:sz w:val="20"/>
          <w:szCs w:val="20"/>
        </w:rPr>
        <w:t xml:space="preserve">Gabinete de Assessoria Jurídica </w:t>
      </w:r>
      <w:r w:rsidRPr="00C837DD">
        <w:rPr>
          <w:rFonts w:cs="Arial"/>
          <w:i/>
          <w:sz w:val="20"/>
          <w:szCs w:val="20"/>
          <w:shd w:val="clear" w:color="auto" w:fill="FFFFFF"/>
        </w:rPr>
        <w:t>às</w:t>
      </w:r>
      <w:r w:rsidRPr="00C837DD">
        <w:rPr>
          <w:i/>
          <w:sz w:val="20"/>
          <w:szCs w:val="20"/>
        </w:rPr>
        <w:t xml:space="preserve"> Organizações Populares</w:t>
      </w:r>
      <w:r w:rsidRPr="00C837DD">
        <w:rPr>
          <w:sz w:val="20"/>
          <w:szCs w:val="20"/>
        </w:rPr>
        <w:t xml:space="preserve"> (GAJOP) </w:t>
      </w:r>
      <w:r w:rsidR="009F0613" w:rsidRPr="00C837DD">
        <w:rPr>
          <w:sz w:val="20"/>
          <w:szCs w:val="20"/>
        </w:rPr>
        <w:t xml:space="preserve">filed </w:t>
      </w:r>
      <w:r w:rsidRPr="00C837DD">
        <w:rPr>
          <w:sz w:val="20"/>
          <w:szCs w:val="20"/>
        </w:rPr>
        <w:t xml:space="preserve">the initial </w:t>
      </w:r>
      <w:r w:rsidR="009F0613" w:rsidRPr="00C837DD">
        <w:rPr>
          <w:sz w:val="20"/>
          <w:szCs w:val="20"/>
        </w:rPr>
        <w:t xml:space="preserve">application on behalf </w:t>
      </w:r>
      <w:r w:rsidRPr="00C837DD">
        <w:rPr>
          <w:sz w:val="20"/>
          <w:szCs w:val="20"/>
        </w:rPr>
        <w:t>of the alleged victims.</w:t>
      </w:r>
    </w:p>
    <w:p w14:paraId="2B5672A2" w14:textId="77777777" w:rsidR="00F85D5F" w:rsidRPr="00C837DD" w:rsidRDefault="00F85D5F" w:rsidP="00F85D5F">
      <w:pPr>
        <w:pStyle w:val="Prrafodelista"/>
        <w:tabs>
          <w:tab w:val="left" w:pos="142"/>
          <w:tab w:val="left" w:pos="685"/>
        </w:tabs>
        <w:ind w:left="993"/>
        <w:rPr>
          <w:sz w:val="20"/>
          <w:szCs w:val="20"/>
        </w:rPr>
      </w:pPr>
    </w:p>
    <w:p w14:paraId="2E78782F" w14:textId="01E350C8" w:rsidR="00F85D5F" w:rsidRPr="00C837DD" w:rsidRDefault="00F85D5F" w:rsidP="00F85D5F">
      <w:pPr>
        <w:pStyle w:val="Prrafodelista"/>
        <w:numPr>
          <w:ilvl w:val="1"/>
          <w:numId w:val="3"/>
        </w:numPr>
        <w:tabs>
          <w:tab w:val="left" w:pos="142"/>
          <w:tab w:val="left" w:pos="685"/>
        </w:tabs>
        <w:ind w:left="993"/>
        <w:rPr>
          <w:sz w:val="20"/>
          <w:szCs w:val="20"/>
        </w:rPr>
      </w:pPr>
      <w:r w:rsidRPr="00C837DD">
        <w:rPr>
          <w:i/>
          <w:sz w:val="20"/>
          <w:szCs w:val="20"/>
        </w:rPr>
        <w:t>Admissibility Report</w:t>
      </w:r>
      <w:r w:rsidRPr="00C837DD">
        <w:rPr>
          <w:sz w:val="20"/>
          <w:szCs w:val="20"/>
        </w:rPr>
        <w:t xml:space="preserve">. On July 26, 2007, the Commission adopted Admissibility Report No. 38/07 (hereinafter </w:t>
      </w:r>
      <w:r w:rsidR="00F55AEC" w:rsidRPr="00C837DD">
        <w:rPr>
          <w:sz w:val="20"/>
          <w:szCs w:val="20"/>
        </w:rPr>
        <w:t xml:space="preserve">the </w:t>
      </w:r>
      <w:r w:rsidRPr="00C837DD">
        <w:rPr>
          <w:sz w:val="20"/>
          <w:szCs w:val="20"/>
        </w:rPr>
        <w:t>“Admissibility Report” or “Report No. 38/07), in which it concluded that the initial petition was admissible.</w:t>
      </w:r>
    </w:p>
    <w:p w14:paraId="5EA779EA" w14:textId="77777777" w:rsidR="00F85D5F" w:rsidRPr="00C837DD" w:rsidRDefault="00F85D5F" w:rsidP="00F85D5F">
      <w:pPr>
        <w:pStyle w:val="Prrafodelista"/>
        <w:tabs>
          <w:tab w:val="left" w:pos="142"/>
        </w:tabs>
        <w:ind w:left="993"/>
        <w:rPr>
          <w:sz w:val="20"/>
          <w:szCs w:val="20"/>
        </w:rPr>
      </w:pPr>
    </w:p>
    <w:p w14:paraId="59FCF3DA" w14:textId="7E8A2FA4" w:rsidR="00F85D5F" w:rsidRPr="00C837DD" w:rsidRDefault="00F85D5F" w:rsidP="00F85D5F">
      <w:pPr>
        <w:pStyle w:val="Prrafodelista"/>
        <w:numPr>
          <w:ilvl w:val="1"/>
          <w:numId w:val="3"/>
        </w:numPr>
        <w:tabs>
          <w:tab w:val="left" w:pos="142"/>
          <w:tab w:val="left" w:pos="685"/>
        </w:tabs>
        <w:ind w:left="993"/>
        <w:rPr>
          <w:sz w:val="20"/>
          <w:szCs w:val="20"/>
        </w:rPr>
      </w:pPr>
      <w:r w:rsidRPr="00C837DD">
        <w:rPr>
          <w:i/>
          <w:sz w:val="20"/>
          <w:szCs w:val="20"/>
        </w:rPr>
        <w:t>Merits Report</w:t>
      </w:r>
      <w:r w:rsidRPr="00C837DD">
        <w:rPr>
          <w:sz w:val="20"/>
          <w:szCs w:val="20"/>
        </w:rPr>
        <w:t>.</w:t>
      </w:r>
      <w:r w:rsidR="00F55AEC" w:rsidRPr="00C837DD">
        <w:rPr>
          <w:sz w:val="20"/>
          <w:szCs w:val="20"/>
        </w:rPr>
        <w:t xml:space="preserve"> </w:t>
      </w:r>
      <w:r w:rsidRPr="00C837DD">
        <w:rPr>
          <w:sz w:val="20"/>
          <w:szCs w:val="20"/>
        </w:rPr>
        <w:t>On February 12, 2019, the Commission issued Merits Report</w:t>
      </w:r>
      <w:r w:rsidRPr="00C837DD">
        <w:rPr>
          <w:spacing w:val="-14"/>
          <w:sz w:val="20"/>
          <w:szCs w:val="20"/>
        </w:rPr>
        <w:t xml:space="preserve"> </w:t>
      </w:r>
      <w:r w:rsidRPr="00C837DD">
        <w:rPr>
          <w:sz w:val="20"/>
          <w:szCs w:val="20"/>
        </w:rPr>
        <w:t>No.</w:t>
      </w:r>
      <w:r w:rsidRPr="00C837DD">
        <w:rPr>
          <w:spacing w:val="-13"/>
          <w:sz w:val="20"/>
          <w:szCs w:val="20"/>
        </w:rPr>
        <w:t xml:space="preserve"> </w:t>
      </w:r>
      <w:r w:rsidRPr="00C837DD">
        <w:rPr>
          <w:sz w:val="20"/>
          <w:szCs w:val="20"/>
        </w:rPr>
        <w:t>10/19</w:t>
      </w:r>
      <w:r w:rsidRPr="00C837DD">
        <w:rPr>
          <w:spacing w:val="-14"/>
          <w:sz w:val="20"/>
          <w:szCs w:val="20"/>
        </w:rPr>
        <w:t xml:space="preserve"> </w:t>
      </w:r>
      <w:r w:rsidRPr="00C837DD">
        <w:rPr>
          <w:sz w:val="20"/>
          <w:szCs w:val="20"/>
        </w:rPr>
        <w:t>(hereinafter</w:t>
      </w:r>
      <w:r w:rsidRPr="00C837DD">
        <w:rPr>
          <w:spacing w:val="-14"/>
          <w:sz w:val="20"/>
          <w:szCs w:val="20"/>
        </w:rPr>
        <w:t xml:space="preserve"> </w:t>
      </w:r>
      <w:r w:rsidRPr="00C837DD">
        <w:rPr>
          <w:sz w:val="20"/>
          <w:szCs w:val="20"/>
        </w:rPr>
        <w:t xml:space="preserve">“Merits Report” or “Report No. 10/19”), </w:t>
      </w:r>
      <w:r w:rsidR="006327C0">
        <w:rPr>
          <w:sz w:val="20"/>
          <w:szCs w:val="20"/>
        </w:rPr>
        <w:t xml:space="preserve">pursuant </w:t>
      </w:r>
      <w:r w:rsidRPr="00C837DD">
        <w:rPr>
          <w:sz w:val="20"/>
          <w:szCs w:val="20"/>
        </w:rPr>
        <w:t>to Article 50 of the Convention, in which it reached a series of conclusions</w:t>
      </w:r>
      <w:r w:rsidRPr="00C837DD">
        <w:rPr>
          <w:rStyle w:val="Refdenotaalpie"/>
          <w:sz w:val="20"/>
          <w:szCs w:val="20"/>
        </w:rPr>
        <w:footnoteReference w:id="2"/>
      </w:r>
      <w:r w:rsidRPr="00C837DD">
        <w:rPr>
          <w:sz w:val="20"/>
          <w:szCs w:val="20"/>
        </w:rPr>
        <w:t xml:space="preserve"> and made various recommendations to the State.</w:t>
      </w:r>
    </w:p>
    <w:p w14:paraId="5823D6F9" w14:textId="77777777" w:rsidR="00F85D5F" w:rsidRPr="00C837DD" w:rsidRDefault="00F85D5F" w:rsidP="00F85D5F">
      <w:pPr>
        <w:tabs>
          <w:tab w:val="left" w:pos="142"/>
          <w:tab w:val="left" w:pos="685"/>
        </w:tabs>
        <w:ind w:left="993"/>
        <w:rPr>
          <w:sz w:val="20"/>
          <w:szCs w:val="20"/>
        </w:rPr>
      </w:pPr>
    </w:p>
    <w:p w14:paraId="71FAF40F" w14:textId="51FFD504" w:rsidR="00F85D5F" w:rsidRPr="00C837DD" w:rsidRDefault="00F85D5F" w:rsidP="00F85D5F">
      <w:pPr>
        <w:pStyle w:val="Prrafodelista"/>
        <w:numPr>
          <w:ilvl w:val="1"/>
          <w:numId w:val="3"/>
        </w:numPr>
        <w:tabs>
          <w:tab w:val="left" w:pos="142"/>
          <w:tab w:val="left" w:pos="685"/>
        </w:tabs>
        <w:ind w:left="993"/>
        <w:rPr>
          <w:rFonts w:eastAsiaTheme="minorHAnsi" w:cs="Arial"/>
          <w:sz w:val="20"/>
          <w:szCs w:val="20"/>
        </w:rPr>
      </w:pPr>
      <w:r w:rsidRPr="00C837DD">
        <w:rPr>
          <w:i/>
          <w:sz w:val="20"/>
          <w:szCs w:val="20"/>
        </w:rPr>
        <w:t>Notification to the State</w:t>
      </w:r>
      <w:r w:rsidRPr="00C837DD">
        <w:rPr>
          <w:sz w:val="20"/>
          <w:szCs w:val="20"/>
        </w:rPr>
        <w:t>. On April 11, 2019, the Merits Report was notified to the State</w:t>
      </w:r>
      <w:r w:rsidR="00F55AEC" w:rsidRPr="00C837DD">
        <w:rPr>
          <w:sz w:val="20"/>
          <w:szCs w:val="20"/>
        </w:rPr>
        <w:t>,</w:t>
      </w:r>
      <w:r w:rsidRPr="00C837DD">
        <w:rPr>
          <w:sz w:val="20"/>
          <w:szCs w:val="20"/>
        </w:rPr>
        <w:t xml:space="preserve"> which was granted two months to report on its compliance with the recommendations. The State</w:t>
      </w:r>
      <w:r w:rsidRPr="00C837DD">
        <w:rPr>
          <w:rFonts w:eastAsiaTheme="minorHAnsi" w:cs="Arial"/>
          <w:sz w:val="20"/>
          <w:szCs w:val="20"/>
        </w:rPr>
        <w:t xml:space="preserve"> submitted a report in which it expressed its willingness to comply with the recommendations, but did not </w:t>
      </w:r>
      <w:r w:rsidR="00F55AEC" w:rsidRPr="00C837DD">
        <w:rPr>
          <w:rFonts w:eastAsiaTheme="minorHAnsi" w:cs="Arial"/>
          <w:sz w:val="20"/>
          <w:szCs w:val="20"/>
        </w:rPr>
        <w:t xml:space="preserve">present </w:t>
      </w:r>
      <w:r w:rsidRPr="00C837DD">
        <w:rPr>
          <w:rFonts w:eastAsiaTheme="minorHAnsi" w:cs="Arial"/>
          <w:sz w:val="20"/>
          <w:szCs w:val="20"/>
        </w:rPr>
        <w:t xml:space="preserve">a </w:t>
      </w:r>
      <w:r w:rsidR="00F55AEC" w:rsidRPr="00C837DD">
        <w:rPr>
          <w:rFonts w:eastAsiaTheme="minorHAnsi" w:cs="Arial"/>
          <w:sz w:val="20"/>
          <w:szCs w:val="20"/>
        </w:rPr>
        <w:t xml:space="preserve">specific </w:t>
      </w:r>
      <w:r w:rsidRPr="00C837DD">
        <w:rPr>
          <w:rFonts w:eastAsiaTheme="minorHAnsi" w:cs="Arial"/>
          <w:sz w:val="20"/>
          <w:szCs w:val="20"/>
        </w:rPr>
        <w:t xml:space="preserve">proposal </w:t>
      </w:r>
      <w:r w:rsidR="00584A9E">
        <w:rPr>
          <w:rFonts w:eastAsiaTheme="minorHAnsi" w:cs="Arial"/>
          <w:sz w:val="20"/>
          <w:szCs w:val="20"/>
        </w:rPr>
        <w:t>in this regard</w:t>
      </w:r>
      <w:r w:rsidRPr="00C837DD">
        <w:rPr>
          <w:rFonts w:eastAsiaTheme="minorHAnsi" w:cs="Arial"/>
          <w:sz w:val="20"/>
          <w:szCs w:val="20"/>
        </w:rPr>
        <w:t>. Furthermore, it did not request an extension.</w:t>
      </w:r>
    </w:p>
    <w:p w14:paraId="4371C8FA" w14:textId="77777777" w:rsidR="00F85D5F" w:rsidRPr="00C837DD" w:rsidRDefault="00F85D5F" w:rsidP="00F85D5F">
      <w:pPr>
        <w:pStyle w:val="Prrafodelista"/>
        <w:tabs>
          <w:tab w:val="left" w:pos="142"/>
          <w:tab w:val="left" w:pos="685"/>
        </w:tabs>
        <w:ind w:left="0"/>
        <w:rPr>
          <w:sz w:val="20"/>
          <w:szCs w:val="20"/>
        </w:rPr>
      </w:pPr>
    </w:p>
    <w:p w14:paraId="7F37FD74" w14:textId="20C6DD22" w:rsidR="00F85D5F" w:rsidRPr="00C837DD" w:rsidRDefault="00F85D5F" w:rsidP="00F85D5F">
      <w:pPr>
        <w:pStyle w:val="Prrafodelista"/>
        <w:numPr>
          <w:ilvl w:val="0"/>
          <w:numId w:val="3"/>
        </w:numPr>
        <w:tabs>
          <w:tab w:val="left" w:pos="142"/>
          <w:tab w:val="left" w:pos="685"/>
        </w:tabs>
        <w:ind w:left="0" w:firstLine="0"/>
        <w:rPr>
          <w:sz w:val="20"/>
          <w:szCs w:val="20"/>
        </w:rPr>
      </w:pPr>
      <w:r w:rsidRPr="00C837DD">
        <w:rPr>
          <w:i/>
          <w:sz w:val="20"/>
          <w:szCs w:val="20"/>
        </w:rPr>
        <w:t xml:space="preserve">Submission to the Court. </w:t>
      </w:r>
      <w:r w:rsidRPr="00C837DD">
        <w:rPr>
          <w:sz w:val="20"/>
          <w:szCs w:val="20"/>
        </w:rPr>
        <w:t xml:space="preserve">On July 11, 2019, the Commission submitted to the jurisdiction of the Inter-American Court all the facts and alleged human rights violations described in the </w:t>
      </w:r>
      <w:r w:rsidRPr="00C837DD">
        <w:rPr>
          <w:sz w:val="20"/>
          <w:szCs w:val="20"/>
        </w:rPr>
        <w:lastRenderedPageBreak/>
        <w:t>Merits Report “given the need to obtain justice and reparation for the [</w:t>
      </w:r>
      <w:r w:rsidR="00F55AEC" w:rsidRPr="00C837DD">
        <w:rPr>
          <w:sz w:val="20"/>
          <w:szCs w:val="20"/>
        </w:rPr>
        <w:t>alleged</w:t>
      </w:r>
      <w:r w:rsidRPr="00C837DD">
        <w:rPr>
          <w:sz w:val="20"/>
          <w:szCs w:val="20"/>
        </w:rPr>
        <w:t>] victims</w:t>
      </w:r>
      <w:r w:rsidR="00F55AEC" w:rsidRPr="00C837DD">
        <w:rPr>
          <w:sz w:val="20"/>
          <w:szCs w:val="20"/>
        </w:rPr>
        <w:t>.</w:t>
      </w:r>
      <w:r w:rsidRPr="00C837DD">
        <w:rPr>
          <w:sz w:val="20"/>
          <w:szCs w:val="20"/>
        </w:rPr>
        <w:t>”</w:t>
      </w:r>
      <w:r w:rsidRPr="00C837DD">
        <w:rPr>
          <w:rStyle w:val="Refdenotaalpie"/>
          <w:sz w:val="20"/>
          <w:szCs w:val="20"/>
        </w:rPr>
        <w:footnoteReference w:id="3"/>
      </w:r>
      <w:r w:rsidRPr="00C837DD">
        <w:rPr>
          <w:sz w:val="20"/>
          <w:szCs w:val="20"/>
        </w:rPr>
        <w:t xml:space="preserve"> </w:t>
      </w:r>
    </w:p>
    <w:p w14:paraId="220334CB" w14:textId="77777777" w:rsidR="00F85D5F" w:rsidRPr="00C837DD" w:rsidRDefault="00F85D5F" w:rsidP="00F85D5F">
      <w:pPr>
        <w:pStyle w:val="Prrafodelista"/>
        <w:tabs>
          <w:tab w:val="left" w:pos="142"/>
          <w:tab w:val="left" w:pos="685"/>
        </w:tabs>
        <w:ind w:left="0"/>
        <w:rPr>
          <w:sz w:val="20"/>
          <w:szCs w:val="20"/>
        </w:rPr>
      </w:pPr>
    </w:p>
    <w:p w14:paraId="700D07B7" w14:textId="34BE2C8F" w:rsidR="00F85D5F" w:rsidRPr="00C837DD" w:rsidRDefault="00F85D5F" w:rsidP="00F85D5F">
      <w:pPr>
        <w:pStyle w:val="Prrafodelista"/>
        <w:numPr>
          <w:ilvl w:val="0"/>
          <w:numId w:val="3"/>
        </w:numPr>
        <w:tabs>
          <w:tab w:val="left" w:pos="142"/>
          <w:tab w:val="left" w:pos="685"/>
        </w:tabs>
        <w:ind w:left="0" w:firstLine="0"/>
        <w:rPr>
          <w:sz w:val="20"/>
          <w:szCs w:val="20"/>
        </w:rPr>
      </w:pPr>
      <w:r w:rsidRPr="00C837DD">
        <w:rPr>
          <w:i/>
          <w:sz w:val="20"/>
          <w:szCs w:val="20"/>
        </w:rPr>
        <w:t>Requests of the Inter-American Commission</w:t>
      </w:r>
      <w:r w:rsidRPr="00C837DD">
        <w:rPr>
          <w:sz w:val="20"/>
          <w:szCs w:val="20"/>
        </w:rPr>
        <w:t xml:space="preserve">. </w:t>
      </w:r>
      <w:r w:rsidR="00CA04EB" w:rsidRPr="00C837DD">
        <w:rPr>
          <w:sz w:val="20"/>
          <w:szCs w:val="20"/>
        </w:rPr>
        <w:t>B</w:t>
      </w:r>
      <w:r w:rsidRPr="00C837DD">
        <w:rPr>
          <w:sz w:val="20"/>
          <w:szCs w:val="20"/>
        </w:rPr>
        <w:t xml:space="preserve">ased on </w:t>
      </w:r>
      <w:r w:rsidR="00CA04EB" w:rsidRPr="00C837DD">
        <w:rPr>
          <w:sz w:val="20"/>
          <w:szCs w:val="20"/>
        </w:rPr>
        <w:t>the foregoing</w:t>
      </w:r>
      <w:r w:rsidRPr="00C837DD">
        <w:rPr>
          <w:sz w:val="20"/>
          <w:szCs w:val="20"/>
        </w:rPr>
        <w:t>, the Commission asked th</w:t>
      </w:r>
      <w:r w:rsidR="008E4CB7" w:rsidRPr="00C837DD">
        <w:rPr>
          <w:sz w:val="20"/>
          <w:szCs w:val="20"/>
        </w:rPr>
        <w:t>e</w:t>
      </w:r>
      <w:r w:rsidRPr="00C837DD">
        <w:rPr>
          <w:sz w:val="20"/>
          <w:szCs w:val="20"/>
        </w:rPr>
        <w:t xml:space="preserve"> Court to conclude and declare the </w:t>
      </w:r>
      <w:r w:rsidR="008E4CB7" w:rsidRPr="00C837DD">
        <w:rPr>
          <w:sz w:val="20"/>
          <w:szCs w:val="20"/>
        </w:rPr>
        <w:t xml:space="preserve">State’s </w:t>
      </w:r>
      <w:r w:rsidRPr="00C837DD">
        <w:rPr>
          <w:sz w:val="20"/>
          <w:szCs w:val="20"/>
        </w:rPr>
        <w:t xml:space="preserve">international responsibility for the violations </w:t>
      </w:r>
      <w:r w:rsidR="00584A9E">
        <w:rPr>
          <w:sz w:val="20"/>
          <w:szCs w:val="20"/>
        </w:rPr>
        <w:t xml:space="preserve">established </w:t>
      </w:r>
      <w:r w:rsidRPr="00C837DD">
        <w:rPr>
          <w:sz w:val="20"/>
          <w:szCs w:val="20"/>
        </w:rPr>
        <w:t>in its Merits Report (</w:t>
      </w:r>
      <w:r w:rsidRPr="00C837DD">
        <w:rPr>
          <w:i/>
          <w:sz w:val="20"/>
          <w:szCs w:val="20"/>
        </w:rPr>
        <w:t>supra</w:t>
      </w:r>
      <w:r w:rsidRPr="00C837DD">
        <w:rPr>
          <w:sz w:val="20"/>
          <w:szCs w:val="20"/>
        </w:rPr>
        <w:t xml:space="preserve"> para. 2c) and </w:t>
      </w:r>
      <w:r w:rsidR="008E4CB7" w:rsidRPr="00C837DD">
        <w:rPr>
          <w:sz w:val="20"/>
          <w:szCs w:val="20"/>
        </w:rPr>
        <w:t xml:space="preserve">to </w:t>
      </w:r>
      <w:r w:rsidRPr="00C837DD">
        <w:rPr>
          <w:sz w:val="20"/>
          <w:szCs w:val="20"/>
        </w:rPr>
        <w:t xml:space="preserve">order the measures of reparation described and analyzed in Chapter IX of this </w:t>
      </w:r>
      <w:r w:rsidR="008E4CB7" w:rsidRPr="00C837DD">
        <w:rPr>
          <w:sz w:val="20"/>
          <w:szCs w:val="20"/>
        </w:rPr>
        <w:t>j</w:t>
      </w:r>
      <w:r w:rsidRPr="00C837DD">
        <w:rPr>
          <w:sz w:val="20"/>
          <w:szCs w:val="20"/>
        </w:rPr>
        <w:t>udgment. Th</w:t>
      </w:r>
      <w:r w:rsidR="008E4CB7" w:rsidRPr="00C837DD">
        <w:rPr>
          <w:sz w:val="20"/>
          <w:szCs w:val="20"/>
        </w:rPr>
        <w:t>e</w:t>
      </w:r>
      <w:r w:rsidRPr="00C837DD">
        <w:rPr>
          <w:sz w:val="20"/>
          <w:szCs w:val="20"/>
        </w:rPr>
        <w:t xml:space="preserve"> Court notes with concern that, between the presentation of the initial petition before the Commission and the submission of the case before th</w:t>
      </w:r>
      <w:r w:rsidR="008E4CB7" w:rsidRPr="00C837DD">
        <w:rPr>
          <w:sz w:val="20"/>
          <w:szCs w:val="20"/>
        </w:rPr>
        <w:t>is</w:t>
      </w:r>
      <w:r w:rsidRPr="00C837DD">
        <w:rPr>
          <w:sz w:val="20"/>
          <w:szCs w:val="20"/>
        </w:rPr>
        <w:t xml:space="preserve"> Court, more than 21 years have elapsed.</w:t>
      </w:r>
    </w:p>
    <w:p w14:paraId="3EEDEB9F" w14:textId="77777777" w:rsidR="00F85D5F" w:rsidRPr="00C837DD" w:rsidRDefault="00F85D5F" w:rsidP="00F85D5F">
      <w:pPr>
        <w:pStyle w:val="Prrafodelista"/>
        <w:tabs>
          <w:tab w:val="left" w:pos="142"/>
        </w:tabs>
        <w:ind w:left="0"/>
        <w:rPr>
          <w:sz w:val="20"/>
          <w:szCs w:val="20"/>
        </w:rPr>
      </w:pPr>
    </w:p>
    <w:p w14:paraId="4874FB38" w14:textId="77777777" w:rsidR="00F85D5F" w:rsidRPr="00C837DD" w:rsidRDefault="00F85D5F" w:rsidP="00F85D5F">
      <w:pPr>
        <w:pStyle w:val="Ttulo1"/>
        <w:tabs>
          <w:tab w:val="left" w:pos="142"/>
        </w:tabs>
        <w:rPr>
          <w:w w:val="100"/>
          <w:lang w:val="en-US"/>
        </w:rPr>
      </w:pPr>
      <w:bookmarkStart w:id="5" w:name="II_PROCEDIMIENTO_ANTE_LA_CORTE"/>
      <w:bookmarkStart w:id="6" w:name="_bookmark5"/>
      <w:bookmarkStart w:id="7" w:name="_Toc79178774"/>
      <w:bookmarkStart w:id="8" w:name="_Toc85001861"/>
      <w:bookmarkEnd w:id="5"/>
      <w:bookmarkEnd w:id="6"/>
      <w:r w:rsidRPr="00C837DD">
        <w:rPr>
          <w:w w:val="100"/>
          <w:lang w:val="en-US"/>
        </w:rPr>
        <w:t>II</w:t>
      </w:r>
      <w:bookmarkEnd w:id="7"/>
      <w:r w:rsidRPr="00C837DD">
        <w:rPr>
          <w:w w:val="100"/>
          <w:lang w:val="en-US"/>
        </w:rPr>
        <w:br/>
        <w:t>PROCEEDINGS BEFORE THE COURT</w:t>
      </w:r>
      <w:bookmarkEnd w:id="8"/>
    </w:p>
    <w:p w14:paraId="4AD65F9F" w14:textId="77777777" w:rsidR="00F85D5F" w:rsidRPr="00C837DD" w:rsidRDefault="00F85D5F" w:rsidP="00F85D5F">
      <w:pPr>
        <w:pStyle w:val="Textoindependiente"/>
        <w:tabs>
          <w:tab w:val="left" w:pos="142"/>
        </w:tabs>
        <w:rPr>
          <w:i/>
        </w:rPr>
      </w:pPr>
    </w:p>
    <w:p w14:paraId="1D1F2D28" w14:textId="77777777" w:rsidR="00F85D5F" w:rsidRPr="00C837DD" w:rsidRDefault="00F85D5F" w:rsidP="00F85D5F">
      <w:pPr>
        <w:pStyle w:val="Prrafodelista"/>
        <w:numPr>
          <w:ilvl w:val="0"/>
          <w:numId w:val="3"/>
        </w:numPr>
        <w:tabs>
          <w:tab w:val="left" w:pos="142"/>
          <w:tab w:val="left" w:pos="685"/>
        </w:tabs>
        <w:ind w:left="0" w:firstLine="0"/>
        <w:rPr>
          <w:sz w:val="20"/>
          <w:szCs w:val="20"/>
        </w:rPr>
      </w:pPr>
      <w:r w:rsidRPr="00C837DD">
        <w:rPr>
          <w:i/>
          <w:sz w:val="20"/>
          <w:szCs w:val="20"/>
        </w:rPr>
        <w:t>Notification to the State and to the representatives</w:t>
      </w:r>
      <w:r w:rsidRPr="00C837DD">
        <w:rPr>
          <w:sz w:val="20"/>
          <w:szCs w:val="20"/>
        </w:rPr>
        <w:t>. The submission of the case by the Commission was notified by the Court to the State and to the representatives of the alleged victims</w:t>
      </w:r>
      <w:r w:rsidRPr="00C837DD">
        <w:rPr>
          <w:rStyle w:val="Refdenotaalpie"/>
          <w:sz w:val="20"/>
          <w:szCs w:val="20"/>
        </w:rPr>
        <w:footnoteReference w:id="4"/>
      </w:r>
      <w:r w:rsidRPr="00C837DD">
        <w:rPr>
          <w:sz w:val="20"/>
          <w:szCs w:val="20"/>
        </w:rPr>
        <w:t xml:space="preserve"> (hereinafter “the representatives”) on August 14, 2019.</w:t>
      </w:r>
    </w:p>
    <w:p w14:paraId="50141B91" w14:textId="77777777" w:rsidR="00F85D5F" w:rsidRPr="00C837DD" w:rsidRDefault="00F85D5F" w:rsidP="00F85D5F">
      <w:pPr>
        <w:pStyle w:val="Prrafodelista"/>
        <w:tabs>
          <w:tab w:val="left" w:pos="142"/>
          <w:tab w:val="left" w:pos="685"/>
        </w:tabs>
        <w:ind w:left="0"/>
        <w:rPr>
          <w:sz w:val="20"/>
          <w:szCs w:val="20"/>
        </w:rPr>
      </w:pPr>
    </w:p>
    <w:p w14:paraId="2E7260D2" w14:textId="7369C200"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i/>
          <w:sz w:val="20"/>
          <w:szCs w:val="20"/>
        </w:rPr>
        <w:t xml:space="preserve">Brief of pleadings, motions and evidence. </w:t>
      </w:r>
      <w:r w:rsidRPr="00C837DD">
        <w:rPr>
          <w:sz w:val="20"/>
          <w:szCs w:val="20"/>
        </w:rPr>
        <w:t>On October 21, 2019</w:t>
      </w:r>
      <w:r w:rsidR="008E4CB7" w:rsidRPr="00C837DD">
        <w:rPr>
          <w:sz w:val="20"/>
          <w:szCs w:val="20"/>
        </w:rPr>
        <w:t>,</w:t>
      </w:r>
      <w:r w:rsidRPr="00C837DD">
        <w:rPr>
          <w:sz w:val="20"/>
          <w:szCs w:val="20"/>
        </w:rPr>
        <w:t xml:space="preserve"> the </w:t>
      </w:r>
      <w:r w:rsidRPr="00C837DD">
        <w:rPr>
          <w:rFonts w:eastAsiaTheme="minorHAnsi" w:cs="Arial"/>
          <w:i/>
          <w:sz w:val="20"/>
          <w:szCs w:val="20"/>
        </w:rPr>
        <w:t xml:space="preserve">Gabinete de Assessoria às Organizações Populares </w:t>
      </w:r>
      <w:r w:rsidRPr="00C837DD">
        <w:rPr>
          <w:rFonts w:eastAsiaTheme="minorHAnsi" w:cs="Arial"/>
          <w:sz w:val="20"/>
          <w:szCs w:val="20"/>
        </w:rPr>
        <w:t xml:space="preserve">(GAJOP) and the Center for Justice and International Law (CEJIL) presented </w:t>
      </w:r>
      <w:r w:rsidR="008E4CB7" w:rsidRPr="00C837DD">
        <w:rPr>
          <w:rFonts w:eastAsiaTheme="minorHAnsi" w:cs="Arial"/>
          <w:sz w:val="20"/>
          <w:szCs w:val="20"/>
        </w:rPr>
        <w:t>their</w:t>
      </w:r>
      <w:r w:rsidRPr="00C837DD">
        <w:rPr>
          <w:rFonts w:eastAsiaTheme="minorHAnsi" w:cs="Arial"/>
          <w:sz w:val="20"/>
          <w:szCs w:val="20"/>
        </w:rPr>
        <w:t xml:space="preserve"> brief of pleadings, motions and evidence (hereinafter “pleadings and motions brief”)</w:t>
      </w:r>
      <w:r w:rsidR="008E4CB7" w:rsidRPr="00C837DD">
        <w:rPr>
          <w:rFonts w:eastAsiaTheme="minorHAnsi" w:cs="Arial"/>
          <w:sz w:val="20"/>
          <w:szCs w:val="20"/>
        </w:rPr>
        <w:t xml:space="preserve"> before the Court</w:t>
      </w:r>
      <w:r w:rsidRPr="00C837DD">
        <w:rPr>
          <w:rFonts w:eastAsiaTheme="minorHAnsi" w:cs="Arial"/>
          <w:sz w:val="20"/>
          <w:szCs w:val="20"/>
        </w:rPr>
        <w:t xml:space="preserve">, </w:t>
      </w:r>
      <w:r w:rsidR="008E4CB7" w:rsidRPr="00C837DD">
        <w:rPr>
          <w:rFonts w:eastAsiaTheme="minorHAnsi" w:cs="Arial"/>
          <w:sz w:val="20"/>
          <w:szCs w:val="20"/>
        </w:rPr>
        <w:t xml:space="preserve">pursuant to </w:t>
      </w:r>
      <w:r w:rsidRPr="00C837DD">
        <w:rPr>
          <w:rFonts w:eastAsiaTheme="minorHAnsi" w:cs="Arial"/>
          <w:sz w:val="20"/>
          <w:szCs w:val="20"/>
        </w:rPr>
        <w:t xml:space="preserve">Articles 25 and 40 of the </w:t>
      </w:r>
      <w:r w:rsidR="00584A9E">
        <w:rPr>
          <w:rFonts w:eastAsiaTheme="minorHAnsi" w:cs="Arial"/>
          <w:sz w:val="20"/>
          <w:szCs w:val="20"/>
        </w:rPr>
        <w:t xml:space="preserve">Court’s </w:t>
      </w:r>
      <w:r w:rsidRPr="00C837DD">
        <w:rPr>
          <w:rFonts w:eastAsiaTheme="minorHAnsi" w:cs="Arial"/>
          <w:sz w:val="20"/>
          <w:szCs w:val="20"/>
        </w:rPr>
        <w:t xml:space="preserve">Rules of </w:t>
      </w:r>
      <w:r w:rsidR="008E4CB7" w:rsidRPr="00C837DD">
        <w:rPr>
          <w:rFonts w:eastAsiaTheme="minorHAnsi" w:cs="Arial"/>
          <w:sz w:val="20"/>
          <w:szCs w:val="20"/>
        </w:rPr>
        <w:t>Procedure</w:t>
      </w:r>
      <w:r w:rsidRPr="00C837DD">
        <w:rPr>
          <w:sz w:val="20"/>
          <w:szCs w:val="20"/>
        </w:rPr>
        <w:t>. The representatives agreed substantially with the arguments of the Commission and requested that the Court declare the violation of Articles 8 and 25 of the Convention, in relation to Articles 1(1) and 2 of the same instrument, and of Article 7 of the Convention of Belém do Pará, to the detriment of M.B.S, S.R.S. and Mt.B.S, mother, father and sister</w:t>
      </w:r>
      <w:r w:rsidR="008E4CB7" w:rsidRPr="00C837DD">
        <w:rPr>
          <w:sz w:val="20"/>
          <w:szCs w:val="20"/>
        </w:rPr>
        <w:t>, respectively,</w:t>
      </w:r>
      <w:r w:rsidRPr="00C837DD">
        <w:rPr>
          <w:sz w:val="20"/>
          <w:szCs w:val="20"/>
        </w:rPr>
        <w:t xml:space="preserve"> of Mrs. Barbosa de Souza. They </w:t>
      </w:r>
      <w:r w:rsidR="008E4CB7" w:rsidRPr="00C837DD">
        <w:rPr>
          <w:sz w:val="20"/>
          <w:szCs w:val="20"/>
        </w:rPr>
        <w:t xml:space="preserve">also alleged </w:t>
      </w:r>
      <w:r w:rsidRPr="00C837DD">
        <w:rPr>
          <w:sz w:val="20"/>
          <w:szCs w:val="20"/>
        </w:rPr>
        <w:t xml:space="preserve">that the State violated Article 5 of the Convention, in relation to Article 1(1) of the same instrument, to the detriment of M.B.S, S.R.S. and Mt.B.S. Likewise, </w:t>
      </w:r>
      <w:r w:rsidR="008E4CB7" w:rsidRPr="00C837DD">
        <w:rPr>
          <w:sz w:val="20"/>
          <w:szCs w:val="20"/>
        </w:rPr>
        <w:t xml:space="preserve">they </w:t>
      </w:r>
      <w:r w:rsidR="00DB0D93" w:rsidRPr="00C837DD">
        <w:rPr>
          <w:sz w:val="20"/>
          <w:szCs w:val="20"/>
        </w:rPr>
        <w:t xml:space="preserve">asked the Court to order </w:t>
      </w:r>
      <w:r w:rsidRPr="00C837DD">
        <w:rPr>
          <w:sz w:val="20"/>
          <w:szCs w:val="20"/>
        </w:rPr>
        <w:t xml:space="preserve">measures of non-repetition and </w:t>
      </w:r>
      <w:r w:rsidR="00DB0D93" w:rsidRPr="00C837DD">
        <w:rPr>
          <w:sz w:val="20"/>
          <w:szCs w:val="20"/>
        </w:rPr>
        <w:t xml:space="preserve">to require </w:t>
      </w:r>
      <w:r w:rsidRPr="00C837DD">
        <w:rPr>
          <w:sz w:val="20"/>
          <w:szCs w:val="20"/>
        </w:rPr>
        <w:t xml:space="preserve">the State </w:t>
      </w:r>
      <w:r w:rsidR="00DB0D93" w:rsidRPr="00C837DD">
        <w:rPr>
          <w:sz w:val="20"/>
          <w:szCs w:val="20"/>
        </w:rPr>
        <w:t xml:space="preserve">to </w:t>
      </w:r>
      <w:r w:rsidRPr="00C837DD">
        <w:rPr>
          <w:sz w:val="20"/>
          <w:szCs w:val="20"/>
        </w:rPr>
        <w:t xml:space="preserve">provide adequate reparation to the alleged victims. </w:t>
      </w:r>
      <w:r w:rsidR="00DB0D93" w:rsidRPr="00C837DD">
        <w:rPr>
          <w:sz w:val="20"/>
          <w:szCs w:val="20"/>
        </w:rPr>
        <w:t>T</w:t>
      </w:r>
      <w:r w:rsidRPr="00C837DD">
        <w:rPr>
          <w:sz w:val="20"/>
          <w:szCs w:val="20"/>
        </w:rPr>
        <w:t xml:space="preserve">hrough their representatives, the alleged victims </w:t>
      </w:r>
      <w:r w:rsidR="00DB0D93" w:rsidRPr="00C837DD">
        <w:rPr>
          <w:sz w:val="20"/>
          <w:szCs w:val="20"/>
        </w:rPr>
        <w:t xml:space="preserve">also </w:t>
      </w:r>
      <w:r w:rsidRPr="00C837DD">
        <w:rPr>
          <w:sz w:val="20"/>
          <w:szCs w:val="20"/>
        </w:rPr>
        <w:t>requested access to the Victim’s Legal Assistance Fund of the Inter-American Court (hereinafter “Assistance Fund of the Court” or the “Fund”).</w:t>
      </w:r>
    </w:p>
    <w:p w14:paraId="74F91547" w14:textId="77777777" w:rsidR="00F85D5F" w:rsidRPr="00C837DD" w:rsidRDefault="00F85D5F" w:rsidP="00F85D5F">
      <w:pPr>
        <w:pStyle w:val="Prrafodelista"/>
        <w:tabs>
          <w:tab w:val="left" w:pos="142"/>
          <w:tab w:val="left" w:pos="685"/>
        </w:tabs>
        <w:ind w:left="0"/>
        <w:rPr>
          <w:rFonts w:eastAsiaTheme="minorHAnsi" w:cs="Arial"/>
          <w:sz w:val="20"/>
          <w:szCs w:val="20"/>
        </w:rPr>
      </w:pPr>
    </w:p>
    <w:p w14:paraId="12B23F74" w14:textId="6FB78303"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rFonts w:eastAsiaTheme="minorHAnsi" w:cs="Arial"/>
          <w:i/>
          <w:sz w:val="20"/>
          <w:szCs w:val="20"/>
        </w:rPr>
        <w:t>Answering brief</w:t>
      </w:r>
      <w:r w:rsidRPr="00C837DD">
        <w:rPr>
          <w:rFonts w:eastAsiaTheme="minorHAnsi" w:cs="Arial"/>
          <w:sz w:val="20"/>
          <w:szCs w:val="20"/>
        </w:rPr>
        <w:t>. On February 17, 2020</w:t>
      </w:r>
      <w:r w:rsidR="00DB0D93" w:rsidRPr="00C837DD">
        <w:rPr>
          <w:rFonts w:eastAsiaTheme="minorHAnsi" w:cs="Arial"/>
          <w:sz w:val="20"/>
          <w:szCs w:val="20"/>
        </w:rPr>
        <w:t>,</w:t>
      </w:r>
      <w:r w:rsidRPr="00C837DD">
        <w:rPr>
          <w:rFonts w:eastAsiaTheme="minorHAnsi" w:cs="Arial"/>
          <w:sz w:val="20"/>
          <w:szCs w:val="20"/>
        </w:rPr>
        <w:t xml:space="preserve"> the State</w:t>
      </w:r>
      <w:r w:rsidRPr="00C837DD">
        <w:rPr>
          <w:rStyle w:val="Refdenotaalpie"/>
          <w:rFonts w:eastAsiaTheme="minorHAnsi" w:cs="Arial"/>
          <w:sz w:val="20"/>
          <w:szCs w:val="20"/>
        </w:rPr>
        <w:footnoteReference w:id="5"/>
      </w:r>
      <w:r w:rsidRPr="00C837DD">
        <w:rPr>
          <w:rFonts w:eastAsiaTheme="minorHAnsi" w:cs="Arial"/>
          <w:sz w:val="20"/>
          <w:szCs w:val="20"/>
        </w:rPr>
        <w:t xml:space="preserve"> presented before the Court its answering brief to the submission of the case, to the Merits Report of the Inter-American Commission and to the pleadings and motions brief of the representatives (hereinafter </w:t>
      </w:r>
      <w:r w:rsidRPr="00C837DD">
        <w:rPr>
          <w:rFonts w:eastAsiaTheme="minorHAnsi" w:cs="Arial"/>
          <w:sz w:val="20"/>
          <w:szCs w:val="20"/>
        </w:rPr>
        <w:lastRenderedPageBreak/>
        <w:t xml:space="preserve">“answer” or “answering brief”). In its brief, the State presented three preliminary objections and rejected the </w:t>
      </w:r>
      <w:r w:rsidR="00DB0D93" w:rsidRPr="00C837DD">
        <w:rPr>
          <w:rFonts w:eastAsiaTheme="minorHAnsi" w:cs="Arial"/>
          <w:sz w:val="20"/>
          <w:szCs w:val="20"/>
        </w:rPr>
        <w:t xml:space="preserve">alleged </w:t>
      </w:r>
      <w:r w:rsidRPr="00C837DD">
        <w:rPr>
          <w:rFonts w:eastAsiaTheme="minorHAnsi" w:cs="Arial"/>
          <w:sz w:val="20"/>
          <w:szCs w:val="20"/>
        </w:rPr>
        <w:t xml:space="preserve">violations of </w:t>
      </w:r>
      <w:r w:rsidRPr="00C837DD">
        <w:rPr>
          <w:sz w:val="20"/>
          <w:szCs w:val="20"/>
        </w:rPr>
        <w:t xml:space="preserve">Articles 5, 8 and 25 of the Convention in relation to Article 1(1) </w:t>
      </w:r>
      <w:r w:rsidR="00DB0D93" w:rsidRPr="00C837DD">
        <w:rPr>
          <w:sz w:val="20"/>
          <w:szCs w:val="20"/>
        </w:rPr>
        <w:t>there</w:t>
      </w:r>
      <w:r w:rsidRPr="00C837DD">
        <w:rPr>
          <w:sz w:val="20"/>
          <w:szCs w:val="20"/>
        </w:rPr>
        <w:t xml:space="preserve">of, as well as Article 7 of the Convention of Belém do Pará. </w:t>
      </w:r>
      <w:r w:rsidR="00854342" w:rsidRPr="00C837DD">
        <w:rPr>
          <w:sz w:val="20"/>
          <w:szCs w:val="20"/>
        </w:rPr>
        <w:t>I</w:t>
      </w:r>
      <w:r w:rsidRPr="00C837DD">
        <w:rPr>
          <w:sz w:val="20"/>
          <w:szCs w:val="20"/>
        </w:rPr>
        <w:t xml:space="preserve">t </w:t>
      </w:r>
      <w:r w:rsidR="00854342" w:rsidRPr="00C837DD">
        <w:rPr>
          <w:sz w:val="20"/>
          <w:szCs w:val="20"/>
        </w:rPr>
        <w:t xml:space="preserve">also </w:t>
      </w:r>
      <w:r w:rsidRPr="00C837DD">
        <w:rPr>
          <w:sz w:val="20"/>
          <w:szCs w:val="20"/>
        </w:rPr>
        <w:t xml:space="preserve">objected </w:t>
      </w:r>
      <w:r w:rsidRPr="00C837DD">
        <w:rPr>
          <w:rFonts w:eastAsiaTheme="minorHAnsi" w:cs="Arial"/>
          <w:sz w:val="20"/>
          <w:szCs w:val="20"/>
        </w:rPr>
        <w:t xml:space="preserve">to the measures of reparation </w:t>
      </w:r>
      <w:r w:rsidR="00854342" w:rsidRPr="00C837DD">
        <w:rPr>
          <w:rFonts w:eastAsiaTheme="minorHAnsi" w:cs="Arial"/>
          <w:sz w:val="20"/>
          <w:szCs w:val="20"/>
        </w:rPr>
        <w:t xml:space="preserve">requested </w:t>
      </w:r>
      <w:r w:rsidRPr="00C837DD">
        <w:rPr>
          <w:rFonts w:eastAsiaTheme="minorHAnsi" w:cs="Arial"/>
          <w:sz w:val="20"/>
          <w:szCs w:val="20"/>
        </w:rPr>
        <w:t>by the representatives and the Commission.</w:t>
      </w:r>
    </w:p>
    <w:p w14:paraId="5B3905F4" w14:textId="77777777" w:rsidR="00F85D5F" w:rsidRPr="00C837DD" w:rsidRDefault="00F85D5F" w:rsidP="00F85D5F">
      <w:pPr>
        <w:pStyle w:val="Prrafodelista"/>
        <w:tabs>
          <w:tab w:val="left" w:pos="142"/>
        </w:tabs>
        <w:ind w:left="0"/>
        <w:rPr>
          <w:rFonts w:eastAsiaTheme="minorHAnsi" w:cs="Arial"/>
          <w:sz w:val="20"/>
          <w:szCs w:val="20"/>
        </w:rPr>
      </w:pPr>
    </w:p>
    <w:p w14:paraId="35A6400D" w14:textId="16C3C83A"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rFonts w:eastAsiaTheme="minorHAnsi" w:cs="Arial"/>
          <w:i/>
          <w:sz w:val="20"/>
          <w:szCs w:val="20"/>
        </w:rPr>
        <w:t xml:space="preserve">Observations </w:t>
      </w:r>
      <w:r w:rsidR="00DB0D93" w:rsidRPr="00C837DD">
        <w:rPr>
          <w:rFonts w:eastAsiaTheme="minorHAnsi" w:cs="Arial"/>
          <w:i/>
          <w:sz w:val="20"/>
          <w:szCs w:val="20"/>
        </w:rPr>
        <w:t>on</w:t>
      </w:r>
      <w:r w:rsidRPr="00C837DD">
        <w:rPr>
          <w:rFonts w:eastAsiaTheme="minorHAnsi" w:cs="Arial"/>
          <w:i/>
          <w:sz w:val="20"/>
          <w:szCs w:val="20"/>
        </w:rPr>
        <w:t xml:space="preserve"> the preliminary objections</w:t>
      </w:r>
      <w:r w:rsidRPr="00C837DD">
        <w:rPr>
          <w:rFonts w:eastAsiaTheme="minorHAnsi" w:cs="Arial"/>
          <w:sz w:val="20"/>
          <w:szCs w:val="20"/>
        </w:rPr>
        <w:t xml:space="preserve">. On June 10 and 11, 2020, the representatives and the Commission, respectively, presented their observations on the preliminary objections </w:t>
      </w:r>
      <w:r w:rsidR="0028647F">
        <w:rPr>
          <w:rFonts w:eastAsiaTheme="minorHAnsi" w:cs="Arial"/>
          <w:sz w:val="20"/>
          <w:szCs w:val="20"/>
        </w:rPr>
        <w:t xml:space="preserve">raised </w:t>
      </w:r>
      <w:r w:rsidRPr="00C837DD">
        <w:rPr>
          <w:rFonts w:eastAsiaTheme="minorHAnsi" w:cs="Arial"/>
          <w:sz w:val="20"/>
          <w:szCs w:val="20"/>
        </w:rPr>
        <w:t>by the State.</w:t>
      </w:r>
    </w:p>
    <w:p w14:paraId="45F40777" w14:textId="77777777" w:rsidR="00F85D5F" w:rsidRPr="00C837DD" w:rsidRDefault="00F85D5F" w:rsidP="00F85D5F">
      <w:pPr>
        <w:pStyle w:val="Prrafodelista"/>
        <w:tabs>
          <w:tab w:val="left" w:pos="142"/>
        </w:tabs>
        <w:ind w:left="0"/>
        <w:rPr>
          <w:rFonts w:eastAsiaTheme="minorHAnsi" w:cs="Arial"/>
          <w:i/>
          <w:sz w:val="20"/>
          <w:szCs w:val="20"/>
        </w:rPr>
      </w:pPr>
    </w:p>
    <w:p w14:paraId="3DCF4AC7" w14:textId="0E24CBE9"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rFonts w:eastAsiaTheme="minorHAnsi" w:cs="Arial"/>
          <w:i/>
          <w:sz w:val="20"/>
          <w:szCs w:val="20"/>
        </w:rPr>
        <w:t>Public hearing</w:t>
      </w:r>
      <w:r w:rsidRPr="00C837DD">
        <w:rPr>
          <w:rFonts w:eastAsiaTheme="minorHAnsi" w:cs="Arial"/>
          <w:sz w:val="20"/>
          <w:szCs w:val="20"/>
        </w:rPr>
        <w:t>. Through</w:t>
      </w:r>
      <w:r w:rsidRPr="00C837DD">
        <w:rPr>
          <w:spacing w:val="-10"/>
          <w:sz w:val="20"/>
          <w:szCs w:val="20"/>
        </w:rPr>
        <w:t xml:space="preserve"> an </w:t>
      </w:r>
      <w:r w:rsidR="0028647F">
        <w:rPr>
          <w:spacing w:val="-10"/>
          <w:sz w:val="20"/>
          <w:szCs w:val="20"/>
        </w:rPr>
        <w:t>O</w:t>
      </w:r>
      <w:r w:rsidRPr="00C837DD">
        <w:rPr>
          <w:spacing w:val="-10"/>
          <w:sz w:val="20"/>
          <w:szCs w:val="20"/>
        </w:rPr>
        <w:t xml:space="preserve">rder </w:t>
      </w:r>
      <w:r w:rsidRPr="00C837DD">
        <w:rPr>
          <w:spacing w:val="-9"/>
          <w:sz w:val="20"/>
          <w:szCs w:val="20"/>
        </w:rPr>
        <w:t xml:space="preserve">of </w:t>
      </w:r>
      <w:r w:rsidRPr="00C837DD">
        <w:rPr>
          <w:sz w:val="20"/>
          <w:szCs w:val="20"/>
        </w:rPr>
        <w:t>November 27, 2020</w:t>
      </w:r>
      <w:r w:rsidR="00E94460" w:rsidRPr="00C837DD">
        <w:rPr>
          <w:sz w:val="20"/>
          <w:szCs w:val="20"/>
        </w:rPr>
        <w:t>,</w:t>
      </w:r>
      <w:r w:rsidRPr="00C837DD">
        <w:rPr>
          <w:rStyle w:val="Refdenotaalpie"/>
          <w:sz w:val="20"/>
          <w:szCs w:val="20"/>
        </w:rPr>
        <w:footnoteReference w:id="6"/>
      </w:r>
      <w:r w:rsidRPr="00C837DD">
        <w:rPr>
          <w:spacing w:val="-11"/>
          <w:sz w:val="20"/>
          <w:szCs w:val="20"/>
        </w:rPr>
        <w:t xml:space="preserve"> the </w:t>
      </w:r>
      <w:r w:rsidRPr="00C837DD">
        <w:rPr>
          <w:sz w:val="20"/>
          <w:szCs w:val="20"/>
        </w:rPr>
        <w:t>Presiden</w:t>
      </w:r>
      <w:r w:rsidR="0028647F">
        <w:rPr>
          <w:sz w:val="20"/>
          <w:szCs w:val="20"/>
        </w:rPr>
        <w:t>t</w:t>
      </w:r>
      <w:r w:rsidRPr="00C837DD">
        <w:rPr>
          <w:sz w:val="20"/>
          <w:szCs w:val="20"/>
        </w:rPr>
        <w:t xml:space="preserve"> of the Court </w:t>
      </w:r>
      <w:r w:rsidR="00E94460" w:rsidRPr="00C837DD">
        <w:rPr>
          <w:sz w:val="20"/>
          <w:szCs w:val="20"/>
        </w:rPr>
        <w:t xml:space="preserve">called </w:t>
      </w:r>
      <w:r w:rsidRPr="00C837DD">
        <w:rPr>
          <w:sz w:val="20"/>
          <w:szCs w:val="20"/>
        </w:rPr>
        <w:t xml:space="preserve">the State, the representatives and </w:t>
      </w:r>
      <w:r w:rsidRPr="00C837DD">
        <w:rPr>
          <w:spacing w:val="-8"/>
          <w:sz w:val="20"/>
          <w:szCs w:val="20"/>
        </w:rPr>
        <w:t xml:space="preserve">the </w:t>
      </w:r>
      <w:r w:rsidRPr="00C837DD">
        <w:rPr>
          <w:sz w:val="20"/>
          <w:szCs w:val="20"/>
        </w:rPr>
        <w:t>Inter-American Commission</w:t>
      </w:r>
      <w:r w:rsidRPr="00C837DD">
        <w:rPr>
          <w:spacing w:val="-9"/>
          <w:sz w:val="20"/>
          <w:szCs w:val="20"/>
        </w:rPr>
        <w:t xml:space="preserve"> </w:t>
      </w:r>
      <w:r w:rsidRPr="00C837DD">
        <w:rPr>
          <w:sz w:val="20"/>
          <w:szCs w:val="20"/>
        </w:rPr>
        <w:t>to</w:t>
      </w:r>
      <w:r w:rsidRPr="00C837DD">
        <w:rPr>
          <w:spacing w:val="-10"/>
          <w:sz w:val="20"/>
          <w:szCs w:val="20"/>
        </w:rPr>
        <w:t xml:space="preserve"> a </w:t>
      </w:r>
      <w:r w:rsidRPr="00C837DD">
        <w:rPr>
          <w:sz w:val="20"/>
          <w:szCs w:val="20"/>
        </w:rPr>
        <w:t>public hearing</w:t>
      </w:r>
      <w:r w:rsidRPr="00C837DD">
        <w:rPr>
          <w:spacing w:val="-10"/>
          <w:sz w:val="20"/>
          <w:szCs w:val="20"/>
        </w:rPr>
        <w:t xml:space="preserve"> to receive </w:t>
      </w:r>
      <w:r w:rsidRPr="00C837DD">
        <w:rPr>
          <w:sz w:val="20"/>
          <w:szCs w:val="20"/>
        </w:rPr>
        <w:t>their final</w:t>
      </w:r>
      <w:r w:rsidRPr="00C837DD">
        <w:rPr>
          <w:spacing w:val="-14"/>
          <w:sz w:val="20"/>
          <w:szCs w:val="20"/>
        </w:rPr>
        <w:t xml:space="preserve"> </w:t>
      </w:r>
      <w:r w:rsidRPr="00C837DD">
        <w:rPr>
          <w:sz w:val="20"/>
          <w:szCs w:val="20"/>
        </w:rPr>
        <w:t>oral arguments</w:t>
      </w:r>
      <w:r w:rsidRPr="00C837DD">
        <w:rPr>
          <w:spacing w:val="-14"/>
          <w:sz w:val="20"/>
          <w:szCs w:val="20"/>
        </w:rPr>
        <w:t xml:space="preserve"> and </w:t>
      </w:r>
      <w:r w:rsidRPr="00C837DD">
        <w:rPr>
          <w:sz w:val="20"/>
          <w:szCs w:val="20"/>
        </w:rPr>
        <w:t>observations,</w:t>
      </w:r>
      <w:r w:rsidRPr="00C837DD">
        <w:rPr>
          <w:spacing w:val="-13"/>
          <w:sz w:val="20"/>
          <w:szCs w:val="20"/>
        </w:rPr>
        <w:t xml:space="preserve"> </w:t>
      </w:r>
      <w:r w:rsidRPr="00C837DD">
        <w:rPr>
          <w:sz w:val="20"/>
          <w:szCs w:val="20"/>
        </w:rPr>
        <w:t>respectively,</w:t>
      </w:r>
      <w:r w:rsidRPr="00C837DD">
        <w:rPr>
          <w:spacing w:val="-14"/>
          <w:sz w:val="20"/>
          <w:szCs w:val="20"/>
        </w:rPr>
        <w:t xml:space="preserve"> on </w:t>
      </w:r>
      <w:r w:rsidRPr="00C837DD">
        <w:rPr>
          <w:spacing w:val="-16"/>
          <w:sz w:val="20"/>
          <w:szCs w:val="20"/>
        </w:rPr>
        <w:t xml:space="preserve">the </w:t>
      </w:r>
      <w:r w:rsidRPr="00C837DD">
        <w:rPr>
          <w:sz w:val="20"/>
          <w:szCs w:val="20"/>
        </w:rPr>
        <w:t xml:space="preserve">preliminary objections and </w:t>
      </w:r>
      <w:r w:rsidR="00E94460" w:rsidRPr="00C837DD">
        <w:rPr>
          <w:sz w:val="20"/>
          <w:szCs w:val="20"/>
        </w:rPr>
        <w:t xml:space="preserve">possible </w:t>
      </w:r>
      <w:r w:rsidRPr="00C837DD">
        <w:rPr>
          <w:sz w:val="20"/>
          <w:szCs w:val="20"/>
        </w:rPr>
        <w:t xml:space="preserve">merits, reparations and costs, and to </w:t>
      </w:r>
      <w:r w:rsidR="0028647F">
        <w:rPr>
          <w:sz w:val="20"/>
          <w:szCs w:val="20"/>
        </w:rPr>
        <w:t xml:space="preserve">hear </w:t>
      </w:r>
      <w:r w:rsidRPr="00C837DD">
        <w:rPr>
          <w:sz w:val="20"/>
          <w:szCs w:val="20"/>
        </w:rPr>
        <w:t>the statements of a witness and an expert witness proposed by the representatives; an expert witness proposed by the State, and an expert witness proposed by the Commission. The public hearing was held on February</w:t>
      </w:r>
      <w:r w:rsidRPr="00C837DD">
        <w:rPr>
          <w:spacing w:val="-8"/>
          <w:sz w:val="20"/>
          <w:szCs w:val="20"/>
        </w:rPr>
        <w:t xml:space="preserve"> </w:t>
      </w:r>
      <w:r w:rsidRPr="00C837DD">
        <w:rPr>
          <w:sz w:val="20"/>
          <w:szCs w:val="20"/>
        </w:rPr>
        <w:t>3 and 4, 2021, during the Court’s 139</w:t>
      </w:r>
      <w:r w:rsidR="00E94460" w:rsidRPr="00C837DD">
        <w:rPr>
          <w:sz w:val="20"/>
          <w:szCs w:val="20"/>
          <w:vertAlign w:val="superscript"/>
        </w:rPr>
        <w:t>th</w:t>
      </w:r>
      <w:r w:rsidRPr="00C837DD">
        <w:rPr>
          <w:sz w:val="20"/>
          <w:szCs w:val="20"/>
        </w:rPr>
        <w:t xml:space="preserve"> Regular Session, which took place via videoconference.</w:t>
      </w:r>
      <w:r w:rsidRPr="00C837DD">
        <w:rPr>
          <w:rStyle w:val="Refdenotaalpie"/>
          <w:sz w:val="20"/>
          <w:szCs w:val="20"/>
        </w:rPr>
        <w:footnoteReference w:id="7"/>
      </w:r>
      <w:r w:rsidRPr="00C837DD">
        <w:rPr>
          <w:sz w:val="20"/>
          <w:szCs w:val="20"/>
        </w:rPr>
        <w:t xml:space="preserve"> </w:t>
      </w:r>
    </w:p>
    <w:p w14:paraId="5474995F" w14:textId="77777777" w:rsidR="00F85D5F" w:rsidRPr="00C837DD" w:rsidRDefault="00F85D5F" w:rsidP="00F85D5F">
      <w:pPr>
        <w:pStyle w:val="Prrafodelista"/>
        <w:tabs>
          <w:tab w:val="left" w:pos="142"/>
        </w:tabs>
        <w:ind w:left="0"/>
        <w:rPr>
          <w:i/>
          <w:sz w:val="20"/>
          <w:szCs w:val="20"/>
        </w:rPr>
      </w:pPr>
    </w:p>
    <w:p w14:paraId="182CACA1" w14:textId="740BD386"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i/>
          <w:sz w:val="20"/>
          <w:szCs w:val="20"/>
        </w:rPr>
        <w:t>Amici</w:t>
      </w:r>
      <w:r w:rsidRPr="00C837DD">
        <w:rPr>
          <w:i/>
          <w:spacing w:val="-13"/>
          <w:sz w:val="20"/>
          <w:szCs w:val="20"/>
        </w:rPr>
        <w:t xml:space="preserve"> </w:t>
      </w:r>
      <w:r w:rsidRPr="00C837DD">
        <w:rPr>
          <w:i/>
          <w:sz w:val="20"/>
          <w:szCs w:val="20"/>
        </w:rPr>
        <w:t>curiae.</w:t>
      </w:r>
      <w:r w:rsidRPr="00C837DD">
        <w:rPr>
          <w:i/>
          <w:spacing w:val="-11"/>
          <w:sz w:val="20"/>
          <w:szCs w:val="20"/>
        </w:rPr>
        <w:t xml:space="preserve"> </w:t>
      </w:r>
      <w:r w:rsidRPr="00C837DD">
        <w:rPr>
          <w:spacing w:val="-12"/>
          <w:sz w:val="20"/>
          <w:szCs w:val="20"/>
        </w:rPr>
        <w:t xml:space="preserve">The </w:t>
      </w:r>
      <w:r w:rsidRPr="00C837DD">
        <w:rPr>
          <w:sz w:val="20"/>
          <w:szCs w:val="20"/>
        </w:rPr>
        <w:t>Court</w:t>
      </w:r>
      <w:r w:rsidRPr="00C837DD">
        <w:rPr>
          <w:spacing w:val="-12"/>
          <w:sz w:val="20"/>
          <w:szCs w:val="20"/>
        </w:rPr>
        <w:t xml:space="preserve"> </w:t>
      </w:r>
      <w:r w:rsidRPr="00C837DD">
        <w:rPr>
          <w:sz w:val="20"/>
          <w:szCs w:val="20"/>
        </w:rPr>
        <w:t>received</w:t>
      </w:r>
      <w:r w:rsidRPr="00C837DD">
        <w:rPr>
          <w:spacing w:val="-12"/>
          <w:sz w:val="20"/>
          <w:szCs w:val="20"/>
        </w:rPr>
        <w:t xml:space="preserve"> </w:t>
      </w:r>
      <w:r w:rsidRPr="00C837DD">
        <w:rPr>
          <w:sz w:val="20"/>
          <w:szCs w:val="20"/>
        </w:rPr>
        <w:t xml:space="preserve">six </w:t>
      </w:r>
      <w:r w:rsidRPr="00C837DD">
        <w:rPr>
          <w:i/>
          <w:sz w:val="20"/>
          <w:szCs w:val="20"/>
        </w:rPr>
        <w:t>amic</w:t>
      </w:r>
      <w:r w:rsidR="003E1EB1" w:rsidRPr="00C837DD">
        <w:rPr>
          <w:i/>
          <w:sz w:val="20"/>
          <w:szCs w:val="20"/>
        </w:rPr>
        <w:t>i</w:t>
      </w:r>
      <w:r w:rsidRPr="00C837DD">
        <w:rPr>
          <w:i/>
          <w:spacing w:val="-11"/>
          <w:sz w:val="20"/>
          <w:szCs w:val="20"/>
        </w:rPr>
        <w:t xml:space="preserve"> </w:t>
      </w:r>
      <w:r w:rsidRPr="00C837DD">
        <w:rPr>
          <w:i/>
          <w:sz w:val="20"/>
          <w:szCs w:val="20"/>
        </w:rPr>
        <w:t>curiae</w:t>
      </w:r>
      <w:r w:rsidRPr="00C837DD">
        <w:rPr>
          <w:i/>
          <w:spacing w:val="-14"/>
          <w:sz w:val="20"/>
          <w:szCs w:val="20"/>
        </w:rPr>
        <w:t xml:space="preserve"> </w:t>
      </w:r>
      <w:r w:rsidRPr="00C837DD">
        <w:rPr>
          <w:sz w:val="20"/>
          <w:szCs w:val="20"/>
        </w:rPr>
        <w:t>brief</w:t>
      </w:r>
      <w:r w:rsidR="00E94460" w:rsidRPr="00C837DD">
        <w:rPr>
          <w:sz w:val="20"/>
          <w:szCs w:val="20"/>
        </w:rPr>
        <w:t>s</w:t>
      </w:r>
      <w:r w:rsidRPr="00C837DD">
        <w:rPr>
          <w:sz w:val="20"/>
          <w:szCs w:val="20"/>
        </w:rPr>
        <w:t xml:space="preserve"> presented by: 1)</w:t>
      </w:r>
      <w:r w:rsidRPr="00C837DD">
        <w:rPr>
          <w:rFonts w:eastAsiaTheme="minorHAnsi" w:cs="Times New Roman"/>
          <w:sz w:val="20"/>
          <w:szCs w:val="20"/>
        </w:rPr>
        <w:t xml:space="preserve"> lawyers and investigators </w:t>
      </w:r>
      <w:r w:rsidR="00891485" w:rsidRPr="00C837DD">
        <w:rPr>
          <w:rFonts w:eastAsiaTheme="minorHAnsi" w:cs="Times New Roman"/>
          <w:sz w:val="20"/>
          <w:szCs w:val="20"/>
        </w:rPr>
        <w:t xml:space="preserve">from </w:t>
      </w:r>
      <w:r w:rsidRPr="00C837DD">
        <w:rPr>
          <w:rFonts w:eastAsiaTheme="minorHAnsi" w:cs="Times New Roman"/>
          <w:sz w:val="20"/>
          <w:szCs w:val="20"/>
        </w:rPr>
        <w:t>Brazil</w:t>
      </w:r>
      <w:r w:rsidRPr="00C837DD">
        <w:rPr>
          <w:rStyle w:val="Refdenotaalpie"/>
          <w:rFonts w:eastAsiaTheme="minorHAnsi" w:cs="Times New Roman"/>
          <w:sz w:val="20"/>
          <w:szCs w:val="20"/>
        </w:rPr>
        <w:footnoteReference w:id="8"/>
      </w:r>
      <w:r w:rsidRPr="00C837DD">
        <w:rPr>
          <w:sz w:val="20"/>
          <w:szCs w:val="20"/>
        </w:rPr>
        <w:t>; 2) the International Law Clinic of the University of Curitiba (UNICURITIBA)</w:t>
      </w:r>
      <w:r w:rsidRPr="00C837DD">
        <w:rPr>
          <w:rStyle w:val="Refdenotaalpie"/>
          <w:sz w:val="20"/>
          <w:szCs w:val="20"/>
        </w:rPr>
        <w:footnoteReference w:id="9"/>
      </w:r>
      <w:r w:rsidRPr="00C837DD">
        <w:rPr>
          <w:sz w:val="20"/>
          <w:szCs w:val="20"/>
        </w:rPr>
        <w:t>; 3) the Human Rights and Environmental Law Clinic of the University of the State of Amazonas</w:t>
      </w:r>
      <w:r w:rsidRPr="00C837DD">
        <w:rPr>
          <w:rStyle w:val="Refdenotaalpie"/>
          <w:sz w:val="20"/>
          <w:szCs w:val="20"/>
        </w:rPr>
        <w:footnoteReference w:id="10"/>
      </w:r>
      <w:r w:rsidRPr="00C837DD">
        <w:rPr>
          <w:sz w:val="20"/>
          <w:szCs w:val="20"/>
        </w:rPr>
        <w:t xml:space="preserve">; 4) the International Human Rights Clinic of the Federal </w:t>
      </w:r>
      <w:r w:rsidR="00891485" w:rsidRPr="00C837DD">
        <w:rPr>
          <w:sz w:val="20"/>
          <w:szCs w:val="20"/>
        </w:rPr>
        <w:t xml:space="preserve">University </w:t>
      </w:r>
      <w:r w:rsidRPr="00C837DD">
        <w:rPr>
          <w:sz w:val="20"/>
          <w:szCs w:val="20"/>
        </w:rPr>
        <w:t xml:space="preserve">of Rio </w:t>
      </w:r>
      <w:r w:rsidRPr="00C837DD">
        <w:rPr>
          <w:sz w:val="20"/>
          <w:szCs w:val="20"/>
        </w:rPr>
        <w:lastRenderedPageBreak/>
        <w:t>de Janeiro</w:t>
      </w:r>
      <w:r w:rsidRPr="00C837DD">
        <w:rPr>
          <w:rStyle w:val="Refdenotaalpie"/>
          <w:sz w:val="20"/>
          <w:szCs w:val="20"/>
        </w:rPr>
        <w:footnoteReference w:id="11"/>
      </w:r>
      <w:r w:rsidRPr="00C837DD">
        <w:rPr>
          <w:sz w:val="20"/>
          <w:szCs w:val="20"/>
        </w:rPr>
        <w:t xml:space="preserve">; 5) the Human Rights Clinic of the </w:t>
      </w:r>
      <w:r w:rsidR="00EB69A7" w:rsidRPr="00C837DD">
        <w:rPr>
          <w:sz w:val="20"/>
          <w:szCs w:val="20"/>
        </w:rPr>
        <w:t>Brazilian</w:t>
      </w:r>
      <w:r w:rsidRPr="00C837DD">
        <w:rPr>
          <w:sz w:val="20"/>
          <w:szCs w:val="20"/>
        </w:rPr>
        <w:t xml:space="preserve"> Institute for Teaching, Research and Development (IDP)</w:t>
      </w:r>
      <w:r w:rsidRPr="00C837DD">
        <w:rPr>
          <w:rStyle w:val="Refdenotaalpie"/>
          <w:sz w:val="20"/>
          <w:szCs w:val="20"/>
        </w:rPr>
        <w:footnoteReference w:id="12"/>
      </w:r>
      <w:r w:rsidRPr="00C837DD">
        <w:rPr>
          <w:sz w:val="20"/>
          <w:szCs w:val="20"/>
        </w:rPr>
        <w:t xml:space="preserve">, and 6) the Human Rights Clinic of the </w:t>
      </w:r>
      <w:r w:rsidR="008E6E4D" w:rsidRPr="00C837DD">
        <w:rPr>
          <w:sz w:val="20"/>
          <w:szCs w:val="20"/>
        </w:rPr>
        <w:t xml:space="preserve">Federal </w:t>
      </w:r>
      <w:r w:rsidRPr="00C837DD">
        <w:rPr>
          <w:sz w:val="20"/>
          <w:szCs w:val="20"/>
        </w:rPr>
        <w:t>Universi</w:t>
      </w:r>
      <w:r w:rsidR="008E6E4D" w:rsidRPr="00C837DD">
        <w:rPr>
          <w:sz w:val="20"/>
          <w:szCs w:val="20"/>
        </w:rPr>
        <w:t xml:space="preserve">ty </w:t>
      </w:r>
      <w:r w:rsidRPr="00C837DD">
        <w:rPr>
          <w:sz w:val="20"/>
          <w:szCs w:val="20"/>
        </w:rPr>
        <w:t>of Bahia</w:t>
      </w:r>
      <w:r w:rsidR="008E6E4D" w:rsidRPr="00C837DD">
        <w:rPr>
          <w:sz w:val="20"/>
          <w:szCs w:val="20"/>
        </w:rPr>
        <w:t>.</w:t>
      </w:r>
      <w:r w:rsidRPr="00C837DD">
        <w:rPr>
          <w:rStyle w:val="Refdenotaalpie"/>
          <w:sz w:val="20"/>
          <w:szCs w:val="20"/>
        </w:rPr>
        <w:footnoteReference w:id="13"/>
      </w:r>
      <w:r w:rsidRPr="00C837DD">
        <w:rPr>
          <w:sz w:val="20"/>
          <w:szCs w:val="20"/>
        </w:rPr>
        <w:t xml:space="preserve"> </w:t>
      </w:r>
    </w:p>
    <w:p w14:paraId="04E74B2C" w14:textId="77777777" w:rsidR="00F85D5F" w:rsidRPr="00C837DD" w:rsidRDefault="00F85D5F" w:rsidP="00F85D5F">
      <w:pPr>
        <w:pStyle w:val="Prrafodelista"/>
        <w:tabs>
          <w:tab w:val="left" w:pos="142"/>
        </w:tabs>
        <w:ind w:left="0"/>
        <w:rPr>
          <w:i/>
          <w:sz w:val="20"/>
          <w:szCs w:val="20"/>
        </w:rPr>
      </w:pPr>
    </w:p>
    <w:p w14:paraId="383B90AE" w14:textId="78621CBD" w:rsidR="00F85D5F" w:rsidRPr="00C837DD" w:rsidRDefault="008E6E4D" w:rsidP="00F85D5F">
      <w:pPr>
        <w:pStyle w:val="Prrafodelista"/>
        <w:numPr>
          <w:ilvl w:val="0"/>
          <w:numId w:val="3"/>
        </w:numPr>
        <w:tabs>
          <w:tab w:val="left" w:pos="142"/>
          <w:tab w:val="left" w:pos="685"/>
        </w:tabs>
        <w:ind w:left="0" w:firstLine="0"/>
        <w:rPr>
          <w:rFonts w:eastAsiaTheme="minorHAnsi" w:cs="Arial"/>
          <w:sz w:val="20"/>
          <w:szCs w:val="20"/>
        </w:rPr>
      </w:pPr>
      <w:r w:rsidRPr="00C837DD">
        <w:rPr>
          <w:i/>
          <w:sz w:val="20"/>
          <w:szCs w:val="20"/>
        </w:rPr>
        <w:t>Final written a</w:t>
      </w:r>
      <w:r w:rsidR="00F85D5F" w:rsidRPr="00C837DD">
        <w:rPr>
          <w:i/>
          <w:sz w:val="20"/>
          <w:szCs w:val="20"/>
        </w:rPr>
        <w:t>rguments and observations.</w:t>
      </w:r>
      <w:r w:rsidR="00F85D5F" w:rsidRPr="00C837DD">
        <w:rPr>
          <w:sz w:val="20"/>
          <w:szCs w:val="20"/>
        </w:rPr>
        <w:t xml:space="preserve"> On March 5, 2021, the representatives</w:t>
      </w:r>
      <w:r w:rsidR="00F85D5F" w:rsidRPr="00C837DD">
        <w:rPr>
          <w:rStyle w:val="Refdenotaalpie"/>
          <w:sz w:val="20"/>
          <w:szCs w:val="20"/>
        </w:rPr>
        <w:footnoteReference w:id="14"/>
      </w:r>
      <w:r w:rsidR="00F85D5F" w:rsidRPr="00C837DD">
        <w:rPr>
          <w:sz w:val="20"/>
          <w:szCs w:val="20"/>
        </w:rPr>
        <w:t xml:space="preserve"> and the State submitted their final written arguments </w:t>
      </w:r>
      <w:r w:rsidRPr="00C837DD">
        <w:rPr>
          <w:sz w:val="20"/>
          <w:szCs w:val="20"/>
        </w:rPr>
        <w:t xml:space="preserve">with </w:t>
      </w:r>
      <w:r w:rsidR="00A26FA5" w:rsidRPr="00C837DD">
        <w:rPr>
          <w:sz w:val="20"/>
          <w:szCs w:val="20"/>
        </w:rPr>
        <w:t xml:space="preserve">the </w:t>
      </w:r>
      <w:r w:rsidR="00F85D5F" w:rsidRPr="00C837DD">
        <w:rPr>
          <w:sz w:val="20"/>
          <w:szCs w:val="20"/>
        </w:rPr>
        <w:t>attached documents, and the Commission presented its final written observations.</w:t>
      </w:r>
    </w:p>
    <w:p w14:paraId="602A37CE" w14:textId="77777777" w:rsidR="00F85D5F" w:rsidRPr="00C837DD" w:rsidRDefault="00F85D5F" w:rsidP="00F85D5F">
      <w:pPr>
        <w:pStyle w:val="Prrafodelista"/>
        <w:tabs>
          <w:tab w:val="left" w:pos="142"/>
        </w:tabs>
        <w:ind w:left="0"/>
        <w:rPr>
          <w:i/>
          <w:sz w:val="20"/>
          <w:szCs w:val="20"/>
        </w:rPr>
      </w:pPr>
    </w:p>
    <w:p w14:paraId="4EABB672" w14:textId="0AC9F35A"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i/>
          <w:sz w:val="20"/>
          <w:szCs w:val="20"/>
        </w:rPr>
        <w:t>Observations of the parties and of the Commission</w:t>
      </w:r>
      <w:r w:rsidRPr="00C837DD">
        <w:rPr>
          <w:sz w:val="20"/>
          <w:szCs w:val="20"/>
        </w:rPr>
        <w:t>. On March 24, 2021</w:t>
      </w:r>
      <w:r w:rsidR="00A26FA5" w:rsidRPr="00C837DD">
        <w:rPr>
          <w:sz w:val="20"/>
          <w:szCs w:val="20"/>
        </w:rPr>
        <w:t>,</w:t>
      </w:r>
      <w:r w:rsidRPr="00C837DD">
        <w:rPr>
          <w:sz w:val="20"/>
          <w:szCs w:val="20"/>
        </w:rPr>
        <w:t xml:space="preserve"> the State and the Commission </w:t>
      </w:r>
      <w:r w:rsidR="00A26FA5" w:rsidRPr="00C837DD">
        <w:rPr>
          <w:sz w:val="20"/>
          <w:szCs w:val="20"/>
        </w:rPr>
        <w:t xml:space="preserve">submitted comments </w:t>
      </w:r>
      <w:r w:rsidRPr="00C837DD">
        <w:rPr>
          <w:sz w:val="20"/>
          <w:szCs w:val="20"/>
        </w:rPr>
        <w:t xml:space="preserve">on the </w:t>
      </w:r>
      <w:r w:rsidR="00A26FA5" w:rsidRPr="00C837DD">
        <w:rPr>
          <w:sz w:val="20"/>
          <w:szCs w:val="20"/>
        </w:rPr>
        <w:t>a</w:t>
      </w:r>
      <w:r w:rsidRPr="00C837DD">
        <w:rPr>
          <w:sz w:val="20"/>
          <w:szCs w:val="20"/>
        </w:rPr>
        <w:t>nnexes presented by the representatives. In this regard, the Commission indicated that it had no observations.</w:t>
      </w:r>
    </w:p>
    <w:p w14:paraId="2C8320BC" w14:textId="77777777" w:rsidR="00F85D5F" w:rsidRPr="00C837DD" w:rsidRDefault="00F85D5F" w:rsidP="00F85D5F">
      <w:pPr>
        <w:pStyle w:val="Prrafodelista"/>
        <w:tabs>
          <w:tab w:val="left" w:pos="142"/>
        </w:tabs>
        <w:ind w:left="0"/>
        <w:rPr>
          <w:i/>
          <w:sz w:val="20"/>
          <w:szCs w:val="20"/>
        </w:rPr>
      </w:pPr>
    </w:p>
    <w:p w14:paraId="3D8BA6A9" w14:textId="42BE48C3"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i/>
          <w:sz w:val="20"/>
          <w:szCs w:val="20"/>
        </w:rPr>
        <w:t>Deliberation of the instant case</w:t>
      </w:r>
      <w:r w:rsidRPr="00C837DD">
        <w:rPr>
          <w:sz w:val="20"/>
          <w:szCs w:val="20"/>
        </w:rPr>
        <w:t>. The Court deliberated th</w:t>
      </w:r>
      <w:r w:rsidR="00A26FA5" w:rsidRPr="00C837DD">
        <w:rPr>
          <w:sz w:val="20"/>
          <w:szCs w:val="20"/>
        </w:rPr>
        <w:t>e present</w:t>
      </w:r>
      <w:r w:rsidRPr="00C837DD">
        <w:rPr>
          <w:sz w:val="20"/>
          <w:szCs w:val="20"/>
        </w:rPr>
        <w:t xml:space="preserve"> judgment </w:t>
      </w:r>
      <w:r w:rsidR="00A26FA5" w:rsidRPr="00C837DD">
        <w:rPr>
          <w:sz w:val="20"/>
          <w:szCs w:val="20"/>
        </w:rPr>
        <w:t xml:space="preserve">through </w:t>
      </w:r>
      <w:r w:rsidRPr="00C837DD">
        <w:rPr>
          <w:sz w:val="20"/>
          <w:szCs w:val="20"/>
        </w:rPr>
        <w:t>a virtual session held on September 6 and 7, 2021.</w:t>
      </w:r>
      <w:r w:rsidRPr="00C837DD">
        <w:rPr>
          <w:rStyle w:val="Refdenotaalpie"/>
          <w:sz w:val="20"/>
          <w:szCs w:val="20"/>
        </w:rPr>
        <w:footnoteReference w:id="15"/>
      </w:r>
    </w:p>
    <w:p w14:paraId="31857D7C" w14:textId="77777777" w:rsidR="00F85D5F" w:rsidRPr="00C837DD" w:rsidRDefault="00F85D5F" w:rsidP="00F85D5F">
      <w:pPr>
        <w:pStyle w:val="Prrafodelista"/>
        <w:tabs>
          <w:tab w:val="left" w:pos="142"/>
        </w:tabs>
        <w:ind w:left="0"/>
        <w:rPr>
          <w:sz w:val="20"/>
          <w:szCs w:val="20"/>
        </w:rPr>
      </w:pPr>
    </w:p>
    <w:p w14:paraId="692BBA96" w14:textId="77777777" w:rsidR="00F85D5F" w:rsidRPr="00C837DD" w:rsidRDefault="00F85D5F" w:rsidP="00F85D5F">
      <w:pPr>
        <w:pStyle w:val="Ttulo1"/>
        <w:tabs>
          <w:tab w:val="left" w:pos="142"/>
        </w:tabs>
        <w:rPr>
          <w:w w:val="100"/>
          <w:lang w:val="en-US"/>
        </w:rPr>
      </w:pPr>
      <w:bookmarkStart w:id="9" w:name="_Toc79178776"/>
      <w:bookmarkStart w:id="10" w:name="_Toc85001862"/>
      <w:r w:rsidRPr="00C837DD">
        <w:rPr>
          <w:w w:val="100"/>
          <w:lang w:val="en-US"/>
        </w:rPr>
        <w:t>III</w:t>
      </w:r>
      <w:bookmarkEnd w:id="9"/>
      <w:r w:rsidRPr="00C837DD">
        <w:rPr>
          <w:w w:val="100"/>
          <w:lang w:val="en-US"/>
        </w:rPr>
        <w:br/>
        <w:t>JURISDICTION</w:t>
      </w:r>
      <w:bookmarkEnd w:id="10"/>
    </w:p>
    <w:p w14:paraId="4DA203B4" w14:textId="77777777" w:rsidR="00F85D5F" w:rsidRPr="00C837DD" w:rsidRDefault="00F85D5F" w:rsidP="00F85D5F">
      <w:pPr>
        <w:tabs>
          <w:tab w:val="left" w:pos="142"/>
        </w:tabs>
        <w:rPr>
          <w:sz w:val="20"/>
          <w:szCs w:val="20"/>
        </w:rPr>
      </w:pPr>
    </w:p>
    <w:p w14:paraId="5B74E9DB" w14:textId="3C23A43E" w:rsidR="00F85D5F" w:rsidRPr="00C837DD" w:rsidRDefault="00F85D5F" w:rsidP="00F85D5F">
      <w:pPr>
        <w:pStyle w:val="Prrafodelista"/>
        <w:numPr>
          <w:ilvl w:val="0"/>
          <w:numId w:val="3"/>
        </w:numPr>
        <w:tabs>
          <w:tab w:val="left" w:pos="142"/>
          <w:tab w:val="left" w:pos="685"/>
        </w:tabs>
        <w:ind w:left="0" w:firstLine="0"/>
        <w:rPr>
          <w:rFonts w:eastAsiaTheme="minorHAnsi" w:cs="Arial"/>
          <w:sz w:val="20"/>
          <w:szCs w:val="20"/>
        </w:rPr>
      </w:pPr>
      <w:r w:rsidRPr="00C837DD">
        <w:rPr>
          <w:sz w:val="20"/>
          <w:szCs w:val="20"/>
        </w:rPr>
        <w:t>The Inter-American Court has jurisdiction to hear this case, in the terms of Article 62</w:t>
      </w:r>
      <w:r w:rsidR="00A26FA5" w:rsidRPr="00C837DD">
        <w:rPr>
          <w:sz w:val="20"/>
          <w:szCs w:val="20"/>
        </w:rPr>
        <w:t>(</w:t>
      </w:r>
      <w:r w:rsidRPr="00C837DD">
        <w:rPr>
          <w:sz w:val="20"/>
          <w:szCs w:val="20"/>
        </w:rPr>
        <w:t>3</w:t>
      </w:r>
      <w:r w:rsidR="00A26FA5" w:rsidRPr="00C837DD">
        <w:rPr>
          <w:sz w:val="20"/>
          <w:szCs w:val="20"/>
        </w:rPr>
        <w:t>)</w:t>
      </w:r>
      <w:r w:rsidRPr="00C837DD">
        <w:rPr>
          <w:sz w:val="20"/>
          <w:szCs w:val="20"/>
        </w:rPr>
        <w:t xml:space="preserve"> of the American Convention, </w:t>
      </w:r>
      <w:r w:rsidR="003E1EB1" w:rsidRPr="00C837DD">
        <w:rPr>
          <w:sz w:val="20"/>
          <w:szCs w:val="20"/>
        </w:rPr>
        <w:t xml:space="preserve">because </w:t>
      </w:r>
      <w:r w:rsidRPr="00C837DD">
        <w:rPr>
          <w:sz w:val="20"/>
          <w:szCs w:val="20"/>
        </w:rPr>
        <w:t xml:space="preserve">Brazil </w:t>
      </w:r>
      <w:r w:rsidR="003E1EB1" w:rsidRPr="00C837DD">
        <w:rPr>
          <w:sz w:val="20"/>
          <w:szCs w:val="20"/>
        </w:rPr>
        <w:t>ha</w:t>
      </w:r>
      <w:r w:rsidRPr="00C837DD">
        <w:rPr>
          <w:sz w:val="20"/>
          <w:szCs w:val="20"/>
        </w:rPr>
        <w:t xml:space="preserve">s </w:t>
      </w:r>
      <w:r w:rsidR="003E1EB1" w:rsidRPr="00C837DD">
        <w:rPr>
          <w:sz w:val="20"/>
          <w:szCs w:val="20"/>
        </w:rPr>
        <w:t xml:space="preserve">been a </w:t>
      </w:r>
      <w:r w:rsidRPr="00C837DD">
        <w:rPr>
          <w:sz w:val="20"/>
          <w:szCs w:val="20"/>
        </w:rPr>
        <w:t>State Party to that instrument since September 25, 1992, and accepted the contentious jurisdiction of th</w:t>
      </w:r>
      <w:r w:rsidR="003E1EB1" w:rsidRPr="00C837DD">
        <w:rPr>
          <w:sz w:val="20"/>
          <w:szCs w:val="20"/>
        </w:rPr>
        <w:t>e</w:t>
      </w:r>
      <w:r w:rsidRPr="00C837DD">
        <w:rPr>
          <w:sz w:val="20"/>
          <w:szCs w:val="20"/>
        </w:rPr>
        <w:t xml:space="preserve"> Court on December 10, 1998. Brazil also ratified the Convention of Belém do Pará on November 27, 1995.</w:t>
      </w:r>
    </w:p>
    <w:p w14:paraId="2F3C4BC1" w14:textId="77777777" w:rsidR="00F85D5F" w:rsidRPr="00C837DD" w:rsidRDefault="00F85D5F" w:rsidP="00F85D5F">
      <w:pPr>
        <w:tabs>
          <w:tab w:val="left" w:pos="142"/>
          <w:tab w:val="left" w:pos="687"/>
        </w:tabs>
        <w:rPr>
          <w:sz w:val="20"/>
          <w:szCs w:val="20"/>
        </w:rPr>
      </w:pPr>
    </w:p>
    <w:p w14:paraId="3732F2BF" w14:textId="77777777" w:rsidR="00F85D5F" w:rsidRPr="00C837DD" w:rsidRDefault="00F85D5F" w:rsidP="00F85D5F">
      <w:pPr>
        <w:pStyle w:val="Ttulo1"/>
        <w:tabs>
          <w:tab w:val="left" w:pos="142"/>
        </w:tabs>
        <w:rPr>
          <w:w w:val="100"/>
          <w:lang w:val="en-US"/>
        </w:rPr>
      </w:pPr>
      <w:bookmarkStart w:id="11" w:name="IV_Excepciones_Preliminares"/>
      <w:bookmarkStart w:id="12" w:name="_bookmark12"/>
      <w:bookmarkStart w:id="13" w:name="_Toc79178778"/>
      <w:bookmarkStart w:id="14" w:name="_Toc85001863"/>
      <w:bookmarkEnd w:id="11"/>
      <w:bookmarkEnd w:id="12"/>
      <w:r w:rsidRPr="00C837DD">
        <w:rPr>
          <w:w w:val="100"/>
          <w:lang w:val="en-US"/>
        </w:rPr>
        <w:t>IV</w:t>
      </w:r>
      <w:bookmarkEnd w:id="13"/>
      <w:r w:rsidRPr="00C837DD">
        <w:rPr>
          <w:w w:val="100"/>
          <w:lang w:val="en-US"/>
        </w:rPr>
        <w:br/>
        <w:t>PRELIMINARY OBJECTIONS</w:t>
      </w:r>
      <w:bookmarkEnd w:id="14"/>
    </w:p>
    <w:p w14:paraId="389755BD" w14:textId="77777777" w:rsidR="00F85D5F" w:rsidRPr="00C837DD" w:rsidRDefault="00F85D5F" w:rsidP="00F85D5F">
      <w:pPr>
        <w:tabs>
          <w:tab w:val="left" w:pos="142"/>
          <w:tab w:val="left" w:pos="687"/>
        </w:tabs>
        <w:rPr>
          <w:sz w:val="20"/>
          <w:szCs w:val="20"/>
        </w:rPr>
      </w:pPr>
    </w:p>
    <w:p w14:paraId="20C11106" w14:textId="26BD8CA6" w:rsidR="00F85D5F" w:rsidRPr="00C837DD" w:rsidRDefault="00F85D5F" w:rsidP="00F85D5F">
      <w:pPr>
        <w:pStyle w:val="Prrafodelista"/>
        <w:widowControl/>
        <w:numPr>
          <w:ilvl w:val="0"/>
          <w:numId w:val="6"/>
        </w:numPr>
        <w:autoSpaceDE/>
        <w:autoSpaceDN/>
        <w:ind w:left="0" w:firstLine="0"/>
        <w:rPr>
          <w:sz w:val="20"/>
          <w:szCs w:val="20"/>
          <w:lang w:eastAsia="es-ES"/>
        </w:rPr>
      </w:pPr>
      <w:r w:rsidRPr="00C837DD">
        <w:rPr>
          <w:sz w:val="20"/>
          <w:szCs w:val="20"/>
        </w:rPr>
        <w:t xml:space="preserve">In the case </w:t>
      </w:r>
      <w:r w:rsidRPr="00C837DD">
        <w:rPr>
          <w:i/>
          <w:sz w:val="20"/>
          <w:szCs w:val="20"/>
        </w:rPr>
        <w:t>sub judice,</w:t>
      </w:r>
      <w:r w:rsidRPr="00C837DD">
        <w:rPr>
          <w:sz w:val="20"/>
          <w:szCs w:val="20"/>
        </w:rPr>
        <w:t xml:space="preserve"> the </w:t>
      </w:r>
      <w:r w:rsidRPr="00C837DD">
        <w:rPr>
          <w:b/>
          <w:bCs/>
          <w:i/>
          <w:iCs/>
          <w:sz w:val="20"/>
          <w:szCs w:val="20"/>
        </w:rPr>
        <w:t>State</w:t>
      </w:r>
      <w:r w:rsidRPr="00C837DD">
        <w:rPr>
          <w:b/>
          <w:i/>
          <w:sz w:val="20"/>
          <w:szCs w:val="20"/>
        </w:rPr>
        <w:t xml:space="preserve"> </w:t>
      </w:r>
      <w:r w:rsidRPr="00C837DD">
        <w:rPr>
          <w:sz w:val="20"/>
          <w:szCs w:val="20"/>
        </w:rPr>
        <w:t xml:space="preserve">presented </w:t>
      </w:r>
      <w:r w:rsidR="00C62AB1" w:rsidRPr="00C837DD">
        <w:rPr>
          <w:sz w:val="20"/>
          <w:szCs w:val="20"/>
        </w:rPr>
        <w:t xml:space="preserve">the following </w:t>
      </w:r>
      <w:r w:rsidRPr="00C837DD">
        <w:rPr>
          <w:sz w:val="20"/>
          <w:szCs w:val="20"/>
        </w:rPr>
        <w:t xml:space="preserve">preliminary objections: a) </w:t>
      </w:r>
      <w:r w:rsidR="005F13BF" w:rsidRPr="00C837DD">
        <w:rPr>
          <w:sz w:val="20"/>
          <w:szCs w:val="20"/>
        </w:rPr>
        <w:t xml:space="preserve">the Court’s </w:t>
      </w:r>
      <w:r w:rsidRPr="00C837DD">
        <w:rPr>
          <w:sz w:val="20"/>
          <w:szCs w:val="20"/>
        </w:rPr>
        <w:t xml:space="preserve">lack of </w:t>
      </w:r>
      <w:r w:rsidRPr="00C837DD">
        <w:rPr>
          <w:bCs/>
          <w:sz w:val="20"/>
          <w:szCs w:val="20"/>
        </w:rPr>
        <w:t>jurisdiction</w:t>
      </w:r>
      <w:r w:rsidRPr="00C837DD">
        <w:rPr>
          <w:sz w:val="20"/>
          <w:szCs w:val="20"/>
        </w:rPr>
        <w:t xml:space="preserve"> </w:t>
      </w:r>
      <w:r w:rsidRPr="00C837DD">
        <w:rPr>
          <w:i/>
          <w:sz w:val="20"/>
          <w:szCs w:val="20"/>
        </w:rPr>
        <w:t>ratione temporis</w:t>
      </w:r>
      <w:r w:rsidRPr="00C837DD">
        <w:rPr>
          <w:sz w:val="20"/>
          <w:szCs w:val="20"/>
        </w:rPr>
        <w:t xml:space="preserve"> </w:t>
      </w:r>
      <w:r w:rsidR="00C62AB1" w:rsidRPr="00C837DD">
        <w:rPr>
          <w:sz w:val="20"/>
          <w:szCs w:val="20"/>
        </w:rPr>
        <w:t xml:space="preserve">over </w:t>
      </w:r>
      <w:r w:rsidRPr="00C837DD">
        <w:rPr>
          <w:sz w:val="20"/>
          <w:szCs w:val="20"/>
        </w:rPr>
        <w:t>facts prior to the date of ac</w:t>
      </w:r>
      <w:r w:rsidR="00C62AB1" w:rsidRPr="00C837DD">
        <w:rPr>
          <w:sz w:val="20"/>
          <w:szCs w:val="20"/>
        </w:rPr>
        <w:t xml:space="preserve">ceptance </w:t>
      </w:r>
      <w:r w:rsidRPr="00C837DD">
        <w:rPr>
          <w:sz w:val="20"/>
          <w:szCs w:val="20"/>
        </w:rPr>
        <w:t xml:space="preserve">of the Court’s jurisdiction, and b) </w:t>
      </w:r>
      <w:r w:rsidR="005F13BF" w:rsidRPr="00C837DD">
        <w:rPr>
          <w:sz w:val="20"/>
          <w:szCs w:val="20"/>
        </w:rPr>
        <w:t xml:space="preserve">the </w:t>
      </w:r>
      <w:r w:rsidRPr="00C837DD">
        <w:rPr>
          <w:sz w:val="20"/>
          <w:szCs w:val="20"/>
        </w:rPr>
        <w:t xml:space="preserve">alleged failure to exhaust domestic remedies, which will be analyzed in that order. The State also presented as a preliminary objection “the </w:t>
      </w:r>
      <w:r w:rsidRPr="00C837DD">
        <w:rPr>
          <w:bCs/>
          <w:sz w:val="20"/>
          <w:szCs w:val="20"/>
        </w:rPr>
        <w:t xml:space="preserve">lack of jurisdiction </w:t>
      </w:r>
      <w:r w:rsidRPr="00C837DD">
        <w:rPr>
          <w:bCs/>
          <w:i/>
          <w:iCs/>
          <w:sz w:val="20"/>
          <w:szCs w:val="20"/>
        </w:rPr>
        <w:t xml:space="preserve">ratione personae </w:t>
      </w:r>
      <w:r w:rsidRPr="00C837DD">
        <w:rPr>
          <w:bCs/>
          <w:iCs/>
          <w:sz w:val="20"/>
          <w:szCs w:val="20"/>
        </w:rPr>
        <w:t>in relation to the victims</w:t>
      </w:r>
      <w:r w:rsidRPr="00C837DD">
        <w:rPr>
          <w:bCs/>
          <w:i/>
          <w:iCs/>
          <w:sz w:val="20"/>
          <w:szCs w:val="20"/>
        </w:rPr>
        <w:t xml:space="preserve"> </w:t>
      </w:r>
      <w:r w:rsidRPr="00C837DD">
        <w:rPr>
          <w:bCs/>
          <w:sz w:val="20"/>
          <w:szCs w:val="20"/>
        </w:rPr>
        <w:t>not listed in the Commission’s Report</w:t>
      </w:r>
      <w:r w:rsidR="005F13BF" w:rsidRPr="00C837DD">
        <w:rPr>
          <w:bCs/>
          <w:sz w:val="20"/>
          <w:szCs w:val="20"/>
        </w:rPr>
        <w:t>.</w:t>
      </w:r>
      <w:r w:rsidRPr="00C837DD">
        <w:rPr>
          <w:bCs/>
          <w:sz w:val="20"/>
          <w:szCs w:val="20"/>
        </w:rPr>
        <w:t>”</w:t>
      </w:r>
      <w:r w:rsidRPr="00C837DD">
        <w:rPr>
          <w:sz w:val="20"/>
          <w:szCs w:val="20"/>
        </w:rPr>
        <w:t xml:space="preserve"> Subsequently, in its final written arguments, </w:t>
      </w:r>
      <w:r w:rsidR="005F13BF" w:rsidRPr="00C837DD">
        <w:rPr>
          <w:sz w:val="20"/>
          <w:szCs w:val="20"/>
        </w:rPr>
        <w:t xml:space="preserve">the State </w:t>
      </w:r>
      <w:r w:rsidRPr="00C837DD">
        <w:rPr>
          <w:sz w:val="20"/>
          <w:szCs w:val="20"/>
        </w:rPr>
        <w:t xml:space="preserve">indicated that this argument corresponded, in reality, to a </w:t>
      </w:r>
      <w:r w:rsidR="005F13BF" w:rsidRPr="00C837DD">
        <w:rPr>
          <w:sz w:val="20"/>
          <w:szCs w:val="20"/>
        </w:rPr>
        <w:t xml:space="preserve">matter </w:t>
      </w:r>
      <w:r w:rsidRPr="00C837DD">
        <w:rPr>
          <w:sz w:val="20"/>
          <w:szCs w:val="20"/>
        </w:rPr>
        <w:t xml:space="preserve">prior to the analysis of the merits. The Court </w:t>
      </w:r>
      <w:r w:rsidR="005F13BF" w:rsidRPr="00C837DD">
        <w:rPr>
          <w:sz w:val="20"/>
          <w:szCs w:val="20"/>
        </w:rPr>
        <w:t xml:space="preserve">notes </w:t>
      </w:r>
      <w:r w:rsidRPr="00C837DD">
        <w:rPr>
          <w:sz w:val="20"/>
          <w:szCs w:val="20"/>
        </w:rPr>
        <w:t>that, in accordance with its constant case law, th</w:t>
      </w:r>
      <w:r w:rsidR="005F13BF" w:rsidRPr="00C837DD">
        <w:rPr>
          <w:sz w:val="20"/>
          <w:szCs w:val="20"/>
        </w:rPr>
        <w:t>is</w:t>
      </w:r>
      <w:r w:rsidRPr="00C837DD">
        <w:rPr>
          <w:sz w:val="20"/>
          <w:szCs w:val="20"/>
        </w:rPr>
        <w:t xml:space="preserve"> argument does not constitute a preliminary objection, </w:t>
      </w:r>
      <w:r w:rsidR="005F13BF" w:rsidRPr="00C837DD">
        <w:rPr>
          <w:sz w:val="20"/>
          <w:szCs w:val="20"/>
        </w:rPr>
        <w:t xml:space="preserve">since </w:t>
      </w:r>
      <w:r w:rsidRPr="00C837DD">
        <w:rPr>
          <w:sz w:val="20"/>
          <w:szCs w:val="20"/>
        </w:rPr>
        <w:t xml:space="preserve">its analysis cannot result in the inadmissibility of the case or in the </w:t>
      </w:r>
      <w:r w:rsidR="005F13BF" w:rsidRPr="00C837DD">
        <w:rPr>
          <w:sz w:val="20"/>
          <w:szCs w:val="20"/>
        </w:rPr>
        <w:t xml:space="preserve">Court’s </w:t>
      </w:r>
      <w:r w:rsidRPr="00C837DD">
        <w:rPr>
          <w:sz w:val="20"/>
          <w:szCs w:val="20"/>
        </w:rPr>
        <w:t xml:space="preserve">lack of </w:t>
      </w:r>
      <w:r w:rsidRPr="00C837DD">
        <w:rPr>
          <w:bCs/>
          <w:sz w:val="20"/>
          <w:szCs w:val="20"/>
        </w:rPr>
        <w:t>jurisdiction</w:t>
      </w:r>
      <w:r w:rsidRPr="00C837DD">
        <w:rPr>
          <w:sz w:val="20"/>
          <w:szCs w:val="20"/>
        </w:rPr>
        <w:t xml:space="preserve"> to </w:t>
      </w:r>
      <w:r w:rsidR="005F13BF" w:rsidRPr="00C837DD">
        <w:rPr>
          <w:sz w:val="20"/>
          <w:szCs w:val="20"/>
        </w:rPr>
        <w:t xml:space="preserve">hear </w:t>
      </w:r>
      <w:r w:rsidRPr="00C837DD">
        <w:rPr>
          <w:sz w:val="20"/>
          <w:szCs w:val="20"/>
        </w:rPr>
        <w:t>it. Therefore, the Court will examine this matter in the following chapter as a prior consideration.</w:t>
      </w:r>
      <w:r w:rsidRPr="00C837DD">
        <w:rPr>
          <w:rStyle w:val="Refdenotaalpie"/>
          <w:sz w:val="20"/>
          <w:szCs w:val="20"/>
        </w:rPr>
        <w:footnoteReference w:id="16"/>
      </w:r>
    </w:p>
    <w:p w14:paraId="29B6D318" w14:textId="77777777" w:rsidR="00F85D5F" w:rsidRPr="00C837DD" w:rsidRDefault="00F85D5F" w:rsidP="00F85D5F">
      <w:pPr>
        <w:pStyle w:val="Textoindependiente"/>
        <w:tabs>
          <w:tab w:val="left" w:pos="142"/>
        </w:tabs>
      </w:pPr>
    </w:p>
    <w:p w14:paraId="65CD173C" w14:textId="72FB9CD0" w:rsidR="00F85D5F" w:rsidRPr="00C837DD" w:rsidRDefault="00F85D5F" w:rsidP="00F85D5F">
      <w:pPr>
        <w:pStyle w:val="Ttulo2"/>
        <w:ind w:left="1134" w:hanging="567"/>
        <w:rPr>
          <w:lang w:val="en-US"/>
        </w:rPr>
      </w:pPr>
      <w:bookmarkStart w:id="15" w:name="A._Alegada_falta_de_agotamiento_de_los_r"/>
      <w:bookmarkStart w:id="16" w:name="_bookmark18"/>
      <w:bookmarkStart w:id="17" w:name="_Toc85001864"/>
      <w:bookmarkEnd w:id="15"/>
      <w:bookmarkEnd w:id="16"/>
      <w:r w:rsidRPr="00C837DD">
        <w:rPr>
          <w:lang w:val="en-US"/>
        </w:rPr>
        <w:t xml:space="preserve">Alleged lack of </w:t>
      </w:r>
      <w:r w:rsidRPr="00C837DD">
        <w:rPr>
          <w:bCs/>
          <w:lang w:val="en-US"/>
        </w:rPr>
        <w:t>jurisdiction</w:t>
      </w:r>
      <w:r w:rsidRPr="00C837DD">
        <w:rPr>
          <w:lang w:val="en-US"/>
        </w:rPr>
        <w:t xml:space="preserve"> </w:t>
      </w:r>
      <w:r w:rsidRPr="00C837DD">
        <w:rPr>
          <w:i/>
          <w:lang w:val="en-US"/>
        </w:rPr>
        <w:t>ratione temporis</w:t>
      </w:r>
      <w:r w:rsidRPr="00C837DD">
        <w:rPr>
          <w:lang w:val="en-US"/>
        </w:rPr>
        <w:t xml:space="preserve"> </w:t>
      </w:r>
      <w:r w:rsidR="000857D8" w:rsidRPr="00C837DD">
        <w:rPr>
          <w:lang w:val="en-US"/>
        </w:rPr>
        <w:t xml:space="preserve">over </w:t>
      </w:r>
      <w:r w:rsidRPr="00C837DD">
        <w:rPr>
          <w:lang w:val="en-US"/>
        </w:rPr>
        <w:t>facts prior to the date of ac</w:t>
      </w:r>
      <w:r w:rsidR="000857D8" w:rsidRPr="00C837DD">
        <w:rPr>
          <w:lang w:val="en-US"/>
        </w:rPr>
        <w:t xml:space="preserve">ceptance </w:t>
      </w:r>
      <w:r w:rsidRPr="00C837DD">
        <w:rPr>
          <w:lang w:val="en-US"/>
        </w:rPr>
        <w:t xml:space="preserve">of the </w:t>
      </w:r>
      <w:r w:rsidR="000857D8" w:rsidRPr="00C837DD">
        <w:rPr>
          <w:lang w:val="en-US"/>
        </w:rPr>
        <w:t xml:space="preserve">Court’s </w:t>
      </w:r>
      <w:r w:rsidRPr="00C837DD">
        <w:rPr>
          <w:lang w:val="en-US"/>
        </w:rPr>
        <w:t>jurisdiction</w:t>
      </w:r>
      <w:bookmarkEnd w:id="17"/>
    </w:p>
    <w:p w14:paraId="080138A2" w14:textId="77777777" w:rsidR="00F85D5F" w:rsidRPr="00C837DD" w:rsidRDefault="00F85D5F" w:rsidP="00F85D5F">
      <w:pPr>
        <w:pStyle w:val="Textoindependiente"/>
        <w:tabs>
          <w:tab w:val="left" w:pos="142"/>
        </w:tabs>
        <w:rPr>
          <w:b/>
          <w:i/>
        </w:rPr>
      </w:pPr>
    </w:p>
    <w:p w14:paraId="31E65E8B" w14:textId="77777777" w:rsidR="00F85D5F" w:rsidRPr="00C837DD" w:rsidRDefault="00F85D5F" w:rsidP="00F85D5F">
      <w:pPr>
        <w:pStyle w:val="Ttulo3"/>
        <w:numPr>
          <w:ilvl w:val="2"/>
          <w:numId w:val="6"/>
        </w:numPr>
        <w:ind w:left="1560" w:hanging="709"/>
        <w:rPr>
          <w:b/>
          <w:sz w:val="20"/>
          <w:szCs w:val="20"/>
        </w:rPr>
      </w:pPr>
      <w:bookmarkStart w:id="18" w:name="A.1._Alegatos_de_las_partes_y_de_la_Comi"/>
      <w:bookmarkStart w:id="19" w:name="_bookmark19"/>
      <w:bookmarkStart w:id="20" w:name="_Toc85001865"/>
      <w:bookmarkEnd w:id="18"/>
      <w:bookmarkEnd w:id="19"/>
      <w:r w:rsidRPr="00C837DD">
        <w:rPr>
          <w:b/>
          <w:sz w:val="20"/>
          <w:szCs w:val="20"/>
        </w:rPr>
        <w:t>Arguments of the parties and of the Commission</w:t>
      </w:r>
      <w:bookmarkEnd w:id="20"/>
    </w:p>
    <w:p w14:paraId="6DC5BD1B" w14:textId="77777777" w:rsidR="00F85D5F" w:rsidRPr="00C837DD" w:rsidRDefault="00F85D5F" w:rsidP="00F85D5F">
      <w:pPr>
        <w:tabs>
          <w:tab w:val="left" w:pos="142"/>
          <w:tab w:val="left" w:pos="2015"/>
        </w:tabs>
        <w:rPr>
          <w:i/>
          <w:sz w:val="20"/>
          <w:szCs w:val="20"/>
        </w:rPr>
      </w:pPr>
    </w:p>
    <w:p w14:paraId="55F4A101" w14:textId="793B4C76" w:rsidR="00F85D5F" w:rsidRPr="00C837DD" w:rsidRDefault="00F85D5F" w:rsidP="00F85D5F">
      <w:pPr>
        <w:pStyle w:val="Prrafodelista"/>
        <w:widowControl/>
        <w:numPr>
          <w:ilvl w:val="0"/>
          <w:numId w:val="6"/>
        </w:numPr>
        <w:tabs>
          <w:tab w:val="left" w:pos="142"/>
          <w:tab w:val="left" w:pos="687"/>
        </w:tabs>
        <w:autoSpaceDE/>
        <w:autoSpaceDN/>
        <w:ind w:left="0" w:firstLine="0"/>
        <w:rPr>
          <w:sz w:val="20"/>
          <w:szCs w:val="20"/>
          <w:lang w:eastAsia="es-ES"/>
        </w:rPr>
      </w:pPr>
      <w:r w:rsidRPr="00C837DD">
        <w:rPr>
          <w:sz w:val="20"/>
          <w:szCs w:val="20"/>
          <w:lang w:eastAsia="es-ES"/>
        </w:rPr>
        <w:t xml:space="preserve">The </w:t>
      </w:r>
      <w:r w:rsidRPr="00C837DD">
        <w:rPr>
          <w:b/>
          <w:i/>
          <w:sz w:val="20"/>
          <w:szCs w:val="20"/>
          <w:lang w:eastAsia="es-ES"/>
        </w:rPr>
        <w:t>State</w:t>
      </w:r>
      <w:r w:rsidRPr="00C837DD">
        <w:rPr>
          <w:b/>
          <w:sz w:val="20"/>
          <w:szCs w:val="20"/>
          <w:lang w:eastAsia="es-ES"/>
        </w:rPr>
        <w:t xml:space="preserve"> </w:t>
      </w:r>
      <w:r w:rsidR="000857D8" w:rsidRPr="00C837DD">
        <w:rPr>
          <w:sz w:val="20"/>
          <w:szCs w:val="20"/>
          <w:lang w:eastAsia="es-ES"/>
        </w:rPr>
        <w:t xml:space="preserve">asked </w:t>
      </w:r>
      <w:r w:rsidRPr="00C837DD">
        <w:rPr>
          <w:sz w:val="20"/>
          <w:szCs w:val="20"/>
          <w:lang w:eastAsia="es-ES"/>
        </w:rPr>
        <w:t xml:space="preserve">the Court </w:t>
      </w:r>
      <w:r w:rsidR="000857D8" w:rsidRPr="00C837DD">
        <w:rPr>
          <w:sz w:val="20"/>
          <w:szCs w:val="20"/>
          <w:lang w:eastAsia="es-ES"/>
        </w:rPr>
        <w:t xml:space="preserve">to </w:t>
      </w:r>
      <w:r w:rsidRPr="00C837DD">
        <w:rPr>
          <w:sz w:val="20"/>
          <w:szCs w:val="20"/>
          <w:lang w:eastAsia="es-ES"/>
        </w:rPr>
        <w:t xml:space="preserve">declare its lack of </w:t>
      </w:r>
      <w:r w:rsidRPr="00C837DD">
        <w:rPr>
          <w:bCs/>
          <w:sz w:val="20"/>
          <w:szCs w:val="20"/>
        </w:rPr>
        <w:t>jurisdiction</w:t>
      </w:r>
      <w:r w:rsidRPr="00C837DD">
        <w:rPr>
          <w:sz w:val="20"/>
          <w:szCs w:val="20"/>
          <w:lang w:eastAsia="es-ES"/>
        </w:rPr>
        <w:t xml:space="preserve"> </w:t>
      </w:r>
      <w:r w:rsidRPr="00C837DD">
        <w:rPr>
          <w:i/>
          <w:sz w:val="20"/>
          <w:szCs w:val="20"/>
          <w:lang w:eastAsia="es-ES"/>
        </w:rPr>
        <w:t xml:space="preserve">ratione temporis </w:t>
      </w:r>
      <w:r w:rsidR="000857D8" w:rsidRPr="00C837DD">
        <w:rPr>
          <w:sz w:val="20"/>
          <w:szCs w:val="20"/>
          <w:lang w:eastAsia="es-ES"/>
        </w:rPr>
        <w:t>with r</w:t>
      </w:r>
      <w:r w:rsidRPr="00C837DD">
        <w:rPr>
          <w:sz w:val="20"/>
          <w:szCs w:val="20"/>
          <w:lang w:eastAsia="es-ES"/>
        </w:rPr>
        <w:t xml:space="preserve">espect to the </w:t>
      </w:r>
      <w:r w:rsidR="000857D8" w:rsidRPr="00C837DD">
        <w:rPr>
          <w:sz w:val="20"/>
          <w:szCs w:val="20"/>
          <w:lang w:eastAsia="es-ES"/>
        </w:rPr>
        <w:t xml:space="preserve">alleged </w:t>
      </w:r>
      <w:r w:rsidRPr="00C837DD">
        <w:rPr>
          <w:sz w:val="20"/>
          <w:szCs w:val="20"/>
          <w:lang w:eastAsia="es-ES"/>
        </w:rPr>
        <w:t xml:space="preserve">human rights violations that occurred </w:t>
      </w:r>
      <w:r w:rsidR="000857D8" w:rsidRPr="00C837DD">
        <w:rPr>
          <w:sz w:val="20"/>
          <w:szCs w:val="20"/>
          <w:lang w:eastAsia="es-ES"/>
        </w:rPr>
        <w:t xml:space="preserve">prior to </w:t>
      </w:r>
      <w:r w:rsidRPr="00C837DD">
        <w:rPr>
          <w:sz w:val="20"/>
          <w:szCs w:val="20"/>
          <w:lang w:eastAsia="es-ES"/>
        </w:rPr>
        <w:t xml:space="preserve">December 10, 1998. </w:t>
      </w:r>
      <w:r w:rsidR="00BF521A">
        <w:rPr>
          <w:sz w:val="20"/>
          <w:szCs w:val="20"/>
          <w:lang w:eastAsia="es-ES"/>
        </w:rPr>
        <w:t>Specifically</w:t>
      </w:r>
      <w:r w:rsidRPr="00C837DD">
        <w:rPr>
          <w:sz w:val="20"/>
          <w:szCs w:val="20"/>
          <w:lang w:eastAsia="es-ES"/>
        </w:rPr>
        <w:t xml:space="preserve">, it </w:t>
      </w:r>
      <w:r w:rsidR="00BF521A">
        <w:rPr>
          <w:sz w:val="20"/>
          <w:szCs w:val="20"/>
          <w:lang w:eastAsia="es-ES"/>
        </w:rPr>
        <w:t xml:space="preserve">argued </w:t>
      </w:r>
      <w:r w:rsidRPr="00C837DD">
        <w:rPr>
          <w:sz w:val="20"/>
          <w:szCs w:val="20"/>
          <w:lang w:eastAsia="es-ES"/>
        </w:rPr>
        <w:t xml:space="preserve">that the Inter-American Court has jurisdiction </w:t>
      </w:r>
      <w:r w:rsidRPr="00C837DD">
        <w:rPr>
          <w:i/>
          <w:sz w:val="20"/>
          <w:szCs w:val="20"/>
          <w:lang w:eastAsia="es-ES"/>
        </w:rPr>
        <w:t>ratione temporis</w:t>
      </w:r>
      <w:r w:rsidRPr="00C837DD">
        <w:rPr>
          <w:sz w:val="20"/>
          <w:szCs w:val="20"/>
          <w:lang w:eastAsia="es-ES"/>
        </w:rPr>
        <w:t xml:space="preserve"> only to examine alleged violations of Articles 8 and 25 of the Convention in proce</w:t>
      </w:r>
      <w:r w:rsidR="000857D8" w:rsidRPr="00C837DD">
        <w:rPr>
          <w:sz w:val="20"/>
          <w:szCs w:val="20"/>
          <w:lang w:eastAsia="es-ES"/>
        </w:rPr>
        <w:t xml:space="preserve">edings </w:t>
      </w:r>
      <w:r w:rsidRPr="00C837DD">
        <w:rPr>
          <w:sz w:val="20"/>
          <w:szCs w:val="20"/>
          <w:lang w:eastAsia="es-ES"/>
        </w:rPr>
        <w:t xml:space="preserve">initiated after December 10, 1998. In this </w:t>
      </w:r>
      <w:r w:rsidR="009936B9" w:rsidRPr="00C837DD">
        <w:rPr>
          <w:sz w:val="20"/>
          <w:szCs w:val="20"/>
          <w:lang w:eastAsia="es-ES"/>
        </w:rPr>
        <w:t>sense</w:t>
      </w:r>
      <w:r w:rsidRPr="00C837DD">
        <w:rPr>
          <w:sz w:val="20"/>
          <w:szCs w:val="20"/>
          <w:lang w:eastAsia="es-ES"/>
        </w:rPr>
        <w:t xml:space="preserve">, it argued that </w:t>
      </w:r>
      <w:r w:rsidR="009936B9" w:rsidRPr="00C837DD">
        <w:rPr>
          <w:sz w:val="20"/>
          <w:szCs w:val="20"/>
          <w:lang w:eastAsia="es-ES"/>
        </w:rPr>
        <w:t xml:space="preserve">only </w:t>
      </w:r>
      <w:r w:rsidR="00BF521A">
        <w:rPr>
          <w:sz w:val="20"/>
          <w:szCs w:val="20"/>
          <w:lang w:eastAsia="es-ES"/>
        </w:rPr>
        <w:t xml:space="preserve">possible </w:t>
      </w:r>
      <w:r w:rsidR="009936B9" w:rsidRPr="00C837DD">
        <w:rPr>
          <w:sz w:val="20"/>
          <w:szCs w:val="20"/>
          <w:lang w:eastAsia="es-ES"/>
        </w:rPr>
        <w:t>violations linked to judicial proceedings initiated after the date indicated in its declaration of acceptance of the Court's jurisdiction would be subject to the Court's jurisdiction, so that “criminal proceedings initiated before the established time limit, even if they continue after that date, cannot be invoked</w:t>
      </w:r>
      <w:r w:rsidRPr="00C837DD">
        <w:rPr>
          <w:sz w:val="20"/>
          <w:szCs w:val="20"/>
          <w:lang w:eastAsia="es-ES"/>
        </w:rPr>
        <w:t>.”</w:t>
      </w:r>
    </w:p>
    <w:p w14:paraId="24D1884B" w14:textId="77777777" w:rsidR="00F85D5F" w:rsidRPr="00C837DD" w:rsidRDefault="00F85D5F" w:rsidP="00F85D5F">
      <w:pPr>
        <w:widowControl/>
        <w:tabs>
          <w:tab w:val="left" w:pos="142"/>
          <w:tab w:val="left" w:pos="687"/>
        </w:tabs>
        <w:autoSpaceDE/>
        <w:autoSpaceDN/>
        <w:rPr>
          <w:sz w:val="20"/>
          <w:szCs w:val="20"/>
          <w:lang w:eastAsia="es-ES"/>
        </w:rPr>
      </w:pPr>
    </w:p>
    <w:p w14:paraId="1566726D" w14:textId="60E70B80" w:rsidR="00F85D5F" w:rsidRPr="00C837DD" w:rsidRDefault="00F85D5F" w:rsidP="00F85D5F">
      <w:pPr>
        <w:pStyle w:val="Prrafodelista"/>
        <w:widowControl/>
        <w:numPr>
          <w:ilvl w:val="0"/>
          <w:numId w:val="6"/>
        </w:numPr>
        <w:tabs>
          <w:tab w:val="left" w:pos="142"/>
          <w:tab w:val="left" w:pos="687"/>
        </w:tabs>
        <w:autoSpaceDE/>
        <w:autoSpaceDN/>
        <w:ind w:left="0" w:firstLine="0"/>
        <w:rPr>
          <w:sz w:val="20"/>
          <w:szCs w:val="20"/>
          <w:lang w:eastAsia="es-ES"/>
        </w:rPr>
      </w:pPr>
      <w:r w:rsidRPr="00C837DD">
        <w:rPr>
          <w:sz w:val="20"/>
          <w:szCs w:val="20"/>
          <w:lang w:eastAsia="es-ES"/>
        </w:rPr>
        <w:t xml:space="preserve">The </w:t>
      </w:r>
      <w:r w:rsidRPr="00C837DD">
        <w:rPr>
          <w:b/>
          <w:i/>
          <w:sz w:val="20"/>
          <w:szCs w:val="20"/>
          <w:lang w:eastAsia="es-ES"/>
        </w:rPr>
        <w:t xml:space="preserve">representatives </w:t>
      </w:r>
      <w:r w:rsidR="000B6626" w:rsidRPr="00C837DD">
        <w:rPr>
          <w:sz w:val="20"/>
          <w:szCs w:val="20"/>
          <w:lang w:eastAsia="es-ES"/>
        </w:rPr>
        <w:t xml:space="preserve">pointed out </w:t>
      </w:r>
      <w:r w:rsidRPr="00C837DD">
        <w:rPr>
          <w:sz w:val="20"/>
          <w:szCs w:val="20"/>
          <w:lang w:eastAsia="es-ES"/>
        </w:rPr>
        <w:t xml:space="preserve">that, </w:t>
      </w:r>
      <w:r w:rsidR="00350F53" w:rsidRPr="00C837DD">
        <w:rPr>
          <w:sz w:val="20"/>
          <w:szCs w:val="20"/>
          <w:lang w:eastAsia="es-ES"/>
        </w:rPr>
        <w:t xml:space="preserve">under </w:t>
      </w:r>
      <w:r w:rsidRPr="00C837DD">
        <w:rPr>
          <w:sz w:val="20"/>
          <w:szCs w:val="20"/>
          <w:lang w:eastAsia="es-ES"/>
        </w:rPr>
        <w:t xml:space="preserve">the terms of </w:t>
      </w:r>
      <w:r w:rsidR="00350F53" w:rsidRPr="00C837DD">
        <w:rPr>
          <w:sz w:val="20"/>
          <w:szCs w:val="20"/>
          <w:lang w:eastAsia="es-ES"/>
        </w:rPr>
        <w:t xml:space="preserve">Brazil’s </w:t>
      </w:r>
      <w:r w:rsidRPr="00C837DD">
        <w:rPr>
          <w:sz w:val="20"/>
          <w:szCs w:val="20"/>
          <w:lang w:eastAsia="es-ES"/>
        </w:rPr>
        <w:t xml:space="preserve">acceptance of the Court’s contentious jurisdiction, “the Court </w:t>
      </w:r>
      <w:r w:rsidR="00350F53" w:rsidRPr="00C837DD">
        <w:rPr>
          <w:sz w:val="20"/>
          <w:szCs w:val="20"/>
          <w:lang w:eastAsia="es-ES"/>
        </w:rPr>
        <w:t>ha</w:t>
      </w:r>
      <w:r w:rsidRPr="00C837DD">
        <w:rPr>
          <w:sz w:val="20"/>
          <w:szCs w:val="20"/>
          <w:lang w:eastAsia="es-ES"/>
        </w:rPr>
        <w:t xml:space="preserve">s </w:t>
      </w:r>
      <w:r w:rsidR="00350F53" w:rsidRPr="00C837DD">
        <w:rPr>
          <w:sz w:val="20"/>
          <w:szCs w:val="20"/>
          <w:lang w:eastAsia="es-ES"/>
        </w:rPr>
        <w:t xml:space="preserve">jurisdiction </w:t>
      </w:r>
      <w:r w:rsidRPr="00C837DD">
        <w:rPr>
          <w:sz w:val="20"/>
          <w:szCs w:val="20"/>
          <w:lang w:eastAsia="es-ES"/>
        </w:rPr>
        <w:t xml:space="preserve">to examine all the facts that occurred after December 10, 1998, even </w:t>
      </w:r>
      <w:r w:rsidR="00350F53" w:rsidRPr="00C837DD">
        <w:rPr>
          <w:sz w:val="20"/>
          <w:szCs w:val="20"/>
          <w:lang w:eastAsia="es-ES"/>
        </w:rPr>
        <w:t xml:space="preserve">if </w:t>
      </w:r>
      <w:r w:rsidRPr="00C837DD">
        <w:rPr>
          <w:sz w:val="20"/>
          <w:szCs w:val="20"/>
          <w:lang w:eastAsia="es-ES"/>
        </w:rPr>
        <w:t>the</w:t>
      </w:r>
      <w:r w:rsidR="00BF521A">
        <w:rPr>
          <w:sz w:val="20"/>
          <w:szCs w:val="20"/>
          <w:lang w:eastAsia="es-ES"/>
        </w:rPr>
        <w:t xml:space="preserve">ir execution began </w:t>
      </w:r>
      <w:r w:rsidRPr="00C837DD">
        <w:rPr>
          <w:sz w:val="20"/>
          <w:szCs w:val="20"/>
          <w:lang w:eastAsia="es-ES"/>
        </w:rPr>
        <w:t xml:space="preserve">prior to that date.” </w:t>
      </w:r>
      <w:r w:rsidR="00350F53" w:rsidRPr="00C837DD">
        <w:rPr>
          <w:sz w:val="20"/>
          <w:szCs w:val="20"/>
          <w:lang w:eastAsia="es-ES"/>
        </w:rPr>
        <w:t>T</w:t>
      </w:r>
      <w:r w:rsidRPr="00C837DD">
        <w:rPr>
          <w:sz w:val="20"/>
          <w:szCs w:val="20"/>
        </w:rPr>
        <w:t xml:space="preserve">hey </w:t>
      </w:r>
      <w:r w:rsidR="00350F53" w:rsidRPr="00C837DD">
        <w:rPr>
          <w:sz w:val="20"/>
          <w:szCs w:val="20"/>
        </w:rPr>
        <w:t xml:space="preserve">also </w:t>
      </w:r>
      <w:r w:rsidR="00BF521A">
        <w:rPr>
          <w:sz w:val="20"/>
          <w:szCs w:val="20"/>
        </w:rPr>
        <w:t xml:space="preserve">noted </w:t>
      </w:r>
      <w:r w:rsidRPr="00C837DD">
        <w:rPr>
          <w:sz w:val="20"/>
          <w:szCs w:val="20"/>
        </w:rPr>
        <w:t>that, after that date, “</w:t>
      </w:r>
      <w:r w:rsidR="00350F53" w:rsidRPr="00C837DD">
        <w:rPr>
          <w:sz w:val="20"/>
          <w:szCs w:val="20"/>
        </w:rPr>
        <w:t xml:space="preserve">several separate </w:t>
      </w:r>
      <w:r w:rsidRPr="00C837DD">
        <w:rPr>
          <w:sz w:val="20"/>
          <w:szCs w:val="20"/>
        </w:rPr>
        <w:t xml:space="preserve">events occurred </w:t>
      </w:r>
      <w:r w:rsidR="00350F53" w:rsidRPr="00C837DD">
        <w:rPr>
          <w:sz w:val="20"/>
          <w:szCs w:val="20"/>
        </w:rPr>
        <w:t>with</w:t>
      </w:r>
      <w:r w:rsidRPr="00C837DD">
        <w:rPr>
          <w:sz w:val="20"/>
          <w:szCs w:val="20"/>
        </w:rPr>
        <w:t>in the context of the judicial proceedings that violated the rights of the [alleged] victims […]</w:t>
      </w:r>
      <w:r w:rsidR="00350F53" w:rsidRPr="00C837DD">
        <w:rPr>
          <w:sz w:val="20"/>
          <w:szCs w:val="20"/>
        </w:rPr>
        <w:t>.</w:t>
      </w:r>
      <w:r w:rsidRPr="00C837DD">
        <w:rPr>
          <w:sz w:val="20"/>
          <w:szCs w:val="20"/>
        </w:rPr>
        <w:t>”</w:t>
      </w:r>
    </w:p>
    <w:p w14:paraId="16407686" w14:textId="77777777" w:rsidR="00F85D5F" w:rsidRPr="00C837DD" w:rsidRDefault="00F85D5F" w:rsidP="00F85D5F">
      <w:pPr>
        <w:pStyle w:val="Prrafodelista"/>
        <w:tabs>
          <w:tab w:val="left" w:pos="142"/>
        </w:tabs>
        <w:ind w:left="0"/>
        <w:rPr>
          <w:sz w:val="20"/>
          <w:szCs w:val="20"/>
          <w:lang w:eastAsia="es-ES"/>
        </w:rPr>
      </w:pPr>
    </w:p>
    <w:p w14:paraId="420FABA0" w14:textId="703444C7" w:rsidR="00F85D5F" w:rsidRPr="00C837DD" w:rsidRDefault="00F85D5F" w:rsidP="00F85D5F">
      <w:pPr>
        <w:pStyle w:val="Prrafodelista"/>
        <w:widowControl/>
        <w:numPr>
          <w:ilvl w:val="0"/>
          <w:numId w:val="6"/>
        </w:numPr>
        <w:tabs>
          <w:tab w:val="left" w:pos="142"/>
          <w:tab w:val="left" w:pos="687"/>
        </w:tabs>
        <w:autoSpaceDE/>
        <w:autoSpaceDN/>
        <w:ind w:left="0" w:firstLine="0"/>
        <w:rPr>
          <w:sz w:val="20"/>
          <w:szCs w:val="20"/>
          <w:lang w:eastAsia="es-ES"/>
        </w:rPr>
      </w:pPr>
      <w:r w:rsidRPr="00C837DD">
        <w:rPr>
          <w:sz w:val="20"/>
          <w:szCs w:val="20"/>
          <w:lang w:eastAsia="es-ES"/>
        </w:rPr>
        <w:t xml:space="preserve">The </w:t>
      </w:r>
      <w:r w:rsidRPr="00C837DD">
        <w:rPr>
          <w:b/>
          <w:i/>
          <w:sz w:val="20"/>
          <w:szCs w:val="20"/>
          <w:lang w:eastAsia="es-ES"/>
        </w:rPr>
        <w:t>Commission</w:t>
      </w:r>
      <w:r w:rsidRPr="00C837DD">
        <w:rPr>
          <w:sz w:val="20"/>
          <w:szCs w:val="20"/>
          <w:lang w:eastAsia="es-ES"/>
        </w:rPr>
        <w:t xml:space="preserve"> observed that, </w:t>
      </w:r>
      <w:r w:rsidR="00350F53" w:rsidRPr="00C837DD">
        <w:rPr>
          <w:sz w:val="20"/>
          <w:szCs w:val="20"/>
          <w:lang w:eastAsia="es-ES"/>
        </w:rPr>
        <w:t xml:space="preserve">taking into account </w:t>
      </w:r>
      <w:r w:rsidRPr="00C837DD">
        <w:rPr>
          <w:sz w:val="20"/>
          <w:szCs w:val="20"/>
          <w:lang w:eastAsia="es-ES"/>
        </w:rPr>
        <w:t>that Brazil a</w:t>
      </w:r>
      <w:r w:rsidR="00350F53" w:rsidRPr="00C837DD">
        <w:rPr>
          <w:sz w:val="20"/>
          <w:szCs w:val="20"/>
          <w:lang w:eastAsia="es-ES"/>
        </w:rPr>
        <w:t xml:space="preserve">cceded </w:t>
      </w:r>
      <w:r w:rsidRPr="00C837DD">
        <w:rPr>
          <w:sz w:val="20"/>
          <w:szCs w:val="20"/>
          <w:lang w:eastAsia="es-ES"/>
        </w:rPr>
        <w:t xml:space="preserve">to the American Convention years before it accepted the Court’s contentious jurisdiction, the temporal jurisdiction of the Court is more limited than that of the Commission when it analyzed the instant case. It </w:t>
      </w:r>
      <w:r w:rsidR="002B4D6E" w:rsidRPr="00C837DD">
        <w:rPr>
          <w:sz w:val="20"/>
          <w:szCs w:val="20"/>
          <w:lang w:eastAsia="es-ES"/>
        </w:rPr>
        <w:t xml:space="preserve">noted </w:t>
      </w:r>
      <w:r w:rsidRPr="00C837DD">
        <w:rPr>
          <w:sz w:val="20"/>
          <w:szCs w:val="20"/>
        </w:rPr>
        <w:t xml:space="preserve">that an act </w:t>
      </w:r>
      <w:r w:rsidR="002B4D6E" w:rsidRPr="00C837DD">
        <w:rPr>
          <w:sz w:val="20"/>
          <w:szCs w:val="20"/>
        </w:rPr>
        <w:t xml:space="preserve">which </w:t>
      </w:r>
      <w:r w:rsidRPr="00C837DD">
        <w:rPr>
          <w:sz w:val="20"/>
          <w:szCs w:val="20"/>
        </w:rPr>
        <w:t xml:space="preserve">occurred </w:t>
      </w:r>
      <w:r w:rsidR="002B4D6E" w:rsidRPr="00C837DD">
        <w:rPr>
          <w:sz w:val="20"/>
          <w:szCs w:val="20"/>
        </w:rPr>
        <w:t xml:space="preserve">before the date of ratification of the Court's jurisdiction should not be excluded from consideration when it may be relevant to the determination of what happened. </w:t>
      </w:r>
      <w:r w:rsidRPr="00C837DD">
        <w:rPr>
          <w:sz w:val="20"/>
          <w:szCs w:val="20"/>
        </w:rPr>
        <w:t xml:space="preserve">Thus, it emphasized that the Court has jurisdiction to rule on facts that </w:t>
      </w:r>
      <w:r w:rsidR="009E4683" w:rsidRPr="00C837DD">
        <w:rPr>
          <w:sz w:val="20"/>
          <w:szCs w:val="20"/>
        </w:rPr>
        <w:t xml:space="preserve">would have </w:t>
      </w:r>
      <w:r w:rsidRPr="00C837DD">
        <w:rPr>
          <w:sz w:val="20"/>
          <w:szCs w:val="20"/>
        </w:rPr>
        <w:t xml:space="preserve">resulted in the </w:t>
      </w:r>
      <w:r w:rsidR="00BF521A">
        <w:rPr>
          <w:sz w:val="20"/>
          <w:szCs w:val="20"/>
        </w:rPr>
        <w:t xml:space="preserve">State’s </w:t>
      </w:r>
      <w:r w:rsidRPr="00C837DD">
        <w:rPr>
          <w:sz w:val="20"/>
          <w:szCs w:val="20"/>
        </w:rPr>
        <w:t xml:space="preserve">alleged responsibility for the </w:t>
      </w:r>
      <w:r w:rsidR="009E4683" w:rsidRPr="00C837DD">
        <w:rPr>
          <w:sz w:val="20"/>
          <w:szCs w:val="20"/>
        </w:rPr>
        <w:t xml:space="preserve">situation of </w:t>
      </w:r>
      <w:r w:rsidRPr="00C837DD">
        <w:rPr>
          <w:sz w:val="20"/>
          <w:szCs w:val="20"/>
        </w:rPr>
        <w:t xml:space="preserve">impunity surrounding the death of the alleged victim and the alleged </w:t>
      </w:r>
      <w:r w:rsidR="009E4683" w:rsidRPr="00C837DD">
        <w:rPr>
          <w:sz w:val="20"/>
          <w:szCs w:val="20"/>
        </w:rPr>
        <w:t>violation</w:t>
      </w:r>
      <w:r w:rsidR="002B4D6E" w:rsidRPr="00C837DD">
        <w:rPr>
          <w:sz w:val="20"/>
          <w:szCs w:val="20"/>
        </w:rPr>
        <w:t>s</w:t>
      </w:r>
      <w:r w:rsidR="009E4683" w:rsidRPr="00C837DD">
        <w:rPr>
          <w:sz w:val="20"/>
          <w:szCs w:val="20"/>
        </w:rPr>
        <w:t xml:space="preserve"> </w:t>
      </w:r>
      <w:r w:rsidRPr="00C837DD">
        <w:rPr>
          <w:sz w:val="20"/>
          <w:szCs w:val="20"/>
        </w:rPr>
        <w:t>of the rights of her next of kin, a</w:t>
      </w:r>
      <w:r w:rsidR="009E4683" w:rsidRPr="00C837DD">
        <w:rPr>
          <w:sz w:val="20"/>
          <w:szCs w:val="20"/>
        </w:rPr>
        <w:t xml:space="preserve">s well as to </w:t>
      </w:r>
      <w:r w:rsidR="002B4D6E" w:rsidRPr="00C837DD">
        <w:rPr>
          <w:sz w:val="20"/>
          <w:szCs w:val="20"/>
        </w:rPr>
        <w:t xml:space="preserve">examine </w:t>
      </w:r>
      <w:r w:rsidRPr="00C837DD">
        <w:rPr>
          <w:sz w:val="20"/>
          <w:szCs w:val="20"/>
        </w:rPr>
        <w:t xml:space="preserve">the circumstances </w:t>
      </w:r>
      <w:r w:rsidR="002B4D6E" w:rsidRPr="00C837DD">
        <w:rPr>
          <w:sz w:val="20"/>
          <w:szCs w:val="20"/>
        </w:rPr>
        <w:t xml:space="preserve">surrounding the death </w:t>
      </w:r>
      <w:r w:rsidRPr="00C837DD">
        <w:rPr>
          <w:sz w:val="20"/>
          <w:szCs w:val="20"/>
        </w:rPr>
        <w:t xml:space="preserve">of </w:t>
      </w:r>
      <w:r w:rsidR="00B8009F" w:rsidRPr="00C837DD">
        <w:rPr>
          <w:sz w:val="20"/>
          <w:szCs w:val="20"/>
        </w:rPr>
        <w:t>Márcia</w:t>
      </w:r>
      <w:r w:rsidR="009E4683" w:rsidRPr="00C837DD">
        <w:rPr>
          <w:sz w:val="20"/>
          <w:szCs w:val="20"/>
        </w:rPr>
        <w:t xml:space="preserve"> Barbosa</w:t>
      </w:r>
      <w:r w:rsidR="00B8009F" w:rsidRPr="00C837DD">
        <w:rPr>
          <w:sz w:val="20"/>
          <w:szCs w:val="20"/>
        </w:rPr>
        <w:t xml:space="preserve"> </w:t>
      </w:r>
      <w:r w:rsidR="009E4683" w:rsidRPr="00C837DD">
        <w:rPr>
          <w:sz w:val="20"/>
          <w:szCs w:val="20"/>
        </w:rPr>
        <w:t>insofar as the</w:t>
      </w:r>
      <w:r w:rsidR="00B8009F" w:rsidRPr="00C837DD">
        <w:rPr>
          <w:sz w:val="20"/>
          <w:szCs w:val="20"/>
        </w:rPr>
        <w:t>y</w:t>
      </w:r>
      <w:r w:rsidRPr="00C837DD">
        <w:rPr>
          <w:sz w:val="20"/>
          <w:szCs w:val="20"/>
        </w:rPr>
        <w:t xml:space="preserve"> are relevant as background</w:t>
      </w:r>
      <w:r w:rsidR="009E4683" w:rsidRPr="00C837DD">
        <w:rPr>
          <w:sz w:val="20"/>
          <w:szCs w:val="20"/>
        </w:rPr>
        <w:t xml:space="preserve"> for </w:t>
      </w:r>
      <w:r w:rsidRPr="00C837DD">
        <w:rPr>
          <w:sz w:val="20"/>
          <w:szCs w:val="20"/>
        </w:rPr>
        <w:t xml:space="preserve">the legal consequences </w:t>
      </w:r>
      <w:r w:rsidR="00BF521A">
        <w:rPr>
          <w:sz w:val="20"/>
          <w:szCs w:val="20"/>
        </w:rPr>
        <w:t xml:space="preserve">deriving </w:t>
      </w:r>
      <w:r w:rsidRPr="00C837DD">
        <w:rPr>
          <w:sz w:val="20"/>
          <w:szCs w:val="20"/>
        </w:rPr>
        <w:t xml:space="preserve">from her death for the State in </w:t>
      </w:r>
      <w:r w:rsidR="009E4683" w:rsidRPr="00C837DD">
        <w:rPr>
          <w:sz w:val="20"/>
          <w:szCs w:val="20"/>
        </w:rPr>
        <w:t xml:space="preserve">terms of </w:t>
      </w:r>
      <w:r w:rsidRPr="00C837DD">
        <w:rPr>
          <w:sz w:val="20"/>
          <w:szCs w:val="20"/>
        </w:rPr>
        <w:t xml:space="preserve">its duty to investigate. </w:t>
      </w:r>
      <w:r w:rsidR="009E4683" w:rsidRPr="00C837DD">
        <w:rPr>
          <w:sz w:val="20"/>
          <w:szCs w:val="20"/>
        </w:rPr>
        <w:t>In addition, i</w:t>
      </w:r>
      <w:r w:rsidRPr="00C837DD">
        <w:rPr>
          <w:sz w:val="20"/>
          <w:szCs w:val="20"/>
        </w:rPr>
        <w:t xml:space="preserve">t argued that the Court would also be competent to rule on the alleged omissions and </w:t>
      </w:r>
      <w:r w:rsidR="009E4683" w:rsidRPr="00C837DD">
        <w:rPr>
          <w:sz w:val="20"/>
          <w:szCs w:val="20"/>
        </w:rPr>
        <w:t xml:space="preserve">shortcomings </w:t>
      </w:r>
      <w:r w:rsidRPr="00C837DD">
        <w:rPr>
          <w:sz w:val="20"/>
          <w:szCs w:val="20"/>
        </w:rPr>
        <w:t xml:space="preserve">in the initial </w:t>
      </w:r>
      <w:r w:rsidR="009E4683" w:rsidRPr="00C837DD">
        <w:rPr>
          <w:sz w:val="20"/>
          <w:szCs w:val="20"/>
        </w:rPr>
        <w:t>proce</w:t>
      </w:r>
      <w:r w:rsidR="00B8009F" w:rsidRPr="00C837DD">
        <w:rPr>
          <w:sz w:val="20"/>
          <w:szCs w:val="20"/>
        </w:rPr>
        <w:t>edings</w:t>
      </w:r>
      <w:r w:rsidRPr="00C837DD">
        <w:rPr>
          <w:sz w:val="20"/>
          <w:szCs w:val="20"/>
        </w:rPr>
        <w:t xml:space="preserve">, </w:t>
      </w:r>
      <w:r w:rsidR="009E4683" w:rsidRPr="00C837DD">
        <w:rPr>
          <w:sz w:val="20"/>
          <w:szCs w:val="20"/>
        </w:rPr>
        <w:t>since the</w:t>
      </w:r>
      <w:r w:rsidR="00710DFA">
        <w:rPr>
          <w:sz w:val="20"/>
          <w:szCs w:val="20"/>
        </w:rPr>
        <w:t>se</w:t>
      </w:r>
      <w:r w:rsidR="009E4683" w:rsidRPr="00C837DD">
        <w:rPr>
          <w:sz w:val="20"/>
          <w:szCs w:val="20"/>
        </w:rPr>
        <w:t xml:space="preserve"> </w:t>
      </w:r>
      <w:r w:rsidRPr="00C837DD">
        <w:rPr>
          <w:sz w:val="20"/>
          <w:szCs w:val="20"/>
        </w:rPr>
        <w:t xml:space="preserve">could have had legal effects with respect to the State’s obligations </w:t>
      </w:r>
      <w:r w:rsidR="009E4683" w:rsidRPr="00C837DD">
        <w:rPr>
          <w:sz w:val="20"/>
          <w:szCs w:val="20"/>
        </w:rPr>
        <w:t xml:space="preserve">in the </w:t>
      </w:r>
      <w:r w:rsidRPr="00C837DD">
        <w:rPr>
          <w:sz w:val="20"/>
          <w:szCs w:val="20"/>
        </w:rPr>
        <w:t xml:space="preserve">conduct of the investigation and the alleged situation of impunity </w:t>
      </w:r>
      <w:r w:rsidR="003F0663" w:rsidRPr="00C837DD">
        <w:rPr>
          <w:sz w:val="20"/>
          <w:szCs w:val="20"/>
        </w:rPr>
        <w:t xml:space="preserve">surrounding </w:t>
      </w:r>
      <w:r w:rsidR="00B8009F" w:rsidRPr="00C837DD">
        <w:rPr>
          <w:sz w:val="20"/>
          <w:szCs w:val="20"/>
        </w:rPr>
        <w:t>the act</w:t>
      </w:r>
      <w:r w:rsidRPr="00C837DD">
        <w:rPr>
          <w:sz w:val="20"/>
          <w:szCs w:val="20"/>
        </w:rPr>
        <w:t>.</w:t>
      </w:r>
    </w:p>
    <w:p w14:paraId="6E37F4C3" w14:textId="77777777" w:rsidR="00F85D5F" w:rsidRPr="00C837DD" w:rsidRDefault="00F85D5F" w:rsidP="00F85D5F">
      <w:pPr>
        <w:tabs>
          <w:tab w:val="left" w:pos="142"/>
          <w:tab w:val="left" w:pos="686"/>
        </w:tabs>
        <w:rPr>
          <w:sz w:val="20"/>
          <w:szCs w:val="20"/>
        </w:rPr>
      </w:pPr>
    </w:p>
    <w:p w14:paraId="73B5BC4C" w14:textId="77777777" w:rsidR="00F85D5F" w:rsidRPr="00C837DD" w:rsidRDefault="00F85D5F" w:rsidP="00F85D5F">
      <w:pPr>
        <w:pStyle w:val="Ttulo3"/>
        <w:numPr>
          <w:ilvl w:val="0"/>
          <w:numId w:val="24"/>
        </w:numPr>
        <w:ind w:left="1560" w:hanging="709"/>
        <w:rPr>
          <w:b/>
          <w:sz w:val="20"/>
          <w:szCs w:val="20"/>
        </w:rPr>
      </w:pPr>
      <w:bookmarkStart w:id="21" w:name="A.2._Consideraciones_de_la_Corte"/>
      <w:bookmarkStart w:id="22" w:name="_bookmark20"/>
      <w:bookmarkStart w:id="23" w:name="_Toc85001866"/>
      <w:bookmarkEnd w:id="21"/>
      <w:bookmarkEnd w:id="22"/>
      <w:r w:rsidRPr="00C837DD">
        <w:rPr>
          <w:b/>
          <w:sz w:val="20"/>
          <w:szCs w:val="20"/>
        </w:rPr>
        <w:t>Considerations of the Court</w:t>
      </w:r>
      <w:bookmarkEnd w:id="23"/>
    </w:p>
    <w:p w14:paraId="1E059956" w14:textId="77777777" w:rsidR="00F85D5F" w:rsidRPr="00C837DD" w:rsidRDefault="00F85D5F" w:rsidP="00F85D5F">
      <w:pPr>
        <w:pStyle w:val="Textoindependiente"/>
        <w:tabs>
          <w:tab w:val="left" w:pos="142"/>
        </w:tabs>
        <w:rPr>
          <w:i/>
        </w:rPr>
      </w:pPr>
    </w:p>
    <w:p w14:paraId="57D8371B" w14:textId="203F6AED" w:rsidR="00F85D5F" w:rsidRPr="00C837DD" w:rsidRDefault="00F85D5F" w:rsidP="00F85D5F">
      <w:pPr>
        <w:pStyle w:val="Textoindependiente"/>
        <w:numPr>
          <w:ilvl w:val="0"/>
          <w:numId w:val="6"/>
        </w:numPr>
        <w:tabs>
          <w:tab w:val="left" w:pos="142"/>
        </w:tabs>
        <w:ind w:left="0" w:firstLine="0"/>
        <w:jc w:val="both"/>
      </w:pPr>
      <w:r w:rsidRPr="00C837DD">
        <w:t xml:space="preserve">The </w:t>
      </w:r>
      <w:r w:rsidRPr="00C837DD">
        <w:rPr>
          <w:b/>
          <w:i/>
        </w:rPr>
        <w:t>Court</w:t>
      </w:r>
      <w:r w:rsidRPr="00C837DD">
        <w:t xml:space="preserve"> notes that </w:t>
      </w:r>
      <w:r w:rsidRPr="00C837DD">
        <w:rPr>
          <w:lang w:eastAsia="es-ES"/>
        </w:rPr>
        <w:t xml:space="preserve">Brazil ratified the American Convention on Human Rights on September 25, 1992, and the Inter-American Convention </w:t>
      </w:r>
      <w:r w:rsidR="000E2D99" w:rsidRPr="00C837DD">
        <w:rPr>
          <w:rFonts w:cs="Arial"/>
          <w:color w:val="202124"/>
          <w:shd w:val="clear" w:color="auto" w:fill="FFFFFF"/>
        </w:rPr>
        <w:t>on the Prevention, Punishment, and Eradication of Violence</w:t>
      </w:r>
      <w:r w:rsidR="000E2D99" w:rsidRPr="00C837DD">
        <w:rPr>
          <w:lang w:eastAsia="es-ES"/>
        </w:rPr>
        <w:t xml:space="preserve"> </w:t>
      </w:r>
      <w:r w:rsidRPr="00C837DD">
        <w:rPr>
          <w:lang w:eastAsia="es-ES"/>
        </w:rPr>
        <w:t xml:space="preserve">against Women on November 27, 1995. Subsequently, on December 10, 1998, the </w:t>
      </w:r>
      <w:r w:rsidR="000E2D99" w:rsidRPr="00C837DD">
        <w:rPr>
          <w:lang w:eastAsia="es-ES"/>
        </w:rPr>
        <w:t xml:space="preserve">State of </w:t>
      </w:r>
      <w:r w:rsidRPr="00C837DD">
        <w:rPr>
          <w:lang w:eastAsia="es-ES"/>
        </w:rPr>
        <w:t>Brazil recognized the contentious jurisdiction</w:t>
      </w:r>
      <w:r w:rsidR="003F0663" w:rsidRPr="00C837DD">
        <w:rPr>
          <w:lang w:eastAsia="es-ES"/>
        </w:rPr>
        <w:t xml:space="preserve"> of the Court</w:t>
      </w:r>
      <w:r w:rsidRPr="00C837DD">
        <w:rPr>
          <w:lang w:eastAsia="es-ES"/>
        </w:rPr>
        <w:t xml:space="preserve">. In this regard, the Court recalls that in its </w:t>
      </w:r>
      <w:r w:rsidR="000E2D99" w:rsidRPr="00C837DD">
        <w:rPr>
          <w:lang w:eastAsia="es-ES"/>
        </w:rPr>
        <w:t>declaration</w:t>
      </w:r>
      <w:r w:rsidRPr="00C837DD">
        <w:rPr>
          <w:lang w:eastAsia="es-ES"/>
        </w:rPr>
        <w:t xml:space="preserve">, Brazil indicated that the Court would have jurisdiction </w:t>
      </w:r>
      <w:r w:rsidR="000E2D99" w:rsidRPr="00C837DD">
        <w:rPr>
          <w:lang w:eastAsia="es-ES"/>
        </w:rPr>
        <w:t xml:space="preserve">over “facts subsequent </w:t>
      </w:r>
      <w:r w:rsidRPr="00C837DD">
        <w:rPr>
          <w:lang w:eastAsia="es-ES"/>
        </w:rPr>
        <w:t>to</w:t>
      </w:r>
      <w:r w:rsidR="000E2D99" w:rsidRPr="00C837DD">
        <w:rPr>
          <w:lang w:eastAsia="es-ES"/>
        </w:rPr>
        <w:t>”</w:t>
      </w:r>
      <w:r w:rsidRPr="00C837DD">
        <w:rPr>
          <w:lang w:eastAsia="es-ES"/>
        </w:rPr>
        <w:t xml:space="preserve"> s</w:t>
      </w:r>
      <w:r w:rsidR="000E2D99" w:rsidRPr="00C837DD">
        <w:rPr>
          <w:lang w:eastAsia="es-ES"/>
        </w:rPr>
        <w:t>uch recognition</w:t>
      </w:r>
      <w:r w:rsidRPr="00C837DD">
        <w:rPr>
          <w:lang w:eastAsia="es-ES"/>
        </w:rPr>
        <w:t xml:space="preserve">. The terms of the </w:t>
      </w:r>
      <w:r w:rsidR="000E2D99" w:rsidRPr="00C837DD">
        <w:rPr>
          <w:lang w:eastAsia="es-ES"/>
        </w:rPr>
        <w:t xml:space="preserve">recognition </w:t>
      </w:r>
      <w:r w:rsidRPr="00C837DD">
        <w:rPr>
          <w:lang w:eastAsia="es-ES"/>
        </w:rPr>
        <w:t xml:space="preserve">of jurisdiction made by the State of Brazil are as follows: </w:t>
      </w:r>
    </w:p>
    <w:p w14:paraId="1CC6EFDC" w14:textId="77777777" w:rsidR="00F85D5F" w:rsidRPr="00C837DD" w:rsidRDefault="00F85D5F" w:rsidP="00F85D5F">
      <w:pPr>
        <w:pStyle w:val="Prrafodelista"/>
        <w:tabs>
          <w:tab w:val="left" w:pos="142"/>
        </w:tabs>
        <w:ind w:left="0"/>
        <w:rPr>
          <w:sz w:val="20"/>
          <w:szCs w:val="20"/>
          <w:lang w:eastAsia="es-ES"/>
        </w:rPr>
      </w:pPr>
    </w:p>
    <w:p w14:paraId="16EC97BA" w14:textId="17BE335B" w:rsidR="00F85D5F" w:rsidRPr="00C837DD" w:rsidRDefault="00F85D5F" w:rsidP="00F85D5F">
      <w:pPr>
        <w:pStyle w:val="Prrafodelista"/>
        <w:ind w:left="851" w:right="684"/>
        <w:rPr>
          <w:sz w:val="16"/>
          <w:szCs w:val="16"/>
          <w:lang w:eastAsia="es-ES"/>
        </w:rPr>
      </w:pPr>
      <w:r w:rsidRPr="00C837DD">
        <w:rPr>
          <w:sz w:val="16"/>
          <w:szCs w:val="16"/>
          <w:lang w:eastAsia="es-ES"/>
        </w:rPr>
        <w:t xml:space="preserve">The Government of the Federative Republic of Brazil declares </w:t>
      </w:r>
      <w:r w:rsidR="00377E95" w:rsidRPr="00C837DD">
        <w:rPr>
          <w:sz w:val="16"/>
          <w:szCs w:val="16"/>
          <w:lang w:eastAsia="es-ES"/>
        </w:rPr>
        <w:t xml:space="preserve">its </w:t>
      </w:r>
      <w:r w:rsidRPr="00C837DD">
        <w:rPr>
          <w:b/>
          <w:sz w:val="16"/>
          <w:szCs w:val="16"/>
          <w:u w:val="single"/>
          <w:lang w:eastAsia="es-ES"/>
        </w:rPr>
        <w:t>recogni</w:t>
      </w:r>
      <w:r w:rsidR="00377E95" w:rsidRPr="00C837DD">
        <w:rPr>
          <w:b/>
          <w:sz w:val="16"/>
          <w:szCs w:val="16"/>
          <w:u w:val="single"/>
          <w:lang w:eastAsia="es-ES"/>
        </w:rPr>
        <w:t>tion as binding</w:t>
      </w:r>
      <w:r w:rsidRPr="00C837DD">
        <w:rPr>
          <w:b/>
          <w:sz w:val="16"/>
          <w:szCs w:val="16"/>
          <w:u w:val="single"/>
          <w:lang w:eastAsia="es-ES"/>
        </w:rPr>
        <w:t>, for an inde</w:t>
      </w:r>
      <w:r w:rsidR="000E2D99" w:rsidRPr="00C837DD">
        <w:rPr>
          <w:b/>
          <w:sz w:val="16"/>
          <w:szCs w:val="16"/>
          <w:u w:val="single"/>
          <w:lang w:eastAsia="es-ES"/>
        </w:rPr>
        <w:t xml:space="preserve">finite </w:t>
      </w:r>
      <w:r w:rsidR="00A7695E" w:rsidRPr="00C837DD">
        <w:rPr>
          <w:b/>
          <w:sz w:val="16"/>
          <w:szCs w:val="16"/>
          <w:u w:val="single"/>
          <w:lang w:eastAsia="es-ES"/>
        </w:rPr>
        <w:t>period</w:t>
      </w:r>
      <w:r w:rsidR="00377E95" w:rsidRPr="00C837DD">
        <w:rPr>
          <w:b/>
          <w:sz w:val="16"/>
          <w:szCs w:val="16"/>
          <w:u w:val="single"/>
          <w:lang w:eastAsia="es-ES"/>
        </w:rPr>
        <w:t xml:space="preserve"> of time</w:t>
      </w:r>
      <w:r w:rsidRPr="00C837DD">
        <w:rPr>
          <w:b/>
          <w:sz w:val="16"/>
          <w:szCs w:val="16"/>
          <w:u w:val="single"/>
          <w:lang w:eastAsia="es-ES"/>
        </w:rPr>
        <w:t xml:space="preserve">, </w:t>
      </w:r>
      <w:r w:rsidR="00255E85" w:rsidRPr="00C837DD">
        <w:rPr>
          <w:b/>
          <w:sz w:val="16"/>
          <w:szCs w:val="16"/>
          <w:u w:val="single"/>
          <w:lang w:eastAsia="es-ES"/>
        </w:rPr>
        <w:t>ipso jure</w:t>
      </w:r>
      <w:r w:rsidR="00377E95" w:rsidRPr="00C837DD">
        <w:rPr>
          <w:b/>
          <w:sz w:val="16"/>
          <w:szCs w:val="16"/>
          <w:u w:val="single"/>
          <w:lang w:eastAsia="es-ES"/>
        </w:rPr>
        <w:t>,</w:t>
      </w:r>
      <w:r w:rsidR="00A7695E" w:rsidRPr="00C837DD">
        <w:rPr>
          <w:b/>
          <w:sz w:val="16"/>
          <w:szCs w:val="16"/>
          <w:u w:val="single"/>
          <w:lang w:eastAsia="es-ES"/>
        </w:rPr>
        <w:t xml:space="preserve"> </w:t>
      </w:r>
      <w:r w:rsidR="00710DFA">
        <w:rPr>
          <w:b/>
          <w:sz w:val="16"/>
          <w:szCs w:val="16"/>
          <w:u w:val="single"/>
          <w:lang w:eastAsia="es-ES"/>
        </w:rPr>
        <w:t xml:space="preserve">of </w:t>
      </w:r>
      <w:r w:rsidRPr="00C837DD">
        <w:rPr>
          <w:b/>
          <w:sz w:val="16"/>
          <w:szCs w:val="16"/>
          <w:u w:val="single"/>
          <w:lang w:eastAsia="es-ES"/>
        </w:rPr>
        <w:t>the jurisdiction of the Inter-American Court of Human Rights</w:t>
      </w:r>
      <w:r w:rsidR="00377E95" w:rsidRPr="00C837DD">
        <w:rPr>
          <w:sz w:val="16"/>
          <w:szCs w:val="16"/>
          <w:lang w:eastAsia="es-ES"/>
        </w:rPr>
        <w:t xml:space="preserve"> o</w:t>
      </w:r>
      <w:r w:rsidRPr="00C837DD">
        <w:rPr>
          <w:sz w:val="16"/>
          <w:szCs w:val="16"/>
          <w:lang w:eastAsia="es-ES"/>
        </w:rPr>
        <w:t xml:space="preserve">n all </w:t>
      </w:r>
      <w:r w:rsidR="00377E95" w:rsidRPr="00C837DD">
        <w:rPr>
          <w:sz w:val="16"/>
          <w:szCs w:val="16"/>
          <w:lang w:eastAsia="es-ES"/>
        </w:rPr>
        <w:t xml:space="preserve">matters relating to </w:t>
      </w:r>
      <w:r w:rsidRPr="00C837DD">
        <w:rPr>
          <w:sz w:val="16"/>
          <w:szCs w:val="16"/>
          <w:lang w:eastAsia="es-ES"/>
        </w:rPr>
        <w:t>the interpretation or applicat</w:t>
      </w:r>
      <w:r w:rsidR="00377E95" w:rsidRPr="00C837DD">
        <w:rPr>
          <w:sz w:val="16"/>
          <w:szCs w:val="16"/>
          <w:lang w:eastAsia="es-ES"/>
        </w:rPr>
        <w:t>ion of the American Convention on</w:t>
      </w:r>
      <w:r w:rsidRPr="00C837DD">
        <w:rPr>
          <w:sz w:val="16"/>
          <w:szCs w:val="16"/>
          <w:lang w:eastAsia="es-ES"/>
        </w:rPr>
        <w:t xml:space="preserve"> Human Rights, </w:t>
      </w:r>
      <w:r w:rsidR="00377E95" w:rsidRPr="00C837DD">
        <w:rPr>
          <w:sz w:val="16"/>
          <w:szCs w:val="16"/>
          <w:lang w:eastAsia="es-ES"/>
        </w:rPr>
        <w:t xml:space="preserve">according to </w:t>
      </w:r>
      <w:r w:rsidRPr="00C837DD">
        <w:rPr>
          <w:sz w:val="16"/>
          <w:szCs w:val="16"/>
          <w:lang w:eastAsia="es-ES"/>
        </w:rPr>
        <w:t xml:space="preserve">Article 62 </w:t>
      </w:r>
      <w:r w:rsidR="00377E95" w:rsidRPr="00C837DD">
        <w:rPr>
          <w:sz w:val="16"/>
          <w:szCs w:val="16"/>
          <w:lang w:eastAsia="es-ES"/>
        </w:rPr>
        <w:t xml:space="preserve">of that Convention, on the condition of </w:t>
      </w:r>
      <w:r w:rsidRPr="00C837DD">
        <w:rPr>
          <w:sz w:val="16"/>
          <w:szCs w:val="16"/>
          <w:lang w:eastAsia="es-ES"/>
        </w:rPr>
        <w:t>reciprocity</w:t>
      </w:r>
      <w:r w:rsidR="00377E95" w:rsidRPr="00C837DD">
        <w:rPr>
          <w:sz w:val="16"/>
          <w:szCs w:val="16"/>
          <w:lang w:eastAsia="es-ES"/>
        </w:rPr>
        <w:t>,</w:t>
      </w:r>
      <w:r w:rsidRPr="00C837DD">
        <w:rPr>
          <w:sz w:val="16"/>
          <w:szCs w:val="16"/>
          <w:lang w:eastAsia="es-ES"/>
        </w:rPr>
        <w:t xml:space="preserve"> and </w:t>
      </w:r>
      <w:r w:rsidRPr="00C837DD">
        <w:rPr>
          <w:b/>
          <w:sz w:val="16"/>
          <w:szCs w:val="16"/>
          <w:u w:val="single"/>
          <w:lang w:eastAsia="es-ES"/>
        </w:rPr>
        <w:t xml:space="preserve">for </w:t>
      </w:r>
      <w:r w:rsidR="00377E95" w:rsidRPr="00C837DD">
        <w:rPr>
          <w:b/>
          <w:sz w:val="16"/>
          <w:szCs w:val="16"/>
          <w:u w:val="single"/>
          <w:lang w:eastAsia="es-ES"/>
        </w:rPr>
        <w:t>matter</w:t>
      </w:r>
      <w:r w:rsidR="00A7695E" w:rsidRPr="00C837DD">
        <w:rPr>
          <w:b/>
          <w:sz w:val="16"/>
          <w:szCs w:val="16"/>
          <w:u w:val="single"/>
          <w:lang w:eastAsia="es-ES"/>
        </w:rPr>
        <w:t xml:space="preserve">s </w:t>
      </w:r>
      <w:r w:rsidR="00377E95" w:rsidRPr="00C837DD">
        <w:rPr>
          <w:b/>
          <w:sz w:val="16"/>
          <w:szCs w:val="16"/>
          <w:u w:val="single"/>
          <w:lang w:eastAsia="es-ES"/>
        </w:rPr>
        <w:t>arising after the time of this d</w:t>
      </w:r>
      <w:r w:rsidRPr="00C837DD">
        <w:rPr>
          <w:b/>
          <w:sz w:val="16"/>
          <w:szCs w:val="16"/>
          <w:u w:val="single"/>
          <w:lang w:eastAsia="es-ES"/>
        </w:rPr>
        <w:t>eclaration</w:t>
      </w:r>
      <w:r w:rsidR="003F0663" w:rsidRPr="00C837DD">
        <w:rPr>
          <w:b/>
          <w:sz w:val="16"/>
          <w:szCs w:val="16"/>
          <w:u w:val="single"/>
          <w:lang w:eastAsia="es-ES"/>
        </w:rPr>
        <w:t>.</w:t>
      </w:r>
      <w:r w:rsidRPr="00C837DD">
        <w:rPr>
          <w:rStyle w:val="Refdenotaalpie"/>
          <w:sz w:val="16"/>
          <w:szCs w:val="16"/>
          <w:lang w:eastAsia="es-ES"/>
        </w:rPr>
        <w:footnoteReference w:id="17"/>
      </w:r>
      <w:r w:rsidRPr="00C837DD">
        <w:rPr>
          <w:sz w:val="16"/>
          <w:szCs w:val="16"/>
          <w:lang w:eastAsia="es-ES"/>
        </w:rPr>
        <w:t xml:space="preserve"> (</w:t>
      </w:r>
      <w:r w:rsidR="00377E95" w:rsidRPr="00C837DD">
        <w:rPr>
          <w:sz w:val="16"/>
          <w:szCs w:val="16"/>
          <w:lang w:eastAsia="es-ES"/>
        </w:rPr>
        <w:t xml:space="preserve">Emphasis </w:t>
      </w:r>
      <w:r w:rsidRPr="00C837DD">
        <w:rPr>
          <w:sz w:val="16"/>
          <w:szCs w:val="16"/>
          <w:lang w:eastAsia="es-ES"/>
        </w:rPr>
        <w:t xml:space="preserve">added) </w:t>
      </w:r>
    </w:p>
    <w:p w14:paraId="0D857505" w14:textId="77777777" w:rsidR="00F85D5F" w:rsidRPr="00C837DD" w:rsidRDefault="00F85D5F" w:rsidP="00F85D5F">
      <w:pPr>
        <w:pStyle w:val="Prrafodelista"/>
        <w:tabs>
          <w:tab w:val="left" w:pos="142"/>
        </w:tabs>
        <w:ind w:left="0"/>
        <w:rPr>
          <w:sz w:val="20"/>
          <w:szCs w:val="20"/>
          <w:lang w:eastAsia="es-ES"/>
        </w:rPr>
      </w:pPr>
    </w:p>
    <w:p w14:paraId="53E6E801" w14:textId="79773198"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 xml:space="preserve">The Court reiterates that it cannot exercise its contentious jurisdiction to apply the American Convention and declare a violation of its provisions with respect to alleged facts or conduct by the State that could imply its international responsibility, </w:t>
      </w:r>
      <w:r w:rsidR="00377E95" w:rsidRPr="00C837DD">
        <w:rPr>
          <w:sz w:val="20"/>
          <w:szCs w:val="20"/>
          <w:lang w:eastAsia="es-ES"/>
        </w:rPr>
        <w:t xml:space="preserve">which </w:t>
      </w:r>
      <w:r w:rsidRPr="00C837DD">
        <w:rPr>
          <w:sz w:val="20"/>
          <w:szCs w:val="20"/>
          <w:lang w:eastAsia="es-ES"/>
        </w:rPr>
        <w:t xml:space="preserve">occurred prior to </w:t>
      </w:r>
      <w:r w:rsidR="00377E95" w:rsidRPr="00C837DD">
        <w:rPr>
          <w:sz w:val="20"/>
          <w:szCs w:val="20"/>
          <w:lang w:eastAsia="es-ES"/>
        </w:rPr>
        <w:t>s</w:t>
      </w:r>
      <w:r w:rsidR="00C52414" w:rsidRPr="00C837DD">
        <w:rPr>
          <w:sz w:val="20"/>
          <w:szCs w:val="20"/>
          <w:lang w:eastAsia="es-ES"/>
        </w:rPr>
        <w:t>uch</w:t>
      </w:r>
      <w:r w:rsidR="00377E95" w:rsidRPr="00C837DD">
        <w:rPr>
          <w:sz w:val="20"/>
          <w:szCs w:val="20"/>
          <w:lang w:eastAsia="es-ES"/>
        </w:rPr>
        <w:t xml:space="preserve"> recognition </w:t>
      </w:r>
      <w:r w:rsidRPr="00C837DD">
        <w:rPr>
          <w:sz w:val="20"/>
          <w:szCs w:val="20"/>
          <w:lang w:eastAsia="es-ES"/>
        </w:rPr>
        <w:t>of jurisdiction, as it has affirmed in previous cases against the State of Brazil.</w:t>
      </w:r>
      <w:r w:rsidRPr="00C837DD">
        <w:rPr>
          <w:rStyle w:val="Refdenotaalpie"/>
          <w:sz w:val="20"/>
          <w:szCs w:val="20"/>
          <w:lang w:eastAsia="es-ES"/>
        </w:rPr>
        <w:footnoteReference w:id="18"/>
      </w:r>
    </w:p>
    <w:p w14:paraId="5C5F4820" w14:textId="77777777" w:rsidR="00F85D5F" w:rsidRPr="00C837DD" w:rsidRDefault="00F85D5F" w:rsidP="00F85D5F">
      <w:pPr>
        <w:pStyle w:val="Prrafodelista"/>
        <w:tabs>
          <w:tab w:val="left" w:pos="142"/>
        </w:tabs>
        <w:ind w:left="0"/>
        <w:rPr>
          <w:sz w:val="20"/>
          <w:szCs w:val="20"/>
          <w:lang w:eastAsia="es-ES"/>
        </w:rPr>
      </w:pPr>
    </w:p>
    <w:p w14:paraId="4E5EE4B1" w14:textId="05EE416D"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 xml:space="preserve">Furthermore, in its constant case law, the Court has established that judicial </w:t>
      </w:r>
      <w:r w:rsidR="00F407CA" w:rsidRPr="00C837DD">
        <w:rPr>
          <w:sz w:val="20"/>
          <w:szCs w:val="20"/>
          <w:lang w:eastAsia="es-ES"/>
        </w:rPr>
        <w:t xml:space="preserve">acts </w:t>
      </w:r>
      <w:r w:rsidRPr="00C837DD">
        <w:rPr>
          <w:sz w:val="20"/>
          <w:szCs w:val="20"/>
          <w:lang w:eastAsia="es-ES"/>
        </w:rPr>
        <w:t xml:space="preserve">or </w:t>
      </w:r>
      <w:r w:rsidR="00C52414" w:rsidRPr="00C837DD">
        <w:rPr>
          <w:sz w:val="20"/>
          <w:szCs w:val="20"/>
          <w:lang w:eastAsia="es-ES"/>
        </w:rPr>
        <w:t xml:space="preserve">acts </w:t>
      </w:r>
      <w:r w:rsidRPr="00C837DD">
        <w:rPr>
          <w:sz w:val="20"/>
          <w:szCs w:val="20"/>
          <w:lang w:eastAsia="es-ES"/>
        </w:rPr>
        <w:t>related to an investigati</w:t>
      </w:r>
      <w:r w:rsidR="00C52414" w:rsidRPr="00C837DD">
        <w:rPr>
          <w:sz w:val="20"/>
          <w:szCs w:val="20"/>
          <w:lang w:eastAsia="es-ES"/>
        </w:rPr>
        <w:t>ve</w:t>
      </w:r>
      <w:r w:rsidRPr="00C837DD">
        <w:rPr>
          <w:sz w:val="20"/>
          <w:szCs w:val="20"/>
          <w:lang w:eastAsia="es-ES"/>
        </w:rPr>
        <w:t xml:space="preserve"> process may </w:t>
      </w:r>
      <w:r w:rsidR="00C52414" w:rsidRPr="00C837DD">
        <w:rPr>
          <w:sz w:val="20"/>
          <w:szCs w:val="20"/>
          <w:lang w:eastAsia="es-ES"/>
        </w:rPr>
        <w:t xml:space="preserve">involve </w:t>
      </w:r>
      <w:r w:rsidRPr="00C837DD">
        <w:rPr>
          <w:sz w:val="20"/>
          <w:szCs w:val="20"/>
          <w:lang w:eastAsia="es-ES"/>
        </w:rPr>
        <w:t xml:space="preserve">separate </w:t>
      </w:r>
      <w:r w:rsidR="00F407CA" w:rsidRPr="00C837DD">
        <w:rPr>
          <w:sz w:val="20"/>
          <w:szCs w:val="20"/>
          <w:lang w:eastAsia="es-ES"/>
        </w:rPr>
        <w:t xml:space="preserve">violations </w:t>
      </w:r>
      <w:r w:rsidRPr="00C837DD">
        <w:rPr>
          <w:sz w:val="20"/>
          <w:szCs w:val="20"/>
          <w:lang w:eastAsia="es-ES"/>
        </w:rPr>
        <w:t xml:space="preserve">and </w:t>
      </w:r>
      <w:r w:rsidR="00C52414" w:rsidRPr="00C837DD">
        <w:rPr>
          <w:sz w:val="20"/>
          <w:szCs w:val="20"/>
          <w:lang w:eastAsia="es-ES"/>
        </w:rPr>
        <w:t xml:space="preserve">may </w:t>
      </w:r>
      <w:r w:rsidRPr="00C837DD">
        <w:rPr>
          <w:sz w:val="20"/>
          <w:szCs w:val="20"/>
          <w:lang w:eastAsia="es-ES"/>
        </w:rPr>
        <w:t>con</w:t>
      </w:r>
      <w:r w:rsidR="00F407CA" w:rsidRPr="00C837DD">
        <w:rPr>
          <w:sz w:val="20"/>
          <w:szCs w:val="20"/>
          <w:lang w:eastAsia="es-ES"/>
        </w:rPr>
        <w:t xml:space="preserve">stitute </w:t>
      </w:r>
      <w:r w:rsidRPr="00C837DD">
        <w:rPr>
          <w:sz w:val="20"/>
          <w:szCs w:val="20"/>
          <w:lang w:eastAsia="es-ES"/>
        </w:rPr>
        <w:t>“specific and autonomous violations of denial of justice.”</w:t>
      </w:r>
      <w:r w:rsidRPr="00C837DD">
        <w:rPr>
          <w:rStyle w:val="Refdenotaalpie"/>
          <w:sz w:val="20"/>
          <w:szCs w:val="20"/>
          <w:lang w:eastAsia="es-ES"/>
        </w:rPr>
        <w:footnoteReference w:id="19"/>
      </w:r>
      <w:r w:rsidRPr="00C837DD">
        <w:rPr>
          <w:sz w:val="20"/>
          <w:szCs w:val="20"/>
          <w:lang w:eastAsia="es-ES"/>
        </w:rPr>
        <w:t xml:space="preserve"> Thus, the Court </w:t>
      </w:r>
      <w:r w:rsidR="00C52414" w:rsidRPr="00C837DD">
        <w:rPr>
          <w:sz w:val="20"/>
          <w:szCs w:val="20"/>
          <w:lang w:eastAsia="es-ES"/>
        </w:rPr>
        <w:t xml:space="preserve">may </w:t>
      </w:r>
      <w:r w:rsidRPr="00C837DD">
        <w:rPr>
          <w:sz w:val="20"/>
          <w:szCs w:val="20"/>
          <w:lang w:eastAsia="es-ES"/>
        </w:rPr>
        <w:t xml:space="preserve">examine and rule on alleged violations </w:t>
      </w:r>
      <w:r w:rsidR="00C52414" w:rsidRPr="00C837DD">
        <w:rPr>
          <w:sz w:val="20"/>
          <w:szCs w:val="20"/>
          <w:lang w:eastAsia="es-ES"/>
        </w:rPr>
        <w:t xml:space="preserve">referring to </w:t>
      </w:r>
      <w:r w:rsidRPr="00C837DD">
        <w:rPr>
          <w:sz w:val="20"/>
          <w:szCs w:val="20"/>
          <w:lang w:eastAsia="es-ES"/>
        </w:rPr>
        <w:t>acts or decisions in judicial proce</w:t>
      </w:r>
      <w:r w:rsidR="00C52414" w:rsidRPr="00C837DD">
        <w:rPr>
          <w:sz w:val="20"/>
          <w:szCs w:val="20"/>
          <w:lang w:eastAsia="es-ES"/>
        </w:rPr>
        <w:t xml:space="preserve">edings </w:t>
      </w:r>
      <w:r w:rsidRPr="00C837DD">
        <w:rPr>
          <w:sz w:val="20"/>
          <w:szCs w:val="20"/>
          <w:lang w:eastAsia="es-ES"/>
        </w:rPr>
        <w:t xml:space="preserve">that occurred after the </w:t>
      </w:r>
      <w:r w:rsidRPr="00C837DD">
        <w:rPr>
          <w:rFonts w:eastAsia="Batang" w:cs="Times"/>
          <w:sz w:val="20"/>
          <w:szCs w:val="20"/>
          <w:lang w:eastAsia="es-ES"/>
        </w:rPr>
        <w:t>date of recognition of the Court’s contentious jurisdiction</w:t>
      </w:r>
      <w:r w:rsidRPr="00C837DD">
        <w:rPr>
          <w:sz w:val="20"/>
          <w:szCs w:val="20"/>
          <w:lang w:eastAsia="es-ES"/>
        </w:rPr>
        <w:t xml:space="preserve">, even </w:t>
      </w:r>
      <w:r w:rsidR="00C52414" w:rsidRPr="00C837DD">
        <w:rPr>
          <w:sz w:val="20"/>
          <w:szCs w:val="20"/>
          <w:lang w:eastAsia="es-ES"/>
        </w:rPr>
        <w:t xml:space="preserve">when </w:t>
      </w:r>
      <w:r w:rsidRPr="00C837DD">
        <w:rPr>
          <w:sz w:val="20"/>
          <w:szCs w:val="20"/>
          <w:lang w:eastAsia="es-ES"/>
        </w:rPr>
        <w:t xml:space="preserve">the judicial proceedings </w:t>
      </w:r>
      <w:r w:rsidR="00C52414" w:rsidRPr="00C837DD">
        <w:rPr>
          <w:sz w:val="20"/>
          <w:szCs w:val="20"/>
          <w:lang w:eastAsia="es-ES"/>
        </w:rPr>
        <w:t xml:space="preserve">began </w:t>
      </w:r>
      <w:r w:rsidRPr="00C837DD">
        <w:rPr>
          <w:sz w:val="20"/>
          <w:szCs w:val="20"/>
          <w:lang w:eastAsia="es-ES"/>
        </w:rPr>
        <w:t xml:space="preserve">on a date prior to </w:t>
      </w:r>
      <w:r w:rsidR="00C52414" w:rsidRPr="00C837DD">
        <w:rPr>
          <w:sz w:val="20"/>
          <w:szCs w:val="20"/>
          <w:lang w:eastAsia="es-ES"/>
        </w:rPr>
        <w:t>the recognition of the Court's jurisdiction</w:t>
      </w:r>
      <w:r w:rsidRPr="00C837DD">
        <w:rPr>
          <w:rFonts w:eastAsia="Batang" w:cs="Times"/>
          <w:sz w:val="20"/>
          <w:szCs w:val="20"/>
          <w:lang w:eastAsia="es-ES"/>
        </w:rPr>
        <w:t xml:space="preserve">. </w:t>
      </w:r>
    </w:p>
    <w:p w14:paraId="297837D0" w14:textId="77777777" w:rsidR="00F85D5F" w:rsidRPr="00C837DD" w:rsidRDefault="00F85D5F" w:rsidP="00F85D5F">
      <w:pPr>
        <w:pStyle w:val="Prrafodelista"/>
        <w:tabs>
          <w:tab w:val="left" w:pos="142"/>
        </w:tabs>
        <w:ind w:left="0"/>
        <w:rPr>
          <w:sz w:val="20"/>
          <w:szCs w:val="20"/>
          <w:lang w:eastAsia="es-ES"/>
        </w:rPr>
      </w:pPr>
    </w:p>
    <w:p w14:paraId="0401F46B" w14:textId="1CDB5F2F"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 xml:space="preserve">The Court observes that both the Commission and the representatives indicated that they did not seek </w:t>
      </w:r>
      <w:r w:rsidR="00501972" w:rsidRPr="00C837DD">
        <w:rPr>
          <w:sz w:val="20"/>
          <w:szCs w:val="20"/>
          <w:lang w:eastAsia="es-ES"/>
        </w:rPr>
        <w:t>a declaration of international responsibility of the State for events prior to December 10, 1998.</w:t>
      </w:r>
      <w:r w:rsidRPr="00C837DD">
        <w:rPr>
          <w:sz w:val="20"/>
          <w:szCs w:val="20"/>
          <w:lang w:eastAsia="es-ES"/>
        </w:rPr>
        <w:t xml:space="preserve"> In consideration of the </w:t>
      </w:r>
      <w:r w:rsidR="00501972" w:rsidRPr="00C837DD">
        <w:rPr>
          <w:sz w:val="20"/>
          <w:szCs w:val="20"/>
          <w:lang w:eastAsia="es-ES"/>
        </w:rPr>
        <w:t xml:space="preserve">above </w:t>
      </w:r>
      <w:r w:rsidRPr="00C837DD">
        <w:rPr>
          <w:sz w:val="20"/>
          <w:szCs w:val="20"/>
          <w:lang w:eastAsia="es-ES"/>
        </w:rPr>
        <w:t xml:space="preserve">criteria, the Court has jurisdiction to analyze the alleged actions and omissions of the State that took place in the investigations and criminal proceedings related to the alleged </w:t>
      </w:r>
      <w:r w:rsidR="00501972" w:rsidRPr="00C837DD">
        <w:rPr>
          <w:sz w:val="20"/>
          <w:szCs w:val="20"/>
          <w:lang w:eastAsia="es-ES"/>
        </w:rPr>
        <w:t xml:space="preserve">murder </w:t>
      </w:r>
      <w:r w:rsidRPr="00C837DD">
        <w:rPr>
          <w:sz w:val="20"/>
          <w:szCs w:val="20"/>
          <w:lang w:eastAsia="es-ES"/>
        </w:rPr>
        <w:t xml:space="preserve">of </w:t>
      </w:r>
      <w:r w:rsidR="00B8009F" w:rsidRPr="00C837DD">
        <w:rPr>
          <w:sz w:val="20"/>
          <w:szCs w:val="20"/>
          <w:lang w:eastAsia="es-ES"/>
        </w:rPr>
        <w:t>Márcia</w:t>
      </w:r>
      <w:r w:rsidRPr="00C837DD">
        <w:rPr>
          <w:sz w:val="20"/>
          <w:szCs w:val="20"/>
          <w:lang w:eastAsia="es-ES"/>
        </w:rPr>
        <w:t xml:space="preserve"> Barbosa de Souza, after December 10, 1998, both in relation to the American Convention and to Article 7 of the </w:t>
      </w:r>
      <w:r w:rsidR="00501972" w:rsidRPr="00C837DD">
        <w:rPr>
          <w:sz w:val="20"/>
          <w:szCs w:val="20"/>
          <w:lang w:eastAsia="es-ES"/>
        </w:rPr>
        <w:t xml:space="preserve">Convention of </w:t>
      </w:r>
      <w:r w:rsidRPr="00C837DD">
        <w:rPr>
          <w:sz w:val="20"/>
          <w:szCs w:val="20"/>
          <w:lang w:eastAsia="es-ES"/>
        </w:rPr>
        <w:t xml:space="preserve">Belém do Pará. </w:t>
      </w:r>
    </w:p>
    <w:p w14:paraId="5A0A55C8" w14:textId="77777777" w:rsidR="00F85D5F" w:rsidRPr="00C837DD" w:rsidRDefault="00F85D5F" w:rsidP="00F85D5F">
      <w:pPr>
        <w:pStyle w:val="Prrafodelista"/>
        <w:tabs>
          <w:tab w:val="left" w:pos="142"/>
        </w:tabs>
        <w:ind w:left="0"/>
        <w:rPr>
          <w:sz w:val="20"/>
          <w:szCs w:val="20"/>
          <w:lang w:eastAsia="es-ES"/>
        </w:rPr>
      </w:pPr>
    </w:p>
    <w:p w14:paraId="5989BA3D" w14:textId="480BB133" w:rsidR="00F85D5F" w:rsidRPr="00C837DD" w:rsidRDefault="00B63869" w:rsidP="00255E85">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For the foregoing reasons</w:t>
      </w:r>
      <w:r w:rsidR="00F85D5F" w:rsidRPr="00C837DD">
        <w:rPr>
          <w:sz w:val="20"/>
          <w:szCs w:val="20"/>
          <w:lang w:eastAsia="es-ES"/>
        </w:rPr>
        <w:t xml:space="preserve">, the Court reaffirms its </w:t>
      </w:r>
      <w:r w:rsidR="00255E85" w:rsidRPr="00C837DD">
        <w:rPr>
          <w:sz w:val="20"/>
          <w:szCs w:val="20"/>
          <w:lang w:eastAsia="es-ES"/>
        </w:rPr>
        <w:t>settled case law on this</w:t>
      </w:r>
      <w:r w:rsidR="00F85D5F" w:rsidRPr="00C837DD">
        <w:rPr>
          <w:sz w:val="20"/>
          <w:szCs w:val="20"/>
          <w:lang w:eastAsia="es-ES"/>
        </w:rPr>
        <w:t xml:space="preserve"> issue and </w:t>
      </w:r>
      <w:r w:rsidR="00255E85" w:rsidRPr="00C837DD">
        <w:rPr>
          <w:sz w:val="20"/>
          <w:szCs w:val="20"/>
          <w:lang w:eastAsia="es-ES"/>
        </w:rPr>
        <w:t xml:space="preserve">finds the preliminary objection to be partially </w:t>
      </w:r>
      <w:r w:rsidRPr="00C837DD">
        <w:rPr>
          <w:sz w:val="20"/>
          <w:szCs w:val="20"/>
          <w:lang w:eastAsia="es-ES"/>
        </w:rPr>
        <w:t>gr</w:t>
      </w:r>
      <w:r w:rsidR="00255E85" w:rsidRPr="00C837DD">
        <w:rPr>
          <w:sz w:val="20"/>
          <w:szCs w:val="20"/>
          <w:lang w:eastAsia="es-ES"/>
        </w:rPr>
        <w:t>ounded</w:t>
      </w:r>
      <w:r w:rsidR="00F85D5F" w:rsidRPr="00C837DD">
        <w:rPr>
          <w:sz w:val="20"/>
          <w:szCs w:val="20"/>
          <w:lang w:eastAsia="es-ES"/>
        </w:rPr>
        <w:t>.</w:t>
      </w:r>
    </w:p>
    <w:p w14:paraId="13BA952C" w14:textId="77777777" w:rsidR="00F85D5F" w:rsidRPr="00C837DD" w:rsidRDefault="00F85D5F" w:rsidP="00F85D5F">
      <w:pPr>
        <w:pStyle w:val="Textoindependiente"/>
        <w:tabs>
          <w:tab w:val="left" w:pos="142"/>
        </w:tabs>
      </w:pPr>
    </w:p>
    <w:p w14:paraId="77F978BF" w14:textId="77777777" w:rsidR="00F85D5F" w:rsidRPr="00C837DD" w:rsidRDefault="00F85D5F" w:rsidP="00F85D5F">
      <w:pPr>
        <w:pStyle w:val="Ttulo2"/>
        <w:numPr>
          <w:ilvl w:val="1"/>
          <w:numId w:val="16"/>
        </w:numPr>
        <w:ind w:left="1134" w:hanging="567"/>
        <w:rPr>
          <w:lang w:val="en-US"/>
        </w:rPr>
      </w:pPr>
      <w:bookmarkStart w:id="24" w:name="B._Alegada_configuración_de_la_“cuarta_i"/>
      <w:bookmarkStart w:id="25" w:name="_bookmark38"/>
      <w:bookmarkStart w:id="26" w:name="_Toc85001867"/>
      <w:bookmarkEnd w:id="24"/>
      <w:bookmarkEnd w:id="25"/>
      <w:r w:rsidRPr="00C837DD">
        <w:rPr>
          <w:lang w:val="en-US"/>
        </w:rPr>
        <w:t xml:space="preserve">Alleged failure to exhaust domestic remedies </w:t>
      </w:r>
      <w:bookmarkEnd w:id="26"/>
    </w:p>
    <w:p w14:paraId="389A2755" w14:textId="77777777" w:rsidR="00F85D5F" w:rsidRPr="00C837DD" w:rsidRDefault="00F85D5F" w:rsidP="00F85D5F">
      <w:pPr>
        <w:pStyle w:val="Textoindependiente"/>
        <w:tabs>
          <w:tab w:val="left" w:pos="142"/>
        </w:tabs>
        <w:rPr>
          <w:b/>
          <w:i/>
        </w:rPr>
      </w:pPr>
    </w:p>
    <w:p w14:paraId="0CE3A9BF" w14:textId="77777777" w:rsidR="00F85D5F" w:rsidRPr="00C837DD" w:rsidRDefault="00F85D5F" w:rsidP="00F85D5F">
      <w:pPr>
        <w:pStyle w:val="Ttulo3"/>
        <w:numPr>
          <w:ilvl w:val="1"/>
          <w:numId w:val="2"/>
        </w:numPr>
        <w:ind w:left="1560" w:hanging="709"/>
        <w:rPr>
          <w:b/>
          <w:sz w:val="20"/>
          <w:szCs w:val="20"/>
        </w:rPr>
      </w:pPr>
      <w:bookmarkStart w:id="27" w:name="B.1._Alegatos_de_las_partes_y_de_la_Comi"/>
      <w:bookmarkStart w:id="28" w:name="_bookmark39"/>
      <w:bookmarkStart w:id="29" w:name="_Toc85001868"/>
      <w:bookmarkEnd w:id="27"/>
      <w:bookmarkEnd w:id="28"/>
      <w:r w:rsidRPr="00C837DD">
        <w:rPr>
          <w:b/>
          <w:sz w:val="20"/>
          <w:szCs w:val="20"/>
        </w:rPr>
        <w:t>Arguments of the parties and of the Commission</w:t>
      </w:r>
      <w:bookmarkEnd w:id="29"/>
    </w:p>
    <w:p w14:paraId="14F3AAE7" w14:textId="77777777" w:rsidR="00F85D5F" w:rsidRPr="00C837DD" w:rsidRDefault="00F85D5F" w:rsidP="00F85D5F">
      <w:pPr>
        <w:tabs>
          <w:tab w:val="left" w:pos="142"/>
          <w:tab w:val="left" w:pos="2015"/>
        </w:tabs>
        <w:rPr>
          <w:i/>
          <w:sz w:val="20"/>
          <w:szCs w:val="20"/>
        </w:rPr>
      </w:pPr>
    </w:p>
    <w:p w14:paraId="62F02154" w14:textId="379983ED" w:rsidR="00F85D5F" w:rsidRPr="00C837DD" w:rsidRDefault="00F85D5F" w:rsidP="00F85D5F">
      <w:pPr>
        <w:pStyle w:val="Textoindependiente"/>
        <w:numPr>
          <w:ilvl w:val="0"/>
          <w:numId w:val="6"/>
        </w:numPr>
        <w:tabs>
          <w:tab w:val="left" w:pos="142"/>
        </w:tabs>
        <w:ind w:left="0" w:firstLine="0"/>
        <w:jc w:val="both"/>
      </w:pPr>
      <w:r w:rsidRPr="00C837DD">
        <w:rPr>
          <w:lang w:eastAsia="es-ES"/>
        </w:rPr>
        <w:lastRenderedPageBreak/>
        <w:t xml:space="preserve">The </w:t>
      </w:r>
      <w:r w:rsidRPr="00C837DD">
        <w:rPr>
          <w:b/>
          <w:i/>
          <w:lang w:eastAsia="es-ES"/>
        </w:rPr>
        <w:t>State</w:t>
      </w:r>
      <w:r w:rsidRPr="00C837DD">
        <w:rPr>
          <w:rFonts w:eastAsia="Calibri"/>
          <w:b/>
          <w:i/>
        </w:rPr>
        <w:t xml:space="preserve"> </w:t>
      </w:r>
      <w:r w:rsidRPr="00C837DD">
        <w:rPr>
          <w:rFonts w:eastAsia="Calibri"/>
        </w:rPr>
        <w:t xml:space="preserve">argued that, despite the </w:t>
      </w:r>
      <w:r w:rsidR="00710DFA">
        <w:rPr>
          <w:rFonts w:eastAsia="Calibri"/>
        </w:rPr>
        <w:t xml:space="preserve">availability </w:t>
      </w:r>
      <w:r w:rsidRPr="00C837DD">
        <w:rPr>
          <w:rFonts w:eastAsia="Calibri"/>
        </w:rPr>
        <w:t>of a</w:t>
      </w:r>
      <w:r w:rsidR="004B3690" w:rsidRPr="00C837DD">
        <w:rPr>
          <w:rFonts w:eastAsia="Calibri"/>
        </w:rPr>
        <w:t xml:space="preserve">dequate </w:t>
      </w:r>
      <w:r w:rsidRPr="00C837DD">
        <w:rPr>
          <w:rFonts w:eastAsia="Calibri"/>
        </w:rPr>
        <w:t xml:space="preserve">domestic remedies, the representatives did not proceed to exhaust them and did not demonstrate their exhaustion in their initial petition before the Commission. </w:t>
      </w:r>
      <w:r w:rsidR="004B3690" w:rsidRPr="00C837DD">
        <w:rPr>
          <w:rFonts w:eastAsia="Calibri"/>
        </w:rPr>
        <w:t>I</w:t>
      </w:r>
      <w:r w:rsidRPr="00C837DD">
        <w:rPr>
          <w:rFonts w:eastAsia="Calibri"/>
        </w:rPr>
        <w:t xml:space="preserve">n relation to the criminal proceedings, </w:t>
      </w:r>
      <w:r w:rsidR="004B3690" w:rsidRPr="00C837DD">
        <w:rPr>
          <w:rFonts w:eastAsia="Calibri"/>
        </w:rPr>
        <w:t xml:space="preserve">it pointed out that </w:t>
      </w:r>
      <w:r w:rsidRPr="00C837DD">
        <w:rPr>
          <w:rFonts w:eastAsia="Calibri"/>
        </w:rPr>
        <w:t xml:space="preserve">at the time </w:t>
      </w:r>
      <w:r w:rsidR="004B3690" w:rsidRPr="00C837DD">
        <w:rPr>
          <w:rFonts w:eastAsia="Calibri"/>
        </w:rPr>
        <w:t xml:space="preserve">when </w:t>
      </w:r>
      <w:r w:rsidRPr="00C837DD">
        <w:rPr>
          <w:rFonts w:eastAsia="Calibri"/>
        </w:rPr>
        <w:t xml:space="preserve">the petition </w:t>
      </w:r>
      <w:r w:rsidR="004B3690" w:rsidRPr="00C837DD">
        <w:rPr>
          <w:rFonts w:eastAsia="Calibri"/>
        </w:rPr>
        <w:t xml:space="preserve">was presented to </w:t>
      </w:r>
      <w:r w:rsidRPr="00C837DD">
        <w:rPr>
          <w:rFonts w:eastAsia="Calibri"/>
        </w:rPr>
        <w:t xml:space="preserve">the Commission, in 2000, </w:t>
      </w:r>
      <w:r w:rsidR="00A90819" w:rsidRPr="00C837DD">
        <w:rPr>
          <w:rFonts w:eastAsia="Calibri"/>
        </w:rPr>
        <w:t xml:space="preserve">the </w:t>
      </w:r>
      <w:r w:rsidRPr="00C837DD">
        <w:rPr>
          <w:rFonts w:eastAsia="Calibri"/>
        </w:rPr>
        <w:t xml:space="preserve">domestic remedies </w:t>
      </w:r>
      <w:r w:rsidR="00A90819" w:rsidRPr="00C837DD">
        <w:rPr>
          <w:rFonts w:eastAsia="Calibri"/>
        </w:rPr>
        <w:t>for the punishment of those responsible for the death of Márcia Barbosa had not been exhausted</w:t>
      </w:r>
      <w:r w:rsidRPr="00C837DD">
        <w:rPr>
          <w:rFonts w:eastAsia="Calibri"/>
        </w:rPr>
        <w:t xml:space="preserve">. It indicated that some of the domestic remedies were exhausted during the processing of the case before the Commission, many years </w:t>
      </w:r>
      <w:r w:rsidR="00A90819" w:rsidRPr="00C837DD">
        <w:rPr>
          <w:rFonts w:eastAsia="Calibri"/>
        </w:rPr>
        <w:t xml:space="preserve">after the </w:t>
      </w:r>
      <w:r w:rsidR="00710DFA">
        <w:rPr>
          <w:rFonts w:eastAsia="Calibri"/>
        </w:rPr>
        <w:t xml:space="preserve">case was notified </w:t>
      </w:r>
      <w:r w:rsidR="00A90819" w:rsidRPr="00C837DD">
        <w:rPr>
          <w:rFonts w:eastAsia="Calibri"/>
        </w:rPr>
        <w:t>to the State.</w:t>
      </w:r>
      <w:r w:rsidRPr="00C837DD">
        <w:rPr>
          <w:rFonts w:eastAsia="Calibri"/>
        </w:rPr>
        <w:t xml:space="preserve"> </w:t>
      </w:r>
      <w:r w:rsidR="00A90819" w:rsidRPr="00C837DD">
        <w:rPr>
          <w:rFonts w:eastAsia="Calibri"/>
        </w:rPr>
        <w:t xml:space="preserve">It also affirmed </w:t>
      </w:r>
      <w:r w:rsidRPr="00C837DD">
        <w:rPr>
          <w:rFonts w:eastAsia="Calibri"/>
        </w:rPr>
        <w:t xml:space="preserve">that, during the processing of the case before the Commission, the domestic remedies for the protection of all the rights </w:t>
      </w:r>
      <w:r w:rsidR="00A90819" w:rsidRPr="00C837DD">
        <w:rPr>
          <w:rFonts w:eastAsia="Calibri"/>
        </w:rPr>
        <w:t xml:space="preserve">allegedly </w:t>
      </w:r>
      <w:r w:rsidRPr="00C837DD">
        <w:rPr>
          <w:rFonts w:eastAsia="Calibri"/>
        </w:rPr>
        <w:t>violated</w:t>
      </w:r>
      <w:r w:rsidR="00362FFC" w:rsidRPr="00C837DD">
        <w:rPr>
          <w:rFonts w:eastAsia="Calibri"/>
        </w:rPr>
        <w:t xml:space="preserve"> were made available to the alleged victims</w:t>
      </w:r>
      <w:r w:rsidRPr="00C837DD">
        <w:rPr>
          <w:rFonts w:eastAsia="Calibri"/>
        </w:rPr>
        <w:t xml:space="preserve">. It </w:t>
      </w:r>
      <w:r w:rsidR="00A90819" w:rsidRPr="00C837DD">
        <w:rPr>
          <w:rFonts w:eastAsia="Calibri"/>
        </w:rPr>
        <w:t xml:space="preserve">emphasized </w:t>
      </w:r>
      <w:r w:rsidRPr="00C837DD">
        <w:rPr>
          <w:rFonts w:eastAsia="Calibri"/>
        </w:rPr>
        <w:t xml:space="preserve">that there were several adequate and effective domestic remedies </w:t>
      </w:r>
      <w:r w:rsidR="00A90819" w:rsidRPr="00C837DD">
        <w:rPr>
          <w:rFonts w:eastAsia="Calibri"/>
        </w:rPr>
        <w:t>for the clarification of the events and responsibilities, and that there were no State actions aimed at impeding access to these remedies</w:t>
      </w:r>
      <w:r w:rsidRPr="00C837DD">
        <w:rPr>
          <w:rFonts w:eastAsia="Calibri"/>
        </w:rPr>
        <w:t xml:space="preserve">. It </w:t>
      </w:r>
      <w:r w:rsidR="003C172D" w:rsidRPr="00C837DD">
        <w:rPr>
          <w:rFonts w:eastAsia="Calibri"/>
        </w:rPr>
        <w:t xml:space="preserve">added </w:t>
      </w:r>
      <w:r w:rsidRPr="00C837DD">
        <w:rPr>
          <w:rFonts w:eastAsia="Calibri"/>
        </w:rPr>
        <w:t xml:space="preserve">that some of these remedies </w:t>
      </w:r>
      <w:r w:rsidR="00362FFC" w:rsidRPr="00C837DD">
        <w:rPr>
          <w:rFonts w:eastAsia="Calibri"/>
        </w:rPr>
        <w:t xml:space="preserve">were </w:t>
      </w:r>
      <w:r w:rsidRPr="00C837DD">
        <w:rPr>
          <w:rFonts w:eastAsia="Calibri"/>
        </w:rPr>
        <w:t xml:space="preserve">even </w:t>
      </w:r>
      <w:r w:rsidR="00362FFC" w:rsidRPr="00C837DD">
        <w:rPr>
          <w:rFonts w:eastAsia="Calibri"/>
        </w:rPr>
        <w:t>exhausted</w:t>
      </w:r>
      <w:r w:rsidRPr="00C837DD">
        <w:rPr>
          <w:rFonts w:eastAsia="Calibri"/>
        </w:rPr>
        <w:t xml:space="preserve"> without any unjustified delay. It further argued that </w:t>
      </w:r>
      <w:r w:rsidR="00566D41" w:rsidRPr="00C837DD">
        <w:rPr>
          <w:rFonts w:eastAsia="Calibri"/>
        </w:rPr>
        <w:t>the exception to the exhaustion of remedies of unwarranted delay was not present, since the complexity of the case justified the time elapsed between the facts and the conviction</w:t>
      </w:r>
      <w:r w:rsidRPr="00C837DD">
        <w:rPr>
          <w:rFonts w:eastAsia="Calibri"/>
        </w:rPr>
        <w:t xml:space="preserve">. </w:t>
      </w:r>
    </w:p>
    <w:p w14:paraId="313B834F" w14:textId="77777777" w:rsidR="00F85D5F" w:rsidRPr="00C837DD" w:rsidRDefault="00F85D5F" w:rsidP="00F85D5F">
      <w:pPr>
        <w:pStyle w:val="Textoindependiente"/>
        <w:tabs>
          <w:tab w:val="left" w:pos="142"/>
        </w:tabs>
        <w:jc w:val="both"/>
      </w:pPr>
    </w:p>
    <w:p w14:paraId="532947D6" w14:textId="20F83408" w:rsidR="00F85D5F" w:rsidRPr="00C837DD" w:rsidRDefault="00F85D5F" w:rsidP="00F85D5F">
      <w:pPr>
        <w:pStyle w:val="Textoindependiente"/>
        <w:numPr>
          <w:ilvl w:val="0"/>
          <w:numId w:val="6"/>
        </w:numPr>
        <w:tabs>
          <w:tab w:val="left" w:pos="142"/>
        </w:tabs>
        <w:ind w:left="0" w:firstLine="0"/>
        <w:jc w:val="both"/>
      </w:pPr>
      <w:r w:rsidRPr="00C837DD">
        <w:rPr>
          <w:lang w:eastAsia="es-ES"/>
        </w:rPr>
        <w:t xml:space="preserve">The </w:t>
      </w:r>
      <w:r w:rsidRPr="00C837DD">
        <w:rPr>
          <w:b/>
          <w:i/>
          <w:lang w:eastAsia="es-ES"/>
        </w:rPr>
        <w:t xml:space="preserve">representatives </w:t>
      </w:r>
      <w:r w:rsidR="00566D41" w:rsidRPr="00C837DD">
        <w:rPr>
          <w:bCs/>
          <w:iCs/>
          <w:lang w:eastAsia="es-ES"/>
        </w:rPr>
        <w:t>emphasized that the analysis of the admissibility of a case is primarily the responsibility of the Inter-American Commission, except in cases of serious errors that violate the right to defense of the parties, which did not occur in this case.</w:t>
      </w:r>
      <w:r w:rsidRPr="00C837DD">
        <w:rPr>
          <w:lang w:eastAsia="es-ES"/>
        </w:rPr>
        <w:t xml:space="preserve"> They indicated </w:t>
      </w:r>
      <w:r w:rsidRPr="00C837DD">
        <w:rPr>
          <w:rFonts w:eastAsia="Calibri"/>
        </w:rPr>
        <w:t xml:space="preserve">that the State, in its first </w:t>
      </w:r>
      <w:r w:rsidR="00566D41" w:rsidRPr="00C837DD">
        <w:rPr>
          <w:rFonts w:eastAsia="Calibri"/>
        </w:rPr>
        <w:t xml:space="preserve">statements </w:t>
      </w:r>
      <w:r w:rsidRPr="00C837DD">
        <w:rPr>
          <w:rFonts w:eastAsia="Calibri"/>
        </w:rPr>
        <w:t xml:space="preserve">before the Commission, </w:t>
      </w:r>
      <w:r w:rsidR="00566D41" w:rsidRPr="00C837DD">
        <w:rPr>
          <w:rFonts w:eastAsia="Calibri"/>
        </w:rPr>
        <w:t xml:space="preserve">made no </w:t>
      </w:r>
      <w:r w:rsidRPr="00C837DD">
        <w:rPr>
          <w:rFonts w:eastAsia="Calibri"/>
        </w:rPr>
        <w:t xml:space="preserve">mention </w:t>
      </w:r>
      <w:r w:rsidR="00566D41" w:rsidRPr="00C837DD">
        <w:rPr>
          <w:rFonts w:eastAsia="Calibri"/>
        </w:rPr>
        <w:t xml:space="preserve">of </w:t>
      </w:r>
      <w:r w:rsidRPr="00C837DD">
        <w:rPr>
          <w:rFonts w:eastAsia="Calibri"/>
        </w:rPr>
        <w:t xml:space="preserve">the failure to exhaust domestic remedies, which would have </w:t>
      </w:r>
      <w:r w:rsidR="00FF3C4F" w:rsidRPr="00C837DD">
        <w:rPr>
          <w:rFonts w:eastAsia="Calibri"/>
        </w:rPr>
        <w:t xml:space="preserve">implied </w:t>
      </w:r>
      <w:r w:rsidRPr="00C837DD">
        <w:rPr>
          <w:rFonts w:eastAsia="Calibri"/>
        </w:rPr>
        <w:t xml:space="preserve">a tacit waiver of this preliminary objection. </w:t>
      </w:r>
      <w:r w:rsidR="00FF3C4F" w:rsidRPr="00C837DD">
        <w:rPr>
          <w:rFonts w:eastAsia="Calibri"/>
        </w:rPr>
        <w:t>T</w:t>
      </w:r>
      <w:r w:rsidRPr="00C837DD">
        <w:rPr>
          <w:rFonts w:eastAsia="Calibri"/>
        </w:rPr>
        <w:t>he</w:t>
      </w:r>
      <w:r w:rsidR="00FF3C4F" w:rsidRPr="00C837DD">
        <w:rPr>
          <w:rFonts w:eastAsia="Calibri"/>
        </w:rPr>
        <w:t>y</w:t>
      </w:r>
      <w:r w:rsidRPr="00C837DD">
        <w:rPr>
          <w:rFonts w:eastAsia="Calibri"/>
        </w:rPr>
        <w:t xml:space="preserve"> </w:t>
      </w:r>
      <w:r w:rsidR="00FF3C4F" w:rsidRPr="00C837DD">
        <w:rPr>
          <w:rFonts w:eastAsia="Calibri"/>
        </w:rPr>
        <w:t xml:space="preserve">also </w:t>
      </w:r>
      <w:r w:rsidRPr="00C837DD">
        <w:rPr>
          <w:rFonts w:eastAsia="Calibri"/>
        </w:rPr>
        <w:t xml:space="preserve">pointed out that the only defense of the State in relation to the admissibility of the case was presented on July 17, 2007, days before the approval of the Admissibility Report. They affirmed that, </w:t>
      </w:r>
      <w:r w:rsidR="00FF3C4F" w:rsidRPr="00C837DD">
        <w:rPr>
          <w:rFonts w:eastAsia="Calibri"/>
        </w:rPr>
        <w:t>both on the date of submission of the case and on the date of the admissibility analysis by the Commission, the exceptions to the exhaustion of domestic remedies provided for in Article 46(2)(b) and (c) of the American Convention, respectively, were presented.</w:t>
      </w:r>
      <w:r w:rsidRPr="00C837DD">
        <w:rPr>
          <w:rFonts w:eastAsia="Calibri"/>
        </w:rPr>
        <w:t xml:space="preserve"> The representatives also argued that, </w:t>
      </w:r>
      <w:r w:rsidR="00FF3C4F" w:rsidRPr="00C837DD">
        <w:rPr>
          <w:rFonts w:eastAsia="Calibri"/>
        </w:rPr>
        <w:t xml:space="preserve">at the time </w:t>
      </w:r>
      <w:r w:rsidR="0066215B">
        <w:rPr>
          <w:rFonts w:eastAsia="Calibri"/>
        </w:rPr>
        <w:t xml:space="preserve">when </w:t>
      </w:r>
      <w:r w:rsidR="00FF3C4F" w:rsidRPr="00C837DD">
        <w:rPr>
          <w:rFonts w:eastAsia="Calibri"/>
        </w:rPr>
        <w:t xml:space="preserve">the initial petition was presented to the Commission, the exception of the impossibility of exhausting domestic remedies had arisen, since the Legislative Assembly of the </w:t>
      </w:r>
      <w:r w:rsidR="0066215B">
        <w:rPr>
          <w:rFonts w:eastAsia="Calibri"/>
        </w:rPr>
        <w:t>s</w:t>
      </w:r>
      <w:r w:rsidR="00FF3C4F" w:rsidRPr="00C837DD">
        <w:rPr>
          <w:rFonts w:eastAsia="Calibri"/>
        </w:rPr>
        <w:t>tate of Paraíba had twice failed to authorize the initiation of criminal proceedings.</w:t>
      </w:r>
      <w:r w:rsidRPr="00C837DD">
        <w:rPr>
          <w:rFonts w:eastAsia="Calibri"/>
        </w:rPr>
        <w:t xml:space="preserve"> They also </w:t>
      </w:r>
      <w:r w:rsidR="00D45A7F" w:rsidRPr="00C837DD">
        <w:rPr>
          <w:rFonts w:eastAsia="Calibri"/>
        </w:rPr>
        <w:t>alleged that, at the time of approval of the Admissibility Report o</w:t>
      </w:r>
      <w:r w:rsidR="0066215B">
        <w:rPr>
          <w:rFonts w:eastAsia="Calibri"/>
        </w:rPr>
        <w:t>n</w:t>
      </w:r>
      <w:r w:rsidR="00D45A7F" w:rsidRPr="00C837DD">
        <w:rPr>
          <w:rFonts w:eastAsia="Calibri"/>
        </w:rPr>
        <w:t xml:space="preserve"> the case, there had been unwarranted delay in the judicial proceedings.</w:t>
      </w:r>
      <w:r w:rsidRPr="00C837DD">
        <w:rPr>
          <w:rFonts w:eastAsia="Calibri"/>
        </w:rPr>
        <w:t xml:space="preserve"> Finally, they pointed out that the State would be violating the </w:t>
      </w:r>
      <w:r w:rsidR="00482123" w:rsidRPr="00C837DD">
        <w:rPr>
          <w:rFonts w:eastAsia="Calibri"/>
        </w:rPr>
        <w:t xml:space="preserve">principle of </w:t>
      </w:r>
      <w:r w:rsidRPr="00C837DD">
        <w:rPr>
          <w:rFonts w:eastAsia="Calibri"/>
          <w:i/>
        </w:rPr>
        <w:t xml:space="preserve">estoppel </w:t>
      </w:r>
      <w:r w:rsidR="00F407CA" w:rsidRPr="00C837DD">
        <w:rPr>
          <w:rFonts w:eastAsia="Calibri"/>
        </w:rPr>
        <w:t xml:space="preserve">by not having </w:t>
      </w:r>
      <w:r w:rsidRPr="00C837DD">
        <w:rPr>
          <w:rFonts w:eastAsia="Calibri"/>
        </w:rPr>
        <w:t>a</w:t>
      </w:r>
      <w:r w:rsidR="00482123" w:rsidRPr="00C837DD">
        <w:rPr>
          <w:rFonts w:eastAsia="Calibri"/>
        </w:rPr>
        <w:t xml:space="preserve">rgued </w:t>
      </w:r>
      <w:r w:rsidRPr="00C837DD">
        <w:rPr>
          <w:rFonts w:eastAsia="Calibri"/>
        </w:rPr>
        <w:t>before the Commission that the un</w:t>
      </w:r>
      <w:r w:rsidR="00482123" w:rsidRPr="00C837DD">
        <w:rPr>
          <w:rFonts w:eastAsia="Calibri"/>
        </w:rPr>
        <w:t xml:space="preserve">warranted </w:t>
      </w:r>
      <w:r w:rsidRPr="00C837DD">
        <w:rPr>
          <w:rFonts w:eastAsia="Calibri"/>
        </w:rPr>
        <w:t xml:space="preserve">delay should be analyzed </w:t>
      </w:r>
      <w:r w:rsidR="00482123" w:rsidRPr="00C837DD">
        <w:rPr>
          <w:rFonts w:eastAsia="Calibri"/>
        </w:rPr>
        <w:t xml:space="preserve">taking into account the </w:t>
      </w:r>
      <w:r w:rsidRPr="00C837DD">
        <w:rPr>
          <w:rFonts w:eastAsia="Calibri"/>
        </w:rPr>
        <w:t xml:space="preserve">“[…] </w:t>
      </w:r>
      <w:r w:rsidR="00482123" w:rsidRPr="00C837DD">
        <w:rPr>
          <w:rFonts w:eastAsia="Calibri"/>
        </w:rPr>
        <w:t xml:space="preserve">time </w:t>
      </w:r>
      <w:r w:rsidRPr="00C837DD">
        <w:rPr>
          <w:rFonts w:eastAsia="Calibri"/>
        </w:rPr>
        <w:t xml:space="preserve">elapsed between the date of the facts and the </w:t>
      </w:r>
      <w:r w:rsidR="005A3A45" w:rsidRPr="00C837DD">
        <w:rPr>
          <w:rFonts w:eastAsia="Calibri"/>
        </w:rPr>
        <w:t xml:space="preserve">time </w:t>
      </w:r>
      <w:r w:rsidRPr="00C837DD">
        <w:rPr>
          <w:rFonts w:eastAsia="Calibri"/>
        </w:rPr>
        <w:t xml:space="preserve">of the presentation of the petition […]” and </w:t>
      </w:r>
      <w:r w:rsidR="005A3A45" w:rsidRPr="00C837DD">
        <w:rPr>
          <w:rFonts w:eastAsia="Calibri"/>
        </w:rPr>
        <w:t xml:space="preserve">by alleging it </w:t>
      </w:r>
      <w:r w:rsidRPr="00C837DD">
        <w:rPr>
          <w:rFonts w:eastAsia="Calibri"/>
        </w:rPr>
        <w:t>now before the Court.</w:t>
      </w:r>
    </w:p>
    <w:p w14:paraId="71B5CA49" w14:textId="77777777" w:rsidR="00F85D5F" w:rsidRPr="00C837DD" w:rsidRDefault="00F85D5F" w:rsidP="00F85D5F">
      <w:pPr>
        <w:pStyle w:val="Textoindependiente"/>
        <w:tabs>
          <w:tab w:val="left" w:pos="142"/>
        </w:tabs>
        <w:jc w:val="both"/>
      </w:pPr>
    </w:p>
    <w:p w14:paraId="661E41C9" w14:textId="06D59D42" w:rsidR="00F85D5F" w:rsidRPr="00C837DD" w:rsidRDefault="00F85D5F" w:rsidP="00D45A7F">
      <w:pPr>
        <w:pStyle w:val="Textoindependiente"/>
        <w:numPr>
          <w:ilvl w:val="0"/>
          <w:numId w:val="6"/>
        </w:numPr>
        <w:tabs>
          <w:tab w:val="left" w:pos="142"/>
        </w:tabs>
        <w:ind w:left="0" w:firstLine="0"/>
        <w:jc w:val="both"/>
      </w:pPr>
      <w:r w:rsidRPr="00C837DD">
        <w:rPr>
          <w:lang w:eastAsia="es-ES"/>
        </w:rPr>
        <w:t xml:space="preserve">The </w:t>
      </w:r>
      <w:r w:rsidRPr="00C837DD">
        <w:rPr>
          <w:b/>
          <w:i/>
          <w:lang w:eastAsia="es-ES"/>
        </w:rPr>
        <w:t>Commission</w:t>
      </w:r>
      <w:r w:rsidRPr="00C837DD">
        <w:rPr>
          <w:b/>
          <w:lang w:eastAsia="es-ES"/>
        </w:rPr>
        <w:t xml:space="preserve"> </w:t>
      </w:r>
      <w:r w:rsidRPr="00C837DD">
        <w:rPr>
          <w:lang w:eastAsia="es-ES"/>
        </w:rPr>
        <w:t xml:space="preserve">recalled that domestic remedies must be exhausted, </w:t>
      </w:r>
      <w:r w:rsidR="006A1FEC" w:rsidRPr="00C837DD">
        <w:rPr>
          <w:lang w:eastAsia="es-ES"/>
        </w:rPr>
        <w:t xml:space="preserve">or </w:t>
      </w:r>
      <w:r w:rsidR="0066215B">
        <w:rPr>
          <w:lang w:eastAsia="es-ES"/>
        </w:rPr>
        <w:t xml:space="preserve">else </w:t>
      </w:r>
      <w:r w:rsidR="006A1FEC" w:rsidRPr="00C837DD">
        <w:rPr>
          <w:lang w:eastAsia="es-ES"/>
        </w:rPr>
        <w:t>one of the exceptions in Article 46(2) of the American Convention must be applicable, at the time of the decision on the admissibility of the case, and not necessarily at the time the petition was lodged.</w:t>
      </w:r>
      <w:r w:rsidRPr="00C837DD">
        <w:rPr>
          <w:lang w:eastAsia="es-ES"/>
        </w:rPr>
        <w:t xml:space="preserve"> It emphasized </w:t>
      </w:r>
      <w:r w:rsidRPr="00C837DD">
        <w:rPr>
          <w:rFonts w:eastAsia="Calibri"/>
        </w:rPr>
        <w:t xml:space="preserve">that, in its Admissibility Report, </w:t>
      </w:r>
      <w:r w:rsidR="008A126C" w:rsidRPr="00C837DD">
        <w:rPr>
          <w:rFonts w:eastAsia="Calibri"/>
        </w:rPr>
        <w:t xml:space="preserve">it </w:t>
      </w:r>
      <w:r w:rsidR="00362FFC" w:rsidRPr="00C837DD">
        <w:rPr>
          <w:rFonts w:eastAsia="Calibri"/>
        </w:rPr>
        <w:t xml:space="preserve">had </w:t>
      </w:r>
      <w:r w:rsidR="006A1FEC" w:rsidRPr="00C837DD">
        <w:rPr>
          <w:rFonts w:eastAsia="Calibri"/>
        </w:rPr>
        <w:t xml:space="preserve">expressed its opinion on </w:t>
      </w:r>
      <w:r w:rsidR="002B70D2" w:rsidRPr="00C837DD">
        <w:rPr>
          <w:rFonts w:eastAsia="Calibri"/>
        </w:rPr>
        <w:t xml:space="preserve">the applicability of </w:t>
      </w:r>
      <w:r w:rsidR="008A126C" w:rsidRPr="00C837DD">
        <w:rPr>
          <w:rFonts w:eastAsia="Calibri"/>
        </w:rPr>
        <w:t>th</w:t>
      </w:r>
      <w:r w:rsidRPr="00C837DD">
        <w:rPr>
          <w:rFonts w:eastAsia="Calibri"/>
        </w:rPr>
        <w:t>e</w:t>
      </w:r>
      <w:r w:rsidR="008A126C" w:rsidRPr="00C837DD">
        <w:rPr>
          <w:rFonts w:eastAsia="Calibri"/>
        </w:rPr>
        <w:t xml:space="preserve"> </w:t>
      </w:r>
      <w:r w:rsidRPr="00C837DD">
        <w:rPr>
          <w:rFonts w:eastAsia="Calibri"/>
        </w:rPr>
        <w:t xml:space="preserve">exception </w:t>
      </w:r>
      <w:r w:rsidR="002B70D2" w:rsidRPr="00C837DD">
        <w:rPr>
          <w:rFonts w:eastAsia="Calibri"/>
        </w:rPr>
        <w:t xml:space="preserve">established </w:t>
      </w:r>
      <w:r w:rsidRPr="00C837DD">
        <w:rPr>
          <w:rFonts w:eastAsia="Calibri"/>
        </w:rPr>
        <w:t xml:space="preserve">in Article 46(2)(c) of the American Convention, regarding </w:t>
      </w:r>
      <w:r w:rsidR="008A126C" w:rsidRPr="00C837DD">
        <w:rPr>
          <w:rFonts w:eastAsia="Calibri"/>
        </w:rPr>
        <w:t xml:space="preserve">unwarranted </w:t>
      </w:r>
      <w:r w:rsidRPr="00C837DD">
        <w:rPr>
          <w:rFonts w:eastAsia="Calibri"/>
        </w:rPr>
        <w:t xml:space="preserve">delay, </w:t>
      </w:r>
      <w:r w:rsidR="002B70D2" w:rsidRPr="00C837DD">
        <w:rPr>
          <w:rFonts w:eastAsia="Calibri"/>
        </w:rPr>
        <w:t>since it was not until July 2005 that the formal accusation against the then state deputy was filed,</w:t>
      </w:r>
      <w:r w:rsidRPr="00C837DD">
        <w:rPr>
          <w:rStyle w:val="Refdenotaalpie"/>
          <w:rFonts w:eastAsia="Calibri"/>
        </w:rPr>
        <w:footnoteReference w:id="20"/>
      </w:r>
      <w:r w:rsidRPr="00C837DD">
        <w:rPr>
          <w:rFonts w:eastAsia="Calibri"/>
        </w:rPr>
        <w:t xml:space="preserve"> </w:t>
      </w:r>
      <w:r w:rsidR="008A126C" w:rsidRPr="00C837DD">
        <w:rPr>
          <w:rFonts w:eastAsia="Calibri"/>
        </w:rPr>
        <w:t xml:space="preserve">and that, at the time </w:t>
      </w:r>
      <w:r w:rsidR="0066215B">
        <w:rPr>
          <w:rFonts w:eastAsia="Calibri"/>
        </w:rPr>
        <w:t xml:space="preserve">when </w:t>
      </w:r>
      <w:r w:rsidR="008A126C" w:rsidRPr="00C837DD">
        <w:rPr>
          <w:rFonts w:eastAsia="Calibri"/>
        </w:rPr>
        <w:t xml:space="preserve">the report was prepared, </w:t>
      </w:r>
      <w:r w:rsidRPr="00C837DD">
        <w:rPr>
          <w:rFonts w:eastAsia="Calibri"/>
        </w:rPr>
        <w:t xml:space="preserve">more than eight years had </w:t>
      </w:r>
      <w:r w:rsidR="002B70D2" w:rsidRPr="00C837DD">
        <w:rPr>
          <w:rFonts w:eastAsia="Calibri"/>
        </w:rPr>
        <w:t xml:space="preserve">elapsed </w:t>
      </w:r>
      <w:r w:rsidRPr="00C837DD">
        <w:rPr>
          <w:rFonts w:eastAsia="Calibri"/>
        </w:rPr>
        <w:t xml:space="preserve">since the homicide </w:t>
      </w:r>
      <w:r w:rsidR="008A126C" w:rsidRPr="00C837DD">
        <w:rPr>
          <w:rFonts w:eastAsia="Calibri"/>
        </w:rPr>
        <w:t xml:space="preserve">in question </w:t>
      </w:r>
      <w:r w:rsidRPr="00C837DD">
        <w:rPr>
          <w:rFonts w:eastAsia="Calibri"/>
        </w:rPr>
        <w:t xml:space="preserve">without </w:t>
      </w:r>
      <w:r w:rsidR="002B70D2" w:rsidRPr="00C837DD">
        <w:rPr>
          <w:rFonts w:eastAsia="Calibri"/>
        </w:rPr>
        <w:t>the responsible party having been determined</w:t>
      </w:r>
      <w:r w:rsidRPr="00C837DD">
        <w:rPr>
          <w:rFonts w:eastAsia="Calibri"/>
        </w:rPr>
        <w:t xml:space="preserve">. The Commission considered </w:t>
      </w:r>
      <w:r w:rsidR="008A126C" w:rsidRPr="00C837DD">
        <w:rPr>
          <w:rFonts w:eastAsia="Calibri"/>
        </w:rPr>
        <w:t xml:space="preserve">the deadline for </w:t>
      </w:r>
      <w:r w:rsidR="002B70D2" w:rsidRPr="00C837DD">
        <w:rPr>
          <w:rFonts w:eastAsia="Calibri"/>
        </w:rPr>
        <w:t xml:space="preserve">the presentation of </w:t>
      </w:r>
      <w:r w:rsidR="008A126C" w:rsidRPr="00C837DD">
        <w:rPr>
          <w:rFonts w:eastAsia="Calibri"/>
        </w:rPr>
        <w:t xml:space="preserve">the petition to be reasonable, since two years had passed since the </w:t>
      </w:r>
      <w:r w:rsidR="0016035A" w:rsidRPr="00C837DD">
        <w:rPr>
          <w:rFonts w:eastAsia="Calibri"/>
        </w:rPr>
        <w:t xml:space="preserve">murder </w:t>
      </w:r>
      <w:r w:rsidR="008A126C" w:rsidRPr="00C837DD">
        <w:rPr>
          <w:rFonts w:eastAsia="Calibri"/>
        </w:rPr>
        <w:t>of Ms. Barbosa de Souza, without</w:t>
      </w:r>
      <w:r w:rsidR="0016035A" w:rsidRPr="00C837DD">
        <w:rPr>
          <w:rFonts w:eastAsia="Calibri"/>
        </w:rPr>
        <w:t xml:space="preserve"> </w:t>
      </w:r>
      <w:r w:rsidR="008A126C" w:rsidRPr="00C837DD">
        <w:rPr>
          <w:rFonts w:eastAsia="Calibri"/>
        </w:rPr>
        <w:t>the corresponding domestic judicial process having been carried out</w:t>
      </w:r>
      <w:r w:rsidRPr="00C837DD">
        <w:rPr>
          <w:rFonts w:eastAsia="Calibri"/>
        </w:rPr>
        <w:t xml:space="preserve">. </w:t>
      </w:r>
      <w:r w:rsidR="008A126C" w:rsidRPr="00C837DD">
        <w:rPr>
          <w:rFonts w:eastAsia="Calibri"/>
        </w:rPr>
        <w:t xml:space="preserve">Regarding </w:t>
      </w:r>
      <w:r w:rsidRPr="00C837DD">
        <w:rPr>
          <w:rFonts w:eastAsia="Calibri"/>
        </w:rPr>
        <w:t>possible</w:t>
      </w:r>
      <w:r w:rsidR="003A481C" w:rsidRPr="00C837DD">
        <w:rPr>
          <w:rFonts w:eastAsia="Calibri"/>
        </w:rPr>
        <w:t xml:space="preserve"> civil</w:t>
      </w:r>
      <w:r w:rsidRPr="00C837DD">
        <w:rPr>
          <w:rFonts w:eastAsia="Calibri"/>
        </w:rPr>
        <w:t xml:space="preserve"> remedies, </w:t>
      </w:r>
      <w:r w:rsidR="003A481C" w:rsidRPr="00C837DD">
        <w:rPr>
          <w:rFonts w:eastAsia="Calibri"/>
        </w:rPr>
        <w:t xml:space="preserve">it </w:t>
      </w:r>
      <w:r w:rsidR="008A126C" w:rsidRPr="00C837DD">
        <w:rPr>
          <w:rFonts w:eastAsia="Calibri"/>
        </w:rPr>
        <w:t>i</w:t>
      </w:r>
      <w:r w:rsidRPr="00C837DD">
        <w:rPr>
          <w:rFonts w:eastAsia="Calibri"/>
        </w:rPr>
        <w:t xml:space="preserve">ndicated that did not have the opportunity to analyze them during the admissibility stage of the case, since the State had only mentioned </w:t>
      </w:r>
      <w:r w:rsidR="008A126C" w:rsidRPr="00C837DD">
        <w:rPr>
          <w:rFonts w:eastAsia="Calibri"/>
        </w:rPr>
        <w:t>in a generic manner</w:t>
      </w:r>
      <w:r w:rsidRPr="00C837DD">
        <w:rPr>
          <w:rFonts w:eastAsia="Calibri"/>
        </w:rPr>
        <w:t xml:space="preserve"> </w:t>
      </w:r>
      <w:r w:rsidRPr="00C837DD">
        <w:rPr>
          <w:rFonts w:eastAsia="Calibri"/>
        </w:rPr>
        <w:lastRenderedPageBreak/>
        <w:t xml:space="preserve">that </w:t>
      </w:r>
      <w:r w:rsidR="008A126C" w:rsidRPr="00C837DD">
        <w:rPr>
          <w:rFonts w:eastAsia="Calibri"/>
        </w:rPr>
        <w:t>there was a civil action for reparation</w:t>
      </w:r>
      <w:r w:rsidR="003A481C" w:rsidRPr="00C837DD">
        <w:rPr>
          <w:rFonts w:eastAsia="Calibri"/>
        </w:rPr>
        <w:t>s</w:t>
      </w:r>
      <w:r w:rsidR="008A126C" w:rsidRPr="00C837DD">
        <w:rPr>
          <w:rFonts w:eastAsia="Calibri"/>
        </w:rPr>
        <w:t xml:space="preserve"> and that this was </w:t>
      </w:r>
      <w:r w:rsidR="00D71605">
        <w:rPr>
          <w:rFonts w:eastAsia="Calibri"/>
        </w:rPr>
        <w:t xml:space="preserve">separate from </w:t>
      </w:r>
      <w:r w:rsidR="008A126C" w:rsidRPr="00C837DD">
        <w:rPr>
          <w:rFonts w:eastAsia="Calibri"/>
        </w:rPr>
        <w:t xml:space="preserve">the criminal proceeding, without clearly identifying the remedy or offering adequate or detailed information on its regulation, or proving the effectiveness of any specific </w:t>
      </w:r>
      <w:r w:rsidR="000B520F" w:rsidRPr="00C837DD">
        <w:rPr>
          <w:rFonts w:eastAsia="Calibri"/>
        </w:rPr>
        <w:t xml:space="preserve">civil </w:t>
      </w:r>
      <w:r w:rsidR="008A126C" w:rsidRPr="00C837DD">
        <w:rPr>
          <w:rFonts w:eastAsia="Calibri"/>
        </w:rPr>
        <w:t xml:space="preserve">remedy to </w:t>
      </w:r>
      <w:r w:rsidR="000B520F" w:rsidRPr="00C837DD">
        <w:rPr>
          <w:rFonts w:eastAsia="Calibri"/>
        </w:rPr>
        <w:t xml:space="preserve">address </w:t>
      </w:r>
      <w:r w:rsidR="008A126C" w:rsidRPr="00C837DD">
        <w:rPr>
          <w:rFonts w:eastAsia="Calibri"/>
        </w:rPr>
        <w:t>the violations alleged by the representatives</w:t>
      </w:r>
      <w:r w:rsidRPr="00C837DD">
        <w:rPr>
          <w:rFonts w:eastAsia="Calibri"/>
        </w:rPr>
        <w:t xml:space="preserve">. Therefore, </w:t>
      </w:r>
      <w:r w:rsidR="008A126C" w:rsidRPr="00C837DD">
        <w:rPr>
          <w:rFonts w:eastAsia="Calibri"/>
        </w:rPr>
        <w:t xml:space="preserve">it </w:t>
      </w:r>
      <w:r w:rsidRPr="00C837DD">
        <w:rPr>
          <w:rFonts w:eastAsia="Calibri"/>
        </w:rPr>
        <w:t xml:space="preserve">considered that the information </w:t>
      </w:r>
      <w:r w:rsidR="008E7C64" w:rsidRPr="00C837DD">
        <w:rPr>
          <w:rFonts w:eastAsia="Calibri"/>
        </w:rPr>
        <w:t xml:space="preserve">presented by the State before </w:t>
      </w:r>
      <w:r w:rsidRPr="00C837DD">
        <w:rPr>
          <w:rFonts w:eastAsia="Calibri"/>
        </w:rPr>
        <w:t xml:space="preserve">the Court </w:t>
      </w:r>
      <w:r w:rsidR="008E7C64" w:rsidRPr="00C837DD">
        <w:rPr>
          <w:rFonts w:eastAsia="Calibri"/>
        </w:rPr>
        <w:t xml:space="preserve">was </w:t>
      </w:r>
      <w:r w:rsidRPr="00C837DD">
        <w:rPr>
          <w:rFonts w:eastAsia="Calibri"/>
        </w:rPr>
        <w:t xml:space="preserve">time-barred, and that, given the effects on the lives of persons, the effective remedy </w:t>
      </w:r>
      <w:r w:rsidR="00D71605">
        <w:rPr>
          <w:rFonts w:eastAsia="Calibri"/>
        </w:rPr>
        <w:t>would be</w:t>
      </w:r>
      <w:r w:rsidRPr="00C837DD">
        <w:rPr>
          <w:rFonts w:eastAsia="Calibri"/>
        </w:rPr>
        <w:t xml:space="preserve"> the investigation carried out by the State</w:t>
      </w:r>
      <w:r w:rsidR="008E7C64" w:rsidRPr="00C837DD">
        <w:rPr>
          <w:rFonts w:eastAsia="Calibri"/>
        </w:rPr>
        <w:t xml:space="preserve"> </w:t>
      </w:r>
      <w:r w:rsidR="000B520F" w:rsidRPr="00C837DD">
        <w:rPr>
          <w:rFonts w:eastAsia="Calibri"/>
          <w:i/>
          <w:iCs/>
        </w:rPr>
        <w:t>ex officio</w:t>
      </w:r>
      <w:r w:rsidRPr="00C837DD">
        <w:rPr>
          <w:rFonts w:eastAsia="Calibri"/>
        </w:rPr>
        <w:t xml:space="preserve">. Finally, </w:t>
      </w:r>
      <w:r w:rsidR="008E7C64" w:rsidRPr="00C837DD">
        <w:rPr>
          <w:rFonts w:eastAsia="Calibri"/>
        </w:rPr>
        <w:t xml:space="preserve">it argued </w:t>
      </w:r>
      <w:r w:rsidRPr="00C837DD">
        <w:rPr>
          <w:rFonts w:eastAsia="Calibri"/>
        </w:rPr>
        <w:t xml:space="preserve">that the requirement to exhaust domestic remedies is related to facts that </w:t>
      </w:r>
      <w:r w:rsidR="008E7C64" w:rsidRPr="00C837DD">
        <w:rPr>
          <w:rFonts w:eastAsia="Calibri"/>
        </w:rPr>
        <w:t xml:space="preserve">are alleged to violate human rights and that the representatives' claim for reparations arises from the declaration of the State's international responsibility, which </w:t>
      </w:r>
      <w:r w:rsidR="000B520F" w:rsidRPr="00C837DD">
        <w:rPr>
          <w:rFonts w:eastAsia="Calibri"/>
        </w:rPr>
        <w:t>i</w:t>
      </w:r>
      <w:r w:rsidR="008E7C64" w:rsidRPr="00C837DD">
        <w:rPr>
          <w:rFonts w:eastAsia="Calibri"/>
        </w:rPr>
        <w:t>s an automatic derivation of s</w:t>
      </w:r>
      <w:r w:rsidR="007058AF" w:rsidRPr="00C837DD">
        <w:rPr>
          <w:rFonts w:eastAsia="Calibri"/>
        </w:rPr>
        <w:t>uch</w:t>
      </w:r>
      <w:r w:rsidR="008E7C64" w:rsidRPr="00C837DD">
        <w:rPr>
          <w:rFonts w:eastAsia="Calibri"/>
        </w:rPr>
        <w:t xml:space="preserve"> responsibility</w:t>
      </w:r>
      <w:r w:rsidR="00D71605">
        <w:rPr>
          <w:rFonts w:eastAsia="Calibri"/>
        </w:rPr>
        <w:t>. Thus,</w:t>
      </w:r>
      <w:r w:rsidR="008E7C64" w:rsidRPr="00C837DD">
        <w:rPr>
          <w:rFonts w:eastAsia="Calibri"/>
        </w:rPr>
        <w:t xml:space="preserve"> </w:t>
      </w:r>
      <w:r w:rsidR="00E347F1" w:rsidRPr="00C837DD">
        <w:rPr>
          <w:rFonts w:eastAsia="Calibri"/>
        </w:rPr>
        <w:t>the American Convention does not require the exhaustion of additional mechanisms of reparation related to facts in respect of which the relevant domestic remedies, that is, the criminal proceeding, were duly pursued</w:t>
      </w:r>
      <w:r w:rsidRPr="00C837DD">
        <w:rPr>
          <w:rFonts w:eastAsia="Calibri"/>
        </w:rPr>
        <w:t>.</w:t>
      </w:r>
    </w:p>
    <w:p w14:paraId="31CEB22F" w14:textId="77777777" w:rsidR="00F85D5F" w:rsidRPr="00C837DD" w:rsidRDefault="00F85D5F" w:rsidP="00F85D5F">
      <w:pPr>
        <w:pStyle w:val="Textoindependiente"/>
        <w:tabs>
          <w:tab w:val="left" w:pos="142"/>
        </w:tabs>
        <w:rPr>
          <w:b/>
        </w:rPr>
      </w:pPr>
    </w:p>
    <w:p w14:paraId="619679B5" w14:textId="77777777" w:rsidR="00F85D5F" w:rsidRPr="00C837DD" w:rsidRDefault="00F85D5F" w:rsidP="00F85D5F">
      <w:pPr>
        <w:pStyle w:val="Ttulo3"/>
        <w:numPr>
          <w:ilvl w:val="0"/>
          <w:numId w:val="26"/>
        </w:numPr>
        <w:ind w:left="1560" w:hanging="709"/>
        <w:rPr>
          <w:b/>
          <w:sz w:val="20"/>
          <w:szCs w:val="20"/>
        </w:rPr>
      </w:pPr>
      <w:bookmarkStart w:id="30" w:name="B.2._Consideraciones_de_la_Corte"/>
      <w:bookmarkStart w:id="31" w:name="_bookmark43"/>
      <w:bookmarkStart w:id="32" w:name="_Toc85001869"/>
      <w:bookmarkEnd w:id="30"/>
      <w:bookmarkEnd w:id="31"/>
      <w:r w:rsidRPr="00C837DD">
        <w:rPr>
          <w:b/>
          <w:sz w:val="20"/>
          <w:szCs w:val="20"/>
        </w:rPr>
        <w:t>Considerations of the Court</w:t>
      </w:r>
      <w:bookmarkEnd w:id="32"/>
    </w:p>
    <w:p w14:paraId="64C7FD47" w14:textId="77777777" w:rsidR="00F85D5F" w:rsidRPr="00C837DD" w:rsidRDefault="00F85D5F" w:rsidP="00F85D5F">
      <w:pPr>
        <w:pStyle w:val="Textoindependiente"/>
        <w:tabs>
          <w:tab w:val="left" w:pos="142"/>
        </w:tabs>
        <w:rPr>
          <w:b/>
        </w:rPr>
      </w:pPr>
    </w:p>
    <w:p w14:paraId="674C758A" w14:textId="311FA085" w:rsidR="00F85D5F" w:rsidRPr="00C837DD" w:rsidRDefault="00F85D5F" w:rsidP="00F85D5F">
      <w:pPr>
        <w:pStyle w:val="Textoindependiente"/>
        <w:numPr>
          <w:ilvl w:val="0"/>
          <w:numId w:val="6"/>
        </w:numPr>
        <w:tabs>
          <w:tab w:val="left" w:pos="142"/>
        </w:tabs>
        <w:ind w:left="0" w:firstLine="0"/>
        <w:jc w:val="both"/>
      </w:pPr>
      <w:r w:rsidRPr="00C837DD">
        <w:t xml:space="preserve">The </w:t>
      </w:r>
      <w:r w:rsidRPr="00C837DD">
        <w:rPr>
          <w:b/>
          <w:i/>
        </w:rPr>
        <w:t>Court</w:t>
      </w:r>
      <w:r w:rsidRPr="00C837DD">
        <w:t xml:space="preserve"> recalls that Article 46(1)(a) of the American Convention </w:t>
      </w:r>
      <w:r w:rsidR="00644ADD" w:rsidRPr="00C837DD">
        <w:t>provides that</w:t>
      </w:r>
      <w:r w:rsidRPr="00C837DD">
        <w:t xml:space="preserve">, </w:t>
      </w:r>
      <w:r w:rsidR="00644ADD" w:rsidRPr="00C837DD">
        <w:t xml:space="preserve">in order to </w:t>
      </w:r>
      <w:r w:rsidRPr="00C837DD">
        <w:t xml:space="preserve">determine the admissibility of a petition or communication </w:t>
      </w:r>
      <w:r w:rsidR="00644ADD" w:rsidRPr="00C837DD">
        <w:t>submitted to the Commission</w:t>
      </w:r>
      <w:r w:rsidRPr="00C837DD">
        <w:t xml:space="preserve"> in accordance with Articles 44 or 45 of the Convention, it is necessary t</w:t>
      </w:r>
      <w:r w:rsidR="00644ADD" w:rsidRPr="00C837DD">
        <w:t xml:space="preserve">hat the remedies under domestic law have been pursued </w:t>
      </w:r>
      <w:r w:rsidRPr="00C837DD">
        <w:t xml:space="preserve">and exhausted, </w:t>
      </w:r>
      <w:r w:rsidR="00644ADD" w:rsidRPr="00C837DD">
        <w:t xml:space="preserve">in </w:t>
      </w:r>
      <w:r w:rsidRPr="00C837DD">
        <w:t>accord</w:t>
      </w:r>
      <w:r w:rsidR="00644ADD" w:rsidRPr="00C837DD">
        <w:t xml:space="preserve">ance with </w:t>
      </w:r>
      <w:r w:rsidRPr="00C837DD">
        <w:t>generally recognized principles of international law,</w:t>
      </w:r>
      <w:r w:rsidRPr="00C837DD">
        <w:rPr>
          <w:vertAlign w:val="superscript"/>
        </w:rPr>
        <w:footnoteReference w:id="21"/>
      </w:r>
      <w:r w:rsidRPr="00C837DD">
        <w:t xml:space="preserve"> or </w:t>
      </w:r>
      <w:r w:rsidR="00644ADD" w:rsidRPr="00C837DD">
        <w:t xml:space="preserve">that one </w:t>
      </w:r>
      <w:r w:rsidRPr="00C837DD">
        <w:t xml:space="preserve">the exceptional circumstances </w:t>
      </w:r>
      <w:r w:rsidR="00F920DE">
        <w:t xml:space="preserve">indicated in </w:t>
      </w:r>
      <w:r w:rsidRPr="00C837DD">
        <w:t>Article 46(2)</w:t>
      </w:r>
      <w:r w:rsidR="00644ADD" w:rsidRPr="00C837DD">
        <w:t xml:space="preserve"> </w:t>
      </w:r>
      <w:r w:rsidR="00F20EC1" w:rsidRPr="00C837DD">
        <w:t>ha</w:t>
      </w:r>
      <w:r w:rsidR="00644ADD" w:rsidRPr="00C837DD">
        <w:t xml:space="preserve">s </w:t>
      </w:r>
      <w:r w:rsidR="00F20EC1" w:rsidRPr="00C837DD">
        <w:t xml:space="preserve">been </w:t>
      </w:r>
      <w:r w:rsidR="00644ADD" w:rsidRPr="00C837DD">
        <w:t>proven</w:t>
      </w:r>
      <w:r w:rsidRPr="00C837DD">
        <w:t>.</w:t>
      </w:r>
    </w:p>
    <w:p w14:paraId="7B462CC9" w14:textId="77777777" w:rsidR="00F85D5F" w:rsidRPr="00C837DD" w:rsidRDefault="00F85D5F" w:rsidP="00F85D5F">
      <w:pPr>
        <w:pStyle w:val="Textoindependiente"/>
        <w:tabs>
          <w:tab w:val="left" w:pos="142"/>
        </w:tabs>
        <w:jc w:val="both"/>
      </w:pPr>
    </w:p>
    <w:p w14:paraId="4E310C50" w14:textId="1122A466" w:rsidR="00F85D5F" w:rsidRPr="00C837DD" w:rsidRDefault="00F85D5F" w:rsidP="00F85D5F">
      <w:pPr>
        <w:pStyle w:val="Textoindependiente"/>
        <w:numPr>
          <w:ilvl w:val="0"/>
          <w:numId w:val="6"/>
        </w:numPr>
        <w:tabs>
          <w:tab w:val="left" w:pos="142"/>
        </w:tabs>
        <w:ind w:left="0" w:firstLine="0"/>
        <w:jc w:val="both"/>
      </w:pPr>
      <w:r w:rsidRPr="00C837DD">
        <w:rPr>
          <w:lang w:eastAsia="es-ES"/>
        </w:rPr>
        <w:t xml:space="preserve">This Court has specified that the appropriate procedural </w:t>
      </w:r>
      <w:r w:rsidR="00806ABA" w:rsidRPr="00C837DD">
        <w:rPr>
          <w:lang w:eastAsia="es-ES"/>
        </w:rPr>
        <w:t xml:space="preserve">moment </w:t>
      </w:r>
      <w:r w:rsidRPr="00C837DD">
        <w:rPr>
          <w:lang w:eastAsia="es-ES"/>
        </w:rPr>
        <w:t xml:space="preserve">for the State to </w:t>
      </w:r>
      <w:r w:rsidR="00806ABA" w:rsidRPr="00C837DD">
        <w:rPr>
          <w:lang w:eastAsia="es-ES"/>
        </w:rPr>
        <w:t xml:space="preserve">present an </w:t>
      </w:r>
      <w:r w:rsidRPr="00C837DD">
        <w:rPr>
          <w:lang w:eastAsia="es-ES"/>
        </w:rPr>
        <w:t xml:space="preserve">objection regarding failure to exhaust domestic remedies is </w:t>
      </w:r>
      <w:r w:rsidR="00F920DE">
        <w:rPr>
          <w:lang w:eastAsia="es-ES"/>
        </w:rPr>
        <w:t xml:space="preserve">in </w:t>
      </w:r>
      <w:r w:rsidRPr="00C837DD">
        <w:rPr>
          <w:lang w:eastAsia="es-ES"/>
        </w:rPr>
        <w:t>the admissibility proce</w:t>
      </w:r>
      <w:r w:rsidR="00806ABA" w:rsidRPr="00C837DD">
        <w:rPr>
          <w:lang w:eastAsia="es-ES"/>
        </w:rPr>
        <w:t xml:space="preserve">eding </w:t>
      </w:r>
      <w:r w:rsidRPr="00C837DD">
        <w:rPr>
          <w:lang w:eastAsia="es-ES"/>
        </w:rPr>
        <w:t>before the Commission.</w:t>
      </w:r>
      <w:r w:rsidRPr="00C837DD">
        <w:rPr>
          <w:rStyle w:val="Refdenotaalpie"/>
          <w:lang w:eastAsia="es-ES"/>
        </w:rPr>
        <w:footnoteReference w:id="22"/>
      </w:r>
      <w:r w:rsidRPr="00C837DD">
        <w:rPr>
          <w:lang w:eastAsia="es-ES"/>
        </w:rPr>
        <w:t xml:space="preserve"> It has also </w:t>
      </w:r>
      <w:r w:rsidR="00F20EC1" w:rsidRPr="00C837DD">
        <w:rPr>
          <w:lang w:eastAsia="es-ES"/>
        </w:rPr>
        <w:t xml:space="preserve">affirmed </w:t>
      </w:r>
      <w:r w:rsidRPr="00C837DD">
        <w:rPr>
          <w:lang w:eastAsia="es-ES"/>
        </w:rPr>
        <w:t xml:space="preserve">that the State </w:t>
      </w:r>
      <w:r w:rsidR="00806ABA" w:rsidRPr="00C837DD">
        <w:rPr>
          <w:lang w:eastAsia="es-ES"/>
        </w:rPr>
        <w:t xml:space="preserve">presenting </w:t>
      </w:r>
      <w:r w:rsidRPr="00C837DD">
        <w:rPr>
          <w:lang w:eastAsia="es-ES"/>
        </w:rPr>
        <w:t>this objection must specify the domestic remedies that have not yet been exhausted and demonstrate that these remedies are suitable and effective.</w:t>
      </w:r>
      <w:r w:rsidRPr="00C837DD">
        <w:rPr>
          <w:vertAlign w:val="superscript"/>
          <w:lang w:eastAsia="es-ES"/>
        </w:rPr>
        <w:footnoteReference w:id="23"/>
      </w:r>
      <w:r w:rsidRPr="00C837DD">
        <w:rPr>
          <w:lang w:eastAsia="es-ES"/>
        </w:rPr>
        <w:t xml:space="preserve"> </w:t>
      </w:r>
      <w:r w:rsidR="00F20EC1" w:rsidRPr="00C837DD">
        <w:rPr>
          <w:lang w:eastAsia="es-ES"/>
        </w:rPr>
        <w:t>Furthermore</w:t>
      </w:r>
      <w:r w:rsidRPr="00C837DD">
        <w:rPr>
          <w:lang w:eastAsia="es-ES"/>
        </w:rPr>
        <w:t xml:space="preserve">, the arguments that give </w:t>
      </w:r>
      <w:r w:rsidR="00806ABA" w:rsidRPr="00C837DD">
        <w:rPr>
          <w:lang w:eastAsia="es-ES"/>
        </w:rPr>
        <w:t xml:space="preserve">substance </w:t>
      </w:r>
      <w:r w:rsidRPr="00C837DD">
        <w:rPr>
          <w:lang w:eastAsia="es-ES"/>
        </w:rPr>
        <w:t xml:space="preserve">to the preliminary objection filed by the State before the Commission during the admissibility stage must correspond to those </w:t>
      </w:r>
      <w:r w:rsidR="00806ABA" w:rsidRPr="00C837DD">
        <w:rPr>
          <w:lang w:eastAsia="es-ES"/>
        </w:rPr>
        <w:t xml:space="preserve">raised </w:t>
      </w:r>
      <w:r w:rsidRPr="00C837DD">
        <w:rPr>
          <w:lang w:eastAsia="es-ES"/>
        </w:rPr>
        <w:t>before the Court.</w:t>
      </w:r>
      <w:r w:rsidRPr="00C837DD">
        <w:rPr>
          <w:vertAlign w:val="superscript"/>
          <w:lang w:eastAsia="es-ES"/>
        </w:rPr>
        <w:footnoteReference w:id="24"/>
      </w:r>
    </w:p>
    <w:p w14:paraId="4AB2251D" w14:textId="77777777" w:rsidR="00F85D5F" w:rsidRPr="00C837DD" w:rsidRDefault="00F85D5F" w:rsidP="00F85D5F">
      <w:pPr>
        <w:pStyle w:val="Prrafodelista"/>
        <w:tabs>
          <w:tab w:val="left" w:pos="142"/>
        </w:tabs>
        <w:ind w:left="0"/>
        <w:rPr>
          <w:bCs/>
          <w:sz w:val="20"/>
          <w:szCs w:val="20"/>
        </w:rPr>
      </w:pPr>
    </w:p>
    <w:p w14:paraId="2F46B163" w14:textId="7D49C0A4" w:rsidR="00F85D5F" w:rsidRPr="00C837DD" w:rsidRDefault="00F85D5F" w:rsidP="00251953">
      <w:pPr>
        <w:pStyle w:val="Textoindependiente"/>
        <w:numPr>
          <w:ilvl w:val="0"/>
          <w:numId w:val="6"/>
        </w:numPr>
        <w:tabs>
          <w:tab w:val="left" w:pos="142"/>
        </w:tabs>
        <w:ind w:left="0" w:firstLine="0"/>
        <w:jc w:val="both"/>
      </w:pPr>
      <w:r w:rsidRPr="00C837DD">
        <w:rPr>
          <w:bCs/>
        </w:rPr>
        <w:t>Based on the foregoing, in th</w:t>
      </w:r>
      <w:r w:rsidR="00F920DE">
        <w:rPr>
          <w:bCs/>
        </w:rPr>
        <w:t>is</w:t>
      </w:r>
      <w:r w:rsidRPr="00C837DD">
        <w:rPr>
          <w:bCs/>
        </w:rPr>
        <w:t xml:space="preserve"> case, the Court considers it necessary to examine whether the </w:t>
      </w:r>
      <w:r w:rsidR="00876A6C" w:rsidRPr="00C837DD">
        <w:rPr>
          <w:bCs/>
        </w:rPr>
        <w:t xml:space="preserve">objection </w:t>
      </w:r>
      <w:r w:rsidRPr="00C837DD">
        <w:rPr>
          <w:bCs/>
        </w:rPr>
        <w:t>of exhaustion of domestic remedies was presented at the proper proc</w:t>
      </w:r>
      <w:r w:rsidR="00C31DA2" w:rsidRPr="00C837DD">
        <w:rPr>
          <w:bCs/>
        </w:rPr>
        <w:t>edural opportunity. I</w:t>
      </w:r>
      <w:r w:rsidRPr="00C837DD">
        <w:rPr>
          <w:bCs/>
        </w:rPr>
        <w:t xml:space="preserve">n its brief of July 19, 2007, </w:t>
      </w:r>
      <w:r w:rsidR="00C31DA2" w:rsidRPr="00C837DD">
        <w:rPr>
          <w:bCs/>
        </w:rPr>
        <w:t xml:space="preserve">the State </w:t>
      </w:r>
      <w:r w:rsidR="00876A6C" w:rsidRPr="00C837DD">
        <w:rPr>
          <w:bCs/>
        </w:rPr>
        <w:t xml:space="preserve">alleged </w:t>
      </w:r>
      <w:r w:rsidRPr="00C837DD">
        <w:rPr>
          <w:bCs/>
        </w:rPr>
        <w:t>failure to exhaust domestic remedies, arguin</w:t>
      </w:r>
      <w:r w:rsidR="00C31DA2" w:rsidRPr="00C837DD">
        <w:rPr>
          <w:bCs/>
        </w:rPr>
        <w:t xml:space="preserve">g that the criminal proceeding was </w:t>
      </w:r>
      <w:r w:rsidRPr="00C837DD">
        <w:rPr>
          <w:bCs/>
        </w:rPr>
        <w:t>follow</w:t>
      </w:r>
      <w:r w:rsidR="00C31DA2" w:rsidRPr="00C837DD">
        <w:rPr>
          <w:bCs/>
        </w:rPr>
        <w:t xml:space="preserve">ing its </w:t>
      </w:r>
      <w:r w:rsidRPr="00C837DD">
        <w:rPr>
          <w:bCs/>
        </w:rPr>
        <w:t xml:space="preserve">regular course in accordance with the </w:t>
      </w:r>
      <w:r w:rsidR="00EB69A7" w:rsidRPr="00C837DD">
        <w:rPr>
          <w:bCs/>
        </w:rPr>
        <w:t>Brazilian</w:t>
      </w:r>
      <w:r w:rsidRPr="00C837DD">
        <w:rPr>
          <w:bCs/>
        </w:rPr>
        <w:t xml:space="preserve"> Constitution and domestic l</w:t>
      </w:r>
      <w:r w:rsidR="00C31DA2" w:rsidRPr="00C837DD">
        <w:rPr>
          <w:bCs/>
        </w:rPr>
        <w:t>aw</w:t>
      </w:r>
      <w:r w:rsidRPr="00C837DD">
        <w:rPr>
          <w:bCs/>
        </w:rPr>
        <w:t xml:space="preserve">; </w:t>
      </w:r>
      <w:r w:rsidR="00C31DA2" w:rsidRPr="00C837DD">
        <w:rPr>
          <w:bCs/>
        </w:rPr>
        <w:t xml:space="preserve">that the alleged victim's next of kin had not been prevented from accessing </w:t>
      </w:r>
      <w:r w:rsidR="00F42357" w:rsidRPr="00C837DD">
        <w:rPr>
          <w:bCs/>
        </w:rPr>
        <w:t xml:space="preserve">the </w:t>
      </w:r>
      <w:r w:rsidR="00F920DE">
        <w:rPr>
          <w:bCs/>
        </w:rPr>
        <w:t xml:space="preserve">domestic </w:t>
      </w:r>
      <w:r w:rsidR="00C31DA2" w:rsidRPr="00C837DD">
        <w:rPr>
          <w:bCs/>
        </w:rPr>
        <w:t>remedies and that they could have intervened in the criminal proceeding or brought a civil action for compensation against Mr. Aércio Pereira de Lima</w:t>
      </w:r>
      <w:r w:rsidRPr="00C837DD">
        <w:rPr>
          <w:bCs/>
        </w:rPr>
        <w:t>.</w:t>
      </w:r>
      <w:r w:rsidRPr="00C837DD">
        <w:rPr>
          <w:rStyle w:val="Refdenotaalpie"/>
          <w:bCs/>
        </w:rPr>
        <w:footnoteReference w:id="25"/>
      </w:r>
      <w:r w:rsidRPr="00C837DD">
        <w:rPr>
          <w:bCs/>
        </w:rPr>
        <w:t xml:space="preserve"> Thus, the Court finds that the State, in </w:t>
      </w:r>
      <w:r w:rsidR="00C31DA2" w:rsidRPr="00C837DD">
        <w:rPr>
          <w:bCs/>
        </w:rPr>
        <w:t>effect</w:t>
      </w:r>
      <w:r w:rsidRPr="00C837DD">
        <w:rPr>
          <w:bCs/>
        </w:rPr>
        <w:t xml:space="preserve">, presented the preliminary objection of failure to exhaust domestic remedies </w:t>
      </w:r>
      <w:r w:rsidR="00C31DA2" w:rsidRPr="00C837DD">
        <w:rPr>
          <w:bCs/>
        </w:rPr>
        <w:t xml:space="preserve">at </w:t>
      </w:r>
      <w:r w:rsidRPr="00C837DD">
        <w:rPr>
          <w:bCs/>
        </w:rPr>
        <w:t xml:space="preserve">the </w:t>
      </w:r>
      <w:r w:rsidR="00C31DA2" w:rsidRPr="00C837DD">
        <w:rPr>
          <w:bCs/>
        </w:rPr>
        <w:t xml:space="preserve">appropriate </w:t>
      </w:r>
      <w:r w:rsidRPr="00C837DD">
        <w:rPr>
          <w:bCs/>
        </w:rPr>
        <w:t xml:space="preserve">procedural moment, prior to the Admissibility Report of the Inter-American Commission. The Court </w:t>
      </w:r>
      <w:r w:rsidR="00C31DA2" w:rsidRPr="00C837DD">
        <w:rPr>
          <w:bCs/>
        </w:rPr>
        <w:t xml:space="preserve">also finds </w:t>
      </w:r>
      <w:r w:rsidRPr="00C837DD">
        <w:rPr>
          <w:bCs/>
        </w:rPr>
        <w:t xml:space="preserve">that the State presented similar arguments </w:t>
      </w:r>
      <w:r w:rsidR="00B4777E" w:rsidRPr="00C837DD">
        <w:rPr>
          <w:bCs/>
        </w:rPr>
        <w:t xml:space="preserve">in </w:t>
      </w:r>
      <w:r w:rsidRPr="00C837DD">
        <w:rPr>
          <w:bCs/>
        </w:rPr>
        <w:t>the admissibility stage before the Commission and in the preliminary objection before the Court, a</w:t>
      </w:r>
      <w:r w:rsidR="00C31DA2" w:rsidRPr="00C837DD">
        <w:rPr>
          <w:bCs/>
        </w:rPr>
        <w:t xml:space="preserve">nd specified </w:t>
      </w:r>
      <w:r w:rsidRPr="00C837DD">
        <w:rPr>
          <w:bCs/>
        </w:rPr>
        <w:t xml:space="preserve">the remedies that, </w:t>
      </w:r>
      <w:r w:rsidRPr="00C837DD">
        <w:rPr>
          <w:bCs/>
        </w:rPr>
        <w:lastRenderedPageBreak/>
        <w:t xml:space="preserve">in its </w:t>
      </w:r>
      <w:r w:rsidR="00C31DA2" w:rsidRPr="00C837DD">
        <w:rPr>
          <w:bCs/>
        </w:rPr>
        <w:t>opinion</w:t>
      </w:r>
      <w:r w:rsidRPr="00C837DD">
        <w:rPr>
          <w:bCs/>
        </w:rPr>
        <w:t>, had not been exhausted.</w:t>
      </w:r>
      <w:r w:rsidRPr="00C837DD">
        <w:t xml:space="preserve"> </w:t>
      </w:r>
    </w:p>
    <w:p w14:paraId="460FF35D" w14:textId="77777777" w:rsidR="00F85D5F" w:rsidRPr="00C837DD" w:rsidRDefault="00F85D5F" w:rsidP="00F85D5F">
      <w:pPr>
        <w:pStyle w:val="Prrafodelista"/>
        <w:tabs>
          <w:tab w:val="left" w:pos="142"/>
        </w:tabs>
        <w:ind w:left="0"/>
        <w:rPr>
          <w:bCs/>
          <w:sz w:val="20"/>
          <w:szCs w:val="20"/>
        </w:rPr>
      </w:pPr>
    </w:p>
    <w:p w14:paraId="6CF80CCD" w14:textId="672B851C" w:rsidR="00F85D5F" w:rsidRPr="00C837DD" w:rsidRDefault="00B4777E" w:rsidP="00251953">
      <w:pPr>
        <w:pStyle w:val="Textoindependiente"/>
        <w:numPr>
          <w:ilvl w:val="0"/>
          <w:numId w:val="6"/>
        </w:numPr>
        <w:tabs>
          <w:tab w:val="left" w:pos="142"/>
        </w:tabs>
        <w:ind w:left="0" w:firstLine="0"/>
        <w:jc w:val="both"/>
      </w:pPr>
      <w:r w:rsidRPr="00C837DD">
        <w:rPr>
          <w:bCs/>
        </w:rPr>
        <w:t>Accordingly</w:t>
      </w:r>
      <w:r w:rsidR="00251953" w:rsidRPr="00C837DD">
        <w:rPr>
          <w:bCs/>
        </w:rPr>
        <w:t>,</w:t>
      </w:r>
      <w:r w:rsidR="00F85D5F" w:rsidRPr="00C837DD">
        <w:rPr>
          <w:bCs/>
        </w:rPr>
        <w:t xml:space="preserve"> it is </w:t>
      </w:r>
      <w:r w:rsidR="00251953" w:rsidRPr="00C837DD">
        <w:rPr>
          <w:bCs/>
        </w:rPr>
        <w:t xml:space="preserve">incumbent upon </w:t>
      </w:r>
      <w:r w:rsidR="00F85D5F" w:rsidRPr="00C837DD">
        <w:rPr>
          <w:bCs/>
        </w:rPr>
        <w:t xml:space="preserve">the Court to determine whether, </w:t>
      </w:r>
      <w:r w:rsidR="00251953" w:rsidRPr="00C837DD">
        <w:rPr>
          <w:bCs/>
        </w:rPr>
        <w:t xml:space="preserve">at the time of the Commission’s assessment of </w:t>
      </w:r>
      <w:r w:rsidR="00F85D5F" w:rsidRPr="00C837DD">
        <w:rPr>
          <w:bCs/>
        </w:rPr>
        <w:t xml:space="preserve">admissibility, the domestic remedies </w:t>
      </w:r>
      <w:r w:rsidR="00251953" w:rsidRPr="00C837DD">
        <w:rPr>
          <w:bCs/>
        </w:rPr>
        <w:t xml:space="preserve">had been exhausted </w:t>
      </w:r>
      <w:r w:rsidR="00F85D5F" w:rsidRPr="00C837DD">
        <w:rPr>
          <w:bCs/>
        </w:rPr>
        <w:t xml:space="preserve">or </w:t>
      </w:r>
      <w:r w:rsidR="00251953" w:rsidRPr="00C837DD">
        <w:rPr>
          <w:bCs/>
        </w:rPr>
        <w:t xml:space="preserve">whether any of the grounds stipulated as exceptions to the requirement </w:t>
      </w:r>
      <w:r w:rsidR="00F85D5F" w:rsidRPr="00C837DD">
        <w:rPr>
          <w:bCs/>
        </w:rPr>
        <w:t>to exhaust domestic remedies</w:t>
      </w:r>
      <w:r w:rsidR="00251953" w:rsidRPr="00C837DD">
        <w:rPr>
          <w:bCs/>
        </w:rPr>
        <w:t xml:space="preserve"> were applicable</w:t>
      </w:r>
      <w:r w:rsidR="00F85D5F" w:rsidRPr="00C837DD">
        <w:rPr>
          <w:bCs/>
        </w:rPr>
        <w:t xml:space="preserve">. The Court observes that the argument used by the representatives to justify the presentation of the initial petition </w:t>
      </w:r>
      <w:r w:rsidR="00251953" w:rsidRPr="00C837DD">
        <w:rPr>
          <w:bCs/>
        </w:rPr>
        <w:t xml:space="preserve">in </w:t>
      </w:r>
      <w:r w:rsidR="00F85D5F" w:rsidRPr="00C837DD">
        <w:rPr>
          <w:bCs/>
        </w:rPr>
        <w:t>the case</w:t>
      </w:r>
      <w:r w:rsidR="00F920DE">
        <w:rPr>
          <w:bCs/>
        </w:rPr>
        <w:t xml:space="preserve"> </w:t>
      </w:r>
      <w:r w:rsidR="00F920DE" w:rsidRPr="00C837DD">
        <w:rPr>
          <w:bCs/>
        </w:rPr>
        <w:t>before the Commission</w:t>
      </w:r>
      <w:r w:rsidR="00F85D5F" w:rsidRPr="00C837DD">
        <w:rPr>
          <w:bCs/>
        </w:rPr>
        <w:t>, on March 28, 2000</w:t>
      </w:r>
      <w:r w:rsidR="00251953" w:rsidRPr="00C837DD">
        <w:rPr>
          <w:bCs/>
        </w:rPr>
        <w:t>,</w:t>
      </w:r>
      <w:r w:rsidR="00F85D5F" w:rsidRPr="00C837DD">
        <w:rPr>
          <w:bCs/>
          <w:vertAlign w:val="superscript"/>
        </w:rPr>
        <w:footnoteReference w:id="26"/>
      </w:r>
      <w:r w:rsidR="00F85D5F" w:rsidRPr="00C837DD">
        <w:rPr>
          <w:bCs/>
        </w:rPr>
        <w:t xml:space="preserve"> was the impossibility of exhausting domestic remedies (Article 46(2)(b) of the Convention) b</w:t>
      </w:r>
      <w:r w:rsidR="00251953" w:rsidRPr="00C837DD">
        <w:rPr>
          <w:bCs/>
        </w:rPr>
        <w:t xml:space="preserve">ecause the </w:t>
      </w:r>
      <w:r w:rsidR="0076654B" w:rsidRPr="00C837DD">
        <w:rPr>
          <w:bCs/>
        </w:rPr>
        <w:t xml:space="preserve">Legislative Assembly of Paraíba had not authorized the </w:t>
      </w:r>
      <w:r w:rsidR="00251953" w:rsidRPr="00C837DD">
        <w:rPr>
          <w:bCs/>
        </w:rPr>
        <w:t>initiation of criminal proceedings, in application of parliamentary immunity. Subsequently, on October 2, 2006,</w:t>
      </w:r>
      <w:r w:rsidR="00F85D5F" w:rsidRPr="00C837DD">
        <w:rPr>
          <w:bCs/>
          <w:vertAlign w:val="superscript"/>
        </w:rPr>
        <w:footnoteReference w:id="27"/>
      </w:r>
      <w:r w:rsidR="00F85D5F" w:rsidRPr="00C837DD">
        <w:rPr>
          <w:bCs/>
        </w:rPr>
        <w:t xml:space="preserve"> </w:t>
      </w:r>
      <w:r w:rsidR="00251953" w:rsidRPr="00C837DD">
        <w:rPr>
          <w:bCs/>
        </w:rPr>
        <w:t xml:space="preserve">the representatives argued the hypothesis of Article 46(2)(c), </w:t>
      </w:r>
      <w:r w:rsidR="00AB1924" w:rsidRPr="00C837DD">
        <w:rPr>
          <w:bCs/>
        </w:rPr>
        <w:t xml:space="preserve">citing </w:t>
      </w:r>
      <w:r w:rsidR="00251953" w:rsidRPr="00C837DD">
        <w:rPr>
          <w:bCs/>
        </w:rPr>
        <w:t>an excessive delay in the processing of the criminal proceeding examin</w:t>
      </w:r>
      <w:r w:rsidR="00AB1924" w:rsidRPr="00C837DD">
        <w:rPr>
          <w:bCs/>
        </w:rPr>
        <w:t>ing</w:t>
      </w:r>
      <w:r w:rsidR="00251953" w:rsidRPr="00C837DD">
        <w:rPr>
          <w:bCs/>
        </w:rPr>
        <w:t xml:space="preserve"> the alleged murder of Márcia Barbosa de Souza. In its Admissibility Report of July 26, 2007, the Commission agreed with the representatives in considering that there was an unwarranted delay in the processing of the aforementioned criminal case</w:t>
      </w:r>
      <w:r w:rsidR="00F85D5F" w:rsidRPr="00C837DD">
        <w:rPr>
          <w:bCs/>
        </w:rPr>
        <w:t>.</w:t>
      </w:r>
      <w:r w:rsidR="00F85D5F" w:rsidRPr="00C837DD">
        <w:rPr>
          <w:rStyle w:val="Refdenotaalpie"/>
          <w:bCs/>
        </w:rPr>
        <w:footnoteReference w:id="28"/>
      </w:r>
      <w:r w:rsidR="00F85D5F" w:rsidRPr="00C837DD">
        <w:rPr>
          <w:bCs/>
        </w:rPr>
        <w:t xml:space="preserve"> </w:t>
      </w:r>
    </w:p>
    <w:p w14:paraId="03100266" w14:textId="77777777" w:rsidR="00F85D5F" w:rsidRPr="00C837DD" w:rsidRDefault="00F85D5F" w:rsidP="00F85D5F">
      <w:pPr>
        <w:pStyle w:val="Textoindependiente"/>
        <w:tabs>
          <w:tab w:val="left" w:pos="142"/>
        </w:tabs>
        <w:jc w:val="both"/>
      </w:pPr>
    </w:p>
    <w:p w14:paraId="1838A227" w14:textId="1DCB4176" w:rsidR="00F85D5F" w:rsidRPr="00C837DD" w:rsidRDefault="00656E5E" w:rsidP="00F85D5F">
      <w:pPr>
        <w:pStyle w:val="Textoindependiente"/>
        <w:numPr>
          <w:ilvl w:val="0"/>
          <w:numId w:val="6"/>
        </w:numPr>
        <w:tabs>
          <w:tab w:val="left" w:pos="142"/>
        </w:tabs>
        <w:ind w:left="0" w:firstLine="0"/>
        <w:jc w:val="both"/>
      </w:pPr>
      <w:r w:rsidRPr="00C837DD">
        <w:rPr>
          <w:bCs/>
        </w:rPr>
        <w:t>In this regard, it should be noted that</w:t>
      </w:r>
      <w:r w:rsidR="00F85D5F" w:rsidRPr="00C837DD">
        <w:rPr>
          <w:bCs/>
        </w:rPr>
        <w:t xml:space="preserve"> at the time when the petition was submitted to the Commission, two years after the </w:t>
      </w:r>
      <w:r w:rsidR="003B2A22" w:rsidRPr="00C837DD">
        <w:rPr>
          <w:bCs/>
        </w:rPr>
        <w:t xml:space="preserve">murder </w:t>
      </w:r>
      <w:r w:rsidR="00F85D5F" w:rsidRPr="00C837DD">
        <w:rPr>
          <w:bCs/>
        </w:rPr>
        <w:t xml:space="preserve">of </w:t>
      </w:r>
      <w:r w:rsidR="00B8009F" w:rsidRPr="00C837DD">
        <w:rPr>
          <w:bCs/>
        </w:rPr>
        <w:t>Márcia</w:t>
      </w:r>
      <w:r w:rsidR="00F85D5F" w:rsidRPr="00C837DD">
        <w:rPr>
          <w:bCs/>
        </w:rPr>
        <w:t xml:space="preserve"> Barbosa de Souza, </w:t>
      </w:r>
      <w:r w:rsidRPr="00C837DD">
        <w:rPr>
          <w:bCs/>
        </w:rPr>
        <w:t>criminal proceedings had not been initiated because</w:t>
      </w:r>
      <w:r w:rsidR="00F85D5F" w:rsidRPr="00C837DD">
        <w:rPr>
          <w:bCs/>
        </w:rPr>
        <w:t xml:space="preserve"> the Legislative Assembly of Paraíba had not lifted the immunity of Mr. Aércio Pereira de Lima</w:t>
      </w:r>
      <w:r w:rsidRPr="00C837DD">
        <w:rPr>
          <w:bCs/>
        </w:rPr>
        <w:t>;</w:t>
      </w:r>
      <w:r w:rsidR="003B2A22" w:rsidRPr="00C837DD">
        <w:rPr>
          <w:bCs/>
        </w:rPr>
        <w:t xml:space="preserve"> </w:t>
      </w:r>
      <w:r w:rsidRPr="00C837DD">
        <w:rPr>
          <w:bCs/>
        </w:rPr>
        <w:t>t</w:t>
      </w:r>
      <w:r w:rsidR="00F85D5F" w:rsidRPr="00C837DD">
        <w:rPr>
          <w:bCs/>
        </w:rPr>
        <w:t xml:space="preserve">herefore, </w:t>
      </w:r>
      <w:r w:rsidRPr="00C837DD">
        <w:rPr>
          <w:bCs/>
        </w:rPr>
        <w:t>at that time</w:t>
      </w:r>
      <w:r w:rsidR="000147A6">
        <w:rPr>
          <w:bCs/>
        </w:rPr>
        <w:t>,</w:t>
      </w:r>
      <w:r w:rsidRPr="00C837DD">
        <w:rPr>
          <w:bCs/>
        </w:rPr>
        <w:t xml:space="preserve"> the exception to the exhaustion of domestic remedies provided for in Article 46(2)(b) of the Convention was applicable.</w:t>
      </w:r>
      <w:r w:rsidR="00F85D5F" w:rsidRPr="00C837DD">
        <w:rPr>
          <w:bCs/>
        </w:rPr>
        <w:t xml:space="preserve"> </w:t>
      </w:r>
      <w:r w:rsidR="000147A6">
        <w:rPr>
          <w:bCs/>
        </w:rPr>
        <w:t>A</w:t>
      </w:r>
      <w:r w:rsidR="00EB5428" w:rsidRPr="00C837DD">
        <w:rPr>
          <w:bCs/>
        </w:rPr>
        <w:t>t the time the Commission issued the Admissibility Report, in 2007, the criminal proceedings against the then congressman Aércio Pereira de Lima had not been concluded, and more than nine years had already passed since the murder</w:t>
      </w:r>
      <w:r w:rsidR="009447DD" w:rsidRPr="00C837DD">
        <w:t xml:space="preserve"> </w:t>
      </w:r>
      <w:r w:rsidR="00251953" w:rsidRPr="00C837DD">
        <w:t>of M</w:t>
      </w:r>
      <w:r w:rsidR="00F85D5F" w:rsidRPr="00C837DD">
        <w:t xml:space="preserve">s. </w:t>
      </w:r>
      <w:r w:rsidR="00F85D5F" w:rsidRPr="00C837DD">
        <w:rPr>
          <w:bCs/>
        </w:rPr>
        <w:t>Barbosa de Souza</w:t>
      </w:r>
      <w:r w:rsidR="00F85D5F" w:rsidRPr="00C837DD">
        <w:t>.</w:t>
      </w:r>
    </w:p>
    <w:p w14:paraId="4FB17442" w14:textId="77777777" w:rsidR="00F85D5F" w:rsidRPr="00C837DD" w:rsidRDefault="00F85D5F" w:rsidP="00F85D5F">
      <w:pPr>
        <w:pStyle w:val="Textoindependiente"/>
        <w:tabs>
          <w:tab w:val="left" w:pos="142"/>
        </w:tabs>
        <w:jc w:val="both"/>
      </w:pPr>
    </w:p>
    <w:p w14:paraId="65C5DA65" w14:textId="199B1D3E" w:rsidR="00F85D5F" w:rsidRPr="00C837DD" w:rsidRDefault="00F85D5F" w:rsidP="00F85D5F">
      <w:pPr>
        <w:pStyle w:val="Textoindependiente"/>
        <w:numPr>
          <w:ilvl w:val="0"/>
          <w:numId w:val="6"/>
        </w:numPr>
        <w:tabs>
          <w:tab w:val="left" w:pos="142"/>
        </w:tabs>
        <w:ind w:left="0" w:firstLine="0"/>
        <w:jc w:val="both"/>
      </w:pPr>
      <w:r w:rsidRPr="00C837DD">
        <w:t>The Court recalls that one of the main disputes in th</w:t>
      </w:r>
      <w:r w:rsidR="00832FD0" w:rsidRPr="00C837DD">
        <w:t>e instant</w:t>
      </w:r>
      <w:r w:rsidRPr="00C837DD">
        <w:t xml:space="preserve"> case is whether the State is responsible for violating the guarantee of reasonable time</w:t>
      </w:r>
      <w:r w:rsidR="000147A6">
        <w:t>,</w:t>
      </w:r>
      <w:r w:rsidRPr="00C837DD">
        <w:t xml:space="preserve"> </w:t>
      </w:r>
      <w:r w:rsidR="00832FD0" w:rsidRPr="00C837DD">
        <w:t xml:space="preserve">given </w:t>
      </w:r>
      <w:r w:rsidRPr="00C837DD">
        <w:t>the duration of the criminal proceedings for the homicide in question. In th</w:t>
      </w:r>
      <w:r w:rsidR="00832FD0" w:rsidRPr="00C837DD">
        <w:t>is regard</w:t>
      </w:r>
      <w:r w:rsidRPr="00C837DD">
        <w:t xml:space="preserve">, the Court considers that </w:t>
      </w:r>
      <w:r w:rsidR="00832FD0" w:rsidRPr="00C837DD">
        <w:t>determining whether the time elapsed constituted an unwarranted delay, in the terms of Article 46(2)(c) of the American Convention, is a debate that is directly related to the merits of the case regarding Articles 8 and 25 of the Convention</w:t>
      </w:r>
      <w:r w:rsidRPr="00C837DD">
        <w:t xml:space="preserve">. </w:t>
      </w:r>
    </w:p>
    <w:p w14:paraId="72584D66" w14:textId="77777777" w:rsidR="00F85D5F" w:rsidRPr="00C837DD" w:rsidRDefault="00F85D5F" w:rsidP="00F85D5F">
      <w:pPr>
        <w:pStyle w:val="Prrafodelista"/>
        <w:tabs>
          <w:tab w:val="left" w:pos="142"/>
        </w:tabs>
        <w:ind w:left="0"/>
        <w:rPr>
          <w:sz w:val="20"/>
          <w:szCs w:val="20"/>
        </w:rPr>
      </w:pPr>
    </w:p>
    <w:p w14:paraId="409E33CC" w14:textId="6D0A91FC" w:rsidR="00F85D5F" w:rsidRPr="00C837DD" w:rsidRDefault="000147A6" w:rsidP="00C9025E">
      <w:pPr>
        <w:pStyle w:val="Textoindependiente"/>
        <w:numPr>
          <w:ilvl w:val="0"/>
          <w:numId w:val="6"/>
        </w:numPr>
        <w:tabs>
          <w:tab w:val="left" w:pos="142"/>
        </w:tabs>
        <w:ind w:left="0" w:firstLine="0"/>
        <w:jc w:val="both"/>
      </w:pPr>
      <w:r>
        <w:t>T</w:t>
      </w:r>
      <w:r w:rsidR="00F85D5F" w:rsidRPr="00C837DD">
        <w:t xml:space="preserve">he State </w:t>
      </w:r>
      <w:r>
        <w:t xml:space="preserve">also </w:t>
      </w:r>
      <w:r w:rsidR="00F85D5F" w:rsidRPr="00C837DD">
        <w:t xml:space="preserve">argued in its answering brief </w:t>
      </w:r>
      <w:r w:rsidR="00501314" w:rsidRPr="00C837DD">
        <w:t xml:space="preserve">that the verification of the exhaustion of domestic remedies by the Commission should have been carried out </w:t>
      </w:r>
      <w:r>
        <w:t xml:space="preserve">when </w:t>
      </w:r>
      <w:r w:rsidR="00345D70" w:rsidRPr="00C837DD">
        <w:t xml:space="preserve">the representatives' initial petition was presented, and not </w:t>
      </w:r>
      <w:r w:rsidR="0076065C" w:rsidRPr="00C837DD">
        <w:t xml:space="preserve">when </w:t>
      </w:r>
      <w:r w:rsidR="00345D70" w:rsidRPr="00C837DD">
        <w:t>the admissibility decision was issued</w:t>
      </w:r>
      <w:r w:rsidR="00501314" w:rsidRPr="00C837DD">
        <w:t>. However, the Court has</w:t>
      </w:r>
      <w:r w:rsidR="00F85D5F" w:rsidRPr="00C837DD">
        <w:t xml:space="preserve"> already pointed out that the fact that the analysis of compliance with the requirement </w:t>
      </w:r>
      <w:r w:rsidR="00362FFC" w:rsidRPr="00C837DD">
        <w:t xml:space="preserve">to exhaust </w:t>
      </w:r>
      <w:r w:rsidR="00F85D5F" w:rsidRPr="00C837DD">
        <w:t xml:space="preserve">domestic remedies </w:t>
      </w:r>
      <w:r w:rsidR="00501314" w:rsidRPr="00C837DD">
        <w:t xml:space="preserve">is carried out at the time of </w:t>
      </w:r>
      <w:r w:rsidR="00F85D5F" w:rsidRPr="00C837DD">
        <w:t>deciding on the admissibility of the petition</w:t>
      </w:r>
      <w:r w:rsidR="00362FFC" w:rsidRPr="00C837DD">
        <w:t xml:space="preserve"> does not affect the subsidiary</w:t>
      </w:r>
      <w:r w:rsidR="00501314" w:rsidRPr="00C837DD">
        <w:t xml:space="preserve"> nature of the inter-American s</w:t>
      </w:r>
      <w:r w:rsidR="00F85D5F" w:rsidRPr="00C837DD">
        <w:t xml:space="preserve">ystem, and in fact allows the State to resolve the alleged </w:t>
      </w:r>
      <w:r w:rsidR="00501314" w:rsidRPr="00C837DD">
        <w:t xml:space="preserve">situation </w:t>
      </w:r>
      <w:r w:rsidR="00F85D5F" w:rsidRPr="00C837DD">
        <w:t>during the admissibility stage.</w:t>
      </w:r>
      <w:r w:rsidR="00F85D5F" w:rsidRPr="00C837DD">
        <w:rPr>
          <w:rStyle w:val="Refdenotaalpie"/>
          <w:bCs/>
        </w:rPr>
        <w:footnoteReference w:id="29"/>
      </w:r>
      <w:r w:rsidR="00F85D5F" w:rsidRPr="00C837DD">
        <w:t xml:space="preserve"> This Court finds no reason to de</w:t>
      </w:r>
      <w:r>
        <w:t xml:space="preserve">part </w:t>
      </w:r>
      <w:r w:rsidR="00F85D5F" w:rsidRPr="00C837DD">
        <w:t xml:space="preserve">from the aforementioned criterion. </w:t>
      </w:r>
    </w:p>
    <w:p w14:paraId="1035E8C3" w14:textId="77777777" w:rsidR="00F85D5F" w:rsidRPr="00C837DD" w:rsidRDefault="00F85D5F" w:rsidP="00F85D5F">
      <w:pPr>
        <w:pStyle w:val="Prrafodelista"/>
        <w:tabs>
          <w:tab w:val="left" w:pos="142"/>
        </w:tabs>
        <w:ind w:left="0"/>
        <w:rPr>
          <w:sz w:val="20"/>
          <w:szCs w:val="20"/>
        </w:rPr>
      </w:pPr>
    </w:p>
    <w:p w14:paraId="7F2F3789" w14:textId="77777777" w:rsidR="00F85D5F" w:rsidRPr="00C837DD" w:rsidRDefault="00F85D5F" w:rsidP="00C9025E">
      <w:pPr>
        <w:pStyle w:val="Textoindependiente"/>
        <w:numPr>
          <w:ilvl w:val="0"/>
          <w:numId w:val="6"/>
        </w:numPr>
        <w:tabs>
          <w:tab w:val="left" w:pos="142"/>
        </w:tabs>
        <w:ind w:left="0" w:firstLine="0"/>
        <w:jc w:val="both"/>
      </w:pPr>
      <w:r w:rsidRPr="00C837DD">
        <w:t xml:space="preserve">Consequently, </w:t>
      </w:r>
      <w:r w:rsidR="00C9025E" w:rsidRPr="00C837DD">
        <w:t>since there is a close relationship between the State's preliminary objection and the analysis of the merits of the dispute, the Court dismisses the preliminary objection filed by the State</w:t>
      </w:r>
      <w:r w:rsidRPr="00C837DD">
        <w:t xml:space="preserve">. </w:t>
      </w:r>
    </w:p>
    <w:p w14:paraId="51727389" w14:textId="77777777" w:rsidR="00F85D5F" w:rsidRPr="00C837DD" w:rsidRDefault="00F85D5F" w:rsidP="00F85D5F">
      <w:pPr>
        <w:tabs>
          <w:tab w:val="left" w:pos="142"/>
        </w:tabs>
        <w:rPr>
          <w:sz w:val="20"/>
          <w:szCs w:val="20"/>
        </w:rPr>
      </w:pPr>
    </w:p>
    <w:p w14:paraId="2EC736D9" w14:textId="77777777" w:rsidR="00F85D5F" w:rsidRPr="00C837DD" w:rsidRDefault="00F85D5F" w:rsidP="00F85D5F">
      <w:pPr>
        <w:pStyle w:val="Ttulo1"/>
        <w:tabs>
          <w:tab w:val="left" w:pos="142"/>
        </w:tabs>
        <w:rPr>
          <w:w w:val="100"/>
          <w:lang w:val="en-US"/>
        </w:rPr>
      </w:pPr>
      <w:bookmarkStart w:id="33" w:name="V_Consideración_Previa"/>
      <w:bookmarkStart w:id="34" w:name="_bookmark44"/>
      <w:bookmarkStart w:id="35" w:name="_Toc85001870"/>
      <w:bookmarkEnd w:id="33"/>
      <w:bookmarkEnd w:id="34"/>
      <w:r w:rsidRPr="00C837DD">
        <w:rPr>
          <w:w w:val="100"/>
          <w:lang w:val="en-US"/>
        </w:rPr>
        <w:t>V</w:t>
      </w:r>
      <w:r w:rsidRPr="00C837DD">
        <w:rPr>
          <w:w w:val="100"/>
          <w:lang w:val="en-US"/>
        </w:rPr>
        <w:br/>
        <w:t xml:space="preserve">PRIOR CONSIDERATION </w:t>
      </w:r>
      <w:bookmarkEnd w:id="35"/>
    </w:p>
    <w:p w14:paraId="2B8FE1C6" w14:textId="77777777" w:rsidR="00F85D5F" w:rsidRPr="00C837DD" w:rsidRDefault="00F85D5F" w:rsidP="00F85D5F">
      <w:pPr>
        <w:pStyle w:val="Textoindependiente"/>
        <w:tabs>
          <w:tab w:val="left" w:pos="142"/>
        </w:tabs>
        <w:rPr>
          <w:b/>
        </w:rPr>
      </w:pPr>
    </w:p>
    <w:p w14:paraId="49D53295" w14:textId="77777777" w:rsidR="00F85D5F" w:rsidRPr="00C837DD" w:rsidRDefault="00F85D5F" w:rsidP="00F85D5F">
      <w:pPr>
        <w:pStyle w:val="Ttulo2"/>
        <w:ind w:left="1134" w:hanging="567"/>
        <w:rPr>
          <w:lang w:val="en-US"/>
        </w:rPr>
      </w:pPr>
      <w:bookmarkStart w:id="36" w:name="_bookmark45"/>
      <w:bookmarkStart w:id="37" w:name="_Toc85001871"/>
      <w:bookmarkEnd w:id="36"/>
      <w:r w:rsidRPr="00C837DD">
        <w:rPr>
          <w:lang w:val="en-US"/>
        </w:rPr>
        <w:t>Arguments of the parties and of the Commission</w:t>
      </w:r>
      <w:bookmarkEnd w:id="37"/>
    </w:p>
    <w:p w14:paraId="13026D2D" w14:textId="77777777" w:rsidR="00F85D5F" w:rsidRPr="00C837DD" w:rsidRDefault="00F85D5F" w:rsidP="00F85D5F">
      <w:pPr>
        <w:pStyle w:val="Textoindependiente"/>
        <w:tabs>
          <w:tab w:val="left" w:pos="142"/>
        </w:tabs>
      </w:pPr>
    </w:p>
    <w:p w14:paraId="5F23122A" w14:textId="0159B7CC" w:rsidR="00F85D5F" w:rsidRPr="00C837DD" w:rsidRDefault="00F85D5F" w:rsidP="00F85D5F">
      <w:pPr>
        <w:pStyle w:val="Textoindependiente"/>
        <w:numPr>
          <w:ilvl w:val="0"/>
          <w:numId w:val="6"/>
        </w:numPr>
        <w:tabs>
          <w:tab w:val="left" w:pos="142"/>
        </w:tabs>
        <w:ind w:left="0" w:firstLine="0"/>
        <w:jc w:val="both"/>
      </w:pPr>
      <w:r w:rsidRPr="00C837DD">
        <w:t xml:space="preserve">The </w:t>
      </w:r>
      <w:r w:rsidRPr="00C837DD">
        <w:rPr>
          <w:b/>
          <w:i/>
        </w:rPr>
        <w:t>representatives</w:t>
      </w:r>
      <w:r w:rsidRPr="00C837DD">
        <w:t xml:space="preserve"> requested that the Court also consider the sister of </w:t>
      </w:r>
      <w:r w:rsidR="00B8009F" w:rsidRPr="00C837DD">
        <w:t>Márcia</w:t>
      </w:r>
      <w:r w:rsidRPr="00C837DD">
        <w:t xml:space="preserve"> Barbosa de Souza as an alleged victim. They argued that</w:t>
      </w:r>
      <w:r w:rsidRPr="00C837DD">
        <w:rPr>
          <w:lang w:eastAsia="es-ES"/>
        </w:rPr>
        <w:t xml:space="preserve">, in this case, exceptional circumstances were </w:t>
      </w:r>
      <w:r w:rsidR="00C9025E" w:rsidRPr="00C837DD">
        <w:rPr>
          <w:lang w:eastAsia="es-ES"/>
        </w:rPr>
        <w:t>present, in light of Article 35(</w:t>
      </w:r>
      <w:r w:rsidRPr="00C837DD">
        <w:rPr>
          <w:lang w:eastAsia="es-ES"/>
        </w:rPr>
        <w:t>2</w:t>
      </w:r>
      <w:r w:rsidR="00C9025E" w:rsidRPr="00C837DD">
        <w:rPr>
          <w:lang w:eastAsia="es-ES"/>
        </w:rPr>
        <w:t>)</w:t>
      </w:r>
      <w:r w:rsidRPr="00C837DD">
        <w:rPr>
          <w:lang w:eastAsia="es-ES"/>
        </w:rPr>
        <w:t xml:space="preserve"> of the Rules, which </w:t>
      </w:r>
      <w:r w:rsidR="00010006" w:rsidRPr="00C837DD">
        <w:rPr>
          <w:lang w:eastAsia="es-ES"/>
        </w:rPr>
        <w:t xml:space="preserve">must </w:t>
      </w:r>
      <w:r w:rsidRPr="00C837DD">
        <w:rPr>
          <w:lang w:eastAsia="es-ES"/>
        </w:rPr>
        <w:t xml:space="preserve">be taken into account </w:t>
      </w:r>
      <w:r w:rsidR="00467F0A">
        <w:rPr>
          <w:lang w:eastAsia="es-ES"/>
        </w:rPr>
        <w:t xml:space="preserve">when </w:t>
      </w:r>
      <w:r w:rsidRPr="00C837DD">
        <w:rPr>
          <w:lang w:eastAsia="es-ES"/>
        </w:rPr>
        <w:t>determin</w:t>
      </w:r>
      <w:r w:rsidR="00467F0A">
        <w:rPr>
          <w:lang w:eastAsia="es-ES"/>
        </w:rPr>
        <w:t xml:space="preserve">ing </w:t>
      </w:r>
      <w:r w:rsidRPr="00C837DD">
        <w:rPr>
          <w:lang w:eastAsia="es-ES"/>
        </w:rPr>
        <w:t xml:space="preserve">the alleged victims. They indicated that at the time of </w:t>
      </w:r>
      <w:r w:rsidR="00B8009F" w:rsidRPr="00C837DD">
        <w:rPr>
          <w:lang w:eastAsia="es-ES"/>
        </w:rPr>
        <w:t>Márcia</w:t>
      </w:r>
      <w:r w:rsidRPr="00C837DD">
        <w:rPr>
          <w:lang w:eastAsia="es-ES"/>
        </w:rPr>
        <w:t xml:space="preserve"> Barbosa de Souza</w:t>
      </w:r>
      <w:r w:rsidR="00010006" w:rsidRPr="00C837DD">
        <w:rPr>
          <w:lang w:eastAsia="es-ES"/>
        </w:rPr>
        <w:t>’s death</w:t>
      </w:r>
      <w:r w:rsidRPr="00C837DD">
        <w:rPr>
          <w:lang w:eastAsia="es-ES"/>
        </w:rPr>
        <w:t xml:space="preserve">, her sister </w:t>
      </w:r>
      <w:r w:rsidRPr="00C837DD">
        <w:t xml:space="preserve">Mt.B.S. was only </w:t>
      </w:r>
      <w:r w:rsidRPr="00C837DD">
        <w:rPr>
          <w:lang w:eastAsia="es-ES"/>
        </w:rPr>
        <w:t xml:space="preserve">17 years </w:t>
      </w:r>
      <w:r w:rsidR="00010006" w:rsidRPr="00C837DD">
        <w:rPr>
          <w:lang w:eastAsia="es-ES"/>
        </w:rPr>
        <w:t xml:space="preserve">old </w:t>
      </w:r>
      <w:r w:rsidRPr="00C837DD">
        <w:rPr>
          <w:lang w:eastAsia="es-ES"/>
        </w:rPr>
        <w:t xml:space="preserve">and that she participated in the judicial process </w:t>
      </w:r>
      <w:r w:rsidR="00010006" w:rsidRPr="00C837DD">
        <w:rPr>
          <w:lang w:eastAsia="es-ES"/>
        </w:rPr>
        <w:t xml:space="preserve">over </w:t>
      </w:r>
      <w:r w:rsidRPr="00C837DD">
        <w:rPr>
          <w:lang w:eastAsia="es-ES"/>
        </w:rPr>
        <w:t xml:space="preserve">the years and witnessed the suffering of her parents </w:t>
      </w:r>
      <w:r w:rsidR="00E4323E" w:rsidRPr="00C837DD">
        <w:rPr>
          <w:lang w:eastAsia="es-ES"/>
        </w:rPr>
        <w:t xml:space="preserve">due </w:t>
      </w:r>
      <w:r w:rsidRPr="00C837DD">
        <w:rPr>
          <w:lang w:eastAsia="es-ES"/>
        </w:rPr>
        <w:t xml:space="preserve">to the impunity surrounding the facts. They added that </w:t>
      </w:r>
      <w:r w:rsidR="00E4323E" w:rsidRPr="00C837DD">
        <w:rPr>
          <w:lang w:eastAsia="es-ES"/>
        </w:rPr>
        <w:t xml:space="preserve">her distress </w:t>
      </w:r>
      <w:r w:rsidRPr="00C837DD">
        <w:rPr>
          <w:lang w:eastAsia="es-ES"/>
        </w:rPr>
        <w:t xml:space="preserve">had led her not to participate in the international proceedings, </w:t>
      </w:r>
      <w:r w:rsidR="00467F0A">
        <w:rPr>
          <w:lang w:eastAsia="es-ES"/>
        </w:rPr>
        <w:t xml:space="preserve">owing to </w:t>
      </w:r>
      <w:r w:rsidRPr="00C837DD">
        <w:rPr>
          <w:lang w:eastAsia="es-ES"/>
        </w:rPr>
        <w:t xml:space="preserve">the </w:t>
      </w:r>
      <w:r w:rsidR="00467F0A">
        <w:rPr>
          <w:lang w:eastAsia="es-ES"/>
        </w:rPr>
        <w:t xml:space="preserve">intense media coverage of </w:t>
      </w:r>
      <w:r w:rsidRPr="00C837DD">
        <w:rPr>
          <w:lang w:eastAsia="es-ES"/>
        </w:rPr>
        <w:t xml:space="preserve">the case, which </w:t>
      </w:r>
      <w:r w:rsidR="00467F0A">
        <w:rPr>
          <w:lang w:eastAsia="es-ES"/>
        </w:rPr>
        <w:t xml:space="preserve">resulted in the </w:t>
      </w:r>
      <w:r w:rsidR="00E82D6D" w:rsidRPr="00C837DD">
        <w:rPr>
          <w:lang w:eastAsia="es-ES"/>
        </w:rPr>
        <w:t>public exposure of Márcia Barbosa de Souza's life.</w:t>
      </w:r>
      <w:r w:rsidRPr="00C837DD">
        <w:rPr>
          <w:lang w:eastAsia="es-ES"/>
        </w:rPr>
        <w:t xml:space="preserve"> </w:t>
      </w:r>
      <w:r w:rsidR="00E82D6D" w:rsidRPr="00C837DD">
        <w:rPr>
          <w:lang w:eastAsia="es-ES"/>
        </w:rPr>
        <w:t xml:space="preserve">Furthermore, they alleged that Ms. </w:t>
      </w:r>
      <w:r w:rsidRPr="00C837DD">
        <w:t>Mt.B.S.</w:t>
      </w:r>
      <w:r w:rsidRPr="00C837DD">
        <w:rPr>
          <w:lang w:eastAsia="es-ES"/>
        </w:rPr>
        <w:t xml:space="preserve"> has been </w:t>
      </w:r>
      <w:r w:rsidR="00E82D6D" w:rsidRPr="00C837DD">
        <w:rPr>
          <w:lang w:eastAsia="es-ES"/>
        </w:rPr>
        <w:t xml:space="preserve">deeply </w:t>
      </w:r>
      <w:r w:rsidRPr="00C837DD">
        <w:rPr>
          <w:lang w:eastAsia="es-ES"/>
        </w:rPr>
        <w:t>affected by the events of this case</w:t>
      </w:r>
      <w:r w:rsidR="00E82D6D" w:rsidRPr="00C837DD">
        <w:rPr>
          <w:lang w:eastAsia="es-ES"/>
        </w:rPr>
        <w:t xml:space="preserve"> because she,</w:t>
      </w:r>
      <w:r w:rsidRPr="00C837DD">
        <w:rPr>
          <w:lang w:eastAsia="es-ES"/>
        </w:rPr>
        <w:t xml:space="preserve"> like her sister, is a black, poor</w:t>
      </w:r>
      <w:r w:rsidR="00E82D6D" w:rsidRPr="00C837DD">
        <w:rPr>
          <w:lang w:eastAsia="es-ES"/>
        </w:rPr>
        <w:t>,</w:t>
      </w:r>
      <w:r w:rsidRPr="00C837DD">
        <w:rPr>
          <w:lang w:eastAsia="es-ES"/>
        </w:rPr>
        <w:t xml:space="preserve"> </w:t>
      </w:r>
      <w:r w:rsidR="00E615EA" w:rsidRPr="00C837DD">
        <w:rPr>
          <w:i/>
          <w:lang w:eastAsia="es-ES"/>
        </w:rPr>
        <w:t>nordestina</w:t>
      </w:r>
      <w:r w:rsidR="00E615EA" w:rsidRPr="00C837DD">
        <w:rPr>
          <w:lang w:eastAsia="es-ES"/>
        </w:rPr>
        <w:t xml:space="preserve"> (</w:t>
      </w:r>
      <w:r w:rsidRPr="00C837DD">
        <w:rPr>
          <w:lang w:eastAsia="es-ES"/>
        </w:rPr>
        <w:t>northeastern</w:t>
      </w:r>
      <w:r w:rsidR="00E615EA" w:rsidRPr="00C837DD">
        <w:rPr>
          <w:lang w:eastAsia="es-ES"/>
        </w:rPr>
        <w:t>)</w:t>
      </w:r>
      <w:r w:rsidRPr="00C837DD">
        <w:rPr>
          <w:lang w:eastAsia="es-ES"/>
        </w:rPr>
        <w:t xml:space="preserve"> woman living in Brazil in a context of systematic violations against women and impunity in relation to these </w:t>
      </w:r>
      <w:r w:rsidR="00467F0A">
        <w:rPr>
          <w:lang w:eastAsia="es-ES"/>
        </w:rPr>
        <w:t>actions</w:t>
      </w:r>
      <w:r w:rsidRPr="00C837DD">
        <w:rPr>
          <w:lang w:eastAsia="es-ES"/>
        </w:rPr>
        <w:t xml:space="preserve">. </w:t>
      </w:r>
      <w:r w:rsidR="00607B6E" w:rsidRPr="00C837DD">
        <w:rPr>
          <w:lang w:eastAsia="es-ES"/>
        </w:rPr>
        <w:t>T</w:t>
      </w:r>
      <w:r w:rsidRPr="00C837DD">
        <w:t xml:space="preserve">hey </w:t>
      </w:r>
      <w:r w:rsidR="00607B6E" w:rsidRPr="00C837DD">
        <w:t>a</w:t>
      </w:r>
      <w:r w:rsidR="00467F0A">
        <w:t xml:space="preserve">dded </w:t>
      </w:r>
      <w:r w:rsidRPr="00C837DD">
        <w:t xml:space="preserve">that the inclusion of Mt.B.S. as an alleged victim would not affect the State’s right of defense because all </w:t>
      </w:r>
      <w:r w:rsidR="00467F0A">
        <w:t xml:space="preserve">of </w:t>
      </w:r>
      <w:r w:rsidR="00B8009F" w:rsidRPr="00C837DD">
        <w:t>Márcia</w:t>
      </w:r>
      <w:r w:rsidRPr="00C837DD">
        <w:t xml:space="preserve"> Barbosa de Souza</w:t>
      </w:r>
      <w:r w:rsidR="00467F0A">
        <w:t>’s relatives</w:t>
      </w:r>
      <w:r w:rsidRPr="00C837DD">
        <w:t xml:space="preserve"> are victims of the same human rights violations, which result from the same facts. </w:t>
      </w:r>
    </w:p>
    <w:p w14:paraId="5F7CC5A6" w14:textId="77777777" w:rsidR="00F85D5F" w:rsidRPr="00C837DD" w:rsidRDefault="00F85D5F" w:rsidP="00F85D5F">
      <w:pPr>
        <w:pStyle w:val="Prrafodelista"/>
        <w:tabs>
          <w:tab w:val="left" w:pos="142"/>
        </w:tabs>
        <w:ind w:left="0"/>
        <w:rPr>
          <w:sz w:val="20"/>
          <w:szCs w:val="20"/>
        </w:rPr>
      </w:pPr>
    </w:p>
    <w:p w14:paraId="50B75CD3" w14:textId="40FCAF4D" w:rsidR="00F85D5F" w:rsidRPr="00C837DD" w:rsidRDefault="00F85D5F" w:rsidP="00A17896">
      <w:pPr>
        <w:pStyle w:val="Textoindependiente"/>
        <w:numPr>
          <w:ilvl w:val="0"/>
          <w:numId w:val="6"/>
        </w:numPr>
        <w:tabs>
          <w:tab w:val="left" w:pos="142"/>
        </w:tabs>
        <w:ind w:left="0" w:firstLine="0"/>
        <w:jc w:val="both"/>
      </w:pPr>
      <w:r w:rsidRPr="00C837DD">
        <w:t xml:space="preserve">The </w:t>
      </w:r>
      <w:r w:rsidRPr="00C837DD">
        <w:rPr>
          <w:b/>
          <w:i/>
        </w:rPr>
        <w:t xml:space="preserve">State </w:t>
      </w:r>
      <w:r w:rsidRPr="00C837DD">
        <w:t xml:space="preserve">argued that </w:t>
      </w:r>
      <w:r w:rsidR="00B8009F" w:rsidRPr="00C837DD">
        <w:rPr>
          <w:lang w:eastAsia="es-ES"/>
        </w:rPr>
        <w:t>Márcia</w:t>
      </w:r>
      <w:r w:rsidRPr="00C837DD">
        <w:rPr>
          <w:lang w:eastAsia="es-ES"/>
        </w:rPr>
        <w:t xml:space="preserve"> Barbosa de Souza</w:t>
      </w:r>
      <w:r w:rsidR="00607B6E" w:rsidRPr="00C837DD">
        <w:rPr>
          <w:lang w:eastAsia="es-ES"/>
        </w:rPr>
        <w:t>’s sister</w:t>
      </w:r>
      <w:r w:rsidRPr="00C837DD">
        <w:rPr>
          <w:lang w:eastAsia="es-ES"/>
        </w:rPr>
        <w:t>, Mt.B.S.</w:t>
      </w:r>
      <w:r w:rsidR="00467F0A">
        <w:rPr>
          <w:lang w:eastAsia="es-ES"/>
        </w:rPr>
        <w:t>,</w:t>
      </w:r>
      <w:r w:rsidRPr="00C837DD">
        <w:rPr>
          <w:lang w:eastAsia="es-ES"/>
        </w:rPr>
        <w:t xml:space="preserve"> </w:t>
      </w:r>
      <w:r w:rsidR="0063665C" w:rsidRPr="00C837DD">
        <w:rPr>
          <w:lang w:eastAsia="es-ES"/>
        </w:rPr>
        <w:t xml:space="preserve">does </w:t>
      </w:r>
      <w:r w:rsidRPr="00C837DD">
        <w:rPr>
          <w:lang w:eastAsia="es-ES"/>
        </w:rPr>
        <w:t xml:space="preserve">not </w:t>
      </w:r>
      <w:r w:rsidR="0063665C" w:rsidRPr="00C837DD">
        <w:rPr>
          <w:lang w:eastAsia="es-ES"/>
        </w:rPr>
        <w:t xml:space="preserve">appear </w:t>
      </w:r>
      <w:r w:rsidRPr="00C837DD">
        <w:rPr>
          <w:lang w:eastAsia="es-ES"/>
        </w:rPr>
        <w:t xml:space="preserve">as an alleged victim in the </w:t>
      </w:r>
      <w:r w:rsidR="0063665C" w:rsidRPr="00C837DD">
        <w:rPr>
          <w:lang w:eastAsia="es-ES"/>
        </w:rPr>
        <w:t>Commission</w:t>
      </w:r>
      <w:r w:rsidR="00607B6E" w:rsidRPr="00C837DD">
        <w:rPr>
          <w:lang w:eastAsia="es-ES"/>
        </w:rPr>
        <w:t>’</w:t>
      </w:r>
      <w:r w:rsidR="0063665C" w:rsidRPr="00C837DD">
        <w:rPr>
          <w:lang w:eastAsia="es-ES"/>
        </w:rPr>
        <w:t xml:space="preserve">s </w:t>
      </w:r>
      <w:r w:rsidRPr="00C837DD">
        <w:rPr>
          <w:lang w:eastAsia="es-ES"/>
        </w:rPr>
        <w:t xml:space="preserve">Merits Report, </w:t>
      </w:r>
      <w:r w:rsidR="008F6271">
        <w:rPr>
          <w:lang w:eastAsia="es-ES"/>
        </w:rPr>
        <w:t xml:space="preserve">and therefore </w:t>
      </w:r>
      <w:r w:rsidR="0063665C" w:rsidRPr="00C837DD">
        <w:rPr>
          <w:lang w:eastAsia="es-ES"/>
        </w:rPr>
        <w:t xml:space="preserve">her inclusion by the representatives could only be accepted in exceptional circumstances, </w:t>
      </w:r>
      <w:r w:rsidRPr="00C837DD">
        <w:rPr>
          <w:lang w:eastAsia="es-ES"/>
        </w:rPr>
        <w:t xml:space="preserve">which are not present in the case </w:t>
      </w:r>
      <w:r w:rsidRPr="00C837DD">
        <w:rPr>
          <w:i/>
          <w:lang w:eastAsia="es-ES"/>
        </w:rPr>
        <w:t>sub judice</w:t>
      </w:r>
      <w:r w:rsidRPr="00C837DD">
        <w:rPr>
          <w:lang w:eastAsia="es-ES"/>
        </w:rPr>
        <w:t xml:space="preserve">. Therefore, it asked the Court to declare its lack of jurisdiction </w:t>
      </w:r>
      <w:r w:rsidRPr="00C837DD">
        <w:rPr>
          <w:i/>
        </w:rPr>
        <w:t xml:space="preserve">ratione personae </w:t>
      </w:r>
      <w:r w:rsidRPr="00C837DD">
        <w:t>with respect to the alleged victim Mt.B.S.</w:t>
      </w:r>
    </w:p>
    <w:p w14:paraId="2570FD98" w14:textId="77777777" w:rsidR="00F85D5F" w:rsidRPr="00C837DD" w:rsidRDefault="00F85D5F" w:rsidP="00F85D5F">
      <w:pPr>
        <w:pStyle w:val="Textoindependiente"/>
        <w:tabs>
          <w:tab w:val="left" w:pos="142"/>
        </w:tabs>
        <w:jc w:val="both"/>
      </w:pPr>
    </w:p>
    <w:p w14:paraId="7ABD7C1E" w14:textId="7CAA5EA1" w:rsidR="00F85D5F" w:rsidRPr="00C837DD" w:rsidRDefault="00F85D5F" w:rsidP="00A17896">
      <w:pPr>
        <w:pStyle w:val="Textoindependiente"/>
        <w:numPr>
          <w:ilvl w:val="0"/>
          <w:numId w:val="6"/>
        </w:numPr>
        <w:tabs>
          <w:tab w:val="left" w:pos="142"/>
        </w:tabs>
        <w:ind w:left="0" w:firstLine="0"/>
        <w:jc w:val="both"/>
      </w:pPr>
      <w:r w:rsidRPr="00C837DD">
        <w:t xml:space="preserve">The </w:t>
      </w:r>
      <w:r w:rsidRPr="00C837DD">
        <w:rPr>
          <w:b/>
          <w:i/>
        </w:rPr>
        <w:t>Commission</w:t>
      </w:r>
      <w:r w:rsidRPr="00C837DD">
        <w:t xml:space="preserve"> emphasized that, although it did not expressly identify </w:t>
      </w:r>
      <w:r w:rsidR="0063665C" w:rsidRPr="00C837DD">
        <w:rPr>
          <w:lang w:eastAsia="es-ES"/>
        </w:rPr>
        <w:t>M</w:t>
      </w:r>
      <w:r w:rsidRPr="00C837DD">
        <w:rPr>
          <w:lang w:eastAsia="es-ES"/>
        </w:rPr>
        <w:t xml:space="preserve">s. </w:t>
      </w:r>
      <w:r w:rsidRPr="00C837DD">
        <w:t xml:space="preserve">Mt.B.S. in </w:t>
      </w:r>
      <w:r w:rsidR="008F6271">
        <w:t>the</w:t>
      </w:r>
      <w:r w:rsidRPr="00C837DD">
        <w:t xml:space="preserve"> Merits Report</w:t>
      </w:r>
      <w:r w:rsidRPr="00C837DD">
        <w:rPr>
          <w:lang w:eastAsia="es-ES"/>
        </w:rPr>
        <w:t xml:space="preserve">, </w:t>
      </w:r>
      <w:r w:rsidR="0063665C" w:rsidRPr="00C837DD">
        <w:rPr>
          <w:lang w:eastAsia="es-ES"/>
        </w:rPr>
        <w:t xml:space="preserve">it </w:t>
      </w:r>
      <w:r w:rsidRPr="00C837DD">
        <w:rPr>
          <w:lang w:eastAsia="es-ES"/>
        </w:rPr>
        <w:t xml:space="preserve">recognized </w:t>
      </w:r>
      <w:r w:rsidR="0063665C" w:rsidRPr="00C837DD">
        <w:rPr>
          <w:lang w:eastAsia="es-ES"/>
        </w:rPr>
        <w:t>that the violations of personal integrity extended to her relatives, and not exclusively to her two parents. It further argued that the application</w:t>
      </w:r>
      <w:r w:rsidRPr="00C837DD">
        <w:t xml:space="preserve"> of Article 35(1) of the </w:t>
      </w:r>
      <w:r w:rsidR="0063665C" w:rsidRPr="00C837DD">
        <w:t xml:space="preserve">Court’s </w:t>
      </w:r>
      <w:r w:rsidRPr="00C837DD">
        <w:t xml:space="preserve">Rules of </w:t>
      </w:r>
      <w:r w:rsidR="0063665C" w:rsidRPr="00C837DD">
        <w:t xml:space="preserve">Procedure </w:t>
      </w:r>
      <w:r w:rsidRPr="00C837DD">
        <w:t>is not absolute, since the purpose of th</w:t>
      </w:r>
      <w:r w:rsidR="008F6271">
        <w:t>is</w:t>
      </w:r>
      <w:r w:rsidRPr="00C837DD">
        <w:t xml:space="preserve"> </w:t>
      </w:r>
      <w:r w:rsidR="0063665C" w:rsidRPr="00C837DD">
        <w:t xml:space="preserve">rule </w:t>
      </w:r>
      <w:r w:rsidRPr="00C837DD">
        <w:t xml:space="preserve">is not to </w:t>
      </w:r>
      <w:r w:rsidR="0063665C" w:rsidRPr="00C837DD">
        <w:t xml:space="preserve">hinder </w:t>
      </w:r>
      <w:r w:rsidRPr="00C837DD">
        <w:t xml:space="preserve">the development of the process with formalisms, but to </w:t>
      </w:r>
      <w:r w:rsidR="009366E5" w:rsidRPr="00C837DD">
        <w:t>bring</w:t>
      </w:r>
      <w:r w:rsidRPr="00C837DD">
        <w:t xml:space="preserve"> the definition </w:t>
      </w:r>
      <w:r w:rsidR="009366E5" w:rsidRPr="00C837DD">
        <w:t xml:space="preserve">given </w:t>
      </w:r>
      <w:r w:rsidRPr="00C837DD">
        <w:t xml:space="preserve">in the judgment </w:t>
      </w:r>
      <w:r w:rsidR="0063665C" w:rsidRPr="00C837DD">
        <w:t>closer to the demand for</w:t>
      </w:r>
      <w:r w:rsidRPr="00C837DD">
        <w:t xml:space="preserve"> justice. </w:t>
      </w:r>
      <w:r w:rsidR="002102CD" w:rsidRPr="00C837DD">
        <w:t>Finally</w:t>
      </w:r>
      <w:r w:rsidRPr="00C837DD">
        <w:t>, i</w:t>
      </w:r>
      <w:r w:rsidR="009366E5" w:rsidRPr="00C837DD">
        <w:t>t i</w:t>
      </w:r>
      <w:r w:rsidRPr="00C837DD">
        <w:t xml:space="preserve">ndicated that </w:t>
      </w:r>
      <w:r w:rsidR="002102CD" w:rsidRPr="00C837DD">
        <w:t xml:space="preserve">the violations of the right to personal integrity of </w:t>
      </w:r>
      <w:r w:rsidR="0063665C" w:rsidRPr="00C837DD">
        <w:t>M</w:t>
      </w:r>
      <w:r w:rsidRPr="00C837DD">
        <w:t>s. Mt.B.S.</w:t>
      </w:r>
      <w:r w:rsidR="008F6271">
        <w:t xml:space="preserve"> as </w:t>
      </w:r>
      <w:r w:rsidRPr="00C837DD">
        <w:t xml:space="preserve">“a member of the family </w:t>
      </w:r>
      <w:r w:rsidR="002102CD" w:rsidRPr="00C837DD">
        <w:t xml:space="preserve">nucleus </w:t>
      </w:r>
      <w:r w:rsidRPr="00C837DD">
        <w:t xml:space="preserve">of the [alleged] victim, </w:t>
      </w:r>
      <w:r w:rsidR="0063665C" w:rsidRPr="00C837DD">
        <w:t>derive</w:t>
      </w:r>
      <w:r w:rsidRPr="00C837DD">
        <w:t xml:space="preserve"> </w:t>
      </w:r>
      <w:r w:rsidR="002102CD" w:rsidRPr="00C837DD">
        <w:t xml:space="preserve">directly </w:t>
      </w:r>
      <w:r w:rsidRPr="00C837DD">
        <w:t xml:space="preserve">from the facts that are </w:t>
      </w:r>
      <w:r w:rsidR="00A17896" w:rsidRPr="00C837DD">
        <w:t xml:space="preserve">being </w:t>
      </w:r>
      <w:r w:rsidRPr="00C837DD">
        <w:t>analy</w:t>
      </w:r>
      <w:r w:rsidR="00A17896" w:rsidRPr="00C837DD">
        <w:t xml:space="preserve">zed </w:t>
      </w:r>
      <w:r w:rsidRPr="00C837DD">
        <w:t>b</w:t>
      </w:r>
      <w:r w:rsidR="008F6271">
        <w:t>y</w:t>
      </w:r>
      <w:r w:rsidRPr="00C837DD">
        <w:t xml:space="preserve"> the Court and regarding which the State has exercised and has the opportunity to exercise its right of defense.”</w:t>
      </w:r>
    </w:p>
    <w:p w14:paraId="524F8B2D" w14:textId="77777777" w:rsidR="00F85D5F" w:rsidRPr="00C837DD" w:rsidRDefault="00F85D5F" w:rsidP="00F85D5F">
      <w:pPr>
        <w:pStyle w:val="Textoindependiente"/>
        <w:tabs>
          <w:tab w:val="left" w:pos="142"/>
        </w:tabs>
        <w:jc w:val="both"/>
      </w:pPr>
    </w:p>
    <w:p w14:paraId="509B15FD" w14:textId="77777777" w:rsidR="00F85D5F" w:rsidRPr="00C837DD" w:rsidRDefault="00F85D5F" w:rsidP="00F85D5F">
      <w:pPr>
        <w:pStyle w:val="Ttulo2"/>
        <w:numPr>
          <w:ilvl w:val="1"/>
          <w:numId w:val="17"/>
        </w:numPr>
        <w:ind w:left="1134" w:hanging="567"/>
        <w:rPr>
          <w:lang w:val="en-US"/>
        </w:rPr>
      </w:pPr>
      <w:bookmarkStart w:id="38" w:name="_bookmark47"/>
      <w:bookmarkStart w:id="39" w:name="_Toc85001872"/>
      <w:bookmarkEnd w:id="38"/>
      <w:r w:rsidRPr="00C837DD">
        <w:rPr>
          <w:lang w:val="en-US"/>
        </w:rPr>
        <w:t>Considerations of the Court</w:t>
      </w:r>
      <w:bookmarkEnd w:id="39"/>
    </w:p>
    <w:p w14:paraId="68A7602D" w14:textId="77777777" w:rsidR="00F85D5F" w:rsidRPr="00C837DD" w:rsidRDefault="00F85D5F" w:rsidP="00F85D5F">
      <w:pPr>
        <w:pStyle w:val="Textoindependiente"/>
        <w:tabs>
          <w:tab w:val="left" w:pos="142"/>
        </w:tabs>
        <w:jc w:val="both"/>
      </w:pPr>
    </w:p>
    <w:p w14:paraId="7821934F" w14:textId="45E9CE6B" w:rsidR="00F85D5F" w:rsidRPr="00C837DD" w:rsidRDefault="00F85D5F" w:rsidP="00AD321F">
      <w:pPr>
        <w:pStyle w:val="Textoindependiente"/>
        <w:numPr>
          <w:ilvl w:val="0"/>
          <w:numId w:val="6"/>
        </w:numPr>
        <w:tabs>
          <w:tab w:val="left" w:pos="142"/>
        </w:tabs>
        <w:ind w:left="0" w:firstLine="0"/>
        <w:jc w:val="both"/>
      </w:pPr>
      <w:r w:rsidRPr="00C837DD">
        <w:rPr>
          <w:lang w:eastAsia="es-ES"/>
        </w:rPr>
        <w:t xml:space="preserve">According to the Court’s constant case law on this </w:t>
      </w:r>
      <w:r w:rsidR="00A17896" w:rsidRPr="00C837DD">
        <w:rPr>
          <w:lang w:eastAsia="es-ES"/>
        </w:rPr>
        <w:t>issue</w:t>
      </w:r>
      <w:r w:rsidR="00AD321F" w:rsidRPr="00C837DD">
        <w:rPr>
          <w:lang w:eastAsia="es-ES"/>
        </w:rPr>
        <w:t>, Article 35(1) of its</w:t>
      </w:r>
      <w:r w:rsidRPr="00C837DD">
        <w:rPr>
          <w:lang w:eastAsia="es-ES"/>
        </w:rPr>
        <w:t xml:space="preserve"> Rules of Procedure </w:t>
      </w:r>
      <w:r w:rsidR="00262B72" w:rsidRPr="00C837DD">
        <w:rPr>
          <w:lang w:eastAsia="es-ES"/>
        </w:rPr>
        <w:t xml:space="preserve">provides </w:t>
      </w:r>
      <w:r w:rsidRPr="00C837DD">
        <w:rPr>
          <w:lang w:eastAsia="es-ES"/>
        </w:rPr>
        <w:t xml:space="preserve">that the alleged victims must be identified in the Merits Report, </w:t>
      </w:r>
      <w:r w:rsidR="00AD321F" w:rsidRPr="00C837DD">
        <w:rPr>
          <w:lang w:eastAsia="es-ES"/>
        </w:rPr>
        <w:t>in accordance with A</w:t>
      </w:r>
      <w:r w:rsidRPr="00C837DD">
        <w:rPr>
          <w:lang w:eastAsia="es-ES"/>
        </w:rPr>
        <w:t xml:space="preserve">rticle 50 of the American Convention. </w:t>
      </w:r>
      <w:r w:rsidR="00AD321F" w:rsidRPr="00C837DD">
        <w:rPr>
          <w:lang w:eastAsia="es-ES"/>
        </w:rPr>
        <w:t>It is therefore</w:t>
      </w:r>
      <w:r w:rsidRPr="00C837DD">
        <w:rPr>
          <w:lang w:eastAsia="es-ES"/>
        </w:rPr>
        <w:t xml:space="preserve"> i</w:t>
      </w:r>
      <w:r w:rsidR="00AD321F" w:rsidRPr="00C837DD">
        <w:rPr>
          <w:lang w:eastAsia="es-ES"/>
        </w:rPr>
        <w:t xml:space="preserve">ncumbent upon the Commission to identify </w:t>
      </w:r>
      <w:r w:rsidRPr="00C837DD">
        <w:rPr>
          <w:lang w:eastAsia="es-ES"/>
        </w:rPr>
        <w:t>precis</w:t>
      </w:r>
      <w:r w:rsidR="00AD321F" w:rsidRPr="00C837DD">
        <w:rPr>
          <w:lang w:eastAsia="es-ES"/>
        </w:rPr>
        <w:t xml:space="preserve">ely </w:t>
      </w:r>
      <w:r w:rsidRPr="00C837DD">
        <w:rPr>
          <w:lang w:eastAsia="es-ES"/>
        </w:rPr>
        <w:t xml:space="preserve">and at the proper procedural </w:t>
      </w:r>
      <w:r w:rsidR="00AD321F" w:rsidRPr="00C837DD">
        <w:rPr>
          <w:lang w:eastAsia="es-ES"/>
        </w:rPr>
        <w:t xml:space="preserve">moment </w:t>
      </w:r>
      <w:r w:rsidRPr="00C837DD">
        <w:rPr>
          <w:lang w:eastAsia="es-ES"/>
        </w:rPr>
        <w:t xml:space="preserve">the alleged victims in a case before the Court, </w:t>
      </w:r>
      <w:r w:rsidR="00AD321F" w:rsidRPr="00C837DD">
        <w:rPr>
          <w:lang w:eastAsia="es-ES"/>
        </w:rPr>
        <w:t xml:space="preserve">except in the </w:t>
      </w:r>
      <w:r w:rsidRPr="00C837DD">
        <w:rPr>
          <w:lang w:eastAsia="es-ES"/>
        </w:rPr>
        <w:t xml:space="preserve">exceptional </w:t>
      </w:r>
      <w:r w:rsidR="00AD321F" w:rsidRPr="00C837DD">
        <w:rPr>
          <w:lang w:eastAsia="es-ES"/>
        </w:rPr>
        <w:t xml:space="preserve">circumstances </w:t>
      </w:r>
      <w:r w:rsidRPr="00C837DD">
        <w:rPr>
          <w:lang w:eastAsia="es-ES"/>
        </w:rPr>
        <w:t xml:space="preserve">contemplated in Article 35(2) of the </w:t>
      </w:r>
      <w:r w:rsidR="00AD321F" w:rsidRPr="00C837DD">
        <w:rPr>
          <w:lang w:eastAsia="es-ES"/>
        </w:rPr>
        <w:t xml:space="preserve">Court’s </w:t>
      </w:r>
      <w:r w:rsidRPr="00C837DD">
        <w:rPr>
          <w:lang w:eastAsia="es-ES"/>
        </w:rPr>
        <w:t xml:space="preserve">Rules of </w:t>
      </w:r>
      <w:r w:rsidR="00AD321F" w:rsidRPr="00C837DD">
        <w:rPr>
          <w:lang w:eastAsia="es-ES"/>
        </w:rPr>
        <w:t>Procedure</w:t>
      </w:r>
      <w:r w:rsidR="00D9334D">
        <w:rPr>
          <w:lang w:eastAsia="es-ES"/>
        </w:rPr>
        <w:t>.</w:t>
      </w:r>
      <w:r w:rsidRPr="00C837DD">
        <w:rPr>
          <w:lang w:eastAsia="es-ES"/>
        </w:rPr>
        <w:t xml:space="preserve"> </w:t>
      </w:r>
      <w:r w:rsidR="00D9334D">
        <w:rPr>
          <w:lang w:eastAsia="es-ES"/>
        </w:rPr>
        <w:t>A</w:t>
      </w:r>
      <w:r w:rsidRPr="00C837DD">
        <w:rPr>
          <w:lang w:eastAsia="es-ES"/>
        </w:rPr>
        <w:t>cc</w:t>
      </w:r>
      <w:r w:rsidR="009366E5" w:rsidRPr="00C837DD">
        <w:rPr>
          <w:lang w:eastAsia="es-ES"/>
        </w:rPr>
        <w:t xml:space="preserve">ording to </w:t>
      </w:r>
      <w:r w:rsidR="00D9334D">
        <w:rPr>
          <w:lang w:eastAsia="es-ES"/>
        </w:rPr>
        <w:t>the latter</w:t>
      </w:r>
      <w:r w:rsidR="009366E5" w:rsidRPr="00C837DD">
        <w:rPr>
          <w:lang w:eastAsia="es-ES"/>
        </w:rPr>
        <w:t xml:space="preserve">, when </w:t>
      </w:r>
      <w:r w:rsidR="00AD321F" w:rsidRPr="00C837DD">
        <w:rPr>
          <w:lang w:eastAsia="es-ES"/>
        </w:rPr>
        <w:t>it is justified that it was not possible to identify the</w:t>
      </w:r>
      <w:r w:rsidR="00D9334D">
        <w:rPr>
          <w:lang w:eastAsia="es-ES"/>
        </w:rPr>
        <w:t xml:space="preserve"> alleged victims</w:t>
      </w:r>
      <w:r w:rsidR="00AD321F" w:rsidRPr="00C837DD">
        <w:rPr>
          <w:lang w:eastAsia="es-ES"/>
        </w:rPr>
        <w:t xml:space="preserve"> in cases of massive or collective violations, the Court shall decide in due course whether to consider them victims in accordance with the nature of the violation</w:t>
      </w:r>
      <w:r w:rsidRPr="00C837DD">
        <w:rPr>
          <w:lang w:eastAsia="es-ES"/>
        </w:rPr>
        <w:t>.</w:t>
      </w:r>
      <w:r w:rsidRPr="00C837DD">
        <w:rPr>
          <w:vertAlign w:val="superscript"/>
          <w:lang w:eastAsia="es-ES"/>
        </w:rPr>
        <w:footnoteReference w:id="30"/>
      </w:r>
    </w:p>
    <w:p w14:paraId="3B1D2C4B" w14:textId="77777777" w:rsidR="00F85D5F" w:rsidRPr="00C837DD" w:rsidRDefault="00F85D5F" w:rsidP="00F85D5F">
      <w:pPr>
        <w:pStyle w:val="Textoindependiente"/>
        <w:tabs>
          <w:tab w:val="left" w:pos="142"/>
        </w:tabs>
        <w:jc w:val="both"/>
      </w:pPr>
    </w:p>
    <w:p w14:paraId="693916FB" w14:textId="73AF7AB5" w:rsidR="00F85D5F" w:rsidRPr="00C837DD" w:rsidRDefault="00F85D5F" w:rsidP="00F85D5F">
      <w:pPr>
        <w:pStyle w:val="Textoindependiente"/>
        <w:numPr>
          <w:ilvl w:val="0"/>
          <w:numId w:val="6"/>
        </w:numPr>
        <w:tabs>
          <w:tab w:val="left" w:pos="142"/>
        </w:tabs>
        <w:ind w:left="0" w:firstLine="0"/>
        <w:jc w:val="both"/>
      </w:pPr>
      <w:r w:rsidRPr="00C837DD">
        <w:rPr>
          <w:lang w:eastAsia="es-ES"/>
        </w:rPr>
        <w:t xml:space="preserve">The Court finds that, both </w:t>
      </w:r>
      <w:r w:rsidR="00AD321F" w:rsidRPr="00C837DD">
        <w:rPr>
          <w:lang w:eastAsia="es-ES"/>
        </w:rPr>
        <w:t xml:space="preserve">in </w:t>
      </w:r>
      <w:r w:rsidRPr="00C837DD">
        <w:rPr>
          <w:lang w:eastAsia="es-ES"/>
        </w:rPr>
        <w:t xml:space="preserve">the </w:t>
      </w:r>
      <w:r w:rsidR="00AD321F" w:rsidRPr="00C837DD">
        <w:rPr>
          <w:lang w:eastAsia="es-ES"/>
        </w:rPr>
        <w:t xml:space="preserve">submission of </w:t>
      </w:r>
      <w:r w:rsidRPr="00C837DD">
        <w:rPr>
          <w:lang w:eastAsia="es-ES"/>
        </w:rPr>
        <w:t xml:space="preserve">the case, and in Merits Report </w:t>
      </w:r>
      <w:r w:rsidRPr="00C837DD">
        <w:t>No.</w:t>
      </w:r>
      <w:r w:rsidRPr="00C837DD">
        <w:rPr>
          <w:spacing w:val="-13"/>
        </w:rPr>
        <w:t xml:space="preserve"> </w:t>
      </w:r>
      <w:r w:rsidRPr="00C837DD">
        <w:t xml:space="preserve">10/19, the </w:t>
      </w:r>
      <w:r w:rsidRPr="00C837DD">
        <w:rPr>
          <w:lang w:eastAsia="es-ES"/>
        </w:rPr>
        <w:t xml:space="preserve">Inter-American Commission identified </w:t>
      </w:r>
      <w:r w:rsidR="00AD321F" w:rsidRPr="00C837DD">
        <w:rPr>
          <w:lang w:eastAsia="es-ES"/>
        </w:rPr>
        <w:t xml:space="preserve">only </w:t>
      </w:r>
      <w:r w:rsidRPr="00C837DD">
        <w:rPr>
          <w:lang w:eastAsia="es-ES"/>
        </w:rPr>
        <w:t xml:space="preserve">the mother and father of </w:t>
      </w:r>
      <w:r w:rsidR="00B8009F" w:rsidRPr="00C837DD">
        <w:rPr>
          <w:lang w:eastAsia="es-ES"/>
        </w:rPr>
        <w:t>Márcia</w:t>
      </w:r>
      <w:r w:rsidRPr="00C837DD">
        <w:rPr>
          <w:lang w:eastAsia="es-ES"/>
        </w:rPr>
        <w:t xml:space="preserve"> Barbosa de Souza as </w:t>
      </w:r>
      <w:r w:rsidR="00AD321F" w:rsidRPr="00C837DD">
        <w:rPr>
          <w:lang w:eastAsia="es-ES"/>
        </w:rPr>
        <w:t xml:space="preserve">alleged </w:t>
      </w:r>
      <w:r w:rsidRPr="00C837DD">
        <w:rPr>
          <w:lang w:eastAsia="es-ES"/>
        </w:rPr>
        <w:t xml:space="preserve">victims of the violations alleged </w:t>
      </w:r>
      <w:r w:rsidR="00AD321F" w:rsidRPr="00C837DD">
        <w:rPr>
          <w:lang w:eastAsia="es-ES"/>
        </w:rPr>
        <w:t xml:space="preserve">in </w:t>
      </w:r>
      <w:r w:rsidRPr="00C837DD">
        <w:rPr>
          <w:lang w:eastAsia="es-ES"/>
        </w:rPr>
        <w:t xml:space="preserve">this case. Thus, </w:t>
      </w:r>
      <w:r w:rsidR="00AD321F" w:rsidRPr="00C837DD">
        <w:rPr>
          <w:lang w:eastAsia="es-ES"/>
        </w:rPr>
        <w:t xml:space="preserve">in order </w:t>
      </w:r>
      <w:r w:rsidRPr="00C837DD">
        <w:rPr>
          <w:lang w:eastAsia="es-ES"/>
        </w:rPr>
        <w:t>for the Co</w:t>
      </w:r>
      <w:r w:rsidR="00AD321F" w:rsidRPr="00C837DD">
        <w:rPr>
          <w:lang w:eastAsia="es-ES"/>
        </w:rPr>
        <w:t>urt to consider M</w:t>
      </w:r>
      <w:r w:rsidRPr="00C837DD">
        <w:rPr>
          <w:lang w:eastAsia="es-ES"/>
        </w:rPr>
        <w:t>s. Barbosa de Souza</w:t>
      </w:r>
      <w:r w:rsidR="00AD321F" w:rsidRPr="00C837DD">
        <w:rPr>
          <w:lang w:eastAsia="es-ES"/>
        </w:rPr>
        <w:t>’s sister</w:t>
      </w:r>
      <w:r w:rsidRPr="00C837DD">
        <w:rPr>
          <w:lang w:eastAsia="es-ES"/>
        </w:rPr>
        <w:t xml:space="preserve"> as an alleged victim, it would be necessary </w:t>
      </w:r>
      <w:r w:rsidR="00AD321F" w:rsidRPr="00C837DD">
        <w:rPr>
          <w:lang w:eastAsia="es-ES"/>
        </w:rPr>
        <w:t xml:space="preserve">for one of </w:t>
      </w:r>
      <w:r w:rsidRPr="00C837DD">
        <w:rPr>
          <w:lang w:eastAsia="es-ES"/>
        </w:rPr>
        <w:t xml:space="preserve">the exceptions </w:t>
      </w:r>
      <w:r w:rsidR="00AD321F" w:rsidRPr="00C837DD">
        <w:rPr>
          <w:lang w:eastAsia="es-ES"/>
        </w:rPr>
        <w:t xml:space="preserve">provided for </w:t>
      </w:r>
      <w:r w:rsidRPr="00C837DD">
        <w:rPr>
          <w:lang w:eastAsia="es-ES"/>
        </w:rPr>
        <w:t xml:space="preserve">in Article 35(2) of the </w:t>
      </w:r>
      <w:r w:rsidR="00AD321F" w:rsidRPr="00C837DD">
        <w:rPr>
          <w:lang w:eastAsia="es-ES"/>
        </w:rPr>
        <w:t xml:space="preserve">Court’s </w:t>
      </w:r>
      <w:r w:rsidRPr="00C837DD">
        <w:rPr>
          <w:lang w:eastAsia="es-ES"/>
        </w:rPr>
        <w:t xml:space="preserve">Rules of </w:t>
      </w:r>
      <w:r w:rsidR="00D9334D">
        <w:rPr>
          <w:lang w:eastAsia="es-ES"/>
        </w:rPr>
        <w:t>P</w:t>
      </w:r>
      <w:r w:rsidR="00AD321F" w:rsidRPr="00C837DD">
        <w:rPr>
          <w:lang w:eastAsia="es-ES"/>
        </w:rPr>
        <w:t xml:space="preserve">rocedure to be present, which is </w:t>
      </w:r>
      <w:r w:rsidRPr="00C837DD">
        <w:rPr>
          <w:lang w:eastAsia="es-ES"/>
        </w:rPr>
        <w:t xml:space="preserve">evidently not </w:t>
      </w:r>
      <w:r w:rsidR="00AD321F" w:rsidRPr="00C837DD">
        <w:rPr>
          <w:lang w:eastAsia="es-ES"/>
        </w:rPr>
        <w:t xml:space="preserve">the case. </w:t>
      </w:r>
    </w:p>
    <w:p w14:paraId="4E337DF0" w14:textId="77777777" w:rsidR="00F85D5F" w:rsidRPr="00C837DD" w:rsidRDefault="00F85D5F" w:rsidP="00F85D5F">
      <w:pPr>
        <w:pStyle w:val="Textoindependiente"/>
        <w:tabs>
          <w:tab w:val="left" w:pos="142"/>
        </w:tabs>
        <w:jc w:val="both"/>
      </w:pPr>
    </w:p>
    <w:p w14:paraId="28734977" w14:textId="6B22C2AF" w:rsidR="00F85D5F" w:rsidRPr="00C837DD" w:rsidRDefault="00F85D5F" w:rsidP="00F85D5F">
      <w:pPr>
        <w:pStyle w:val="Textoindependiente"/>
        <w:numPr>
          <w:ilvl w:val="0"/>
          <w:numId w:val="6"/>
        </w:numPr>
        <w:tabs>
          <w:tab w:val="left" w:pos="142"/>
        </w:tabs>
        <w:ind w:left="0" w:firstLine="0"/>
        <w:jc w:val="both"/>
      </w:pPr>
      <w:r w:rsidRPr="00C837DD">
        <w:t xml:space="preserve">Therefore, in application of </w:t>
      </w:r>
      <w:r w:rsidR="00AD321F" w:rsidRPr="00C837DD">
        <w:t>Article 35(1) of the Rules of Procedure,</w:t>
      </w:r>
      <w:r w:rsidRPr="00C837DD">
        <w:t xml:space="preserve"> and in the absence of </w:t>
      </w:r>
      <w:r w:rsidR="00AD321F" w:rsidRPr="00C837DD">
        <w:t xml:space="preserve">any of </w:t>
      </w:r>
      <w:r w:rsidRPr="00C837DD">
        <w:t xml:space="preserve">the exceptions </w:t>
      </w:r>
      <w:r w:rsidR="00AD321F" w:rsidRPr="00C837DD">
        <w:t xml:space="preserve">set forth </w:t>
      </w:r>
      <w:r w:rsidRPr="00C837DD">
        <w:t xml:space="preserve">in Article 35(2), the Court </w:t>
      </w:r>
      <w:r w:rsidR="00AD321F" w:rsidRPr="00C837DD">
        <w:t xml:space="preserve">will consider as alleged </w:t>
      </w:r>
      <w:r w:rsidR="006B2118" w:rsidRPr="00C837DD">
        <w:t>vic</w:t>
      </w:r>
      <w:r w:rsidR="00AD321F" w:rsidRPr="00C837DD">
        <w:t>t</w:t>
      </w:r>
      <w:r w:rsidR="006B2118" w:rsidRPr="00C837DD">
        <w:t>i</w:t>
      </w:r>
      <w:r w:rsidR="00AD321F" w:rsidRPr="00C837DD">
        <w:t xml:space="preserve">ms in the case </w:t>
      </w:r>
      <w:r w:rsidR="00AD321F" w:rsidRPr="00C837DD">
        <w:rPr>
          <w:i/>
        </w:rPr>
        <w:t>sub judice</w:t>
      </w:r>
      <w:r w:rsidR="00AD321F" w:rsidRPr="00C837DD">
        <w:t xml:space="preserve"> </w:t>
      </w:r>
      <w:r w:rsidRPr="00C837DD">
        <w:rPr>
          <w:lang w:eastAsia="es-ES"/>
        </w:rPr>
        <w:t xml:space="preserve">the mother and father of </w:t>
      </w:r>
      <w:r w:rsidR="00B8009F" w:rsidRPr="00C837DD">
        <w:rPr>
          <w:lang w:eastAsia="es-ES"/>
        </w:rPr>
        <w:t>Márcia</w:t>
      </w:r>
      <w:r w:rsidRPr="00C837DD">
        <w:rPr>
          <w:lang w:eastAsia="es-ES"/>
        </w:rPr>
        <w:t xml:space="preserve"> Barbosa de Souza</w:t>
      </w:r>
      <w:r w:rsidR="006B2118" w:rsidRPr="00C837DD">
        <w:rPr>
          <w:lang w:eastAsia="es-ES"/>
        </w:rPr>
        <w:t>,</w:t>
      </w:r>
      <w:r w:rsidRPr="00C837DD">
        <w:rPr>
          <w:rStyle w:val="Refdenotaalpie"/>
          <w:lang w:eastAsia="es-ES"/>
        </w:rPr>
        <w:footnoteReference w:id="31"/>
      </w:r>
      <w:r w:rsidRPr="00C837DD">
        <w:rPr>
          <w:lang w:eastAsia="es-ES"/>
        </w:rPr>
        <w:t xml:space="preserve"> </w:t>
      </w:r>
      <w:r w:rsidR="00D9334D">
        <w:rPr>
          <w:lang w:eastAsia="es-ES"/>
        </w:rPr>
        <w:t xml:space="preserve">as </w:t>
      </w:r>
      <w:r w:rsidRPr="00C837DD">
        <w:rPr>
          <w:lang w:eastAsia="es-ES"/>
        </w:rPr>
        <w:t>identified in the Merits Report of the Inter-American Commission.</w:t>
      </w:r>
    </w:p>
    <w:p w14:paraId="69D61592" w14:textId="77777777" w:rsidR="00F85D5F" w:rsidRPr="00C837DD" w:rsidRDefault="00F85D5F" w:rsidP="00F85D5F">
      <w:pPr>
        <w:pStyle w:val="Textoindependiente"/>
        <w:tabs>
          <w:tab w:val="left" w:pos="142"/>
        </w:tabs>
        <w:jc w:val="both"/>
      </w:pPr>
    </w:p>
    <w:p w14:paraId="55067CD8" w14:textId="77777777" w:rsidR="00F85D5F" w:rsidRPr="00C837DD" w:rsidRDefault="00F85D5F" w:rsidP="00F85D5F">
      <w:pPr>
        <w:pStyle w:val="Ttulo1"/>
        <w:tabs>
          <w:tab w:val="left" w:pos="142"/>
        </w:tabs>
        <w:rPr>
          <w:w w:val="100"/>
          <w:lang w:val="en-US"/>
        </w:rPr>
      </w:pPr>
      <w:bookmarkStart w:id="40" w:name="_Toc85001873"/>
      <w:r w:rsidRPr="00C837DD">
        <w:rPr>
          <w:w w:val="100"/>
          <w:lang w:val="en-US"/>
        </w:rPr>
        <w:t>VI</w:t>
      </w:r>
      <w:r w:rsidRPr="00C837DD">
        <w:rPr>
          <w:w w:val="100"/>
          <w:lang w:val="en-US"/>
        </w:rPr>
        <w:br/>
        <w:t>EVIDENCE</w:t>
      </w:r>
      <w:bookmarkEnd w:id="40"/>
    </w:p>
    <w:p w14:paraId="74F05F81" w14:textId="77777777" w:rsidR="00F85D5F" w:rsidRPr="00C837DD" w:rsidRDefault="00F85D5F" w:rsidP="00F85D5F">
      <w:pPr>
        <w:pStyle w:val="Ttulo1"/>
        <w:tabs>
          <w:tab w:val="left" w:pos="142"/>
        </w:tabs>
        <w:rPr>
          <w:lang w:val="en-US"/>
        </w:rPr>
      </w:pPr>
    </w:p>
    <w:p w14:paraId="448CCD6D" w14:textId="77777777" w:rsidR="00F85D5F" w:rsidRPr="00C837DD" w:rsidRDefault="00F85D5F" w:rsidP="00F85D5F">
      <w:pPr>
        <w:pStyle w:val="Ttulo2"/>
        <w:ind w:left="1134" w:hanging="567"/>
        <w:rPr>
          <w:lang w:val="en-US"/>
        </w:rPr>
      </w:pPr>
      <w:bookmarkStart w:id="41" w:name="_Toc9511440"/>
      <w:bookmarkStart w:id="42" w:name="_Toc4402948"/>
      <w:bookmarkStart w:id="43" w:name="_Toc4402709"/>
      <w:bookmarkStart w:id="44" w:name="_Toc26283431"/>
      <w:bookmarkStart w:id="45" w:name="_Toc32394144"/>
      <w:bookmarkStart w:id="46" w:name="_Toc36823462"/>
      <w:bookmarkStart w:id="47" w:name="_Toc85001874"/>
      <w:r w:rsidRPr="00C837DD">
        <w:rPr>
          <w:lang w:val="en-US"/>
        </w:rPr>
        <w:t>Admissibility of the documentary evidence</w:t>
      </w:r>
      <w:bookmarkEnd w:id="41"/>
      <w:bookmarkEnd w:id="42"/>
      <w:bookmarkEnd w:id="43"/>
      <w:bookmarkEnd w:id="44"/>
      <w:bookmarkEnd w:id="45"/>
      <w:bookmarkEnd w:id="46"/>
      <w:bookmarkEnd w:id="47"/>
    </w:p>
    <w:p w14:paraId="68B1A849" w14:textId="77777777" w:rsidR="00F85D5F" w:rsidRPr="00C837DD" w:rsidRDefault="00F85D5F" w:rsidP="00F85D5F">
      <w:pPr>
        <w:pStyle w:val="Ttulo2"/>
        <w:numPr>
          <w:ilvl w:val="0"/>
          <w:numId w:val="0"/>
        </w:numPr>
        <w:rPr>
          <w:lang w:val="en-US"/>
        </w:rPr>
      </w:pPr>
    </w:p>
    <w:p w14:paraId="0291E29F" w14:textId="6D5AD69D" w:rsidR="00F85D5F" w:rsidRPr="00C837DD" w:rsidRDefault="00F85D5F" w:rsidP="00F85D5F">
      <w:pPr>
        <w:pStyle w:val="Numberedparagraphs"/>
        <w:numPr>
          <w:ilvl w:val="0"/>
          <w:numId w:val="6"/>
        </w:numPr>
        <w:tabs>
          <w:tab w:val="left" w:pos="142"/>
        </w:tabs>
        <w:spacing w:before="0" w:after="0"/>
        <w:ind w:left="0" w:firstLine="0"/>
        <w:rPr>
          <w:lang w:val="en-US"/>
        </w:rPr>
      </w:pPr>
      <w:r w:rsidRPr="00C837DD">
        <w:rPr>
          <w:lang w:val="en-US"/>
        </w:rPr>
        <w:t>The Court received various documents submitted as evidence by the Commission, the representatives and the State, attached to their main briefs (</w:t>
      </w:r>
      <w:r w:rsidRPr="00C837DD">
        <w:rPr>
          <w:i/>
          <w:lang w:val="en-US"/>
        </w:rPr>
        <w:t xml:space="preserve">supra </w:t>
      </w:r>
      <w:r w:rsidRPr="00C837DD">
        <w:rPr>
          <w:lang w:val="en-US"/>
        </w:rPr>
        <w:t>paras. 3, 6 and 7). As in other cases, the Court admits those documents presented in a timely manner (Article 57 of the Rules)</w:t>
      </w:r>
      <w:r w:rsidRPr="00C837DD">
        <w:rPr>
          <w:vertAlign w:val="superscript"/>
          <w:lang w:val="en-US"/>
        </w:rPr>
        <w:footnoteReference w:id="32"/>
      </w:r>
      <w:r w:rsidRPr="00C837DD">
        <w:rPr>
          <w:lang w:val="en-US"/>
        </w:rPr>
        <w:t xml:space="preserve"> by the parties and the Commission, the a</w:t>
      </w:r>
      <w:r w:rsidR="00E615EA" w:rsidRPr="00C837DD">
        <w:rPr>
          <w:lang w:val="en-US"/>
        </w:rPr>
        <w:t xml:space="preserve">uthenticity </w:t>
      </w:r>
      <w:r w:rsidRPr="00C837DD">
        <w:rPr>
          <w:lang w:val="en-US"/>
        </w:rPr>
        <w:t xml:space="preserve">of which </w:t>
      </w:r>
      <w:r w:rsidR="00D9334D">
        <w:rPr>
          <w:lang w:val="en-US"/>
        </w:rPr>
        <w:t>h</w:t>
      </w:r>
      <w:r w:rsidRPr="00C837DD">
        <w:rPr>
          <w:lang w:val="en-US"/>
        </w:rPr>
        <w:t xml:space="preserve">as not </w:t>
      </w:r>
      <w:r w:rsidR="00D9334D">
        <w:rPr>
          <w:lang w:val="en-US"/>
        </w:rPr>
        <w:t xml:space="preserve">been </w:t>
      </w:r>
      <w:r w:rsidR="00E615EA" w:rsidRPr="00C837DD">
        <w:rPr>
          <w:lang w:val="en-US"/>
        </w:rPr>
        <w:t xml:space="preserve">questioned or </w:t>
      </w:r>
      <w:r w:rsidRPr="00C837DD">
        <w:rPr>
          <w:lang w:val="en-US"/>
        </w:rPr>
        <w:t>challenged.</w:t>
      </w:r>
      <w:r w:rsidRPr="00C837DD">
        <w:rPr>
          <w:vertAlign w:val="superscript"/>
          <w:lang w:val="en-US"/>
        </w:rPr>
        <w:footnoteReference w:id="33"/>
      </w:r>
    </w:p>
    <w:p w14:paraId="31AFA908" w14:textId="77777777" w:rsidR="00F85D5F" w:rsidRPr="00C837DD" w:rsidRDefault="00F85D5F" w:rsidP="00F85D5F">
      <w:pPr>
        <w:pStyle w:val="Numberedparagraphs"/>
        <w:numPr>
          <w:ilvl w:val="0"/>
          <w:numId w:val="0"/>
        </w:numPr>
        <w:tabs>
          <w:tab w:val="left" w:pos="142"/>
        </w:tabs>
        <w:spacing w:before="0" w:after="0"/>
        <w:rPr>
          <w:lang w:val="en-US"/>
        </w:rPr>
      </w:pPr>
    </w:p>
    <w:p w14:paraId="3AF46563" w14:textId="2A422B75" w:rsidR="00F85D5F" w:rsidRPr="00C837DD" w:rsidRDefault="00F85D5F" w:rsidP="00F85D5F">
      <w:pPr>
        <w:pStyle w:val="Numberedparagraphs"/>
        <w:numPr>
          <w:ilvl w:val="0"/>
          <w:numId w:val="6"/>
        </w:numPr>
        <w:tabs>
          <w:tab w:val="left" w:pos="142"/>
        </w:tabs>
        <w:spacing w:before="0" w:after="0"/>
        <w:ind w:left="0" w:firstLine="0"/>
        <w:rPr>
          <w:lang w:val="en-US"/>
        </w:rPr>
      </w:pPr>
      <w:r w:rsidRPr="00C837DD">
        <w:rPr>
          <w:lang w:val="en-US"/>
        </w:rPr>
        <w:t xml:space="preserve">At the same time, the Court observes that the </w:t>
      </w:r>
      <w:r w:rsidRPr="00C837DD">
        <w:rPr>
          <w:b/>
          <w:i/>
          <w:lang w:val="en-US"/>
        </w:rPr>
        <w:t>representatives</w:t>
      </w:r>
      <w:r w:rsidRPr="00C837DD">
        <w:rPr>
          <w:lang w:val="en-US"/>
        </w:rPr>
        <w:t xml:space="preserve"> presented, together with </w:t>
      </w:r>
      <w:r w:rsidR="0042630E" w:rsidRPr="00C837DD">
        <w:rPr>
          <w:lang w:val="en-US"/>
        </w:rPr>
        <w:t>their</w:t>
      </w:r>
      <w:r w:rsidRPr="00C837DD">
        <w:rPr>
          <w:lang w:val="en-US"/>
        </w:rPr>
        <w:t xml:space="preserve"> final written arguments (</w:t>
      </w:r>
      <w:r w:rsidRPr="00C837DD">
        <w:rPr>
          <w:i/>
          <w:lang w:val="en-US"/>
        </w:rPr>
        <w:t>supra</w:t>
      </w:r>
      <w:r w:rsidRPr="00C837DD">
        <w:rPr>
          <w:lang w:val="en-US"/>
        </w:rPr>
        <w:t xml:space="preserve"> para. 11), a series of documents as annexes. </w:t>
      </w:r>
      <w:r w:rsidRPr="00C837DD">
        <w:rPr>
          <w:vertAlign w:val="superscript"/>
          <w:lang w:val="en-US"/>
        </w:rPr>
        <w:footnoteReference w:id="34"/>
      </w:r>
      <w:r w:rsidRPr="00C837DD">
        <w:rPr>
          <w:lang w:val="en-US"/>
        </w:rPr>
        <w:t xml:space="preserve"> In this regard, the </w:t>
      </w:r>
      <w:r w:rsidRPr="00C837DD">
        <w:rPr>
          <w:b/>
          <w:i/>
          <w:lang w:val="en-US"/>
        </w:rPr>
        <w:t>Commission</w:t>
      </w:r>
      <w:r w:rsidRPr="00C837DD">
        <w:rPr>
          <w:lang w:val="en-US"/>
        </w:rPr>
        <w:t xml:space="preserve"> indicated that it had no observations. In turn, although the </w:t>
      </w:r>
      <w:r w:rsidRPr="00C837DD">
        <w:rPr>
          <w:b/>
          <w:i/>
          <w:lang w:val="en-US"/>
        </w:rPr>
        <w:t>State</w:t>
      </w:r>
      <w:r w:rsidRPr="00C837DD">
        <w:rPr>
          <w:lang w:val="en-US"/>
        </w:rPr>
        <w:t xml:space="preserve"> presented various observations on the </w:t>
      </w:r>
      <w:r w:rsidR="0042630E" w:rsidRPr="00C837DD">
        <w:rPr>
          <w:lang w:val="en-US"/>
        </w:rPr>
        <w:t>a</w:t>
      </w:r>
      <w:r w:rsidRPr="00C837DD">
        <w:rPr>
          <w:lang w:val="en-US"/>
        </w:rPr>
        <w:t xml:space="preserve">nnexes to the final written arguments of the representatives, these considerations refer to </w:t>
      </w:r>
      <w:r w:rsidR="003C3C46" w:rsidRPr="00C837DD">
        <w:rPr>
          <w:lang w:val="en-US"/>
        </w:rPr>
        <w:t>their</w:t>
      </w:r>
      <w:r w:rsidRPr="00C837DD">
        <w:rPr>
          <w:lang w:val="en-US"/>
        </w:rPr>
        <w:t xml:space="preserve"> evidentiary value, not to </w:t>
      </w:r>
      <w:r w:rsidR="003C3C46" w:rsidRPr="00C837DD">
        <w:rPr>
          <w:lang w:val="en-US"/>
        </w:rPr>
        <w:t xml:space="preserve">their </w:t>
      </w:r>
      <w:r w:rsidRPr="00C837DD">
        <w:rPr>
          <w:lang w:val="en-US"/>
        </w:rPr>
        <w:t xml:space="preserve">admissibility. </w:t>
      </w:r>
      <w:r w:rsidR="003C3C46" w:rsidRPr="00C837DD">
        <w:rPr>
          <w:lang w:val="en-US"/>
        </w:rPr>
        <w:t>C</w:t>
      </w:r>
      <w:r w:rsidRPr="00C837DD">
        <w:rPr>
          <w:lang w:val="en-US"/>
        </w:rPr>
        <w:t>onsequen</w:t>
      </w:r>
      <w:r w:rsidR="003C3C46" w:rsidRPr="00C837DD">
        <w:rPr>
          <w:lang w:val="en-US"/>
        </w:rPr>
        <w:t>tly</w:t>
      </w:r>
      <w:r w:rsidRPr="00C837DD">
        <w:rPr>
          <w:lang w:val="en-US"/>
        </w:rPr>
        <w:t xml:space="preserve">, the Court admits the aforementioned documents </w:t>
      </w:r>
      <w:r w:rsidR="003C3C46" w:rsidRPr="00C837DD">
        <w:rPr>
          <w:lang w:val="en-US"/>
        </w:rPr>
        <w:t xml:space="preserve">given that </w:t>
      </w:r>
      <w:r w:rsidR="00D9334D">
        <w:rPr>
          <w:lang w:val="en-US"/>
        </w:rPr>
        <w:t>A</w:t>
      </w:r>
      <w:r w:rsidRPr="00C837DD">
        <w:rPr>
          <w:lang w:val="en-US"/>
        </w:rPr>
        <w:t xml:space="preserve">nnexes 1 to 6 refer to aspects discussed at the public hearing </w:t>
      </w:r>
      <w:r w:rsidR="00E57987" w:rsidRPr="00C837DD">
        <w:rPr>
          <w:lang w:val="en-US"/>
        </w:rPr>
        <w:t xml:space="preserve">of </w:t>
      </w:r>
      <w:r w:rsidRPr="00C837DD">
        <w:rPr>
          <w:lang w:val="en-US"/>
        </w:rPr>
        <w:t xml:space="preserve">the case and to the questions asked by the judges during </w:t>
      </w:r>
      <w:r w:rsidR="00E57987" w:rsidRPr="00C837DD">
        <w:rPr>
          <w:lang w:val="en-US"/>
        </w:rPr>
        <w:t xml:space="preserve">said </w:t>
      </w:r>
      <w:r w:rsidRPr="00C837DD">
        <w:rPr>
          <w:lang w:val="en-US"/>
        </w:rPr>
        <w:t xml:space="preserve">hearing, </w:t>
      </w:r>
      <w:r w:rsidR="00D9334D">
        <w:rPr>
          <w:lang w:val="en-US"/>
        </w:rPr>
        <w:t xml:space="preserve">while </w:t>
      </w:r>
      <w:r w:rsidRPr="00C837DD">
        <w:rPr>
          <w:lang w:val="en-US"/>
        </w:rPr>
        <w:t>Annexes 7 to 9 are documents provided as evidence of the expenses incurred by the representatives in the litigation of th</w:t>
      </w:r>
      <w:r w:rsidR="00D9334D">
        <w:rPr>
          <w:lang w:val="en-US"/>
        </w:rPr>
        <w:t xml:space="preserve">is </w:t>
      </w:r>
      <w:r w:rsidRPr="00C837DD">
        <w:rPr>
          <w:lang w:val="en-US"/>
        </w:rPr>
        <w:t>case. The considerations made by Brazil will be taken into account in the assessment of the evidence.</w:t>
      </w:r>
    </w:p>
    <w:p w14:paraId="4CE24A66" w14:textId="77777777" w:rsidR="00F85D5F" w:rsidRPr="00C837DD" w:rsidRDefault="00F85D5F" w:rsidP="00F85D5F">
      <w:pPr>
        <w:pStyle w:val="Numberedparagraphs"/>
        <w:numPr>
          <w:ilvl w:val="0"/>
          <w:numId w:val="0"/>
        </w:numPr>
        <w:tabs>
          <w:tab w:val="left" w:pos="142"/>
        </w:tabs>
        <w:spacing w:before="0" w:after="0"/>
        <w:rPr>
          <w:lang w:val="en-US"/>
        </w:rPr>
      </w:pPr>
    </w:p>
    <w:p w14:paraId="204D172E" w14:textId="77777777" w:rsidR="00F85D5F" w:rsidRPr="00C837DD" w:rsidRDefault="00F85D5F" w:rsidP="00F85D5F">
      <w:pPr>
        <w:pStyle w:val="Ttulo2"/>
        <w:numPr>
          <w:ilvl w:val="1"/>
          <w:numId w:val="18"/>
        </w:numPr>
        <w:ind w:left="1134" w:hanging="567"/>
        <w:rPr>
          <w:lang w:val="en-US"/>
        </w:rPr>
      </w:pPr>
      <w:bookmarkStart w:id="48" w:name="_Toc9511441"/>
      <w:bookmarkStart w:id="49" w:name="_Toc4402949"/>
      <w:bookmarkStart w:id="50" w:name="_Toc4402710"/>
      <w:bookmarkStart w:id="51" w:name="_Toc26283432"/>
      <w:bookmarkStart w:id="52" w:name="_Toc32394145"/>
      <w:bookmarkStart w:id="53" w:name="_Toc36823463"/>
      <w:bookmarkStart w:id="54" w:name="_Toc85001875"/>
      <w:r w:rsidRPr="00C837DD">
        <w:rPr>
          <w:lang w:val="en-US"/>
        </w:rPr>
        <w:t xml:space="preserve">Admissibility of the testimonial and expert </w:t>
      </w:r>
      <w:bookmarkEnd w:id="48"/>
      <w:bookmarkEnd w:id="49"/>
      <w:bookmarkEnd w:id="50"/>
      <w:bookmarkEnd w:id="51"/>
      <w:bookmarkEnd w:id="52"/>
      <w:bookmarkEnd w:id="53"/>
      <w:bookmarkEnd w:id="54"/>
      <w:r w:rsidRPr="00C837DD">
        <w:rPr>
          <w:lang w:val="en-US"/>
        </w:rPr>
        <w:t>evidence</w:t>
      </w:r>
    </w:p>
    <w:p w14:paraId="487EF74F" w14:textId="77777777" w:rsidR="00F85D5F" w:rsidRPr="00C837DD" w:rsidRDefault="00F85D5F" w:rsidP="00F85D5F">
      <w:pPr>
        <w:pStyle w:val="Ttulo2"/>
        <w:numPr>
          <w:ilvl w:val="0"/>
          <w:numId w:val="0"/>
        </w:numPr>
        <w:rPr>
          <w:lang w:val="en-US"/>
        </w:rPr>
      </w:pPr>
    </w:p>
    <w:p w14:paraId="49E262FF" w14:textId="61804B01" w:rsidR="00F85D5F" w:rsidRPr="00C837DD" w:rsidRDefault="00F85D5F" w:rsidP="00F85D5F">
      <w:pPr>
        <w:pStyle w:val="Numberedparagraphs"/>
        <w:numPr>
          <w:ilvl w:val="0"/>
          <w:numId w:val="6"/>
        </w:numPr>
        <w:tabs>
          <w:tab w:val="left" w:pos="142"/>
        </w:tabs>
        <w:spacing w:before="0" w:after="0"/>
        <w:ind w:left="0" w:firstLine="0"/>
        <w:rPr>
          <w:lang w:val="en-US"/>
        </w:rPr>
      </w:pPr>
      <w:r w:rsidRPr="00C837DD">
        <w:rPr>
          <w:lang w:val="en-US"/>
        </w:rPr>
        <w:t xml:space="preserve">This Court </w:t>
      </w:r>
      <w:r w:rsidR="006B2118" w:rsidRPr="00C837DD">
        <w:rPr>
          <w:lang w:val="en-US"/>
        </w:rPr>
        <w:t xml:space="preserve">deems </w:t>
      </w:r>
      <w:r w:rsidRPr="00C837DD">
        <w:rPr>
          <w:lang w:val="en-US"/>
        </w:rPr>
        <w:t xml:space="preserve">it pertinent to admit the statements </w:t>
      </w:r>
      <w:r w:rsidR="00BE2F6D" w:rsidRPr="00C837DD">
        <w:rPr>
          <w:lang w:val="en-US"/>
        </w:rPr>
        <w:t xml:space="preserve">provided </w:t>
      </w:r>
      <w:r w:rsidRPr="00C837DD">
        <w:rPr>
          <w:lang w:val="en-US"/>
        </w:rPr>
        <w:t>by affidavit</w:t>
      </w:r>
      <w:r w:rsidRPr="00C837DD">
        <w:rPr>
          <w:rStyle w:val="Refdenotaalpie"/>
          <w:lang w:val="en-US"/>
        </w:rPr>
        <w:footnoteReference w:id="35"/>
      </w:r>
      <w:r w:rsidRPr="00C837DD">
        <w:rPr>
          <w:lang w:val="en-US"/>
        </w:rPr>
        <w:t xml:space="preserve"> and </w:t>
      </w:r>
      <w:r w:rsidR="00391CEC">
        <w:rPr>
          <w:lang w:val="en-US"/>
        </w:rPr>
        <w:t xml:space="preserve">during </w:t>
      </w:r>
      <w:r w:rsidRPr="00C837DD">
        <w:rPr>
          <w:lang w:val="en-US"/>
        </w:rPr>
        <w:t>the public hearing</w:t>
      </w:r>
      <w:r w:rsidRPr="00C837DD">
        <w:rPr>
          <w:rStyle w:val="Refdenotaalpie"/>
          <w:lang w:val="en-US"/>
        </w:rPr>
        <w:footnoteReference w:id="36"/>
      </w:r>
      <w:r w:rsidRPr="00C837DD">
        <w:rPr>
          <w:lang w:val="en-US"/>
        </w:rPr>
        <w:t xml:space="preserve"> insofar as they are in-keeping with the purpose defined by the President of the Court in the order </w:t>
      </w:r>
      <w:r w:rsidR="006B2118" w:rsidRPr="00C837DD">
        <w:rPr>
          <w:lang w:val="en-US"/>
        </w:rPr>
        <w:t xml:space="preserve">that </w:t>
      </w:r>
      <w:r w:rsidRPr="00C837DD">
        <w:rPr>
          <w:lang w:val="en-US"/>
        </w:rPr>
        <w:t xml:space="preserve">required them and with the </w:t>
      </w:r>
      <w:r w:rsidR="006B2118" w:rsidRPr="00C837DD">
        <w:rPr>
          <w:lang w:val="en-US"/>
        </w:rPr>
        <w:t xml:space="preserve">purpose </w:t>
      </w:r>
      <w:r w:rsidRPr="00C837DD">
        <w:rPr>
          <w:lang w:val="en-US"/>
        </w:rPr>
        <w:t>of th</w:t>
      </w:r>
      <w:r w:rsidR="006B2118" w:rsidRPr="00C837DD">
        <w:rPr>
          <w:lang w:val="en-US"/>
        </w:rPr>
        <w:t xml:space="preserve">is </w:t>
      </w:r>
      <w:r w:rsidRPr="00C837DD">
        <w:rPr>
          <w:lang w:val="en-US"/>
        </w:rPr>
        <w:t xml:space="preserve">case. </w:t>
      </w:r>
    </w:p>
    <w:p w14:paraId="0CFCAD8D" w14:textId="77777777" w:rsidR="00F85D5F" w:rsidRPr="00C837DD" w:rsidRDefault="00F85D5F" w:rsidP="00F85D5F">
      <w:pPr>
        <w:pStyle w:val="Numberedparagraphs"/>
        <w:numPr>
          <w:ilvl w:val="0"/>
          <w:numId w:val="0"/>
        </w:numPr>
        <w:tabs>
          <w:tab w:val="left" w:pos="142"/>
        </w:tabs>
        <w:spacing w:before="0" w:after="0"/>
        <w:rPr>
          <w:lang w:val="en-US"/>
        </w:rPr>
      </w:pPr>
    </w:p>
    <w:p w14:paraId="549AB6B0" w14:textId="5EC85A01" w:rsidR="00F85D5F" w:rsidRPr="00C837DD" w:rsidRDefault="00F85D5F" w:rsidP="00F85D5F">
      <w:pPr>
        <w:pStyle w:val="Numberedparagraphs"/>
        <w:numPr>
          <w:ilvl w:val="0"/>
          <w:numId w:val="6"/>
        </w:numPr>
        <w:tabs>
          <w:tab w:val="left" w:pos="142"/>
        </w:tabs>
        <w:spacing w:before="0" w:after="0"/>
        <w:ind w:left="0" w:firstLine="0"/>
        <w:rPr>
          <w:lang w:val="en-US"/>
        </w:rPr>
      </w:pPr>
      <w:r w:rsidRPr="00C837DD">
        <w:rPr>
          <w:lang w:val="en-US"/>
        </w:rPr>
        <w:t xml:space="preserve">The Court notes that, although its admissibility was not challenged, the expert opinion of Soraia da Rosa Mendes, </w:t>
      </w:r>
      <w:r w:rsidR="00391CEC">
        <w:rPr>
          <w:lang w:val="en-US"/>
        </w:rPr>
        <w:t xml:space="preserve">proposed </w:t>
      </w:r>
      <w:r w:rsidRPr="00C837DD">
        <w:rPr>
          <w:lang w:val="en-US"/>
        </w:rPr>
        <w:t>by the representatives of the alleged victims</w:t>
      </w:r>
      <w:r w:rsidR="00391CEC">
        <w:rPr>
          <w:lang w:val="en-US"/>
        </w:rPr>
        <w:t>,</w:t>
      </w:r>
      <w:r w:rsidRPr="00C837DD">
        <w:rPr>
          <w:lang w:val="en-US"/>
        </w:rPr>
        <w:t xml:space="preserve"> was not rendered by affidavit; however, it was authenticated </w:t>
      </w:r>
      <w:r w:rsidR="00D860A8" w:rsidRPr="00C837DD">
        <w:rPr>
          <w:lang w:val="en-US"/>
        </w:rPr>
        <w:t xml:space="preserve">by means of the </w:t>
      </w:r>
      <w:r w:rsidRPr="00C837DD">
        <w:rPr>
          <w:lang w:val="en-US"/>
        </w:rPr>
        <w:t xml:space="preserve">“QR code” </w:t>
      </w:r>
      <w:r w:rsidR="00D860A8" w:rsidRPr="00C837DD">
        <w:rPr>
          <w:lang w:val="en-US"/>
        </w:rPr>
        <w:t xml:space="preserve">digital signature system. </w:t>
      </w:r>
      <w:r w:rsidRPr="00C837DD">
        <w:rPr>
          <w:lang w:val="en-US"/>
        </w:rPr>
        <w:t xml:space="preserve">At the time of its presentation, the representatives explained that it was not possible for a notary to authenticate the expert’s signature </w:t>
      </w:r>
      <w:r w:rsidR="00D860A8" w:rsidRPr="00C837DD">
        <w:rPr>
          <w:lang w:val="en-US"/>
        </w:rPr>
        <w:t xml:space="preserve">due to </w:t>
      </w:r>
      <w:r w:rsidRPr="00C837DD">
        <w:rPr>
          <w:lang w:val="en-US"/>
        </w:rPr>
        <w:t xml:space="preserve">the situation caused by the COVID-19 pandemic. The Court considers that this justification is reasonable and is based on reasons of </w:t>
      </w:r>
      <w:r w:rsidRPr="00391CEC">
        <w:rPr>
          <w:i/>
          <w:iCs/>
          <w:lang w:val="en-US"/>
        </w:rPr>
        <w:t>force majeure</w:t>
      </w:r>
      <w:r w:rsidRPr="00C837DD">
        <w:rPr>
          <w:lang w:val="en-US"/>
        </w:rPr>
        <w:t>.</w:t>
      </w:r>
      <w:r w:rsidRPr="00C837DD">
        <w:rPr>
          <w:rStyle w:val="Refdenotaalpie"/>
          <w:lang w:val="en-US"/>
        </w:rPr>
        <w:footnoteReference w:id="37"/>
      </w:r>
      <w:r w:rsidRPr="00C837DD">
        <w:rPr>
          <w:lang w:val="en-US"/>
        </w:rPr>
        <w:t xml:space="preserve"> Consequently, it admits the expert opinion of Mrs. Rosa Mendes insofar as it is in-keeping with the purpose defined by the President in the </w:t>
      </w:r>
      <w:r w:rsidR="00391CEC">
        <w:rPr>
          <w:lang w:val="en-US"/>
        </w:rPr>
        <w:t>O</w:t>
      </w:r>
      <w:r w:rsidRPr="00C837DD">
        <w:rPr>
          <w:lang w:val="en-US"/>
        </w:rPr>
        <w:t>rder of November 27, 2020.</w:t>
      </w:r>
    </w:p>
    <w:p w14:paraId="4E5F6E2E" w14:textId="77777777" w:rsidR="00F85D5F" w:rsidRPr="00C837DD" w:rsidRDefault="00F85D5F" w:rsidP="00F85D5F">
      <w:pPr>
        <w:pStyle w:val="Textoindependiente"/>
        <w:tabs>
          <w:tab w:val="left" w:pos="142"/>
        </w:tabs>
      </w:pPr>
    </w:p>
    <w:p w14:paraId="3E12B84C" w14:textId="77777777" w:rsidR="00F85D5F" w:rsidRPr="00C837DD" w:rsidRDefault="00F85D5F" w:rsidP="00F85D5F">
      <w:pPr>
        <w:pStyle w:val="Ttulo1"/>
        <w:tabs>
          <w:tab w:val="left" w:pos="142"/>
        </w:tabs>
        <w:rPr>
          <w:w w:val="100"/>
          <w:lang w:val="en-US"/>
        </w:rPr>
      </w:pPr>
      <w:bookmarkStart w:id="55" w:name="VII_HECHOS"/>
      <w:bookmarkStart w:id="56" w:name="_bookmark58"/>
      <w:bookmarkStart w:id="57" w:name="_Toc85001876"/>
      <w:bookmarkEnd w:id="55"/>
      <w:bookmarkEnd w:id="56"/>
      <w:r w:rsidRPr="00C837DD">
        <w:rPr>
          <w:w w:val="100"/>
          <w:lang w:val="en-US"/>
        </w:rPr>
        <w:t>VII</w:t>
      </w:r>
      <w:r w:rsidRPr="00C837DD">
        <w:rPr>
          <w:w w:val="100"/>
          <w:lang w:val="en-US"/>
        </w:rPr>
        <w:br/>
        <w:t>FACTS</w:t>
      </w:r>
      <w:bookmarkEnd w:id="57"/>
    </w:p>
    <w:p w14:paraId="6F35106D" w14:textId="77777777" w:rsidR="00F85D5F" w:rsidRPr="00C837DD" w:rsidRDefault="00F85D5F" w:rsidP="00F85D5F">
      <w:pPr>
        <w:pStyle w:val="Textoindependiente"/>
        <w:tabs>
          <w:tab w:val="left" w:pos="142"/>
        </w:tabs>
        <w:rPr>
          <w:b/>
        </w:rPr>
      </w:pPr>
    </w:p>
    <w:p w14:paraId="61C4171D" w14:textId="41C32280"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this chapter, the Court will establish the facts of the case based on the factual framework submitted to the Court by the Inter-American Commission, the arguments presented by the parties and the evidence, as follows: A) the context of violence against women in Brazil; B) the relevant regulatory framework; C) the homicide of </w:t>
      </w:r>
      <w:r w:rsidR="00B8009F" w:rsidRPr="00C837DD">
        <w:rPr>
          <w:sz w:val="20"/>
          <w:szCs w:val="20"/>
        </w:rPr>
        <w:t>Márcia</w:t>
      </w:r>
      <w:r w:rsidRPr="00C837DD">
        <w:rPr>
          <w:sz w:val="20"/>
          <w:szCs w:val="20"/>
        </w:rPr>
        <w:t xml:space="preserve"> Barbosa de Souza, and D) </w:t>
      </w:r>
      <w:r w:rsidR="009713E3" w:rsidRPr="00C837DD">
        <w:rPr>
          <w:sz w:val="20"/>
          <w:szCs w:val="20"/>
        </w:rPr>
        <w:t xml:space="preserve">the </w:t>
      </w:r>
      <w:r w:rsidRPr="00C837DD">
        <w:rPr>
          <w:sz w:val="20"/>
          <w:szCs w:val="20"/>
        </w:rPr>
        <w:t xml:space="preserve">domestic proceedings. </w:t>
      </w:r>
    </w:p>
    <w:p w14:paraId="3AB79491" w14:textId="77777777" w:rsidR="00F85D5F" w:rsidRPr="00C837DD" w:rsidRDefault="00F85D5F" w:rsidP="00F85D5F">
      <w:pPr>
        <w:pStyle w:val="Prrafodelista"/>
        <w:tabs>
          <w:tab w:val="left" w:pos="142"/>
        </w:tabs>
        <w:ind w:left="0"/>
        <w:rPr>
          <w:sz w:val="20"/>
          <w:szCs w:val="20"/>
        </w:rPr>
      </w:pPr>
    </w:p>
    <w:p w14:paraId="2FCB6122" w14:textId="4D80914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facts prior to the date of ratification of the Court’s contentious jurisdiction by Brazil (December 10, 1998) are </w:t>
      </w:r>
      <w:r w:rsidR="00391CEC">
        <w:rPr>
          <w:sz w:val="20"/>
          <w:szCs w:val="20"/>
        </w:rPr>
        <w:t xml:space="preserve">included merely </w:t>
      </w:r>
      <w:r w:rsidRPr="00C837DD">
        <w:rPr>
          <w:sz w:val="20"/>
          <w:szCs w:val="20"/>
        </w:rPr>
        <w:t xml:space="preserve">as part of the context and background </w:t>
      </w:r>
      <w:r w:rsidR="00B93824" w:rsidRPr="00C837DD">
        <w:rPr>
          <w:sz w:val="20"/>
          <w:szCs w:val="20"/>
        </w:rPr>
        <w:t xml:space="preserve">of </w:t>
      </w:r>
      <w:r w:rsidRPr="00C837DD">
        <w:rPr>
          <w:sz w:val="20"/>
          <w:szCs w:val="20"/>
        </w:rPr>
        <w:t>the case</w:t>
      </w:r>
      <w:r w:rsidRPr="00C837DD">
        <w:rPr>
          <w:sz w:val="20"/>
          <w:szCs w:val="20"/>
          <w:vertAlign w:val="superscript"/>
        </w:rPr>
        <w:footnoteReference w:id="38"/>
      </w:r>
      <w:r w:rsidRPr="00C837DD">
        <w:rPr>
          <w:sz w:val="20"/>
          <w:szCs w:val="20"/>
        </w:rPr>
        <w:t xml:space="preserve"> to facilitate </w:t>
      </w:r>
      <w:r w:rsidR="00B93824" w:rsidRPr="00C837DD">
        <w:rPr>
          <w:sz w:val="20"/>
          <w:szCs w:val="20"/>
        </w:rPr>
        <w:t>the</w:t>
      </w:r>
      <w:r w:rsidRPr="00C837DD">
        <w:rPr>
          <w:sz w:val="20"/>
          <w:szCs w:val="20"/>
        </w:rPr>
        <w:t xml:space="preserve"> understanding of what happened and the analysis of the alleged human rights violations. Thus, the Court deems it pertinent to clarify that the facts related to the </w:t>
      </w:r>
      <w:r w:rsidR="00B93824" w:rsidRPr="00C837DD">
        <w:rPr>
          <w:sz w:val="20"/>
          <w:szCs w:val="20"/>
        </w:rPr>
        <w:t xml:space="preserve">murder </w:t>
      </w:r>
      <w:r w:rsidRPr="00C837DD">
        <w:rPr>
          <w:sz w:val="20"/>
          <w:szCs w:val="20"/>
        </w:rPr>
        <w:t xml:space="preserve">of </w:t>
      </w:r>
      <w:r w:rsidR="00B8009F" w:rsidRPr="00C837DD">
        <w:rPr>
          <w:sz w:val="20"/>
          <w:szCs w:val="20"/>
        </w:rPr>
        <w:t>Márcia</w:t>
      </w:r>
      <w:r w:rsidRPr="00C837DD">
        <w:rPr>
          <w:sz w:val="20"/>
          <w:szCs w:val="20"/>
        </w:rPr>
        <w:t xml:space="preserve"> Barbosa de Souza and some of the first investigative acts are outside the </w:t>
      </w:r>
      <w:r w:rsidR="00391CEC">
        <w:rPr>
          <w:sz w:val="20"/>
          <w:szCs w:val="20"/>
        </w:rPr>
        <w:t xml:space="preserve">Court’s </w:t>
      </w:r>
      <w:r w:rsidRPr="00C837DD">
        <w:rPr>
          <w:sz w:val="20"/>
          <w:szCs w:val="20"/>
        </w:rPr>
        <w:t xml:space="preserve">jurisdictional </w:t>
      </w:r>
      <w:r w:rsidR="00B93824" w:rsidRPr="00C837DD">
        <w:rPr>
          <w:sz w:val="20"/>
          <w:szCs w:val="20"/>
        </w:rPr>
        <w:t>competence</w:t>
      </w:r>
      <w:r w:rsidRPr="00C837DD">
        <w:rPr>
          <w:sz w:val="20"/>
          <w:szCs w:val="20"/>
        </w:rPr>
        <w:t xml:space="preserve">.  </w:t>
      </w:r>
    </w:p>
    <w:p w14:paraId="285A22C1" w14:textId="77777777" w:rsidR="00F85D5F" w:rsidRPr="00C837DD" w:rsidRDefault="00F85D5F" w:rsidP="00F85D5F">
      <w:pPr>
        <w:pStyle w:val="Textoindependiente"/>
        <w:tabs>
          <w:tab w:val="left" w:pos="142"/>
        </w:tabs>
        <w:ind w:hanging="76"/>
        <w:rPr>
          <w:b/>
          <w:bCs/>
          <w:i/>
        </w:rPr>
      </w:pPr>
    </w:p>
    <w:p w14:paraId="24F411F1" w14:textId="77777777" w:rsidR="00F85D5F" w:rsidRPr="00C837DD" w:rsidRDefault="00F85D5F" w:rsidP="00F85D5F">
      <w:pPr>
        <w:pStyle w:val="Ttulo2"/>
        <w:ind w:left="1134" w:hanging="567"/>
        <w:rPr>
          <w:lang w:val="en-US"/>
        </w:rPr>
      </w:pPr>
      <w:bookmarkStart w:id="58" w:name="_Toc85001877"/>
      <w:r w:rsidRPr="00C837DD">
        <w:rPr>
          <w:lang w:val="en-US"/>
        </w:rPr>
        <w:t>The context of violence against women in Brazil</w:t>
      </w:r>
      <w:bookmarkEnd w:id="58"/>
    </w:p>
    <w:p w14:paraId="42611D7F" w14:textId="77777777" w:rsidR="00F85D5F" w:rsidRPr="00C837DD" w:rsidRDefault="00F85D5F" w:rsidP="00F85D5F">
      <w:pPr>
        <w:tabs>
          <w:tab w:val="left" w:pos="142"/>
        </w:tabs>
        <w:rPr>
          <w:b/>
          <w:sz w:val="20"/>
          <w:szCs w:val="20"/>
        </w:rPr>
      </w:pPr>
    </w:p>
    <w:p w14:paraId="22B56DE6" w14:textId="6E70F248"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Violence against women in Brazil was, at the time of the facts of this case - and </w:t>
      </w:r>
      <w:r w:rsidRPr="00C837DD">
        <w:rPr>
          <w:sz w:val="20"/>
          <w:szCs w:val="20"/>
        </w:rPr>
        <w:lastRenderedPageBreak/>
        <w:t xml:space="preserve">continues to be </w:t>
      </w:r>
      <w:r w:rsidR="008E507F">
        <w:rPr>
          <w:sz w:val="20"/>
          <w:szCs w:val="20"/>
        </w:rPr>
        <w:t>today</w:t>
      </w:r>
      <w:r w:rsidRPr="00C837DD">
        <w:rPr>
          <w:sz w:val="20"/>
          <w:szCs w:val="20"/>
        </w:rPr>
        <w:t>-</w:t>
      </w:r>
      <w:r w:rsidRPr="00C837DD">
        <w:rPr>
          <w:rFonts w:ascii="Arial" w:hAnsi="Arial" w:cs="Arial"/>
          <w:color w:val="202124"/>
          <w:shd w:val="clear" w:color="auto" w:fill="FFFFFF"/>
        </w:rPr>
        <w:t xml:space="preserve"> a </w:t>
      </w:r>
      <w:r w:rsidRPr="00C837DD">
        <w:rPr>
          <w:sz w:val="20"/>
          <w:szCs w:val="20"/>
        </w:rPr>
        <w:t xml:space="preserve">structural and </w:t>
      </w:r>
      <w:r w:rsidR="00016BC9" w:rsidRPr="00C837DD">
        <w:rPr>
          <w:sz w:val="20"/>
          <w:szCs w:val="20"/>
        </w:rPr>
        <w:t xml:space="preserve">widespread </w:t>
      </w:r>
      <w:r w:rsidRPr="00C837DD">
        <w:rPr>
          <w:sz w:val="20"/>
          <w:szCs w:val="20"/>
        </w:rPr>
        <w:t>problem.</w:t>
      </w:r>
      <w:r w:rsidRPr="00C837DD">
        <w:rPr>
          <w:rStyle w:val="Refdenotaalpie"/>
          <w:sz w:val="20"/>
          <w:szCs w:val="20"/>
        </w:rPr>
        <w:footnoteReference w:id="39"/>
      </w:r>
      <w:r w:rsidRPr="00C837DD">
        <w:rPr>
          <w:sz w:val="20"/>
          <w:szCs w:val="20"/>
        </w:rPr>
        <w:t xml:space="preserve"> The absence of national statistics, especially </w:t>
      </w:r>
      <w:r w:rsidR="00016BC9" w:rsidRPr="00C837DD">
        <w:rPr>
          <w:sz w:val="20"/>
          <w:szCs w:val="20"/>
        </w:rPr>
        <w:t xml:space="preserve">before the </w:t>
      </w:r>
      <w:r w:rsidRPr="00C837DD">
        <w:rPr>
          <w:sz w:val="20"/>
          <w:szCs w:val="20"/>
        </w:rPr>
        <w:t xml:space="preserve">2000s, </w:t>
      </w:r>
      <w:r w:rsidR="00016BC9" w:rsidRPr="00C837DD">
        <w:rPr>
          <w:sz w:val="20"/>
          <w:szCs w:val="20"/>
        </w:rPr>
        <w:t xml:space="preserve">hinders the </w:t>
      </w:r>
      <w:r w:rsidRPr="00C837DD">
        <w:rPr>
          <w:sz w:val="20"/>
          <w:szCs w:val="20"/>
        </w:rPr>
        <w:t>design and implement</w:t>
      </w:r>
      <w:r w:rsidR="00016BC9" w:rsidRPr="00C837DD">
        <w:rPr>
          <w:sz w:val="20"/>
          <w:szCs w:val="20"/>
        </w:rPr>
        <w:t>ation of</w:t>
      </w:r>
      <w:r w:rsidRPr="00C837DD">
        <w:rPr>
          <w:sz w:val="20"/>
          <w:szCs w:val="20"/>
        </w:rPr>
        <w:t xml:space="preserve"> effective public policies to combat such violence.</w:t>
      </w:r>
      <w:r w:rsidRPr="00C837DD">
        <w:rPr>
          <w:rStyle w:val="Refdenotaalpie"/>
          <w:sz w:val="20"/>
          <w:szCs w:val="20"/>
        </w:rPr>
        <w:footnoteReference w:id="40"/>
      </w:r>
      <w:r w:rsidRPr="00C837DD">
        <w:rPr>
          <w:sz w:val="20"/>
          <w:szCs w:val="20"/>
        </w:rPr>
        <w:t xml:space="preserve"> At the time of the facts, there was no data on the number of violent deaths of women </w:t>
      </w:r>
      <w:r w:rsidR="008E507F">
        <w:rPr>
          <w:sz w:val="20"/>
          <w:szCs w:val="20"/>
        </w:rPr>
        <w:t xml:space="preserve">related to </w:t>
      </w:r>
      <w:r w:rsidRPr="00C837DD">
        <w:rPr>
          <w:sz w:val="20"/>
          <w:szCs w:val="20"/>
        </w:rPr>
        <w:t>their gender.</w:t>
      </w:r>
      <w:r w:rsidRPr="00C837DD">
        <w:rPr>
          <w:rStyle w:val="Refdenotaalpie"/>
          <w:sz w:val="20"/>
          <w:szCs w:val="20"/>
        </w:rPr>
        <w:footnoteReference w:id="41"/>
      </w:r>
      <w:r w:rsidRPr="00C837DD">
        <w:rPr>
          <w:sz w:val="20"/>
          <w:szCs w:val="20"/>
        </w:rPr>
        <w:t xml:space="preserve"> The first information began to be compiled under the </w:t>
      </w:r>
      <w:r w:rsidR="00016BC9" w:rsidRPr="00C837DD">
        <w:rPr>
          <w:sz w:val="20"/>
          <w:szCs w:val="20"/>
        </w:rPr>
        <w:t xml:space="preserve">denomination </w:t>
      </w:r>
      <w:r w:rsidRPr="00C837DD">
        <w:rPr>
          <w:sz w:val="20"/>
          <w:szCs w:val="20"/>
        </w:rPr>
        <w:t>of femicide very recently.</w:t>
      </w:r>
      <w:r w:rsidRPr="00C837DD">
        <w:rPr>
          <w:sz w:val="20"/>
          <w:szCs w:val="20"/>
          <w:vertAlign w:val="superscript"/>
        </w:rPr>
        <w:footnoteReference w:id="42"/>
      </w:r>
      <w:r w:rsidRPr="00C837DD">
        <w:rPr>
          <w:sz w:val="20"/>
          <w:szCs w:val="20"/>
        </w:rPr>
        <w:t xml:space="preserve"> </w:t>
      </w:r>
    </w:p>
    <w:p w14:paraId="2545E573" w14:textId="77777777" w:rsidR="00F85D5F" w:rsidRPr="00C837DD" w:rsidRDefault="00F85D5F" w:rsidP="00F85D5F">
      <w:pPr>
        <w:pStyle w:val="Prrafodelista"/>
        <w:tabs>
          <w:tab w:val="left" w:pos="142"/>
        </w:tabs>
        <w:ind w:left="0"/>
        <w:rPr>
          <w:sz w:val="20"/>
          <w:szCs w:val="20"/>
        </w:rPr>
      </w:pPr>
    </w:p>
    <w:p w14:paraId="05803EE7" w14:textId="0C43B0C8" w:rsidR="00F85D5F" w:rsidRPr="00C837DD" w:rsidRDefault="008E507F" w:rsidP="00F85D5F">
      <w:pPr>
        <w:pStyle w:val="Prrafodelista"/>
        <w:numPr>
          <w:ilvl w:val="0"/>
          <w:numId w:val="6"/>
        </w:numPr>
        <w:tabs>
          <w:tab w:val="left" w:pos="142"/>
        </w:tabs>
        <w:ind w:left="0" w:firstLine="0"/>
        <w:rPr>
          <w:sz w:val="20"/>
          <w:szCs w:val="20"/>
        </w:rPr>
      </w:pPr>
      <w:r>
        <w:rPr>
          <w:sz w:val="20"/>
          <w:szCs w:val="20"/>
        </w:rPr>
        <w:t>At the same time</w:t>
      </w:r>
      <w:r w:rsidR="00F85D5F" w:rsidRPr="00C837DD">
        <w:rPr>
          <w:sz w:val="20"/>
          <w:szCs w:val="20"/>
        </w:rPr>
        <w:t xml:space="preserve">, there </w:t>
      </w:r>
      <w:r w:rsidR="00334ED7" w:rsidRPr="00C837DD">
        <w:rPr>
          <w:sz w:val="20"/>
          <w:szCs w:val="20"/>
        </w:rPr>
        <w:t xml:space="preserve">was </w:t>
      </w:r>
      <w:r w:rsidR="00F85D5F" w:rsidRPr="00C837DD">
        <w:rPr>
          <w:sz w:val="20"/>
          <w:szCs w:val="20"/>
        </w:rPr>
        <w:t>a culture of tolerance of violence against women, illustrated, for example, by the way in which the media presented the news of violence against women, by romanticizing it</w:t>
      </w:r>
      <w:r w:rsidR="00CA4A8F" w:rsidRPr="00C837DD">
        <w:rPr>
          <w:sz w:val="20"/>
          <w:szCs w:val="20"/>
        </w:rPr>
        <w:t xml:space="preserve"> rather than</w:t>
      </w:r>
      <w:r w:rsidR="00F85D5F" w:rsidRPr="00C837DD">
        <w:rPr>
          <w:sz w:val="20"/>
          <w:szCs w:val="20"/>
        </w:rPr>
        <w:t xml:space="preserve"> rejecting it.</w:t>
      </w:r>
      <w:r w:rsidR="00F85D5F" w:rsidRPr="00C837DD">
        <w:rPr>
          <w:rStyle w:val="Refdenotaalpie"/>
          <w:sz w:val="20"/>
          <w:szCs w:val="20"/>
        </w:rPr>
        <w:footnoteReference w:id="43"/>
      </w:r>
      <w:r w:rsidR="00F85D5F" w:rsidRPr="00C837DD">
        <w:rPr>
          <w:sz w:val="20"/>
          <w:szCs w:val="20"/>
        </w:rPr>
        <w:t xml:space="preserve"> </w:t>
      </w:r>
      <w:r w:rsidR="00CA4A8F" w:rsidRPr="00C837DD">
        <w:rPr>
          <w:sz w:val="20"/>
          <w:szCs w:val="20"/>
        </w:rPr>
        <w:t>In this regard</w:t>
      </w:r>
      <w:r w:rsidR="00F85D5F" w:rsidRPr="00C837DD">
        <w:rPr>
          <w:sz w:val="20"/>
          <w:szCs w:val="20"/>
        </w:rPr>
        <w:t>, it has been recognized that a high level of tolerance of violence against women is normally associated</w:t>
      </w:r>
      <w:r w:rsidR="00CA4A8F" w:rsidRPr="00C837DD">
        <w:rPr>
          <w:sz w:val="20"/>
          <w:szCs w:val="20"/>
        </w:rPr>
        <w:t xml:space="preserve"> with</w:t>
      </w:r>
      <w:r w:rsidR="00F85D5F" w:rsidRPr="00C837DD">
        <w:rPr>
          <w:sz w:val="20"/>
          <w:szCs w:val="20"/>
        </w:rPr>
        <w:t>, and in some cases generates, high rates of femicide.</w:t>
      </w:r>
      <w:r w:rsidR="00F85D5F" w:rsidRPr="00C837DD">
        <w:rPr>
          <w:rStyle w:val="Refdenotaalpie"/>
          <w:sz w:val="20"/>
          <w:szCs w:val="20"/>
        </w:rPr>
        <w:footnoteReference w:id="44"/>
      </w:r>
    </w:p>
    <w:p w14:paraId="23F9DA65" w14:textId="77777777" w:rsidR="00F85D5F" w:rsidRPr="00C837DD" w:rsidRDefault="00F85D5F" w:rsidP="00F85D5F">
      <w:pPr>
        <w:pStyle w:val="Prrafodelista"/>
        <w:tabs>
          <w:tab w:val="left" w:pos="142"/>
        </w:tabs>
        <w:ind w:left="0"/>
        <w:rPr>
          <w:sz w:val="20"/>
          <w:szCs w:val="20"/>
        </w:rPr>
      </w:pPr>
    </w:p>
    <w:p w14:paraId="433C0A31" w14:textId="434FC121" w:rsidR="00F85D5F" w:rsidRPr="00C837DD" w:rsidRDefault="00F85D5F" w:rsidP="00F85D5F">
      <w:pPr>
        <w:pStyle w:val="Prrafodelista"/>
        <w:numPr>
          <w:ilvl w:val="0"/>
          <w:numId w:val="6"/>
        </w:numPr>
        <w:tabs>
          <w:tab w:val="left" w:pos="142"/>
        </w:tabs>
        <w:ind w:left="0" w:firstLine="0"/>
        <w:rPr>
          <w:sz w:val="20"/>
          <w:szCs w:val="20"/>
        </w:rPr>
      </w:pPr>
      <w:r w:rsidRPr="00C837DD">
        <w:rPr>
          <w:rFonts w:eastAsia="Batang" w:cs="Times"/>
          <w:sz w:val="20"/>
          <w:szCs w:val="20"/>
          <w:lang w:eastAsia="es-ES"/>
        </w:rPr>
        <w:t xml:space="preserve">The first </w:t>
      </w:r>
      <w:r w:rsidRPr="00C837DD">
        <w:rPr>
          <w:sz w:val="20"/>
          <w:szCs w:val="20"/>
          <w:lang w:eastAsia="es-ES"/>
        </w:rPr>
        <w:t xml:space="preserve">national survey on violence in Brazil, carried out in 1988 by the </w:t>
      </w:r>
      <w:r w:rsidR="00EB69A7" w:rsidRPr="00C837DD">
        <w:rPr>
          <w:sz w:val="20"/>
          <w:szCs w:val="20"/>
          <w:lang w:eastAsia="es-ES"/>
        </w:rPr>
        <w:t>Brazilian</w:t>
      </w:r>
      <w:r w:rsidRPr="00C837DD">
        <w:rPr>
          <w:sz w:val="20"/>
          <w:szCs w:val="20"/>
          <w:lang w:eastAsia="es-ES"/>
        </w:rPr>
        <w:t xml:space="preserve"> Institute of Geography and Statistics (IBGE),</w:t>
      </w:r>
      <w:r w:rsidRPr="00C837DD">
        <w:rPr>
          <w:rStyle w:val="Refdenotaalpie"/>
          <w:sz w:val="20"/>
          <w:szCs w:val="20"/>
          <w:lang w:eastAsia="es-ES"/>
        </w:rPr>
        <w:footnoteReference w:id="45"/>
      </w:r>
      <w:r w:rsidRPr="00C837DD">
        <w:rPr>
          <w:sz w:val="20"/>
          <w:szCs w:val="20"/>
          <w:lang w:eastAsia="es-ES"/>
        </w:rPr>
        <w:t xml:space="preserve"> indicated that</w:t>
      </w:r>
      <w:r w:rsidR="00CA4A8F" w:rsidRPr="00C837DD">
        <w:rPr>
          <w:sz w:val="20"/>
          <w:szCs w:val="20"/>
          <w:lang w:eastAsia="es-ES"/>
        </w:rPr>
        <w:t xml:space="preserve"> 63% of </w:t>
      </w:r>
      <w:r w:rsidRPr="00C837DD">
        <w:rPr>
          <w:sz w:val="20"/>
          <w:szCs w:val="20"/>
          <w:lang w:eastAsia="es-ES"/>
        </w:rPr>
        <w:t xml:space="preserve">the victims of </w:t>
      </w:r>
      <w:r w:rsidR="00CA4A8F" w:rsidRPr="00C837DD">
        <w:rPr>
          <w:sz w:val="20"/>
          <w:szCs w:val="20"/>
          <w:lang w:eastAsia="es-ES"/>
        </w:rPr>
        <w:t xml:space="preserve">domestic </w:t>
      </w:r>
      <w:r w:rsidRPr="00C837DD">
        <w:rPr>
          <w:sz w:val="20"/>
          <w:szCs w:val="20"/>
          <w:lang w:eastAsia="es-ES"/>
        </w:rPr>
        <w:t>violence were women and</w:t>
      </w:r>
      <w:r w:rsidR="00CA4A8F" w:rsidRPr="00C837DD">
        <w:rPr>
          <w:sz w:val="20"/>
          <w:szCs w:val="20"/>
          <w:lang w:eastAsia="es-ES"/>
        </w:rPr>
        <w:t xml:space="preserve"> that</w:t>
      </w:r>
      <w:r w:rsidRPr="00C837DD">
        <w:rPr>
          <w:sz w:val="20"/>
          <w:szCs w:val="20"/>
          <w:lang w:eastAsia="es-ES"/>
        </w:rPr>
        <w:t xml:space="preserve"> in 70% of </w:t>
      </w:r>
      <w:r w:rsidR="00CA4A8F" w:rsidRPr="00C837DD">
        <w:rPr>
          <w:sz w:val="20"/>
          <w:szCs w:val="20"/>
          <w:lang w:eastAsia="es-ES"/>
        </w:rPr>
        <w:t xml:space="preserve">these </w:t>
      </w:r>
      <w:r w:rsidRPr="00C837DD">
        <w:rPr>
          <w:sz w:val="20"/>
          <w:szCs w:val="20"/>
          <w:lang w:eastAsia="es-ES"/>
        </w:rPr>
        <w:t xml:space="preserve">cases, the </w:t>
      </w:r>
      <w:r w:rsidR="008E507F">
        <w:rPr>
          <w:sz w:val="20"/>
          <w:szCs w:val="20"/>
          <w:lang w:eastAsia="es-ES"/>
        </w:rPr>
        <w:t xml:space="preserve">perpetrator </w:t>
      </w:r>
      <w:r w:rsidRPr="00C837DD">
        <w:rPr>
          <w:sz w:val="20"/>
          <w:szCs w:val="20"/>
          <w:lang w:eastAsia="es-ES"/>
        </w:rPr>
        <w:t xml:space="preserve">was the </w:t>
      </w:r>
      <w:r w:rsidR="008E507F">
        <w:rPr>
          <w:sz w:val="20"/>
          <w:szCs w:val="20"/>
          <w:lang w:eastAsia="es-ES"/>
        </w:rPr>
        <w:t xml:space="preserve">woman’s </w:t>
      </w:r>
      <w:r w:rsidRPr="00C837DD">
        <w:rPr>
          <w:sz w:val="20"/>
          <w:szCs w:val="20"/>
          <w:lang w:eastAsia="es-ES"/>
        </w:rPr>
        <w:t>husband or partner.</w:t>
      </w:r>
      <w:r w:rsidRPr="00C837DD">
        <w:rPr>
          <w:rStyle w:val="Refdenotaalpie"/>
          <w:sz w:val="20"/>
          <w:szCs w:val="20"/>
          <w:lang w:eastAsia="es-ES"/>
        </w:rPr>
        <w:footnoteReference w:id="46"/>
      </w:r>
      <w:r w:rsidRPr="00C837DD">
        <w:rPr>
          <w:sz w:val="20"/>
          <w:szCs w:val="20"/>
          <w:lang w:eastAsia="es-ES"/>
        </w:rPr>
        <w:t xml:space="preserve"> </w:t>
      </w:r>
      <w:r w:rsidR="00B92145" w:rsidRPr="00C837DD">
        <w:rPr>
          <w:sz w:val="20"/>
          <w:szCs w:val="20"/>
          <w:lang w:eastAsia="es-ES"/>
        </w:rPr>
        <w:t>Similarly</w:t>
      </w:r>
      <w:r w:rsidRPr="00C837DD">
        <w:rPr>
          <w:sz w:val="20"/>
          <w:szCs w:val="20"/>
          <w:lang w:eastAsia="es-ES"/>
        </w:rPr>
        <w:t>, a study c</w:t>
      </w:r>
      <w:r w:rsidR="00B92145" w:rsidRPr="00C837DD">
        <w:rPr>
          <w:sz w:val="20"/>
          <w:szCs w:val="20"/>
          <w:lang w:eastAsia="es-ES"/>
        </w:rPr>
        <w:t xml:space="preserve">aried out </w:t>
      </w:r>
      <w:r w:rsidRPr="00C837DD">
        <w:rPr>
          <w:sz w:val="20"/>
          <w:szCs w:val="20"/>
          <w:lang w:eastAsia="es-ES"/>
        </w:rPr>
        <w:t>in 2004 estimated that every 15 seconds a woman was severely beaten by a man in Brazil.</w:t>
      </w:r>
      <w:r w:rsidRPr="00C837DD">
        <w:rPr>
          <w:rStyle w:val="Refdenotaalpie"/>
          <w:sz w:val="20"/>
          <w:szCs w:val="20"/>
          <w:lang w:eastAsia="es-ES"/>
        </w:rPr>
        <w:footnoteReference w:id="47"/>
      </w:r>
      <w:r w:rsidRPr="00C837DD">
        <w:rPr>
          <w:sz w:val="20"/>
          <w:szCs w:val="20"/>
          <w:lang w:eastAsia="es-ES"/>
        </w:rPr>
        <w:t xml:space="preserve"> </w:t>
      </w:r>
      <w:r w:rsidR="00B92145" w:rsidRPr="00C837DD">
        <w:rPr>
          <w:sz w:val="20"/>
          <w:szCs w:val="20"/>
          <w:lang w:eastAsia="es-ES"/>
        </w:rPr>
        <w:t>A</w:t>
      </w:r>
      <w:r w:rsidRPr="00C837DD">
        <w:rPr>
          <w:sz w:val="20"/>
          <w:szCs w:val="20"/>
          <w:lang w:eastAsia="es-ES"/>
        </w:rPr>
        <w:t>n</w:t>
      </w:r>
      <w:r w:rsidR="00B92145" w:rsidRPr="00C837DD">
        <w:rPr>
          <w:sz w:val="20"/>
          <w:szCs w:val="20"/>
          <w:lang w:eastAsia="es-ES"/>
        </w:rPr>
        <w:t>other</w:t>
      </w:r>
      <w:r w:rsidRPr="00C837DD">
        <w:rPr>
          <w:sz w:val="20"/>
          <w:szCs w:val="20"/>
          <w:lang w:eastAsia="es-ES"/>
        </w:rPr>
        <w:t xml:space="preserve"> investigation </w:t>
      </w:r>
      <w:r w:rsidR="00B92145" w:rsidRPr="00C837DD">
        <w:rPr>
          <w:sz w:val="20"/>
          <w:szCs w:val="20"/>
          <w:lang w:eastAsia="es-ES"/>
        </w:rPr>
        <w:t xml:space="preserve">conducted </w:t>
      </w:r>
      <w:r w:rsidRPr="00C837DD">
        <w:rPr>
          <w:sz w:val="20"/>
          <w:szCs w:val="20"/>
          <w:lang w:eastAsia="es-ES"/>
        </w:rPr>
        <w:t xml:space="preserve">by the </w:t>
      </w:r>
      <w:r w:rsidR="00EB69A7" w:rsidRPr="00C837DD">
        <w:rPr>
          <w:sz w:val="20"/>
          <w:szCs w:val="20"/>
          <w:lang w:eastAsia="es-ES"/>
        </w:rPr>
        <w:t>Brazilian</w:t>
      </w:r>
      <w:r w:rsidRPr="00C837DD">
        <w:rPr>
          <w:sz w:val="20"/>
          <w:szCs w:val="20"/>
          <w:lang w:eastAsia="es-ES"/>
        </w:rPr>
        <w:t xml:space="preserve"> Senate in 2015 </w:t>
      </w:r>
      <w:r w:rsidR="00B92145" w:rsidRPr="00C837DD">
        <w:rPr>
          <w:sz w:val="20"/>
          <w:szCs w:val="20"/>
          <w:lang w:eastAsia="es-ES"/>
        </w:rPr>
        <w:t xml:space="preserve">found </w:t>
      </w:r>
      <w:r w:rsidRPr="00C837DD">
        <w:rPr>
          <w:sz w:val="20"/>
          <w:szCs w:val="20"/>
          <w:lang w:eastAsia="es-ES"/>
        </w:rPr>
        <w:t xml:space="preserve">that one </w:t>
      </w:r>
      <w:r w:rsidR="00B92145" w:rsidRPr="00C837DD">
        <w:rPr>
          <w:sz w:val="20"/>
          <w:szCs w:val="20"/>
          <w:lang w:eastAsia="es-ES"/>
        </w:rPr>
        <w:t xml:space="preserve">in </w:t>
      </w:r>
      <w:r w:rsidRPr="00C837DD">
        <w:rPr>
          <w:sz w:val="20"/>
          <w:szCs w:val="20"/>
          <w:lang w:eastAsia="es-ES"/>
        </w:rPr>
        <w:t xml:space="preserve">five women had </w:t>
      </w:r>
      <w:r w:rsidR="00B92145" w:rsidRPr="00C837DD">
        <w:rPr>
          <w:sz w:val="20"/>
          <w:szCs w:val="20"/>
          <w:lang w:eastAsia="es-ES"/>
        </w:rPr>
        <w:t xml:space="preserve">experienced </w:t>
      </w:r>
      <w:r w:rsidRPr="00C837DD">
        <w:rPr>
          <w:sz w:val="20"/>
          <w:szCs w:val="20"/>
          <w:lang w:eastAsia="es-ES"/>
        </w:rPr>
        <w:t xml:space="preserve">some </w:t>
      </w:r>
      <w:r w:rsidR="00B92145" w:rsidRPr="00C837DD">
        <w:rPr>
          <w:sz w:val="20"/>
          <w:szCs w:val="20"/>
          <w:lang w:eastAsia="es-ES"/>
        </w:rPr>
        <w:t xml:space="preserve">form </w:t>
      </w:r>
      <w:r w:rsidRPr="00C837DD">
        <w:rPr>
          <w:sz w:val="20"/>
          <w:szCs w:val="20"/>
          <w:lang w:eastAsia="es-ES"/>
        </w:rPr>
        <w:t>of domestic or family violence,</w:t>
      </w:r>
      <w:r w:rsidRPr="00C837DD">
        <w:rPr>
          <w:rStyle w:val="Refdenotaalpie"/>
          <w:sz w:val="20"/>
          <w:szCs w:val="20"/>
          <w:lang w:eastAsia="es-ES"/>
        </w:rPr>
        <w:footnoteReference w:id="48"/>
      </w:r>
      <w:r w:rsidRPr="00C837DD">
        <w:rPr>
          <w:sz w:val="20"/>
          <w:szCs w:val="20"/>
          <w:lang w:eastAsia="es-ES"/>
        </w:rPr>
        <w:t xml:space="preserve"> that women with the lowest level</w:t>
      </w:r>
      <w:r w:rsidR="008E507F">
        <w:rPr>
          <w:sz w:val="20"/>
          <w:szCs w:val="20"/>
          <w:lang w:eastAsia="es-ES"/>
        </w:rPr>
        <w:t>s</w:t>
      </w:r>
      <w:r w:rsidRPr="00C837DD">
        <w:rPr>
          <w:sz w:val="20"/>
          <w:szCs w:val="20"/>
          <w:lang w:eastAsia="es-ES"/>
        </w:rPr>
        <w:t xml:space="preserve"> of education are </w:t>
      </w:r>
      <w:r w:rsidR="00B92145" w:rsidRPr="00C837DD">
        <w:rPr>
          <w:sz w:val="20"/>
          <w:szCs w:val="20"/>
          <w:lang w:eastAsia="es-ES"/>
        </w:rPr>
        <w:t xml:space="preserve">the </w:t>
      </w:r>
      <w:r w:rsidRPr="00C837DD">
        <w:rPr>
          <w:sz w:val="20"/>
          <w:szCs w:val="20"/>
          <w:lang w:eastAsia="es-ES"/>
        </w:rPr>
        <w:t xml:space="preserve">most affected and </w:t>
      </w:r>
      <w:r w:rsidRPr="00C837DD">
        <w:rPr>
          <w:sz w:val="20"/>
          <w:szCs w:val="20"/>
          <w:lang w:eastAsia="es-ES"/>
        </w:rPr>
        <w:lastRenderedPageBreak/>
        <w:t xml:space="preserve">that </w:t>
      </w:r>
      <w:r w:rsidR="00E616C2" w:rsidRPr="00C837DD">
        <w:rPr>
          <w:sz w:val="20"/>
          <w:szCs w:val="20"/>
          <w:lang w:eastAsia="es-ES"/>
        </w:rPr>
        <w:t xml:space="preserve">women </w:t>
      </w:r>
      <w:r w:rsidRPr="00C837DD">
        <w:rPr>
          <w:sz w:val="20"/>
          <w:szCs w:val="20"/>
          <w:lang w:eastAsia="es-ES"/>
        </w:rPr>
        <w:t xml:space="preserve">between </w:t>
      </w:r>
      <w:r w:rsidR="00E616C2" w:rsidRPr="00C837DD">
        <w:rPr>
          <w:sz w:val="20"/>
          <w:szCs w:val="20"/>
          <w:lang w:eastAsia="es-ES"/>
        </w:rPr>
        <w:t xml:space="preserve">the ages of </w:t>
      </w:r>
      <w:r w:rsidRPr="00C837DD">
        <w:rPr>
          <w:sz w:val="20"/>
          <w:szCs w:val="20"/>
          <w:lang w:eastAsia="es-ES"/>
        </w:rPr>
        <w:t>20 and 29 are most likely to suffer domestic violence for the first time.</w:t>
      </w:r>
      <w:r w:rsidRPr="00C837DD">
        <w:rPr>
          <w:rStyle w:val="Refdenotaalpie"/>
          <w:sz w:val="20"/>
          <w:szCs w:val="20"/>
          <w:lang w:eastAsia="es-ES"/>
        </w:rPr>
        <w:footnoteReference w:id="49"/>
      </w:r>
    </w:p>
    <w:p w14:paraId="715FC7CC" w14:textId="77777777" w:rsidR="00F85D5F" w:rsidRPr="00C837DD" w:rsidRDefault="00F85D5F" w:rsidP="00F85D5F">
      <w:pPr>
        <w:pStyle w:val="Prrafodelista"/>
        <w:tabs>
          <w:tab w:val="left" w:pos="142"/>
        </w:tabs>
        <w:ind w:left="0"/>
        <w:rPr>
          <w:sz w:val="20"/>
          <w:szCs w:val="20"/>
        </w:rPr>
      </w:pPr>
    </w:p>
    <w:p w14:paraId="0280E0B0" w14:textId="71CF28EA" w:rsidR="00F85D5F" w:rsidRPr="00C837DD" w:rsidRDefault="00F85D5F" w:rsidP="00F85D5F">
      <w:pPr>
        <w:pStyle w:val="Prrafodelista"/>
        <w:numPr>
          <w:ilvl w:val="0"/>
          <w:numId w:val="6"/>
        </w:numPr>
        <w:tabs>
          <w:tab w:val="left" w:pos="142"/>
        </w:tabs>
        <w:ind w:left="0" w:firstLine="0"/>
        <w:rPr>
          <w:sz w:val="20"/>
          <w:szCs w:val="20"/>
          <w:lang w:eastAsia="es-ES"/>
        </w:rPr>
      </w:pPr>
      <w:r w:rsidRPr="00C837DD">
        <w:rPr>
          <w:sz w:val="20"/>
          <w:szCs w:val="20"/>
          <w:lang w:eastAsia="es-ES"/>
        </w:rPr>
        <w:t>In 2006, Law No. 11.340 (hereinafter “Maria da Penha Law”)</w:t>
      </w:r>
      <w:r w:rsidRPr="00C837DD">
        <w:rPr>
          <w:rStyle w:val="Refdenotaalpie"/>
          <w:sz w:val="20"/>
          <w:szCs w:val="20"/>
          <w:lang w:eastAsia="es-ES"/>
        </w:rPr>
        <w:footnoteReference w:id="50"/>
      </w:r>
      <w:r w:rsidRPr="00C837DD">
        <w:rPr>
          <w:sz w:val="20"/>
          <w:szCs w:val="20"/>
          <w:lang w:eastAsia="es-ES"/>
        </w:rPr>
        <w:t xml:space="preserve"> was </w:t>
      </w:r>
      <w:r w:rsidR="00E616C2" w:rsidRPr="00C837DD">
        <w:rPr>
          <w:sz w:val="20"/>
          <w:szCs w:val="20"/>
          <w:lang w:eastAsia="es-ES"/>
        </w:rPr>
        <w:t xml:space="preserve">enacted to </w:t>
      </w:r>
      <w:r w:rsidRPr="00C837DD">
        <w:rPr>
          <w:sz w:val="20"/>
          <w:szCs w:val="20"/>
          <w:lang w:eastAsia="es-ES"/>
        </w:rPr>
        <w:t xml:space="preserve">combat domestic and family violence against women. Data from 2006 to 2013 indicate that, although the </w:t>
      </w:r>
      <w:r w:rsidR="00E616C2" w:rsidRPr="00C837DD">
        <w:rPr>
          <w:sz w:val="20"/>
          <w:szCs w:val="20"/>
          <w:lang w:eastAsia="es-ES"/>
        </w:rPr>
        <w:t xml:space="preserve">number of homicides of women decreased </w:t>
      </w:r>
      <w:r w:rsidR="009366E5" w:rsidRPr="00C837DD">
        <w:rPr>
          <w:sz w:val="20"/>
          <w:szCs w:val="20"/>
          <w:lang w:eastAsia="es-ES"/>
        </w:rPr>
        <w:t xml:space="preserve">immediately </w:t>
      </w:r>
      <w:r w:rsidRPr="00C837DD">
        <w:rPr>
          <w:sz w:val="20"/>
          <w:szCs w:val="20"/>
          <w:lang w:eastAsia="es-ES"/>
        </w:rPr>
        <w:t xml:space="preserve">after </w:t>
      </w:r>
      <w:r w:rsidR="009366E5" w:rsidRPr="00C837DD">
        <w:rPr>
          <w:sz w:val="20"/>
          <w:szCs w:val="20"/>
          <w:lang w:eastAsia="es-ES"/>
        </w:rPr>
        <w:t>th</w:t>
      </w:r>
      <w:r w:rsidR="00E616C2" w:rsidRPr="00C837DD">
        <w:rPr>
          <w:sz w:val="20"/>
          <w:szCs w:val="20"/>
          <w:lang w:eastAsia="es-ES"/>
        </w:rPr>
        <w:t>e</w:t>
      </w:r>
      <w:r w:rsidR="009366E5" w:rsidRPr="00C837DD">
        <w:rPr>
          <w:sz w:val="20"/>
          <w:szCs w:val="20"/>
          <w:lang w:eastAsia="es-ES"/>
        </w:rPr>
        <w:t xml:space="preserve"> law came into force</w:t>
      </w:r>
      <w:r w:rsidRPr="00C837DD">
        <w:rPr>
          <w:sz w:val="20"/>
          <w:szCs w:val="20"/>
          <w:lang w:eastAsia="es-ES"/>
        </w:rPr>
        <w:t>, it subsequently increased again.</w:t>
      </w:r>
      <w:r w:rsidRPr="00C837DD">
        <w:rPr>
          <w:rStyle w:val="Refdenotaalpie"/>
          <w:sz w:val="20"/>
          <w:szCs w:val="20"/>
          <w:lang w:eastAsia="es-ES"/>
        </w:rPr>
        <w:footnoteReference w:id="51"/>
      </w:r>
      <w:r w:rsidRPr="00C837DD">
        <w:rPr>
          <w:sz w:val="20"/>
          <w:szCs w:val="20"/>
          <w:lang w:eastAsia="es-ES"/>
        </w:rPr>
        <w:t xml:space="preserve"> </w:t>
      </w:r>
    </w:p>
    <w:p w14:paraId="253871EB" w14:textId="77777777" w:rsidR="00F85D5F" w:rsidRPr="00C837DD" w:rsidRDefault="00F85D5F" w:rsidP="00F85D5F">
      <w:pPr>
        <w:pStyle w:val="Prrafodelista"/>
        <w:tabs>
          <w:tab w:val="left" w:pos="142"/>
        </w:tabs>
        <w:ind w:left="0"/>
        <w:rPr>
          <w:sz w:val="20"/>
          <w:szCs w:val="20"/>
          <w:lang w:eastAsia="es-ES"/>
        </w:rPr>
      </w:pPr>
    </w:p>
    <w:p w14:paraId="0176FDC6" w14:textId="0796A96E"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Between 2006 and 2010, </w:t>
      </w:r>
      <w:r w:rsidR="00BE1BB5">
        <w:rPr>
          <w:sz w:val="20"/>
          <w:szCs w:val="20"/>
          <w:lang w:eastAsia="es-ES"/>
        </w:rPr>
        <w:t xml:space="preserve">data from the </w:t>
      </w:r>
      <w:r w:rsidRPr="00C837DD">
        <w:rPr>
          <w:sz w:val="20"/>
          <w:szCs w:val="20"/>
          <w:lang w:eastAsia="es-ES"/>
        </w:rPr>
        <w:t>World Health Organization on homicides of women, co</w:t>
      </w:r>
      <w:r w:rsidR="00863BDF" w:rsidRPr="00C837DD">
        <w:rPr>
          <w:sz w:val="20"/>
          <w:szCs w:val="20"/>
          <w:lang w:eastAsia="es-ES"/>
        </w:rPr>
        <w:t xml:space="preserve">llected </w:t>
      </w:r>
      <w:r w:rsidRPr="00C837DD">
        <w:rPr>
          <w:sz w:val="20"/>
          <w:szCs w:val="20"/>
          <w:lang w:eastAsia="es-ES"/>
        </w:rPr>
        <w:t xml:space="preserve">in 84 countries, </w:t>
      </w:r>
      <w:r w:rsidR="00863BDF" w:rsidRPr="00C837DD">
        <w:rPr>
          <w:sz w:val="20"/>
          <w:szCs w:val="20"/>
          <w:lang w:eastAsia="es-ES"/>
        </w:rPr>
        <w:t xml:space="preserve">placed </w:t>
      </w:r>
      <w:r w:rsidRPr="00C837DD">
        <w:rPr>
          <w:sz w:val="20"/>
          <w:szCs w:val="20"/>
          <w:lang w:eastAsia="es-ES"/>
        </w:rPr>
        <w:t>Brazil in seventh place.</w:t>
      </w:r>
      <w:r w:rsidRPr="00C837DD">
        <w:rPr>
          <w:rStyle w:val="Refdenotaalpie"/>
          <w:sz w:val="20"/>
          <w:szCs w:val="20"/>
          <w:lang w:eastAsia="es-ES"/>
        </w:rPr>
        <w:footnoteReference w:id="52"/>
      </w:r>
      <w:r w:rsidRPr="00C837DD">
        <w:rPr>
          <w:sz w:val="20"/>
          <w:szCs w:val="20"/>
          <w:lang w:eastAsia="es-ES"/>
        </w:rPr>
        <w:t xml:space="preserve"> Despite the </w:t>
      </w:r>
      <w:r w:rsidR="00863BDF" w:rsidRPr="00C837DD">
        <w:rPr>
          <w:sz w:val="20"/>
          <w:szCs w:val="20"/>
          <w:lang w:eastAsia="es-ES"/>
        </w:rPr>
        <w:t xml:space="preserve">enactment </w:t>
      </w:r>
      <w:r w:rsidRPr="00C837DD">
        <w:rPr>
          <w:sz w:val="20"/>
          <w:szCs w:val="20"/>
          <w:lang w:eastAsia="es-ES"/>
        </w:rPr>
        <w:t xml:space="preserve">of Law No. 13.194 (hereinafter </w:t>
      </w:r>
      <w:r w:rsidR="00863BDF" w:rsidRPr="00C837DD">
        <w:rPr>
          <w:sz w:val="20"/>
          <w:szCs w:val="20"/>
          <w:lang w:eastAsia="es-ES"/>
        </w:rPr>
        <w:t xml:space="preserve">the </w:t>
      </w:r>
      <w:r w:rsidRPr="00C837DD">
        <w:rPr>
          <w:sz w:val="20"/>
          <w:szCs w:val="20"/>
          <w:lang w:eastAsia="es-ES"/>
        </w:rPr>
        <w:t>“Femicide</w:t>
      </w:r>
      <w:r w:rsidR="00863BDF" w:rsidRPr="00C837DD">
        <w:rPr>
          <w:sz w:val="20"/>
          <w:szCs w:val="20"/>
          <w:lang w:eastAsia="es-ES"/>
        </w:rPr>
        <w:t xml:space="preserve"> Law</w:t>
      </w:r>
      <w:r w:rsidRPr="00C837DD">
        <w:rPr>
          <w:sz w:val="20"/>
          <w:szCs w:val="20"/>
          <w:lang w:eastAsia="es-ES"/>
        </w:rPr>
        <w:t xml:space="preserve">”), which </w:t>
      </w:r>
      <w:r w:rsidR="00863BDF" w:rsidRPr="00C837DD">
        <w:rPr>
          <w:sz w:val="20"/>
          <w:szCs w:val="20"/>
          <w:lang w:eastAsia="es-ES"/>
        </w:rPr>
        <w:t xml:space="preserve">defined </w:t>
      </w:r>
      <w:r w:rsidRPr="00C837DD">
        <w:rPr>
          <w:sz w:val="20"/>
          <w:szCs w:val="20"/>
        </w:rPr>
        <w:t>femicide as a</w:t>
      </w:r>
      <w:r w:rsidR="009366E5" w:rsidRPr="00C837DD">
        <w:rPr>
          <w:sz w:val="20"/>
          <w:szCs w:val="20"/>
        </w:rPr>
        <w:t xml:space="preserve">n aggravated </w:t>
      </w:r>
      <w:r w:rsidRPr="00C837DD">
        <w:rPr>
          <w:sz w:val="20"/>
          <w:szCs w:val="20"/>
        </w:rPr>
        <w:t>form of homicide</w:t>
      </w:r>
      <w:r w:rsidRPr="00C837DD">
        <w:rPr>
          <w:rStyle w:val="Refdenotaalpie"/>
          <w:sz w:val="20"/>
          <w:szCs w:val="20"/>
        </w:rPr>
        <w:footnoteReference w:id="53"/>
      </w:r>
      <w:r w:rsidRPr="00C837DD">
        <w:rPr>
          <w:sz w:val="20"/>
          <w:szCs w:val="20"/>
        </w:rPr>
        <w:t xml:space="preserve"> in the Criminal Code, the </w:t>
      </w:r>
      <w:r w:rsidRPr="00C837DD">
        <w:rPr>
          <w:sz w:val="20"/>
          <w:szCs w:val="20"/>
          <w:lang w:eastAsia="es-ES"/>
        </w:rPr>
        <w:t>Latin-American Faculty of Social Sciences (hereinafter “FLACSO”)</w:t>
      </w:r>
      <w:r w:rsidRPr="00C837DD">
        <w:rPr>
          <w:rStyle w:val="Refdenotaalpie"/>
          <w:sz w:val="20"/>
          <w:szCs w:val="20"/>
          <w:lang w:eastAsia="es-ES"/>
        </w:rPr>
        <w:t xml:space="preserve"> </w:t>
      </w:r>
      <w:r w:rsidRPr="00C837DD">
        <w:rPr>
          <w:rStyle w:val="Refdenotaalpie"/>
          <w:sz w:val="20"/>
          <w:szCs w:val="20"/>
          <w:lang w:eastAsia="es-ES"/>
        </w:rPr>
        <w:footnoteReference w:id="54"/>
      </w:r>
      <w:r w:rsidRPr="00C837DD">
        <w:rPr>
          <w:sz w:val="20"/>
          <w:szCs w:val="20"/>
        </w:rPr>
        <w:t xml:space="preserve"> in 2015, and the United Nations </w:t>
      </w:r>
      <w:r w:rsidR="00DF3ECC" w:rsidRPr="00C837DD">
        <w:rPr>
          <w:sz w:val="20"/>
          <w:szCs w:val="20"/>
        </w:rPr>
        <w:t xml:space="preserve">High </w:t>
      </w:r>
      <w:r w:rsidRPr="00C837DD">
        <w:rPr>
          <w:sz w:val="20"/>
          <w:szCs w:val="20"/>
        </w:rPr>
        <w:t>Commissioner for Human Rights</w:t>
      </w:r>
      <w:r w:rsidRPr="00C837DD">
        <w:rPr>
          <w:rStyle w:val="Refdenotaalpie"/>
          <w:sz w:val="20"/>
          <w:szCs w:val="20"/>
          <w:lang w:eastAsia="es-ES"/>
        </w:rPr>
        <w:footnoteReference w:id="55"/>
      </w:r>
      <w:r w:rsidRPr="00C837DD">
        <w:rPr>
          <w:sz w:val="20"/>
          <w:szCs w:val="20"/>
        </w:rPr>
        <w:t xml:space="preserve"> in 2016</w:t>
      </w:r>
      <w:r w:rsidR="00863BDF" w:rsidRPr="00C837DD">
        <w:rPr>
          <w:sz w:val="20"/>
          <w:szCs w:val="20"/>
        </w:rPr>
        <w:t>,</w:t>
      </w:r>
      <w:r w:rsidRPr="00C837DD">
        <w:rPr>
          <w:b/>
          <w:sz w:val="20"/>
          <w:szCs w:val="20"/>
          <w:lang w:eastAsia="es-ES"/>
        </w:rPr>
        <w:t xml:space="preserve"> </w:t>
      </w:r>
      <w:r w:rsidR="00863BDF" w:rsidRPr="00C837DD">
        <w:rPr>
          <w:bCs/>
          <w:sz w:val="20"/>
          <w:szCs w:val="20"/>
          <w:lang w:eastAsia="es-ES"/>
        </w:rPr>
        <w:t>ranked</w:t>
      </w:r>
      <w:r w:rsidR="00863BDF" w:rsidRPr="00C837DD">
        <w:rPr>
          <w:b/>
          <w:sz w:val="20"/>
          <w:szCs w:val="20"/>
          <w:lang w:eastAsia="es-ES"/>
        </w:rPr>
        <w:t xml:space="preserve"> </w:t>
      </w:r>
      <w:r w:rsidRPr="00C837DD">
        <w:rPr>
          <w:sz w:val="20"/>
          <w:szCs w:val="20"/>
          <w:lang w:eastAsia="es-ES"/>
        </w:rPr>
        <w:t xml:space="preserve">Brazil as the country with the fifth highest rate </w:t>
      </w:r>
      <w:r w:rsidR="00863BDF" w:rsidRPr="00C837DD">
        <w:rPr>
          <w:sz w:val="20"/>
          <w:szCs w:val="20"/>
          <w:lang w:eastAsia="es-ES"/>
        </w:rPr>
        <w:t>of gender-related homicides of women in the world</w:t>
      </w:r>
      <w:r w:rsidR="00DF3ECC" w:rsidRPr="00C837DD">
        <w:rPr>
          <w:sz w:val="20"/>
          <w:szCs w:val="20"/>
          <w:lang w:eastAsia="es-ES"/>
        </w:rPr>
        <w:t>. Subsequently, a</w:t>
      </w:r>
      <w:r w:rsidRPr="00C837DD">
        <w:rPr>
          <w:sz w:val="20"/>
          <w:szCs w:val="20"/>
          <w:lang w:eastAsia="es-ES"/>
        </w:rPr>
        <w:t xml:space="preserve"> </w:t>
      </w:r>
      <w:r w:rsidR="00DF3ECC" w:rsidRPr="00C837DD">
        <w:rPr>
          <w:sz w:val="20"/>
          <w:szCs w:val="20"/>
          <w:lang w:eastAsia="es-ES"/>
        </w:rPr>
        <w:t xml:space="preserve">study </w:t>
      </w:r>
      <w:r w:rsidRPr="00C837DD">
        <w:rPr>
          <w:sz w:val="20"/>
          <w:szCs w:val="20"/>
          <w:lang w:eastAsia="es-ES"/>
        </w:rPr>
        <w:t xml:space="preserve">on the evolution of violence in Brazil, </w:t>
      </w:r>
      <w:r w:rsidR="00DF3ECC" w:rsidRPr="00C837DD">
        <w:rPr>
          <w:sz w:val="20"/>
          <w:szCs w:val="20"/>
          <w:lang w:eastAsia="es-ES"/>
        </w:rPr>
        <w:t>c</w:t>
      </w:r>
      <w:r w:rsidR="0007010A" w:rsidRPr="00C837DD">
        <w:rPr>
          <w:sz w:val="20"/>
          <w:szCs w:val="20"/>
          <w:lang w:eastAsia="es-ES"/>
        </w:rPr>
        <w:t xml:space="preserve">onducted </w:t>
      </w:r>
      <w:r w:rsidRPr="00C837DD">
        <w:rPr>
          <w:sz w:val="20"/>
          <w:szCs w:val="20"/>
          <w:lang w:eastAsia="es-ES"/>
        </w:rPr>
        <w:t xml:space="preserve">by the Institute </w:t>
      </w:r>
      <w:r w:rsidR="00DF3ECC" w:rsidRPr="00C837DD">
        <w:rPr>
          <w:sz w:val="20"/>
          <w:szCs w:val="20"/>
          <w:lang w:eastAsia="es-ES"/>
        </w:rPr>
        <w:t xml:space="preserve">for </w:t>
      </w:r>
      <w:r w:rsidRPr="00C837DD">
        <w:rPr>
          <w:sz w:val="20"/>
          <w:szCs w:val="20"/>
          <w:lang w:eastAsia="es-ES"/>
        </w:rPr>
        <w:t xml:space="preserve">Applied Economic </w:t>
      </w:r>
      <w:r w:rsidR="00DF3ECC" w:rsidRPr="00C837DD">
        <w:rPr>
          <w:sz w:val="20"/>
          <w:szCs w:val="20"/>
          <w:lang w:eastAsia="es-ES"/>
        </w:rPr>
        <w:t xml:space="preserve">Research </w:t>
      </w:r>
      <w:r w:rsidR="00DF3ECC" w:rsidRPr="00BE1BB5">
        <w:rPr>
          <w:sz w:val="20"/>
          <w:szCs w:val="20"/>
          <w:lang w:eastAsia="es-ES"/>
        </w:rPr>
        <w:t>(</w:t>
      </w:r>
      <w:r w:rsidR="00DF3ECC" w:rsidRPr="00BE1BB5">
        <w:rPr>
          <w:rFonts w:cs="Arial"/>
          <w:i/>
          <w:iCs/>
          <w:sz w:val="20"/>
          <w:szCs w:val="20"/>
          <w:shd w:val="clear" w:color="auto" w:fill="FFFFFF"/>
        </w:rPr>
        <w:t>Instituto de Pesquisa Econômica Aplicada)</w:t>
      </w:r>
      <w:r w:rsidR="00DF3ECC" w:rsidRPr="00BE1BB5">
        <w:rPr>
          <w:sz w:val="20"/>
          <w:szCs w:val="20"/>
          <w:lang w:eastAsia="es-ES"/>
        </w:rPr>
        <w:t xml:space="preserve"> (hereinafter “IPEA”</w:t>
      </w:r>
      <w:r w:rsidR="0007010A" w:rsidRPr="00BE1BB5">
        <w:rPr>
          <w:sz w:val="20"/>
          <w:szCs w:val="20"/>
          <w:lang w:eastAsia="es-ES"/>
        </w:rPr>
        <w:t>)</w:t>
      </w:r>
      <w:r w:rsidRPr="00BE1BB5">
        <w:rPr>
          <w:sz w:val="20"/>
          <w:szCs w:val="20"/>
          <w:lang w:eastAsia="es-ES"/>
        </w:rPr>
        <w:t xml:space="preserve"> in 2018</w:t>
      </w:r>
      <w:r w:rsidRPr="00C837DD">
        <w:rPr>
          <w:sz w:val="20"/>
          <w:szCs w:val="20"/>
          <w:lang w:eastAsia="es-ES"/>
        </w:rPr>
        <w:t xml:space="preserve">, showed that </w:t>
      </w:r>
      <w:r w:rsidR="00D70620" w:rsidRPr="00C837DD">
        <w:rPr>
          <w:sz w:val="20"/>
          <w:szCs w:val="20"/>
          <w:lang w:eastAsia="es-ES"/>
        </w:rPr>
        <w:t xml:space="preserve">murders </w:t>
      </w:r>
      <w:r w:rsidRPr="00C837DD">
        <w:rPr>
          <w:sz w:val="20"/>
          <w:szCs w:val="20"/>
          <w:lang w:eastAsia="es-ES"/>
        </w:rPr>
        <w:t>of women in the country had increased by almost 5% between 2006 and 2016.</w:t>
      </w:r>
      <w:r w:rsidRPr="00C837DD">
        <w:rPr>
          <w:rStyle w:val="Refdenotaalpie"/>
          <w:sz w:val="20"/>
          <w:szCs w:val="20"/>
          <w:lang w:eastAsia="es-ES"/>
        </w:rPr>
        <w:footnoteReference w:id="56"/>
      </w:r>
      <w:r w:rsidRPr="00C837DD">
        <w:rPr>
          <w:b/>
          <w:sz w:val="20"/>
          <w:szCs w:val="20"/>
          <w:lang w:eastAsia="es-ES"/>
        </w:rPr>
        <w:t xml:space="preserve"> </w:t>
      </w:r>
      <w:r w:rsidRPr="00C837DD">
        <w:rPr>
          <w:sz w:val="20"/>
          <w:szCs w:val="20"/>
          <w:lang w:eastAsia="es-ES"/>
        </w:rPr>
        <w:t>Likewise, a survey carried out by a newspaper in Brazil also presented data showing a renewed increase in the number of homicides of women in 2017.</w:t>
      </w:r>
      <w:r w:rsidRPr="00C837DD">
        <w:rPr>
          <w:rStyle w:val="Refdenotaalpie"/>
          <w:sz w:val="20"/>
          <w:szCs w:val="20"/>
          <w:lang w:eastAsia="es-ES"/>
        </w:rPr>
        <w:footnoteReference w:id="57"/>
      </w:r>
      <w:r w:rsidRPr="00C837DD">
        <w:rPr>
          <w:sz w:val="20"/>
          <w:szCs w:val="20"/>
          <w:lang w:eastAsia="es-ES"/>
        </w:rPr>
        <w:t xml:space="preserve"> </w:t>
      </w:r>
    </w:p>
    <w:p w14:paraId="4CF23E4A" w14:textId="77777777" w:rsidR="00F85D5F" w:rsidRPr="00C837DD" w:rsidRDefault="00F85D5F" w:rsidP="00F85D5F">
      <w:pPr>
        <w:pStyle w:val="Prrafodelista"/>
        <w:tabs>
          <w:tab w:val="left" w:pos="142"/>
        </w:tabs>
        <w:ind w:left="0"/>
        <w:rPr>
          <w:sz w:val="20"/>
          <w:szCs w:val="20"/>
        </w:rPr>
      </w:pPr>
    </w:p>
    <w:p w14:paraId="044C80EB" w14:textId="2AB5040A" w:rsidR="00F85D5F" w:rsidRPr="00C837DD" w:rsidRDefault="00D70620" w:rsidP="00F85D5F">
      <w:pPr>
        <w:pStyle w:val="Prrafodelista"/>
        <w:numPr>
          <w:ilvl w:val="0"/>
          <w:numId w:val="6"/>
        </w:numPr>
        <w:tabs>
          <w:tab w:val="left" w:pos="142"/>
        </w:tabs>
        <w:ind w:left="0" w:firstLine="0"/>
        <w:rPr>
          <w:sz w:val="20"/>
          <w:szCs w:val="20"/>
        </w:rPr>
      </w:pPr>
      <w:r w:rsidRPr="00C837DD">
        <w:rPr>
          <w:sz w:val="20"/>
          <w:szCs w:val="20"/>
          <w:lang w:eastAsia="es-ES"/>
        </w:rPr>
        <w:t>On the other hand,</w:t>
      </w:r>
      <w:r w:rsidR="00F85D5F" w:rsidRPr="00C837DD">
        <w:rPr>
          <w:sz w:val="20"/>
          <w:szCs w:val="20"/>
          <w:lang w:eastAsia="es-ES"/>
        </w:rPr>
        <w:t xml:space="preserve"> it was observed that in the state of Paraíba murder rates for women between 1990 and 2000 did not vary substantially. However, by 2017, the number of women murdered per 100,000 inhabitants almost doubled in relation to 1990.</w:t>
      </w:r>
      <w:r w:rsidR="00F85D5F" w:rsidRPr="00C837DD">
        <w:rPr>
          <w:rStyle w:val="Refdenotaalpie"/>
          <w:sz w:val="20"/>
          <w:szCs w:val="20"/>
          <w:lang w:eastAsia="es-ES"/>
        </w:rPr>
        <w:footnoteReference w:id="58"/>
      </w:r>
    </w:p>
    <w:p w14:paraId="05FA62C2" w14:textId="77777777" w:rsidR="00F85D5F" w:rsidRPr="00C837DD" w:rsidRDefault="00F85D5F" w:rsidP="00F85D5F">
      <w:pPr>
        <w:pStyle w:val="Prrafodelista"/>
        <w:tabs>
          <w:tab w:val="left" w:pos="142"/>
        </w:tabs>
        <w:ind w:left="0"/>
        <w:rPr>
          <w:sz w:val="20"/>
          <w:szCs w:val="20"/>
          <w:lang w:eastAsia="es-ES"/>
        </w:rPr>
      </w:pPr>
    </w:p>
    <w:p w14:paraId="71AB6678" w14:textId="68007C60" w:rsidR="00F85D5F" w:rsidRPr="00C837DD" w:rsidRDefault="00F85D5F" w:rsidP="00F85D5F">
      <w:pPr>
        <w:pStyle w:val="Prrafodelista"/>
        <w:numPr>
          <w:ilvl w:val="0"/>
          <w:numId w:val="6"/>
        </w:numPr>
        <w:tabs>
          <w:tab w:val="left" w:pos="142"/>
        </w:tabs>
        <w:ind w:left="0" w:firstLine="0"/>
        <w:rPr>
          <w:sz w:val="20"/>
          <w:szCs w:val="20"/>
          <w:lang w:eastAsia="es-ES"/>
        </w:rPr>
      </w:pPr>
      <w:r w:rsidRPr="00C837DD">
        <w:rPr>
          <w:sz w:val="20"/>
          <w:szCs w:val="20"/>
          <w:lang w:eastAsia="es-ES"/>
        </w:rPr>
        <w:t>It is important to note that</w:t>
      </w:r>
      <w:r w:rsidR="00BE1BB5">
        <w:rPr>
          <w:sz w:val="20"/>
          <w:szCs w:val="20"/>
          <w:lang w:eastAsia="es-ES"/>
        </w:rPr>
        <w:t xml:space="preserve"> </w:t>
      </w:r>
      <w:r w:rsidRPr="00C837DD">
        <w:rPr>
          <w:sz w:val="20"/>
          <w:szCs w:val="20"/>
          <w:lang w:eastAsia="es-ES"/>
        </w:rPr>
        <w:t>violent deaths of women in Brazil do not occur evenly; there is a significant difference by race.</w:t>
      </w:r>
      <w:r w:rsidRPr="00C837DD">
        <w:rPr>
          <w:rStyle w:val="Refdenotaalpie"/>
          <w:sz w:val="20"/>
          <w:szCs w:val="20"/>
          <w:lang w:eastAsia="es-ES"/>
        </w:rPr>
        <w:footnoteReference w:id="59"/>
      </w:r>
      <w:r w:rsidRPr="00C837DD">
        <w:rPr>
          <w:sz w:val="20"/>
          <w:szCs w:val="20"/>
          <w:lang w:eastAsia="es-ES"/>
        </w:rPr>
        <w:t xml:space="preserve"> </w:t>
      </w:r>
      <w:r w:rsidR="005E54A3" w:rsidRPr="00C837DD">
        <w:rPr>
          <w:sz w:val="20"/>
          <w:szCs w:val="20"/>
          <w:lang w:eastAsia="es-ES"/>
        </w:rPr>
        <w:t>Overall</w:t>
      </w:r>
      <w:r w:rsidRPr="00C837DD">
        <w:rPr>
          <w:sz w:val="20"/>
          <w:szCs w:val="20"/>
          <w:lang w:eastAsia="es-ES"/>
        </w:rPr>
        <w:t xml:space="preserve">, the </w:t>
      </w:r>
      <w:r w:rsidR="00BE1BB5">
        <w:rPr>
          <w:sz w:val="20"/>
          <w:szCs w:val="20"/>
          <w:lang w:eastAsia="es-ES"/>
        </w:rPr>
        <w:t xml:space="preserve">rate of </w:t>
      </w:r>
      <w:r w:rsidRPr="00C837DD">
        <w:rPr>
          <w:sz w:val="20"/>
          <w:szCs w:val="20"/>
          <w:lang w:eastAsia="es-ES"/>
        </w:rPr>
        <w:t xml:space="preserve">victimization of black women in the </w:t>
      </w:r>
      <w:r w:rsidRPr="00C837DD">
        <w:rPr>
          <w:sz w:val="20"/>
          <w:szCs w:val="20"/>
          <w:lang w:eastAsia="es-ES"/>
        </w:rPr>
        <w:lastRenderedPageBreak/>
        <w:t>country is 66 times higher than</w:t>
      </w:r>
      <w:r w:rsidR="005E54A3" w:rsidRPr="00C837DD">
        <w:rPr>
          <w:sz w:val="20"/>
          <w:szCs w:val="20"/>
          <w:lang w:eastAsia="es-ES"/>
        </w:rPr>
        <w:t xml:space="preserve"> </w:t>
      </w:r>
      <w:r w:rsidR="00BE1BB5">
        <w:rPr>
          <w:sz w:val="20"/>
          <w:szCs w:val="20"/>
          <w:lang w:eastAsia="es-ES"/>
        </w:rPr>
        <w:t xml:space="preserve">for </w:t>
      </w:r>
      <w:r w:rsidRPr="00C837DD">
        <w:rPr>
          <w:sz w:val="20"/>
          <w:szCs w:val="20"/>
          <w:lang w:eastAsia="es-ES"/>
        </w:rPr>
        <w:t>white women.</w:t>
      </w:r>
      <w:r w:rsidRPr="00C837DD">
        <w:rPr>
          <w:rStyle w:val="Refdenotaalpie"/>
          <w:sz w:val="20"/>
          <w:szCs w:val="20"/>
          <w:lang w:eastAsia="es-ES"/>
        </w:rPr>
        <w:footnoteReference w:id="60"/>
      </w:r>
      <w:r w:rsidRPr="00C837DD">
        <w:rPr>
          <w:sz w:val="20"/>
          <w:szCs w:val="20"/>
          <w:lang w:eastAsia="es-ES"/>
        </w:rPr>
        <w:t xml:space="preserve"> For example, between 2003 and 2013, there was a </w:t>
      </w:r>
      <w:r w:rsidR="005E54A3" w:rsidRPr="00C837DD">
        <w:rPr>
          <w:sz w:val="20"/>
          <w:szCs w:val="20"/>
          <w:lang w:eastAsia="es-ES"/>
        </w:rPr>
        <w:t xml:space="preserve">decrease </w:t>
      </w:r>
      <w:r w:rsidRPr="00C837DD">
        <w:rPr>
          <w:sz w:val="20"/>
          <w:szCs w:val="20"/>
          <w:lang w:eastAsia="es-ES"/>
        </w:rPr>
        <w:t xml:space="preserve">of </w:t>
      </w:r>
      <w:r w:rsidR="005E54A3" w:rsidRPr="00C837DD">
        <w:rPr>
          <w:sz w:val="20"/>
          <w:szCs w:val="20"/>
          <w:lang w:eastAsia="es-ES"/>
        </w:rPr>
        <w:t xml:space="preserve">almost </w:t>
      </w:r>
      <w:r w:rsidRPr="00C837DD">
        <w:rPr>
          <w:sz w:val="20"/>
          <w:szCs w:val="20"/>
          <w:lang w:eastAsia="es-ES"/>
        </w:rPr>
        <w:t>10% in homicides of white women, but an increase of 54% in homicides of black women.</w:t>
      </w:r>
      <w:r w:rsidRPr="00C837DD">
        <w:rPr>
          <w:rStyle w:val="Refdenotaalpie"/>
          <w:sz w:val="20"/>
          <w:szCs w:val="20"/>
          <w:lang w:eastAsia="es-ES"/>
        </w:rPr>
        <w:footnoteReference w:id="61"/>
      </w:r>
      <w:r w:rsidR="00F909CC" w:rsidRPr="00C837DD">
        <w:rPr>
          <w:sz w:val="20"/>
          <w:szCs w:val="20"/>
          <w:lang w:eastAsia="es-ES"/>
        </w:rPr>
        <w:t xml:space="preserve"> D</w:t>
      </w:r>
      <w:r w:rsidRPr="00C837DD">
        <w:rPr>
          <w:sz w:val="20"/>
          <w:szCs w:val="20"/>
          <w:lang w:eastAsia="es-ES"/>
        </w:rPr>
        <w:t>ata provided by the Violence Monitor,</w:t>
      </w:r>
      <w:r w:rsidRPr="00C837DD">
        <w:rPr>
          <w:sz w:val="20"/>
          <w:szCs w:val="20"/>
          <w:vertAlign w:val="superscript"/>
          <w:lang w:eastAsia="es-ES"/>
        </w:rPr>
        <w:footnoteReference w:id="62"/>
      </w:r>
      <w:r w:rsidRPr="00C837DD">
        <w:rPr>
          <w:sz w:val="20"/>
          <w:szCs w:val="20"/>
          <w:lang w:eastAsia="es-ES"/>
        </w:rPr>
        <w:t xml:space="preserve"> collected in all regions of Brazil, show</w:t>
      </w:r>
      <w:r w:rsidR="00BE1BB5">
        <w:rPr>
          <w:sz w:val="20"/>
          <w:szCs w:val="20"/>
          <w:lang w:eastAsia="es-ES"/>
        </w:rPr>
        <w:t>s</w:t>
      </w:r>
      <w:r w:rsidRPr="00C837DD">
        <w:rPr>
          <w:sz w:val="20"/>
          <w:szCs w:val="20"/>
          <w:lang w:eastAsia="es-ES"/>
        </w:rPr>
        <w:t xml:space="preserve"> that during the first half of 2020, 75% of murdered </w:t>
      </w:r>
      <w:r w:rsidR="00F909CC" w:rsidRPr="00C837DD">
        <w:rPr>
          <w:sz w:val="20"/>
          <w:szCs w:val="20"/>
          <w:lang w:eastAsia="es-ES"/>
        </w:rPr>
        <w:t xml:space="preserve">women </w:t>
      </w:r>
      <w:r w:rsidRPr="00C837DD">
        <w:rPr>
          <w:sz w:val="20"/>
          <w:szCs w:val="20"/>
          <w:lang w:eastAsia="es-ES"/>
        </w:rPr>
        <w:t>were black.</w:t>
      </w:r>
      <w:r w:rsidRPr="00C837DD">
        <w:rPr>
          <w:rStyle w:val="Refdenotaalpie"/>
          <w:sz w:val="20"/>
          <w:szCs w:val="20"/>
          <w:lang w:eastAsia="es-ES"/>
        </w:rPr>
        <w:footnoteReference w:id="63"/>
      </w:r>
      <w:r w:rsidRPr="00C837DD">
        <w:rPr>
          <w:sz w:val="20"/>
          <w:szCs w:val="20"/>
          <w:lang w:eastAsia="es-ES"/>
        </w:rPr>
        <w:t xml:space="preserve"> Young women, between 15 and 29</w:t>
      </w:r>
      <w:r w:rsidR="00F909CC" w:rsidRPr="00C837DD">
        <w:rPr>
          <w:sz w:val="20"/>
          <w:szCs w:val="20"/>
          <w:lang w:eastAsia="es-ES"/>
        </w:rPr>
        <w:t xml:space="preserve"> years of age</w:t>
      </w:r>
      <w:r w:rsidRPr="00C837DD">
        <w:rPr>
          <w:sz w:val="20"/>
          <w:szCs w:val="20"/>
          <w:lang w:eastAsia="es-ES"/>
        </w:rPr>
        <w:t xml:space="preserve">, are also the main victims of femicide in Brazil. The specific profile of women who are murdered in Brazil in </w:t>
      </w:r>
      <w:r w:rsidR="00F909CC" w:rsidRPr="00C837DD">
        <w:rPr>
          <w:sz w:val="20"/>
          <w:szCs w:val="20"/>
          <w:lang w:eastAsia="es-ES"/>
        </w:rPr>
        <w:t xml:space="preserve">greater </w:t>
      </w:r>
      <w:r w:rsidRPr="00C837DD">
        <w:rPr>
          <w:sz w:val="20"/>
          <w:szCs w:val="20"/>
          <w:lang w:eastAsia="es-ES"/>
        </w:rPr>
        <w:t>numbers corresponds to young, black and poor women.</w:t>
      </w:r>
      <w:r w:rsidRPr="00C837DD">
        <w:rPr>
          <w:rStyle w:val="Refdenotaalpie"/>
          <w:sz w:val="20"/>
          <w:szCs w:val="20"/>
          <w:lang w:eastAsia="es-ES"/>
        </w:rPr>
        <w:footnoteReference w:id="64"/>
      </w:r>
      <w:r w:rsidRPr="00C837DD">
        <w:rPr>
          <w:sz w:val="20"/>
          <w:szCs w:val="20"/>
          <w:lang w:eastAsia="es-ES"/>
        </w:rPr>
        <w:t xml:space="preserve"> In Paraíba, the murder rate </w:t>
      </w:r>
      <w:r w:rsidR="00127247">
        <w:rPr>
          <w:sz w:val="20"/>
          <w:szCs w:val="20"/>
          <w:lang w:eastAsia="es-ES"/>
        </w:rPr>
        <w:t xml:space="preserve">for </w:t>
      </w:r>
      <w:r w:rsidRPr="00C837DD">
        <w:rPr>
          <w:sz w:val="20"/>
          <w:szCs w:val="20"/>
          <w:lang w:eastAsia="es-ES"/>
        </w:rPr>
        <w:t>black women has remained high since 2000, when measurements began. Furthermore, between 2000 and 2017, the number of black women murdered doubled.</w:t>
      </w:r>
      <w:r w:rsidRPr="00C837DD">
        <w:rPr>
          <w:sz w:val="20"/>
          <w:szCs w:val="20"/>
          <w:vertAlign w:val="superscript"/>
          <w:lang w:eastAsia="es-ES"/>
        </w:rPr>
        <w:footnoteReference w:id="65"/>
      </w:r>
      <w:r w:rsidRPr="00C837DD">
        <w:rPr>
          <w:sz w:val="20"/>
          <w:szCs w:val="20"/>
          <w:lang w:eastAsia="es-ES"/>
        </w:rPr>
        <w:t xml:space="preserve"> In 2018, the </w:t>
      </w:r>
      <w:r w:rsidR="006D4FFA" w:rsidRPr="00C837DD">
        <w:rPr>
          <w:sz w:val="20"/>
          <w:szCs w:val="20"/>
          <w:lang w:eastAsia="es-ES"/>
        </w:rPr>
        <w:t xml:space="preserve">homicide </w:t>
      </w:r>
      <w:r w:rsidRPr="00C837DD">
        <w:rPr>
          <w:sz w:val="20"/>
          <w:szCs w:val="20"/>
          <w:lang w:eastAsia="es-ES"/>
        </w:rPr>
        <w:t xml:space="preserve">rate </w:t>
      </w:r>
      <w:r w:rsidR="006D4FFA" w:rsidRPr="00C837DD">
        <w:rPr>
          <w:sz w:val="20"/>
          <w:szCs w:val="20"/>
          <w:lang w:eastAsia="es-ES"/>
        </w:rPr>
        <w:t xml:space="preserve">for </w:t>
      </w:r>
      <w:r w:rsidRPr="00C837DD">
        <w:rPr>
          <w:sz w:val="20"/>
          <w:szCs w:val="20"/>
          <w:lang w:eastAsia="es-ES"/>
        </w:rPr>
        <w:t xml:space="preserve">black women in the </w:t>
      </w:r>
      <w:r w:rsidR="00127247">
        <w:rPr>
          <w:sz w:val="20"/>
          <w:szCs w:val="20"/>
          <w:lang w:eastAsia="es-ES"/>
        </w:rPr>
        <w:t>s</w:t>
      </w:r>
      <w:r w:rsidRPr="00C837DD">
        <w:rPr>
          <w:sz w:val="20"/>
          <w:szCs w:val="20"/>
          <w:lang w:eastAsia="es-ES"/>
        </w:rPr>
        <w:t>tate of Paraíba was four times higher than for other women</w:t>
      </w:r>
      <w:r w:rsidRPr="00C837DD">
        <w:rPr>
          <w:sz w:val="20"/>
          <w:szCs w:val="20"/>
          <w:vertAlign w:val="superscript"/>
          <w:lang w:eastAsia="es-ES"/>
        </w:rPr>
        <w:footnoteReference w:id="66"/>
      </w:r>
      <w:r w:rsidRPr="00C837DD">
        <w:rPr>
          <w:sz w:val="20"/>
          <w:szCs w:val="20"/>
          <w:lang w:eastAsia="es-ES"/>
        </w:rPr>
        <w:t xml:space="preserve">. </w:t>
      </w:r>
    </w:p>
    <w:p w14:paraId="5786FA0F" w14:textId="77777777" w:rsidR="00F85D5F" w:rsidRPr="00C837DD" w:rsidRDefault="00F85D5F" w:rsidP="00F85D5F">
      <w:pPr>
        <w:pStyle w:val="Prrafodelista"/>
        <w:tabs>
          <w:tab w:val="left" w:pos="142"/>
        </w:tabs>
        <w:ind w:left="0"/>
        <w:rPr>
          <w:sz w:val="20"/>
          <w:szCs w:val="20"/>
        </w:rPr>
      </w:pPr>
    </w:p>
    <w:p w14:paraId="70340403" w14:textId="7C93DBEF" w:rsidR="00F85D5F" w:rsidRPr="00C837DD" w:rsidRDefault="006D4FFA" w:rsidP="00F85D5F">
      <w:pPr>
        <w:pStyle w:val="Prrafodelista"/>
        <w:numPr>
          <w:ilvl w:val="0"/>
          <w:numId w:val="6"/>
        </w:numPr>
        <w:tabs>
          <w:tab w:val="left" w:pos="142"/>
        </w:tabs>
        <w:ind w:left="0" w:firstLine="0"/>
        <w:rPr>
          <w:sz w:val="20"/>
          <w:szCs w:val="20"/>
        </w:rPr>
      </w:pPr>
      <w:r w:rsidRPr="00C837DD">
        <w:rPr>
          <w:sz w:val="20"/>
          <w:szCs w:val="20"/>
          <w:lang w:eastAsia="es-ES"/>
        </w:rPr>
        <w:t>Regarding the response of the Judiciary to cases of violence against women,</w:t>
      </w:r>
      <w:r w:rsidR="00F85D5F" w:rsidRPr="00C837DD">
        <w:rPr>
          <w:sz w:val="20"/>
          <w:szCs w:val="20"/>
          <w:lang w:eastAsia="es-ES"/>
        </w:rPr>
        <w:t xml:space="preserve"> </w:t>
      </w:r>
      <w:r w:rsidR="00127247">
        <w:rPr>
          <w:sz w:val="20"/>
          <w:szCs w:val="20"/>
          <w:lang w:eastAsia="es-ES"/>
        </w:rPr>
        <w:t xml:space="preserve">in many cases </w:t>
      </w:r>
      <w:r w:rsidR="00F85D5F" w:rsidRPr="00C837DD">
        <w:rPr>
          <w:sz w:val="20"/>
          <w:szCs w:val="20"/>
          <w:lang w:eastAsia="es-ES"/>
        </w:rPr>
        <w:t>during 1990s, in application of Law 9.099/95</w:t>
      </w:r>
      <w:r w:rsidRPr="00C837DD">
        <w:rPr>
          <w:sz w:val="20"/>
          <w:szCs w:val="20"/>
          <w:lang w:eastAsia="es-ES"/>
        </w:rPr>
        <w:t>,</w:t>
      </w:r>
      <w:r w:rsidR="00F85D5F" w:rsidRPr="00C837DD">
        <w:rPr>
          <w:rStyle w:val="Refdenotaalpie"/>
          <w:sz w:val="20"/>
          <w:szCs w:val="20"/>
          <w:lang w:eastAsia="es-ES"/>
        </w:rPr>
        <w:footnoteReference w:id="67"/>
      </w:r>
      <w:r w:rsidR="00F85D5F" w:rsidRPr="00C837DD">
        <w:rPr>
          <w:sz w:val="20"/>
          <w:szCs w:val="20"/>
          <w:lang w:eastAsia="es-ES"/>
        </w:rPr>
        <w:t xml:space="preserve"> the perpetrators were ordered to pay derisory sums of money as compen</w:t>
      </w:r>
      <w:r w:rsidR="00DF3ECC" w:rsidRPr="00C837DD">
        <w:rPr>
          <w:sz w:val="20"/>
          <w:szCs w:val="20"/>
          <w:lang w:eastAsia="es-ES"/>
        </w:rPr>
        <w:t>sation in the civil sphere and</w:t>
      </w:r>
      <w:r w:rsidR="00F85D5F" w:rsidRPr="00C837DD">
        <w:rPr>
          <w:sz w:val="20"/>
          <w:szCs w:val="20"/>
          <w:lang w:eastAsia="es-ES"/>
        </w:rPr>
        <w:t xml:space="preserve"> only the amount of a </w:t>
      </w:r>
      <w:r w:rsidR="00DF3ECC" w:rsidRPr="00C837DD">
        <w:rPr>
          <w:sz w:val="20"/>
          <w:szCs w:val="20"/>
          <w:lang w:eastAsia="es-ES"/>
        </w:rPr>
        <w:t xml:space="preserve">basic food basket </w:t>
      </w:r>
      <w:r w:rsidR="00F85D5F" w:rsidRPr="00C837DD">
        <w:rPr>
          <w:sz w:val="20"/>
          <w:szCs w:val="20"/>
          <w:lang w:eastAsia="es-ES"/>
        </w:rPr>
        <w:t xml:space="preserve">as </w:t>
      </w:r>
      <w:r w:rsidR="00DF3ECC" w:rsidRPr="00C837DD">
        <w:rPr>
          <w:sz w:val="20"/>
          <w:szCs w:val="20"/>
          <w:lang w:eastAsia="es-ES"/>
        </w:rPr>
        <w:t xml:space="preserve">a criminal sentence, </w:t>
      </w:r>
      <w:r w:rsidR="00F85D5F" w:rsidRPr="00C837DD">
        <w:rPr>
          <w:sz w:val="20"/>
          <w:szCs w:val="20"/>
          <w:lang w:eastAsia="es-ES"/>
        </w:rPr>
        <w:t>since m</w:t>
      </w:r>
      <w:r w:rsidR="00DF3ECC" w:rsidRPr="00C837DD">
        <w:rPr>
          <w:sz w:val="20"/>
          <w:szCs w:val="20"/>
          <w:lang w:eastAsia="es-ES"/>
        </w:rPr>
        <w:t xml:space="preserve">ost </w:t>
      </w:r>
      <w:r w:rsidR="00F85D5F" w:rsidRPr="00C837DD">
        <w:rPr>
          <w:sz w:val="20"/>
          <w:szCs w:val="20"/>
          <w:lang w:eastAsia="es-ES"/>
        </w:rPr>
        <w:t xml:space="preserve">of the </w:t>
      </w:r>
      <w:r w:rsidR="00733EEA" w:rsidRPr="00C837DD">
        <w:rPr>
          <w:sz w:val="20"/>
          <w:szCs w:val="20"/>
          <w:lang w:eastAsia="es-ES"/>
        </w:rPr>
        <w:t xml:space="preserve">aggressions </w:t>
      </w:r>
      <w:r w:rsidR="00F85D5F" w:rsidRPr="00C837DD">
        <w:rPr>
          <w:sz w:val="20"/>
          <w:szCs w:val="20"/>
          <w:lang w:eastAsia="es-ES"/>
        </w:rPr>
        <w:t xml:space="preserve">were classified as “crimes </w:t>
      </w:r>
      <w:r w:rsidR="00DF3ECC" w:rsidRPr="00C837DD">
        <w:rPr>
          <w:sz w:val="20"/>
          <w:szCs w:val="20"/>
          <w:lang w:eastAsia="es-ES"/>
        </w:rPr>
        <w:t xml:space="preserve">of minor </w:t>
      </w:r>
      <w:r w:rsidR="00F85D5F" w:rsidRPr="00C837DD">
        <w:rPr>
          <w:sz w:val="20"/>
          <w:szCs w:val="20"/>
          <w:lang w:eastAsia="es-ES"/>
        </w:rPr>
        <w:t>offensive potential.”</w:t>
      </w:r>
      <w:r w:rsidR="00F85D5F" w:rsidRPr="00C837DD">
        <w:rPr>
          <w:rStyle w:val="Refdenotaalpie"/>
          <w:sz w:val="20"/>
          <w:szCs w:val="20"/>
          <w:lang w:eastAsia="es-ES"/>
        </w:rPr>
        <w:footnoteReference w:id="68"/>
      </w:r>
    </w:p>
    <w:p w14:paraId="168ADCE1" w14:textId="77777777" w:rsidR="00F85D5F" w:rsidRPr="00C837DD" w:rsidRDefault="00F85D5F" w:rsidP="00F85D5F">
      <w:pPr>
        <w:pStyle w:val="Prrafodelista"/>
        <w:tabs>
          <w:tab w:val="left" w:pos="142"/>
        </w:tabs>
        <w:ind w:left="0"/>
        <w:rPr>
          <w:sz w:val="20"/>
          <w:szCs w:val="20"/>
        </w:rPr>
      </w:pPr>
    </w:p>
    <w:p w14:paraId="68486BE4" w14:textId="1421CFDF"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On September 27, 1997, </w:t>
      </w:r>
      <w:r w:rsidR="006D4FFA" w:rsidRPr="00C837DD">
        <w:rPr>
          <w:sz w:val="20"/>
          <w:szCs w:val="20"/>
          <w:lang w:eastAsia="es-ES"/>
        </w:rPr>
        <w:t xml:space="preserve">just over </w:t>
      </w:r>
      <w:r w:rsidRPr="00C837DD">
        <w:rPr>
          <w:sz w:val="20"/>
          <w:szCs w:val="20"/>
          <w:lang w:eastAsia="es-ES"/>
        </w:rPr>
        <w:t xml:space="preserve">a year before the murder of </w:t>
      </w:r>
      <w:r w:rsidR="00B8009F" w:rsidRPr="00C837DD">
        <w:rPr>
          <w:sz w:val="20"/>
          <w:szCs w:val="20"/>
          <w:lang w:eastAsia="es-ES"/>
        </w:rPr>
        <w:t>Márcia</w:t>
      </w:r>
      <w:r w:rsidRPr="00C837DD">
        <w:rPr>
          <w:sz w:val="20"/>
          <w:szCs w:val="20"/>
          <w:lang w:eastAsia="es-ES"/>
        </w:rPr>
        <w:t xml:space="preserve"> Barbosa de Souza, the Inter-American Commission published its Report on the Situation of Human Rights in Brazil</w:t>
      </w:r>
      <w:r w:rsidR="00170A26" w:rsidRPr="00C837DD">
        <w:rPr>
          <w:sz w:val="20"/>
          <w:szCs w:val="20"/>
          <w:lang w:eastAsia="es-ES"/>
        </w:rPr>
        <w:t>,</w:t>
      </w:r>
      <w:r w:rsidRPr="00C837DD">
        <w:rPr>
          <w:rStyle w:val="Refdenotaalpie"/>
          <w:sz w:val="20"/>
          <w:szCs w:val="20"/>
          <w:lang w:eastAsia="es-ES"/>
        </w:rPr>
        <w:footnoteReference w:id="69"/>
      </w:r>
      <w:r w:rsidRPr="00C837DD">
        <w:rPr>
          <w:sz w:val="20"/>
          <w:szCs w:val="20"/>
          <w:lang w:eastAsia="es-ES"/>
        </w:rPr>
        <w:t xml:space="preserve"> in which it </w:t>
      </w:r>
      <w:r w:rsidR="00170A26" w:rsidRPr="00C837DD">
        <w:rPr>
          <w:sz w:val="20"/>
          <w:szCs w:val="20"/>
          <w:lang w:eastAsia="es-ES"/>
        </w:rPr>
        <w:t xml:space="preserve">noted </w:t>
      </w:r>
      <w:r w:rsidRPr="00C837DD">
        <w:rPr>
          <w:sz w:val="20"/>
          <w:szCs w:val="20"/>
          <w:lang w:eastAsia="es-ES"/>
        </w:rPr>
        <w:t xml:space="preserve">that the inefficacy of the judicial system </w:t>
      </w:r>
      <w:r w:rsidR="00170A26" w:rsidRPr="00C837DD">
        <w:rPr>
          <w:sz w:val="20"/>
          <w:szCs w:val="20"/>
          <w:lang w:eastAsia="es-ES"/>
        </w:rPr>
        <w:t xml:space="preserve">in </w:t>
      </w:r>
      <w:r w:rsidRPr="00C837DD">
        <w:rPr>
          <w:sz w:val="20"/>
          <w:szCs w:val="20"/>
          <w:lang w:eastAsia="es-ES"/>
        </w:rPr>
        <w:t>respond</w:t>
      </w:r>
      <w:r w:rsidR="00170A26" w:rsidRPr="00C837DD">
        <w:rPr>
          <w:sz w:val="20"/>
          <w:szCs w:val="20"/>
          <w:lang w:eastAsia="es-ES"/>
        </w:rPr>
        <w:t>ing</w:t>
      </w:r>
      <w:r w:rsidRPr="00C837DD">
        <w:rPr>
          <w:sz w:val="20"/>
          <w:szCs w:val="20"/>
          <w:lang w:eastAsia="es-ES"/>
        </w:rPr>
        <w:t xml:space="preserve"> to cases of violence against women reflected discrimination against </w:t>
      </w:r>
      <w:r w:rsidR="00170A26" w:rsidRPr="00C837DD">
        <w:rPr>
          <w:sz w:val="20"/>
          <w:szCs w:val="20"/>
          <w:lang w:eastAsia="es-ES"/>
        </w:rPr>
        <w:t xml:space="preserve">women </w:t>
      </w:r>
      <w:r w:rsidRPr="00C837DD">
        <w:rPr>
          <w:sz w:val="20"/>
          <w:szCs w:val="20"/>
          <w:lang w:eastAsia="es-ES"/>
        </w:rPr>
        <w:t>victims of violence.</w:t>
      </w:r>
      <w:r w:rsidRPr="00C837DD">
        <w:rPr>
          <w:rStyle w:val="Refdenotaalpie"/>
          <w:sz w:val="20"/>
          <w:szCs w:val="20"/>
          <w:lang w:eastAsia="es-ES"/>
        </w:rPr>
        <w:footnoteReference w:id="70"/>
      </w:r>
      <w:r w:rsidRPr="00C837DD">
        <w:rPr>
          <w:sz w:val="20"/>
          <w:szCs w:val="20"/>
          <w:lang w:eastAsia="es-ES"/>
        </w:rPr>
        <w:t xml:space="preserve"> </w:t>
      </w:r>
    </w:p>
    <w:p w14:paraId="3D6006F5" w14:textId="77777777" w:rsidR="00F85D5F" w:rsidRPr="00C837DD" w:rsidRDefault="00F85D5F" w:rsidP="00F85D5F">
      <w:pPr>
        <w:pStyle w:val="Prrafodelista"/>
        <w:tabs>
          <w:tab w:val="left" w:pos="142"/>
        </w:tabs>
        <w:ind w:left="0"/>
        <w:rPr>
          <w:sz w:val="20"/>
          <w:szCs w:val="20"/>
          <w:lang w:eastAsia="es-ES"/>
        </w:rPr>
      </w:pPr>
    </w:p>
    <w:p w14:paraId="27F7CBE2" w14:textId="1E3BAFB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After the publication of the Merits Report </w:t>
      </w:r>
      <w:r w:rsidR="00127247">
        <w:rPr>
          <w:sz w:val="20"/>
          <w:szCs w:val="20"/>
          <w:lang w:eastAsia="es-ES"/>
        </w:rPr>
        <w:t>i</w:t>
      </w:r>
      <w:r w:rsidRPr="00C837DD">
        <w:rPr>
          <w:sz w:val="20"/>
          <w:szCs w:val="20"/>
          <w:lang w:eastAsia="es-ES"/>
        </w:rPr>
        <w:t xml:space="preserve">n the </w:t>
      </w:r>
      <w:r w:rsidR="001E2B2E" w:rsidRPr="00C837DD">
        <w:rPr>
          <w:sz w:val="20"/>
          <w:szCs w:val="20"/>
          <w:lang w:eastAsia="es-ES"/>
        </w:rPr>
        <w:t xml:space="preserve">abovementioned </w:t>
      </w:r>
      <w:r w:rsidRPr="00C837DD">
        <w:rPr>
          <w:sz w:val="20"/>
          <w:szCs w:val="20"/>
          <w:lang w:eastAsia="es-ES"/>
        </w:rPr>
        <w:t>case</w:t>
      </w:r>
      <w:r w:rsidR="00127247">
        <w:rPr>
          <w:sz w:val="20"/>
          <w:szCs w:val="20"/>
          <w:lang w:eastAsia="es-ES"/>
        </w:rPr>
        <w:t>,</w:t>
      </w:r>
      <w:r w:rsidRPr="00C837DD">
        <w:rPr>
          <w:sz w:val="20"/>
          <w:szCs w:val="20"/>
          <w:lang w:eastAsia="es-ES"/>
        </w:rPr>
        <w:t xml:space="preserve"> and in response to the recommendations of the Commission, Brazil </w:t>
      </w:r>
      <w:r w:rsidR="001E2B2E" w:rsidRPr="00C837DD">
        <w:rPr>
          <w:sz w:val="20"/>
          <w:szCs w:val="20"/>
          <w:lang w:eastAsia="es-ES"/>
        </w:rPr>
        <w:t xml:space="preserve">enacted </w:t>
      </w:r>
      <w:r w:rsidRPr="00C837DD">
        <w:rPr>
          <w:sz w:val="20"/>
          <w:szCs w:val="20"/>
          <w:lang w:eastAsia="es-ES"/>
        </w:rPr>
        <w:t>the Maria da Penha Law in 2006. The Judicia</w:t>
      </w:r>
      <w:r w:rsidR="001E2B2E" w:rsidRPr="00C837DD">
        <w:rPr>
          <w:sz w:val="20"/>
          <w:szCs w:val="20"/>
          <w:lang w:eastAsia="es-ES"/>
        </w:rPr>
        <w:t>ry</w:t>
      </w:r>
      <w:r w:rsidRPr="00C837DD">
        <w:rPr>
          <w:sz w:val="20"/>
          <w:szCs w:val="20"/>
          <w:lang w:eastAsia="es-ES"/>
        </w:rPr>
        <w:t xml:space="preserve"> began its implementation</w:t>
      </w:r>
      <w:r w:rsidR="001E2B2E" w:rsidRPr="00C837DD">
        <w:rPr>
          <w:sz w:val="20"/>
          <w:szCs w:val="20"/>
          <w:lang w:eastAsia="es-ES"/>
        </w:rPr>
        <w:t xml:space="preserve"> by</w:t>
      </w:r>
      <w:r w:rsidRPr="00C837DD">
        <w:rPr>
          <w:sz w:val="20"/>
          <w:szCs w:val="20"/>
          <w:lang w:eastAsia="es-ES"/>
        </w:rPr>
        <w:t xml:space="preserve"> creating the first specialized courts for women </w:t>
      </w:r>
      <w:r w:rsidRPr="00C837DD">
        <w:rPr>
          <w:sz w:val="20"/>
          <w:szCs w:val="20"/>
          <w:lang w:eastAsia="es-ES"/>
        </w:rPr>
        <w:lastRenderedPageBreak/>
        <w:t>between 2006 and 2010.</w:t>
      </w:r>
      <w:r w:rsidRPr="00C837DD">
        <w:rPr>
          <w:rStyle w:val="Refdenotaalpie"/>
          <w:sz w:val="20"/>
          <w:szCs w:val="20"/>
          <w:lang w:eastAsia="es-ES"/>
        </w:rPr>
        <w:footnoteReference w:id="71"/>
      </w:r>
      <w:r w:rsidRPr="00C837DD">
        <w:rPr>
          <w:sz w:val="20"/>
          <w:szCs w:val="20"/>
          <w:lang w:eastAsia="es-ES"/>
        </w:rPr>
        <w:t xml:space="preserve"> In March 2012, the United Nations Committee </w:t>
      </w:r>
      <w:r w:rsidR="001F5663" w:rsidRPr="00C837DD">
        <w:rPr>
          <w:sz w:val="20"/>
          <w:szCs w:val="20"/>
          <w:lang w:eastAsia="es-ES"/>
        </w:rPr>
        <w:t>on</w:t>
      </w:r>
      <w:r w:rsidRPr="00C837DD">
        <w:rPr>
          <w:sz w:val="20"/>
          <w:szCs w:val="20"/>
          <w:lang w:eastAsia="es-ES"/>
        </w:rPr>
        <w:t xml:space="preserve"> the Elimination of Discrimination Against </w:t>
      </w:r>
      <w:r w:rsidR="006B36A6" w:rsidRPr="00C837DD">
        <w:rPr>
          <w:sz w:val="20"/>
          <w:szCs w:val="20"/>
          <w:lang w:eastAsia="es-ES"/>
        </w:rPr>
        <w:t>W</w:t>
      </w:r>
      <w:r w:rsidRPr="00C837DD">
        <w:rPr>
          <w:sz w:val="20"/>
          <w:szCs w:val="20"/>
          <w:lang w:eastAsia="es-ES"/>
        </w:rPr>
        <w:t>omen (hereinafter “CEDAW Committee”) noted the lack of specialized personnel in cases of domestic and family violence within the Judicia</w:t>
      </w:r>
      <w:r w:rsidR="001F5663" w:rsidRPr="00C837DD">
        <w:rPr>
          <w:sz w:val="20"/>
          <w:szCs w:val="20"/>
          <w:lang w:eastAsia="es-ES"/>
        </w:rPr>
        <w:t xml:space="preserve">ry </w:t>
      </w:r>
      <w:r w:rsidR="009366E5" w:rsidRPr="00C837DD">
        <w:rPr>
          <w:sz w:val="20"/>
          <w:szCs w:val="20"/>
          <w:lang w:eastAsia="es-ES"/>
        </w:rPr>
        <w:t>a</w:t>
      </w:r>
      <w:r w:rsidRPr="00C837DD">
        <w:rPr>
          <w:sz w:val="20"/>
          <w:szCs w:val="20"/>
          <w:lang w:eastAsia="es-ES"/>
        </w:rPr>
        <w:t>nd the absence of data on such violence.</w:t>
      </w:r>
      <w:r w:rsidRPr="00C837DD">
        <w:rPr>
          <w:rStyle w:val="Refdenotaalpie"/>
          <w:sz w:val="20"/>
          <w:szCs w:val="20"/>
          <w:lang w:eastAsia="es-ES"/>
        </w:rPr>
        <w:footnoteReference w:id="72"/>
      </w:r>
      <w:r w:rsidRPr="00C837DD">
        <w:rPr>
          <w:sz w:val="20"/>
          <w:szCs w:val="20"/>
          <w:lang w:eastAsia="es-ES"/>
        </w:rPr>
        <w:t xml:space="preserve"> </w:t>
      </w:r>
    </w:p>
    <w:p w14:paraId="68555FA3" w14:textId="77777777" w:rsidR="00F85D5F" w:rsidRPr="00C837DD" w:rsidRDefault="00F85D5F" w:rsidP="00F85D5F">
      <w:pPr>
        <w:pStyle w:val="Prrafodelista"/>
        <w:tabs>
          <w:tab w:val="left" w:pos="142"/>
        </w:tabs>
        <w:ind w:left="0"/>
        <w:rPr>
          <w:sz w:val="20"/>
          <w:szCs w:val="20"/>
          <w:lang w:eastAsia="es-ES"/>
        </w:rPr>
      </w:pPr>
    </w:p>
    <w:p w14:paraId="2E42D572" w14:textId="2F2C9DAC" w:rsidR="00F85D5F" w:rsidRPr="00C837DD" w:rsidRDefault="00F85D5F" w:rsidP="001F5663">
      <w:pPr>
        <w:pStyle w:val="Prrafodelista"/>
        <w:numPr>
          <w:ilvl w:val="0"/>
          <w:numId w:val="6"/>
        </w:numPr>
        <w:tabs>
          <w:tab w:val="left" w:pos="142"/>
        </w:tabs>
        <w:ind w:left="0" w:firstLine="0"/>
        <w:rPr>
          <w:sz w:val="20"/>
          <w:szCs w:val="20"/>
        </w:rPr>
      </w:pPr>
      <w:r w:rsidRPr="00C837DD">
        <w:rPr>
          <w:sz w:val="20"/>
          <w:szCs w:val="20"/>
          <w:lang w:eastAsia="es-ES"/>
        </w:rPr>
        <w:t>In 2019, the National Council of Just</w:t>
      </w:r>
      <w:r w:rsidR="00733EEA" w:rsidRPr="00C837DD">
        <w:rPr>
          <w:sz w:val="20"/>
          <w:szCs w:val="20"/>
          <w:lang w:eastAsia="es-ES"/>
        </w:rPr>
        <w:t>ice (hereinafter “CNJ”) and IPEA published the</w:t>
      </w:r>
      <w:r w:rsidRPr="00C837DD">
        <w:rPr>
          <w:sz w:val="20"/>
          <w:szCs w:val="20"/>
          <w:lang w:eastAsia="es-ES"/>
        </w:rPr>
        <w:t xml:space="preserve"> report o</w:t>
      </w:r>
      <w:r w:rsidR="00ED442F" w:rsidRPr="00C837DD">
        <w:rPr>
          <w:sz w:val="20"/>
          <w:szCs w:val="20"/>
          <w:lang w:eastAsia="es-ES"/>
        </w:rPr>
        <w:t>n</w:t>
      </w:r>
      <w:r w:rsidRPr="00C837DD">
        <w:rPr>
          <w:sz w:val="20"/>
          <w:szCs w:val="20"/>
          <w:lang w:eastAsia="es-ES"/>
        </w:rPr>
        <w:t xml:space="preserve"> a</w:t>
      </w:r>
      <w:r w:rsidR="00ED442F" w:rsidRPr="00C837DD">
        <w:rPr>
          <w:sz w:val="20"/>
          <w:szCs w:val="20"/>
          <w:lang w:eastAsia="es-ES"/>
        </w:rPr>
        <w:t xml:space="preserve"> study </w:t>
      </w:r>
      <w:r w:rsidRPr="00C837DD">
        <w:rPr>
          <w:sz w:val="20"/>
          <w:szCs w:val="20"/>
          <w:lang w:eastAsia="es-ES"/>
        </w:rPr>
        <w:t>o</w:t>
      </w:r>
      <w:r w:rsidR="00ED442F" w:rsidRPr="00C837DD">
        <w:rPr>
          <w:sz w:val="20"/>
          <w:szCs w:val="20"/>
          <w:lang w:eastAsia="es-ES"/>
        </w:rPr>
        <w:t>f</w:t>
      </w:r>
      <w:r w:rsidRPr="00C837DD">
        <w:rPr>
          <w:sz w:val="20"/>
          <w:szCs w:val="20"/>
          <w:lang w:eastAsia="es-ES"/>
        </w:rPr>
        <w:t xml:space="preserve"> the </w:t>
      </w:r>
      <w:r w:rsidR="00733EEA" w:rsidRPr="00C837DD">
        <w:rPr>
          <w:sz w:val="20"/>
          <w:szCs w:val="20"/>
          <w:lang w:eastAsia="es-ES"/>
        </w:rPr>
        <w:t xml:space="preserve">performance of the Judiciary in dealing with violence against women, in which they concluded that, although the </w:t>
      </w:r>
      <w:r w:rsidR="00ED442F" w:rsidRPr="00C837DD">
        <w:rPr>
          <w:sz w:val="20"/>
          <w:szCs w:val="20"/>
          <w:lang w:eastAsia="es-ES"/>
        </w:rPr>
        <w:t xml:space="preserve">judicial units </w:t>
      </w:r>
      <w:r w:rsidR="00127247" w:rsidRPr="00C837DD">
        <w:rPr>
          <w:sz w:val="20"/>
          <w:szCs w:val="20"/>
          <w:lang w:eastAsia="es-ES"/>
        </w:rPr>
        <w:t>specializ</w:t>
      </w:r>
      <w:r w:rsidR="00127247">
        <w:rPr>
          <w:sz w:val="20"/>
          <w:szCs w:val="20"/>
          <w:lang w:eastAsia="es-ES"/>
        </w:rPr>
        <w:t>ed</w:t>
      </w:r>
      <w:r w:rsidR="00127247" w:rsidRPr="00C837DD">
        <w:rPr>
          <w:sz w:val="20"/>
          <w:szCs w:val="20"/>
          <w:lang w:eastAsia="es-ES"/>
        </w:rPr>
        <w:t xml:space="preserve"> </w:t>
      </w:r>
      <w:r w:rsidR="00733EEA" w:rsidRPr="00C837DD">
        <w:rPr>
          <w:sz w:val="20"/>
          <w:szCs w:val="20"/>
          <w:lang w:eastAsia="es-ES"/>
        </w:rPr>
        <w:t xml:space="preserve">in violence against women was definitely a </w:t>
      </w:r>
      <w:r w:rsidR="00ED442F" w:rsidRPr="00C837DD">
        <w:rPr>
          <w:sz w:val="20"/>
          <w:szCs w:val="20"/>
          <w:lang w:eastAsia="es-ES"/>
        </w:rPr>
        <w:t>“</w:t>
      </w:r>
      <w:r w:rsidR="00733EEA" w:rsidRPr="00C837DD">
        <w:rPr>
          <w:sz w:val="20"/>
          <w:szCs w:val="20"/>
          <w:lang w:eastAsia="es-ES"/>
        </w:rPr>
        <w:t xml:space="preserve">gain for the treatment of cases, the profile of the magistrate in charge of the court </w:t>
      </w:r>
      <w:r w:rsidR="0090425F">
        <w:rPr>
          <w:sz w:val="20"/>
          <w:szCs w:val="20"/>
          <w:lang w:eastAsia="es-ES"/>
        </w:rPr>
        <w:t>wa</w:t>
      </w:r>
      <w:r w:rsidR="00733EEA" w:rsidRPr="00C837DD">
        <w:rPr>
          <w:sz w:val="20"/>
          <w:szCs w:val="20"/>
          <w:lang w:eastAsia="es-ES"/>
        </w:rPr>
        <w:t>s a decisive factor in the quality of care provided to women</w:t>
      </w:r>
      <w:r w:rsidRPr="00C837DD">
        <w:rPr>
          <w:sz w:val="20"/>
          <w:szCs w:val="20"/>
          <w:lang w:eastAsia="es-ES"/>
        </w:rPr>
        <w:t>. Thus, the service observed</w:t>
      </w:r>
      <w:r w:rsidR="000900D5" w:rsidRPr="00C837DD">
        <w:rPr>
          <w:sz w:val="20"/>
          <w:szCs w:val="20"/>
          <w:lang w:eastAsia="es-ES"/>
        </w:rPr>
        <w:t xml:space="preserve"> </w:t>
      </w:r>
      <w:r w:rsidR="0090425F">
        <w:rPr>
          <w:sz w:val="20"/>
          <w:szCs w:val="20"/>
          <w:lang w:eastAsia="es-ES"/>
        </w:rPr>
        <w:t xml:space="preserve">that </w:t>
      </w:r>
      <w:r w:rsidR="000900D5" w:rsidRPr="00C837DD">
        <w:rPr>
          <w:sz w:val="20"/>
          <w:szCs w:val="20"/>
          <w:lang w:eastAsia="es-ES"/>
        </w:rPr>
        <w:t xml:space="preserve">a non-specialized court </w:t>
      </w:r>
      <w:r w:rsidRPr="00C837DD">
        <w:rPr>
          <w:sz w:val="20"/>
          <w:szCs w:val="20"/>
          <w:lang w:eastAsia="es-ES"/>
        </w:rPr>
        <w:t xml:space="preserve">headed by a magistrate committed [to women’s rights] tended to be more </w:t>
      </w:r>
      <w:r w:rsidR="009366E5" w:rsidRPr="00C837DD">
        <w:rPr>
          <w:sz w:val="20"/>
          <w:szCs w:val="20"/>
          <w:lang w:eastAsia="es-ES"/>
        </w:rPr>
        <w:t xml:space="preserve">qualified </w:t>
      </w:r>
      <w:r w:rsidRPr="00C837DD">
        <w:rPr>
          <w:sz w:val="20"/>
          <w:szCs w:val="20"/>
          <w:lang w:eastAsia="es-ES"/>
        </w:rPr>
        <w:t xml:space="preserve">than that of a specialized court </w:t>
      </w:r>
      <w:r w:rsidR="000900D5" w:rsidRPr="00C837DD">
        <w:rPr>
          <w:sz w:val="20"/>
          <w:szCs w:val="20"/>
          <w:lang w:eastAsia="es-ES"/>
        </w:rPr>
        <w:t xml:space="preserve">headed by a </w:t>
      </w:r>
      <w:r w:rsidRPr="00C837DD">
        <w:rPr>
          <w:sz w:val="20"/>
          <w:szCs w:val="20"/>
          <w:lang w:eastAsia="es-ES"/>
        </w:rPr>
        <w:t>re</w:t>
      </w:r>
      <w:r w:rsidR="009366E5" w:rsidRPr="00C837DD">
        <w:rPr>
          <w:sz w:val="20"/>
          <w:szCs w:val="20"/>
          <w:lang w:eastAsia="es-ES"/>
        </w:rPr>
        <w:t xml:space="preserve">luctant </w:t>
      </w:r>
      <w:r w:rsidR="000900D5" w:rsidRPr="00C837DD">
        <w:rPr>
          <w:sz w:val="20"/>
          <w:szCs w:val="20"/>
          <w:lang w:eastAsia="es-ES"/>
        </w:rPr>
        <w:t xml:space="preserve">or even a moderate judge </w:t>
      </w:r>
      <w:r w:rsidRPr="00C837DD">
        <w:rPr>
          <w:sz w:val="20"/>
          <w:szCs w:val="20"/>
          <w:lang w:eastAsia="es-ES"/>
        </w:rPr>
        <w:t>[</w:t>
      </w:r>
      <w:r w:rsidR="00ED442F" w:rsidRPr="00C837DD">
        <w:rPr>
          <w:sz w:val="20"/>
          <w:szCs w:val="20"/>
          <w:lang w:eastAsia="es-ES"/>
        </w:rPr>
        <w:t xml:space="preserve">in relation </w:t>
      </w:r>
      <w:r w:rsidR="009366E5" w:rsidRPr="00C837DD">
        <w:rPr>
          <w:sz w:val="20"/>
          <w:szCs w:val="20"/>
          <w:lang w:eastAsia="es-ES"/>
        </w:rPr>
        <w:t xml:space="preserve">to the issue </w:t>
      </w:r>
      <w:r w:rsidR="000900D5" w:rsidRPr="00C837DD">
        <w:rPr>
          <w:sz w:val="20"/>
          <w:szCs w:val="20"/>
          <w:lang w:eastAsia="es-ES"/>
        </w:rPr>
        <w:t>of women’s rights]</w:t>
      </w:r>
      <w:r w:rsidRPr="00C837DD">
        <w:rPr>
          <w:sz w:val="20"/>
          <w:szCs w:val="20"/>
          <w:lang w:eastAsia="es-ES"/>
        </w:rPr>
        <w:t>.”</w:t>
      </w:r>
      <w:r w:rsidRPr="00C837DD">
        <w:rPr>
          <w:rStyle w:val="Refdenotaalpie"/>
          <w:sz w:val="20"/>
          <w:szCs w:val="20"/>
          <w:lang w:eastAsia="es-ES"/>
        </w:rPr>
        <w:footnoteReference w:id="73"/>
      </w:r>
      <w:r w:rsidRPr="00C837DD">
        <w:rPr>
          <w:sz w:val="20"/>
          <w:szCs w:val="20"/>
          <w:lang w:eastAsia="es-ES"/>
        </w:rPr>
        <w:t xml:space="preserve"> </w:t>
      </w:r>
      <w:r w:rsidR="009366E5" w:rsidRPr="00C837DD">
        <w:rPr>
          <w:sz w:val="20"/>
          <w:szCs w:val="20"/>
          <w:lang w:eastAsia="es-ES"/>
        </w:rPr>
        <w:t>T</w:t>
      </w:r>
      <w:r w:rsidRPr="00C837DD">
        <w:rPr>
          <w:sz w:val="20"/>
          <w:szCs w:val="20"/>
          <w:lang w:eastAsia="es-ES"/>
        </w:rPr>
        <w:t xml:space="preserve">he report </w:t>
      </w:r>
      <w:r w:rsidR="009366E5" w:rsidRPr="00C837DD">
        <w:rPr>
          <w:sz w:val="20"/>
          <w:szCs w:val="20"/>
          <w:lang w:eastAsia="es-ES"/>
        </w:rPr>
        <w:t xml:space="preserve">also </w:t>
      </w:r>
      <w:r w:rsidR="00ED442F" w:rsidRPr="00C837DD">
        <w:rPr>
          <w:sz w:val="20"/>
          <w:szCs w:val="20"/>
          <w:lang w:eastAsia="es-ES"/>
        </w:rPr>
        <w:t xml:space="preserve">noted </w:t>
      </w:r>
      <w:r w:rsidRPr="00C837DD">
        <w:rPr>
          <w:sz w:val="20"/>
          <w:szCs w:val="20"/>
          <w:lang w:eastAsia="es-ES"/>
        </w:rPr>
        <w:t xml:space="preserve">that, despite the fact that </w:t>
      </w:r>
      <w:r w:rsidR="000900D5" w:rsidRPr="00C837DD">
        <w:rPr>
          <w:sz w:val="20"/>
          <w:szCs w:val="20"/>
          <w:lang w:eastAsia="es-ES"/>
        </w:rPr>
        <w:t xml:space="preserve">the dynamics of domestic violence </w:t>
      </w:r>
      <w:r w:rsidR="0090425F">
        <w:rPr>
          <w:sz w:val="20"/>
          <w:szCs w:val="20"/>
          <w:lang w:eastAsia="es-ES"/>
        </w:rPr>
        <w:t>do not vary much</w:t>
      </w:r>
      <w:r w:rsidRPr="00C837DD">
        <w:rPr>
          <w:sz w:val="20"/>
          <w:szCs w:val="20"/>
          <w:lang w:eastAsia="es-ES"/>
        </w:rPr>
        <w:t>, the response of the Judiciary is very heterogeneous, since it depends on personal and institutional factors.</w:t>
      </w:r>
      <w:r w:rsidRPr="00C837DD">
        <w:rPr>
          <w:rStyle w:val="Refdenotaalpie"/>
          <w:sz w:val="20"/>
          <w:szCs w:val="20"/>
          <w:lang w:eastAsia="es-ES"/>
        </w:rPr>
        <w:footnoteReference w:id="74"/>
      </w:r>
      <w:r w:rsidRPr="00C837DD">
        <w:rPr>
          <w:sz w:val="20"/>
          <w:szCs w:val="20"/>
          <w:lang w:eastAsia="es-ES"/>
        </w:rPr>
        <w:t xml:space="preserve"> </w:t>
      </w:r>
    </w:p>
    <w:p w14:paraId="55033919" w14:textId="77777777" w:rsidR="00F85D5F" w:rsidRPr="00C837DD" w:rsidRDefault="00F85D5F" w:rsidP="00F85D5F">
      <w:pPr>
        <w:tabs>
          <w:tab w:val="left" w:pos="142"/>
        </w:tabs>
        <w:rPr>
          <w:sz w:val="20"/>
          <w:szCs w:val="20"/>
        </w:rPr>
      </w:pPr>
    </w:p>
    <w:p w14:paraId="77B2673E" w14:textId="77777777" w:rsidR="00F85D5F" w:rsidRPr="00C837DD" w:rsidRDefault="00F85D5F" w:rsidP="00F85D5F">
      <w:pPr>
        <w:pStyle w:val="Ttulo2"/>
        <w:numPr>
          <w:ilvl w:val="0"/>
          <w:numId w:val="19"/>
        </w:numPr>
        <w:ind w:left="1134" w:hanging="567"/>
        <w:rPr>
          <w:lang w:val="en-US"/>
        </w:rPr>
      </w:pPr>
      <w:bookmarkStart w:id="59" w:name="_Toc85001878"/>
      <w:r w:rsidRPr="00C837DD">
        <w:rPr>
          <w:lang w:val="en-US"/>
        </w:rPr>
        <w:t xml:space="preserve">The relevant regulatory framework </w:t>
      </w:r>
      <w:bookmarkEnd w:id="59"/>
    </w:p>
    <w:p w14:paraId="122FBCB2" w14:textId="77777777" w:rsidR="00F85D5F" w:rsidRPr="00C837DD" w:rsidRDefault="00F85D5F" w:rsidP="00F85D5F">
      <w:pPr>
        <w:pStyle w:val="Textoindependiente"/>
        <w:tabs>
          <w:tab w:val="left" w:pos="142"/>
        </w:tabs>
      </w:pPr>
    </w:p>
    <w:p w14:paraId="4C66C637" w14:textId="1E31AEA8"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At the time of the </w:t>
      </w:r>
      <w:r w:rsidR="00CD27F8" w:rsidRPr="00C837DD">
        <w:rPr>
          <w:rFonts w:eastAsia="Calibri"/>
          <w:sz w:val="20"/>
          <w:szCs w:val="20"/>
        </w:rPr>
        <w:t>facts</w:t>
      </w:r>
      <w:r w:rsidRPr="00C837DD">
        <w:rPr>
          <w:rFonts w:eastAsia="Calibri"/>
          <w:sz w:val="20"/>
          <w:szCs w:val="20"/>
        </w:rPr>
        <w:t xml:space="preserve">, Article 53 of the </w:t>
      </w:r>
      <w:r w:rsidR="009366E5" w:rsidRPr="00C837DD">
        <w:rPr>
          <w:rFonts w:eastAsia="Calibri"/>
          <w:sz w:val="20"/>
          <w:szCs w:val="20"/>
        </w:rPr>
        <w:t>Brazilia</w:t>
      </w:r>
      <w:r w:rsidRPr="00C837DD">
        <w:rPr>
          <w:rFonts w:eastAsia="Calibri"/>
          <w:sz w:val="20"/>
          <w:szCs w:val="20"/>
        </w:rPr>
        <w:t>n Constitution established that:</w:t>
      </w:r>
    </w:p>
    <w:p w14:paraId="1DCF05BF" w14:textId="77777777" w:rsidR="00F85D5F" w:rsidRPr="00C837DD" w:rsidRDefault="00F85D5F" w:rsidP="00F85D5F">
      <w:pPr>
        <w:tabs>
          <w:tab w:val="left" w:pos="142"/>
        </w:tabs>
        <w:jc w:val="both"/>
        <w:rPr>
          <w:rFonts w:eastAsia="Calibri"/>
          <w:sz w:val="16"/>
          <w:szCs w:val="16"/>
        </w:rPr>
      </w:pPr>
    </w:p>
    <w:p w14:paraId="2A1C3B18" w14:textId="77777777" w:rsidR="00F85D5F" w:rsidRPr="00C837DD" w:rsidRDefault="00F85D5F" w:rsidP="00F85D5F">
      <w:pPr>
        <w:ind w:left="851" w:right="684"/>
        <w:jc w:val="both"/>
        <w:rPr>
          <w:rFonts w:eastAsia="Calibri"/>
          <w:sz w:val="16"/>
          <w:szCs w:val="16"/>
        </w:rPr>
      </w:pPr>
      <w:r w:rsidRPr="00C837DD">
        <w:rPr>
          <w:rFonts w:eastAsia="Calibri"/>
          <w:sz w:val="16"/>
          <w:szCs w:val="16"/>
        </w:rPr>
        <w:t xml:space="preserve">Art. 53. </w:t>
      </w:r>
      <w:r w:rsidR="005908E6" w:rsidRPr="00C837DD">
        <w:rPr>
          <w:sz w:val="16"/>
          <w:szCs w:val="16"/>
        </w:rPr>
        <w:t>Deputies and Senators enjoy civil and criminal inviolability on account of their opinions, words and votes</w:t>
      </w:r>
      <w:r w:rsidRPr="00C837DD">
        <w:rPr>
          <w:rFonts w:eastAsia="Calibri"/>
          <w:sz w:val="16"/>
          <w:szCs w:val="16"/>
        </w:rPr>
        <w:t>.</w:t>
      </w:r>
    </w:p>
    <w:p w14:paraId="1813BEDE" w14:textId="4A4C8225" w:rsidR="00F85D5F" w:rsidRPr="00C837DD" w:rsidRDefault="00F85D5F" w:rsidP="00F85D5F">
      <w:pPr>
        <w:ind w:left="851" w:right="684"/>
        <w:jc w:val="both"/>
        <w:rPr>
          <w:rFonts w:eastAsia="Calibri"/>
          <w:sz w:val="16"/>
          <w:szCs w:val="16"/>
        </w:rPr>
      </w:pPr>
      <w:r w:rsidRPr="00C837DD">
        <w:rPr>
          <w:rFonts w:eastAsia="Calibri"/>
          <w:sz w:val="16"/>
          <w:szCs w:val="16"/>
        </w:rPr>
        <w:t xml:space="preserve">§ 1º - </w:t>
      </w:r>
      <w:r w:rsidR="00997A03" w:rsidRPr="00C837DD">
        <w:rPr>
          <w:sz w:val="16"/>
          <w:szCs w:val="16"/>
          <w:shd w:val="clear" w:color="auto" w:fill="FFFFFF"/>
        </w:rPr>
        <w:t xml:space="preserve">From the date of the issuance of the certificate of electoral victory, members of the National Congress may not be arrested, except in </w:t>
      </w:r>
      <w:r w:rsidR="00997A03" w:rsidRPr="00C837DD">
        <w:rPr>
          <w:i/>
          <w:sz w:val="16"/>
          <w:szCs w:val="16"/>
          <w:shd w:val="clear" w:color="auto" w:fill="FFFFFF"/>
        </w:rPr>
        <w:t>flagrante delicto</w:t>
      </w:r>
      <w:r w:rsidR="00997A03" w:rsidRPr="00C837DD">
        <w:rPr>
          <w:sz w:val="16"/>
          <w:szCs w:val="16"/>
          <w:shd w:val="clear" w:color="auto" w:fill="FFFFFF"/>
        </w:rPr>
        <w:t xml:space="preserve"> of an unbailable crime, nor may they be criminally prosecuted without prior authorization by the respective House</w:t>
      </w:r>
      <w:r w:rsidRPr="00C837DD">
        <w:rPr>
          <w:rFonts w:eastAsia="Calibri"/>
          <w:sz w:val="16"/>
          <w:szCs w:val="16"/>
        </w:rPr>
        <w:t>.</w:t>
      </w:r>
    </w:p>
    <w:p w14:paraId="488E1880" w14:textId="2BEAB643" w:rsidR="00F85D5F" w:rsidRPr="00C837DD" w:rsidRDefault="00241FE4" w:rsidP="00F85D5F">
      <w:pPr>
        <w:ind w:left="851" w:right="684"/>
        <w:jc w:val="both"/>
        <w:rPr>
          <w:rFonts w:eastAsia="Calibri"/>
          <w:sz w:val="16"/>
          <w:szCs w:val="16"/>
        </w:rPr>
      </w:pPr>
      <w:r w:rsidRPr="00C837DD">
        <w:rPr>
          <w:rFonts w:eastAsia="Calibri"/>
          <w:sz w:val="16"/>
          <w:szCs w:val="16"/>
        </w:rPr>
        <w:t xml:space="preserve">§ 2º - </w:t>
      </w:r>
      <w:r w:rsidR="0090425F">
        <w:rPr>
          <w:rFonts w:eastAsia="Calibri"/>
          <w:sz w:val="16"/>
          <w:szCs w:val="16"/>
        </w:rPr>
        <w:t xml:space="preserve">The </w:t>
      </w:r>
      <w:r w:rsidR="0090425F">
        <w:rPr>
          <w:sz w:val="16"/>
          <w:szCs w:val="16"/>
          <w:shd w:val="clear" w:color="auto" w:fill="FFFFFF"/>
        </w:rPr>
        <w:t>r</w:t>
      </w:r>
      <w:r w:rsidR="00997A03" w:rsidRPr="00C837DD">
        <w:rPr>
          <w:sz w:val="16"/>
          <w:szCs w:val="16"/>
          <w:shd w:val="clear" w:color="auto" w:fill="FFFFFF"/>
        </w:rPr>
        <w:t xml:space="preserve">ejection of the demand for authorization or the absence of a decision shall suspend the </w:t>
      </w:r>
      <w:r w:rsidR="0090425F">
        <w:rPr>
          <w:sz w:val="16"/>
          <w:szCs w:val="16"/>
          <w:shd w:val="clear" w:color="auto" w:fill="FFFFFF"/>
        </w:rPr>
        <w:t xml:space="preserve">statute of </w:t>
      </w:r>
      <w:r w:rsidR="00997A03" w:rsidRPr="00C837DD">
        <w:rPr>
          <w:sz w:val="16"/>
          <w:szCs w:val="16"/>
          <w:shd w:val="clear" w:color="auto" w:fill="FFFFFF"/>
        </w:rPr>
        <w:t>limitation</w:t>
      </w:r>
      <w:r w:rsidR="0090425F">
        <w:rPr>
          <w:sz w:val="16"/>
          <w:szCs w:val="16"/>
          <w:shd w:val="clear" w:color="auto" w:fill="FFFFFF"/>
        </w:rPr>
        <w:t>s</w:t>
      </w:r>
      <w:r w:rsidR="00997A03" w:rsidRPr="00C837DD">
        <w:rPr>
          <w:sz w:val="16"/>
          <w:szCs w:val="16"/>
          <w:shd w:val="clear" w:color="auto" w:fill="FFFFFF"/>
        </w:rPr>
        <w:t xml:space="preserve"> for the duration of the term of office.</w:t>
      </w:r>
      <w:r w:rsidR="00997A03" w:rsidRPr="00C837DD">
        <w:rPr>
          <w:rFonts w:eastAsia="Calibri"/>
          <w:sz w:val="16"/>
          <w:szCs w:val="16"/>
        </w:rPr>
        <w:t xml:space="preserve"> </w:t>
      </w:r>
    </w:p>
    <w:p w14:paraId="0E4EB5C7" w14:textId="6AB61B0E" w:rsidR="00F85D5F" w:rsidRPr="00C837DD" w:rsidRDefault="00F85D5F" w:rsidP="00F85D5F">
      <w:pPr>
        <w:ind w:left="851" w:right="684"/>
        <w:jc w:val="both"/>
        <w:rPr>
          <w:rFonts w:eastAsia="Calibri"/>
          <w:sz w:val="16"/>
          <w:szCs w:val="16"/>
        </w:rPr>
      </w:pPr>
      <w:r w:rsidRPr="00C837DD">
        <w:rPr>
          <w:rFonts w:eastAsia="Calibri"/>
          <w:sz w:val="16"/>
          <w:szCs w:val="16"/>
        </w:rPr>
        <w:t xml:space="preserve">§ 3º - </w:t>
      </w:r>
      <w:r w:rsidR="00997A03" w:rsidRPr="00C837DD">
        <w:rPr>
          <w:sz w:val="16"/>
          <w:szCs w:val="16"/>
          <w:shd w:val="clear" w:color="auto" w:fill="FFFFFF"/>
        </w:rPr>
        <w:t xml:space="preserve">In the event of </w:t>
      </w:r>
      <w:r w:rsidR="00997A03" w:rsidRPr="00C837DD">
        <w:rPr>
          <w:i/>
          <w:iCs/>
          <w:sz w:val="16"/>
          <w:szCs w:val="16"/>
          <w:shd w:val="clear" w:color="auto" w:fill="FFFFFF"/>
        </w:rPr>
        <w:t>flagrante delicto</w:t>
      </w:r>
      <w:r w:rsidR="00997A03" w:rsidRPr="00C837DD">
        <w:rPr>
          <w:sz w:val="16"/>
          <w:szCs w:val="16"/>
          <w:shd w:val="clear" w:color="auto" w:fill="FFFFFF"/>
        </w:rPr>
        <w:t xml:space="preserve"> of an unbailable crime, the case records </w:t>
      </w:r>
      <w:r w:rsidR="00054644" w:rsidRPr="00054644">
        <w:rPr>
          <w:sz w:val="16"/>
          <w:szCs w:val="16"/>
          <w:shd w:val="clear" w:color="auto" w:fill="FFFFFF"/>
        </w:rPr>
        <w:t xml:space="preserve">shall be forwarded within twenty-four hours to the respective </w:t>
      </w:r>
      <w:r w:rsidR="00054644">
        <w:rPr>
          <w:sz w:val="16"/>
          <w:szCs w:val="16"/>
          <w:shd w:val="clear" w:color="auto" w:fill="FFFFFF"/>
        </w:rPr>
        <w:t xml:space="preserve">Chamber </w:t>
      </w:r>
      <w:r w:rsidR="00997A03" w:rsidRPr="00C837DD">
        <w:rPr>
          <w:sz w:val="16"/>
          <w:szCs w:val="16"/>
          <w:shd w:val="clear" w:color="auto" w:fill="FFFFFF"/>
        </w:rPr>
        <w:t xml:space="preserve">which, by the secret </w:t>
      </w:r>
      <w:r w:rsidR="0090425F">
        <w:rPr>
          <w:sz w:val="16"/>
          <w:szCs w:val="16"/>
          <w:shd w:val="clear" w:color="auto" w:fill="FFFFFF"/>
        </w:rPr>
        <w:t xml:space="preserve">ballot </w:t>
      </w:r>
      <w:r w:rsidR="00997A03" w:rsidRPr="00C837DD">
        <w:rPr>
          <w:sz w:val="16"/>
          <w:szCs w:val="16"/>
          <w:shd w:val="clear" w:color="auto" w:fill="FFFFFF"/>
        </w:rPr>
        <w:t>of the majority of its members, shall decide on the arrest and authorize or not the indictment.</w:t>
      </w:r>
      <w:r w:rsidR="00997A03" w:rsidRPr="00C837DD">
        <w:rPr>
          <w:rFonts w:eastAsia="Calibri"/>
          <w:sz w:val="16"/>
          <w:szCs w:val="16"/>
        </w:rPr>
        <w:t xml:space="preserve"> </w:t>
      </w:r>
      <w:r w:rsidRPr="00C837DD">
        <w:rPr>
          <w:rFonts w:eastAsia="Calibri"/>
          <w:sz w:val="16"/>
          <w:szCs w:val="16"/>
        </w:rPr>
        <w:t>[…]</w:t>
      </w:r>
      <w:r w:rsidRPr="00C837DD">
        <w:rPr>
          <w:rStyle w:val="Refdenotaalpie"/>
          <w:rFonts w:eastAsia="Calibri"/>
          <w:sz w:val="16"/>
          <w:szCs w:val="16"/>
        </w:rPr>
        <w:footnoteReference w:id="75"/>
      </w:r>
    </w:p>
    <w:p w14:paraId="7CA04D82" w14:textId="77777777" w:rsidR="00F85D5F" w:rsidRPr="00C837DD" w:rsidRDefault="00F85D5F" w:rsidP="00F85D5F">
      <w:pPr>
        <w:tabs>
          <w:tab w:val="left" w:pos="142"/>
        </w:tabs>
        <w:jc w:val="both"/>
        <w:rPr>
          <w:rFonts w:eastAsia="Calibri"/>
          <w:sz w:val="20"/>
          <w:szCs w:val="20"/>
        </w:rPr>
      </w:pPr>
    </w:p>
    <w:p w14:paraId="2CCA799A" w14:textId="02CF5D3A"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rFonts w:eastAsia="Calibri"/>
          <w:sz w:val="20"/>
          <w:szCs w:val="20"/>
        </w:rPr>
        <w:t>On December 20, 2001, the National Congress approved Constitutional Amendment No. 35/2001 (hereinafter “EC 35/2001”)</w:t>
      </w:r>
      <w:r w:rsidR="00CD27F8" w:rsidRPr="00C837DD">
        <w:rPr>
          <w:rFonts w:eastAsia="Calibri"/>
          <w:sz w:val="20"/>
          <w:szCs w:val="20"/>
        </w:rPr>
        <w:t>,</w:t>
      </w:r>
      <w:r w:rsidRPr="00C837DD">
        <w:rPr>
          <w:rStyle w:val="Refdenotaalpie"/>
          <w:rFonts w:eastAsia="Calibri"/>
          <w:sz w:val="20"/>
          <w:szCs w:val="20"/>
        </w:rPr>
        <w:footnoteReference w:id="76"/>
      </w:r>
      <w:r w:rsidRPr="00C837DD">
        <w:rPr>
          <w:rFonts w:eastAsia="Calibri"/>
          <w:sz w:val="20"/>
          <w:szCs w:val="20"/>
        </w:rPr>
        <w:t xml:space="preserve"> which modified part of the text of the </w:t>
      </w:r>
      <w:r w:rsidR="00E66FF6" w:rsidRPr="00C837DD">
        <w:rPr>
          <w:rFonts w:eastAsia="Calibri"/>
          <w:sz w:val="20"/>
          <w:szCs w:val="20"/>
        </w:rPr>
        <w:t>above-</w:t>
      </w:r>
      <w:r w:rsidRPr="00C837DD">
        <w:rPr>
          <w:rFonts w:eastAsia="Calibri"/>
          <w:sz w:val="20"/>
          <w:szCs w:val="20"/>
        </w:rPr>
        <w:t xml:space="preserve">mentioned  provision, </w:t>
      </w:r>
      <w:r w:rsidR="00E66FF6" w:rsidRPr="00C837DD">
        <w:rPr>
          <w:rFonts w:eastAsia="Calibri"/>
          <w:sz w:val="20"/>
          <w:szCs w:val="20"/>
        </w:rPr>
        <w:t>which now reads as follows</w:t>
      </w:r>
      <w:r w:rsidRPr="00C837DD">
        <w:rPr>
          <w:rFonts w:eastAsia="Calibri"/>
          <w:sz w:val="20"/>
          <w:szCs w:val="20"/>
        </w:rPr>
        <w:t>:</w:t>
      </w:r>
    </w:p>
    <w:p w14:paraId="6EA7C8B5" w14:textId="77777777" w:rsidR="00F85D5F" w:rsidRPr="00C837DD" w:rsidRDefault="00F85D5F" w:rsidP="00F85D5F">
      <w:pPr>
        <w:tabs>
          <w:tab w:val="left" w:pos="142"/>
        </w:tabs>
        <w:jc w:val="both"/>
        <w:rPr>
          <w:rFonts w:eastAsia="Calibri"/>
          <w:sz w:val="20"/>
          <w:szCs w:val="20"/>
        </w:rPr>
      </w:pPr>
    </w:p>
    <w:p w14:paraId="35CBB7B3" w14:textId="64E2411C" w:rsidR="00F85D5F" w:rsidRPr="00C837DD" w:rsidRDefault="00F85D5F" w:rsidP="00F85D5F">
      <w:pPr>
        <w:ind w:left="851" w:right="684"/>
        <w:jc w:val="both"/>
        <w:rPr>
          <w:rFonts w:eastAsia="Calibri"/>
          <w:sz w:val="16"/>
          <w:szCs w:val="16"/>
        </w:rPr>
      </w:pPr>
      <w:r w:rsidRPr="00C837DD">
        <w:rPr>
          <w:rFonts w:eastAsia="Calibri"/>
          <w:sz w:val="16"/>
          <w:szCs w:val="16"/>
        </w:rPr>
        <w:lastRenderedPageBreak/>
        <w:t xml:space="preserve">Art. 53. </w:t>
      </w:r>
      <w:r w:rsidR="005908E6" w:rsidRPr="00C837DD">
        <w:rPr>
          <w:sz w:val="16"/>
          <w:szCs w:val="16"/>
        </w:rPr>
        <w:t>Deputies and Senators shall enjoy civil and criminal immunity for any of their opinions, words and votes</w:t>
      </w:r>
      <w:r w:rsidRPr="00C837DD">
        <w:rPr>
          <w:rFonts w:eastAsia="Calibri"/>
          <w:sz w:val="16"/>
          <w:szCs w:val="16"/>
        </w:rPr>
        <w:t>.</w:t>
      </w:r>
    </w:p>
    <w:p w14:paraId="63530FE3" w14:textId="77777777" w:rsidR="00F85D5F" w:rsidRPr="00C837DD" w:rsidRDefault="00F85D5F" w:rsidP="00F85D5F">
      <w:pPr>
        <w:ind w:left="851" w:right="684"/>
        <w:jc w:val="both"/>
        <w:rPr>
          <w:rFonts w:eastAsia="Calibri"/>
          <w:sz w:val="16"/>
          <w:szCs w:val="16"/>
        </w:rPr>
      </w:pPr>
      <w:r w:rsidRPr="00C837DD">
        <w:rPr>
          <w:rFonts w:eastAsia="Calibri"/>
          <w:sz w:val="16"/>
          <w:szCs w:val="16"/>
        </w:rPr>
        <w:t>[…]</w:t>
      </w:r>
    </w:p>
    <w:p w14:paraId="04956AB5" w14:textId="77777777" w:rsidR="00F85D5F" w:rsidRPr="00C837DD" w:rsidRDefault="00F85D5F" w:rsidP="00F85D5F">
      <w:pPr>
        <w:ind w:left="851" w:right="684"/>
        <w:jc w:val="both"/>
        <w:rPr>
          <w:rFonts w:eastAsia="Calibri"/>
          <w:sz w:val="16"/>
          <w:szCs w:val="16"/>
        </w:rPr>
      </w:pPr>
      <w:r w:rsidRPr="00C837DD">
        <w:rPr>
          <w:rFonts w:eastAsia="Calibri"/>
          <w:sz w:val="16"/>
          <w:szCs w:val="16"/>
        </w:rPr>
        <w:t xml:space="preserve">§ 2º </w:t>
      </w:r>
      <w:r w:rsidR="005908E6" w:rsidRPr="00C837DD">
        <w:rPr>
          <w:sz w:val="16"/>
          <w:szCs w:val="16"/>
        </w:rPr>
        <w:t xml:space="preserve">From the date of their investiture, members of the National Congress may not be arrested, except in </w:t>
      </w:r>
      <w:r w:rsidR="005908E6" w:rsidRPr="00C837DD">
        <w:rPr>
          <w:i/>
          <w:iCs/>
          <w:sz w:val="16"/>
          <w:szCs w:val="16"/>
        </w:rPr>
        <w:t>flagrante delicto</w:t>
      </w:r>
      <w:r w:rsidR="005908E6" w:rsidRPr="00C837DD">
        <w:rPr>
          <w:sz w:val="16"/>
          <w:szCs w:val="16"/>
        </w:rPr>
        <w:t xml:space="preserve"> for an unbailable crime. In this case, the police record shall be sent within twenty-four hours to the respective Chamber, which, by a majority vote of its members, shall decide as to </w:t>
      </w:r>
      <w:r w:rsidR="00446A58" w:rsidRPr="00C837DD">
        <w:rPr>
          <w:sz w:val="16"/>
          <w:szCs w:val="16"/>
        </w:rPr>
        <w:t>the arrest</w:t>
      </w:r>
      <w:r w:rsidRPr="00C837DD">
        <w:rPr>
          <w:rFonts w:eastAsia="Calibri"/>
          <w:sz w:val="16"/>
          <w:szCs w:val="16"/>
        </w:rPr>
        <w:t>.</w:t>
      </w:r>
    </w:p>
    <w:p w14:paraId="732B632A" w14:textId="56E8BA8B" w:rsidR="00F85D5F" w:rsidRPr="00C837DD" w:rsidRDefault="00F85D5F" w:rsidP="00F85D5F">
      <w:pPr>
        <w:ind w:left="851" w:right="684"/>
        <w:jc w:val="both"/>
        <w:rPr>
          <w:rFonts w:eastAsia="Calibri"/>
          <w:sz w:val="16"/>
          <w:szCs w:val="16"/>
        </w:rPr>
      </w:pPr>
      <w:r w:rsidRPr="00C837DD">
        <w:rPr>
          <w:rFonts w:eastAsia="Calibri"/>
          <w:sz w:val="16"/>
          <w:szCs w:val="16"/>
        </w:rPr>
        <w:t xml:space="preserve">§ 3º </w:t>
      </w:r>
      <w:r w:rsidRPr="00C837DD">
        <w:rPr>
          <w:sz w:val="16"/>
          <w:szCs w:val="16"/>
        </w:rPr>
        <w:t> </w:t>
      </w:r>
      <w:r w:rsidR="005908E6" w:rsidRPr="00C837DD">
        <w:rPr>
          <w:sz w:val="16"/>
          <w:szCs w:val="16"/>
        </w:rPr>
        <w:t xml:space="preserve">When an accusation has been received against a Senator or Deputy for a crime committed after investiture, the Supreme Federal Tribunal shall notify the respective Chamber which, by initiative of a political party represented therein and by a majority vote of its members, may, until </w:t>
      </w:r>
      <w:r w:rsidR="00446A58" w:rsidRPr="00C837DD">
        <w:rPr>
          <w:sz w:val="16"/>
          <w:szCs w:val="16"/>
        </w:rPr>
        <w:t>such time as a</w:t>
      </w:r>
      <w:r w:rsidR="005908E6" w:rsidRPr="00C837DD">
        <w:rPr>
          <w:sz w:val="16"/>
          <w:szCs w:val="16"/>
        </w:rPr>
        <w:t xml:space="preserve"> final decision</w:t>
      </w:r>
      <w:r w:rsidR="00446A58" w:rsidRPr="00C837DD">
        <w:rPr>
          <w:sz w:val="16"/>
          <w:szCs w:val="16"/>
        </w:rPr>
        <w:t xml:space="preserve"> is issued</w:t>
      </w:r>
      <w:r w:rsidR="005908E6" w:rsidRPr="00C837DD">
        <w:rPr>
          <w:sz w:val="16"/>
          <w:szCs w:val="16"/>
        </w:rPr>
        <w:t>, suspend the proceedings in the case</w:t>
      </w:r>
      <w:r w:rsidRPr="00C837DD">
        <w:rPr>
          <w:rFonts w:eastAsia="Calibri"/>
          <w:sz w:val="16"/>
          <w:szCs w:val="16"/>
        </w:rPr>
        <w:t>.</w:t>
      </w:r>
    </w:p>
    <w:p w14:paraId="6288320D" w14:textId="77777777" w:rsidR="00F85D5F" w:rsidRPr="00C837DD" w:rsidRDefault="00F85D5F" w:rsidP="00F85D5F">
      <w:pPr>
        <w:ind w:left="851" w:right="684"/>
        <w:jc w:val="both"/>
        <w:rPr>
          <w:rFonts w:eastAsia="Calibri"/>
          <w:sz w:val="16"/>
          <w:szCs w:val="16"/>
        </w:rPr>
      </w:pPr>
      <w:r w:rsidRPr="00C837DD">
        <w:rPr>
          <w:rFonts w:eastAsia="Calibri"/>
          <w:sz w:val="16"/>
          <w:szCs w:val="16"/>
        </w:rPr>
        <w:t xml:space="preserve">§ 4º </w:t>
      </w:r>
      <w:r w:rsidR="00446A58" w:rsidRPr="00C837DD">
        <w:rPr>
          <w:sz w:val="16"/>
          <w:szCs w:val="16"/>
        </w:rPr>
        <w:t>The</w:t>
      </w:r>
      <w:r w:rsidR="005908E6" w:rsidRPr="00C837DD">
        <w:rPr>
          <w:sz w:val="16"/>
          <w:szCs w:val="16"/>
        </w:rPr>
        <w:t xml:space="preserve"> request for a suspension shall be </w:t>
      </w:r>
      <w:r w:rsidR="00446A58" w:rsidRPr="00C837DD">
        <w:rPr>
          <w:sz w:val="16"/>
          <w:szCs w:val="16"/>
        </w:rPr>
        <w:t xml:space="preserve">examined </w:t>
      </w:r>
      <w:r w:rsidR="005908E6" w:rsidRPr="00C837DD">
        <w:rPr>
          <w:sz w:val="16"/>
          <w:szCs w:val="16"/>
        </w:rPr>
        <w:t xml:space="preserve">by the respective Chamber </w:t>
      </w:r>
      <w:r w:rsidR="00446A58" w:rsidRPr="00C837DD">
        <w:rPr>
          <w:sz w:val="16"/>
          <w:szCs w:val="16"/>
        </w:rPr>
        <w:t xml:space="preserve">within </w:t>
      </w:r>
      <w:r w:rsidR="005908E6" w:rsidRPr="00C837DD">
        <w:rPr>
          <w:sz w:val="16"/>
          <w:szCs w:val="16"/>
        </w:rPr>
        <w:t xml:space="preserve">a </w:t>
      </w:r>
      <w:r w:rsidR="001E3A7D" w:rsidRPr="00C837DD">
        <w:rPr>
          <w:sz w:val="16"/>
          <w:szCs w:val="16"/>
        </w:rPr>
        <w:t>non-</w:t>
      </w:r>
      <w:r w:rsidR="005908E6" w:rsidRPr="00C837DD">
        <w:rPr>
          <w:sz w:val="16"/>
          <w:szCs w:val="16"/>
        </w:rPr>
        <w:t xml:space="preserve">extendable period of forty-five days. </w:t>
      </w:r>
    </w:p>
    <w:p w14:paraId="1DF4F6DD" w14:textId="2E7207BF" w:rsidR="00F85D5F" w:rsidRPr="00C837DD" w:rsidRDefault="00446A58" w:rsidP="00446A58">
      <w:pPr>
        <w:ind w:left="851" w:right="684"/>
        <w:jc w:val="both"/>
        <w:rPr>
          <w:rFonts w:eastAsia="Calibri"/>
          <w:sz w:val="16"/>
          <w:szCs w:val="16"/>
        </w:rPr>
      </w:pPr>
      <w:r w:rsidRPr="00C837DD">
        <w:rPr>
          <w:rFonts w:eastAsia="Calibri"/>
          <w:sz w:val="16"/>
          <w:szCs w:val="16"/>
        </w:rPr>
        <w:t xml:space="preserve">§ 5º </w:t>
      </w:r>
      <w:r w:rsidRPr="00C837DD">
        <w:rPr>
          <w:sz w:val="16"/>
          <w:szCs w:val="16"/>
        </w:rPr>
        <w:t xml:space="preserve">The stay of proceedings shall suspend the </w:t>
      </w:r>
      <w:r w:rsidR="00054644">
        <w:rPr>
          <w:sz w:val="16"/>
          <w:szCs w:val="16"/>
        </w:rPr>
        <w:t xml:space="preserve">statute of </w:t>
      </w:r>
      <w:r w:rsidRPr="00C837DD">
        <w:rPr>
          <w:sz w:val="16"/>
          <w:szCs w:val="16"/>
        </w:rPr>
        <w:t>limitation for the duration of the term of office</w:t>
      </w:r>
      <w:r w:rsidR="00F85D5F" w:rsidRPr="00C837DD">
        <w:rPr>
          <w:rFonts w:eastAsia="Calibri"/>
          <w:sz w:val="16"/>
          <w:szCs w:val="16"/>
        </w:rPr>
        <w:t>.</w:t>
      </w:r>
      <w:r w:rsidR="00F85D5F" w:rsidRPr="00C837DD">
        <w:rPr>
          <w:rStyle w:val="Refdenotaalpie"/>
          <w:rFonts w:eastAsia="Calibri"/>
          <w:sz w:val="16"/>
          <w:szCs w:val="16"/>
        </w:rPr>
        <w:footnoteReference w:id="77"/>
      </w:r>
      <w:r w:rsidR="00F85D5F" w:rsidRPr="00C837DD">
        <w:rPr>
          <w:rFonts w:eastAsia="Calibri"/>
          <w:sz w:val="16"/>
          <w:szCs w:val="16"/>
        </w:rPr>
        <w:t xml:space="preserve"> </w:t>
      </w:r>
    </w:p>
    <w:p w14:paraId="59AF4377" w14:textId="77777777" w:rsidR="00F85D5F" w:rsidRPr="00C837DD" w:rsidRDefault="00F85D5F" w:rsidP="00F85D5F">
      <w:pPr>
        <w:tabs>
          <w:tab w:val="left" w:pos="142"/>
        </w:tabs>
        <w:jc w:val="both"/>
        <w:rPr>
          <w:rFonts w:eastAsia="Calibri"/>
          <w:sz w:val="20"/>
          <w:szCs w:val="20"/>
        </w:rPr>
      </w:pPr>
    </w:p>
    <w:p w14:paraId="33BC1B80" w14:textId="7D2F6157"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 xml:space="preserve">One of the main changes introduced by </w:t>
      </w:r>
      <w:r w:rsidRPr="00C837DD">
        <w:rPr>
          <w:rFonts w:eastAsia="Calibri"/>
          <w:sz w:val="20"/>
          <w:szCs w:val="20"/>
        </w:rPr>
        <w:t>EC 35/2001</w:t>
      </w:r>
      <w:r w:rsidRPr="00C837DD">
        <w:rPr>
          <w:sz w:val="20"/>
          <w:szCs w:val="20"/>
          <w:lang w:eastAsia="es-ES"/>
        </w:rPr>
        <w:t xml:space="preserve"> was that the need for prior authorization </w:t>
      </w:r>
      <w:r w:rsidR="000D3760" w:rsidRPr="00C837DD">
        <w:rPr>
          <w:sz w:val="20"/>
          <w:szCs w:val="20"/>
          <w:lang w:eastAsia="es-ES"/>
        </w:rPr>
        <w:t>from</w:t>
      </w:r>
      <w:r w:rsidRPr="00C837DD">
        <w:rPr>
          <w:sz w:val="20"/>
          <w:szCs w:val="20"/>
          <w:lang w:eastAsia="es-ES"/>
        </w:rPr>
        <w:t xml:space="preserve"> the respective </w:t>
      </w:r>
      <w:r w:rsidR="00DE48A8">
        <w:rPr>
          <w:sz w:val="20"/>
          <w:szCs w:val="20"/>
          <w:lang w:eastAsia="es-ES"/>
        </w:rPr>
        <w:t>l</w:t>
      </w:r>
      <w:r w:rsidRPr="00C837DD">
        <w:rPr>
          <w:sz w:val="20"/>
          <w:szCs w:val="20"/>
          <w:lang w:eastAsia="es-ES"/>
        </w:rPr>
        <w:t xml:space="preserve">egislative </w:t>
      </w:r>
      <w:r w:rsidR="00DE48A8">
        <w:rPr>
          <w:sz w:val="20"/>
          <w:szCs w:val="20"/>
          <w:lang w:eastAsia="es-ES"/>
        </w:rPr>
        <w:t xml:space="preserve">chamber </w:t>
      </w:r>
      <w:r w:rsidRPr="00C837DD">
        <w:rPr>
          <w:sz w:val="20"/>
          <w:szCs w:val="20"/>
          <w:lang w:eastAsia="es-ES"/>
        </w:rPr>
        <w:t xml:space="preserve">for the criminal </w:t>
      </w:r>
      <w:r w:rsidR="000D3760" w:rsidRPr="00C837DD">
        <w:rPr>
          <w:sz w:val="20"/>
          <w:szCs w:val="20"/>
          <w:lang w:eastAsia="es-ES"/>
        </w:rPr>
        <w:t xml:space="preserve">prosecution </w:t>
      </w:r>
      <w:r w:rsidRPr="00C837DD">
        <w:rPr>
          <w:sz w:val="20"/>
          <w:szCs w:val="20"/>
          <w:lang w:eastAsia="es-ES"/>
        </w:rPr>
        <w:t xml:space="preserve">of a member </w:t>
      </w:r>
      <w:r w:rsidR="000D3760" w:rsidRPr="00C837DD">
        <w:rPr>
          <w:sz w:val="20"/>
          <w:szCs w:val="20"/>
          <w:lang w:eastAsia="es-ES"/>
        </w:rPr>
        <w:t xml:space="preserve">of the </w:t>
      </w:r>
      <w:r w:rsidRPr="00C837DD">
        <w:rPr>
          <w:sz w:val="20"/>
          <w:szCs w:val="20"/>
          <w:lang w:eastAsia="es-ES"/>
        </w:rPr>
        <w:t xml:space="preserve">National Congress was replaced by the possibility of the </w:t>
      </w:r>
      <w:r w:rsidR="00DE48A8">
        <w:rPr>
          <w:sz w:val="20"/>
          <w:szCs w:val="20"/>
          <w:lang w:eastAsia="es-ES"/>
        </w:rPr>
        <w:t>c</w:t>
      </w:r>
      <w:r w:rsidRPr="00C837DD">
        <w:rPr>
          <w:sz w:val="20"/>
          <w:szCs w:val="20"/>
          <w:lang w:eastAsia="es-ES"/>
        </w:rPr>
        <w:t>hamber suspend</w:t>
      </w:r>
      <w:r w:rsidR="00054644">
        <w:rPr>
          <w:sz w:val="20"/>
          <w:szCs w:val="20"/>
          <w:lang w:eastAsia="es-ES"/>
        </w:rPr>
        <w:t>ing</w:t>
      </w:r>
      <w:r w:rsidRPr="00C837DD">
        <w:rPr>
          <w:sz w:val="20"/>
          <w:szCs w:val="20"/>
          <w:lang w:eastAsia="es-ES"/>
        </w:rPr>
        <w:t xml:space="preserve"> the criminal proceeding already </w:t>
      </w:r>
      <w:r w:rsidR="000D3760" w:rsidRPr="00C837DD">
        <w:rPr>
          <w:sz w:val="20"/>
          <w:szCs w:val="20"/>
          <w:lang w:eastAsia="es-ES"/>
        </w:rPr>
        <w:t>in progress</w:t>
      </w:r>
      <w:r w:rsidRPr="00C837DD">
        <w:rPr>
          <w:sz w:val="20"/>
          <w:szCs w:val="20"/>
          <w:lang w:eastAsia="es-ES"/>
        </w:rPr>
        <w:t xml:space="preserve">. </w:t>
      </w:r>
      <w:r w:rsidR="007F5C74" w:rsidRPr="00C837DD">
        <w:rPr>
          <w:sz w:val="20"/>
          <w:szCs w:val="20"/>
          <w:lang w:eastAsia="es-ES"/>
        </w:rPr>
        <w:t>In other words</w:t>
      </w:r>
      <w:r w:rsidRPr="00C837DD">
        <w:rPr>
          <w:sz w:val="20"/>
          <w:szCs w:val="20"/>
          <w:lang w:eastAsia="es-ES"/>
        </w:rPr>
        <w:t xml:space="preserve">, prior to EC 35/2001, </w:t>
      </w:r>
      <w:r w:rsidR="007F5C74" w:rsidRPr="00C837DD">
        <w:rPr>
          <w:sz w:val="20"/>
          <w:szCs w:val="20"/>
          <w:lang w:eastAsia="es-ES"/>
        </w:rPr>
        <w:t>a criminal proceeding</w:t>
      </w:r>
      <w:r w:rsidRPr="00C837DD">
        <w:rPr>
          <w:sz w:val="20"/>
          <w:szCs w:val="20"/>
          <w:lang w:eastAsia="es-ES"/>
        </w:rPr>
        <w:t xml:space="preserve"> against a member of a legislative body could only </w:t>
      </w:r>
      <w:r w:rsidR="007F5C74" w:rsidRPr="00C837DD">
        <w:rPr>
          <w:sz w:val="20"/>
          <w:szCs w:val="20"/>
          <w:lang w:eastAsia="es-ES"/>
        </w:rPr>
        <w:t xml:space="preserve">be initiated </w:t>
      </w:r>
      <w:r w:rsidRPr="00C837DD">
        <w:rPr>
          <w:sz w:val="20"/>
          <w:szCs w:val="20"/>
          <w:lang w:eastAsia="es-ES"/>
        </w:rPr>
        <w:t xml:space="preserve">with the prior and express authorization of </w:t>
      </w:r>
      <w:r w:rsidR="007F5C74" w:rsidRPr="00C837DD">
        <w:rPr>
          <w:sz w:val="20"/>
          <w:szCs w:val="20"/>
          <w:lang w:eastAsia="es-ES"/>
        </w:rPr>
        <w:t>said body</w:t>
      </w:r>
      <w:r w:rsidRPr="00C837DD">
        <w:rPr>
          <w:sz w:val="20"/>
          <w:szCs w:val="20"/>
          <w:lang w:eastAsia="es-ES"/>
        </w:rPr>
        <w:t xml:space="preserve">, </w:t>
      </w:r>
      <w:r w:rsidR="00C964A7" w:rsidRPr="00C837DD">
        <w:rPr>
          <w:sz w:val="20"/>
          <w:szCs w:val="20"/>
          <w:lang w:eastAsia="es-ES"/>
        </w:rPr>
        <w:t xml:space="preserve">whereas after </w:t>
      </w:r>
      <w:r w:rsidRPr="00C837DD">
        <w:rPr>
          <w:sz w:val="20"/>
          <w:szCs w:val="20"/>
          <w:lang w:eastAsia="es-ES"/>
        </w:rPr>
        <w:t xml:space="preserve">the entry into force of the </w:t>
      </w:r>
      <w:r w:rsidR="00DE48A8">
        <w:rPr>
          <w:sz w:val="20"/>
          <w:szCs w:val="20"/>
          <w:lang w:eastAsia="es-ES"/>
        </w:rPr>
        <w:t>a</w:t>
      </w:r>
      <w:r w:rsidRPr="00C837DD">
        <w:rPr>
          <w:sz w:val="20"/>
          <w:szCs w:val="20"/>
          <w:lang w:eastAsia="es-ES"/>
        </w:rPr>
        <w:t>mendment</w:t>
      </w:r>
      <w:r w:rsidR="00C964A7" w:rsidRPr="00C837DD">
        <w:rPr>
          <w:sz w:val="20"/>
          <w:szCs w:val="20"/>
          <w:lang w:eastAsia="es-ES"/>
        </w:rPr>
        <w:t>,</w:t>
      </w:r>
      <w:r w:rsidRPr="00C837DD">
        <w:rPr>
          <w:sz w:val="20"/>
          <w:szCs w:val="20"/>
          <w:lang w:eastAsia="es-ES"/>
        </w:rPr>
        <w:t xml:space="preserve"> </w:t>
      </w:r>
      <w:r w:rsidR="008305C7" w:rsidRPr="00C837DD">
        <w:rPr>
          <w:sz w:val="20"/>
          <w:szCs w:val="20"/>
          <w:lang w:eastAsia="es-ES"/>
        </w:rPr>
        <w:t xml:space="preserve">the </w:t>
      </w:r>
      <w:r w:rsidRPr="00C837DD">
        <w:rPr>
          <w:sz w:val="20"/>
          <w:szCs w:val="20"/>
          <w:lang w:eastAsia="es-ES"/>
        </w:rPr>
        <w:t xml:space="preserve">criminal proceeding </w:t>
      </w:r>
      <w:r w:rsidR="00DE48A8">
        <w:rPr>
          <w:sz w:val="20"/>
          <w:szCs w:val="20"/>
          <w:lang w:eastAsia="es-ES"/>
        </w:rPr>
        <w:t xml:space="preserve">could </w:t>
      </w:r>
      <w:r w:rsidRPr="00C837DD">
        <w:rPr>
          <w:sz w:val="20"/>
          <w:szCs w:val="20"/>
          <w:lang w:eastAsia="es-ES"/>
        </w:rPr>
        <w:t xml:space="preserve">be initiated and processed until </w:t>
      </w:r>
      <w:r w:rsidR="00C964A7" w:rsidRPr="00C837DD">
        <w:rPr>
          <w:sz w:val="20"/>
          <w:szCs w:val="20"/>
          <w:lang w:eastAsia="es-ES"/>
        </w:rPr>
        <w:t xml:space="preserve">the </w:t>
      </w:r>
      <w:r w:rsidR="00DE48A8">
        <w:rPr>
          <w:sz w:val="20"/>
          <w:szCs w:val="20"/>
          <w:lang w:eastAsia="es-ES"/>
        </w:rPr>
        <w:t>l</w:t>
      </w:r>
      <w:r w:rsidR="00C964A7" w:rsidRPr="00C837DD">
        <w:rPr>
          <w:sz w:val="20"/>
          <w:szCs w:val="20"/>
          <w:lang w:eastAsia="es-ES"/>
        </w:rPr>
        <w:t xml:space="preserve">egislative </w:t>
      </w:r>
      <w:r w:rsidR="00DE48A8">
        <w:rPr>
          <w:sz w:val="20"/>
          <w:szCs w:val="20"/>
          <w:lang w:eastAsia="es-ES"/>
        </w:rPr>
        <w:t>c</w:t>
      </w:r>
      <w:r w:rsidRPr="00C837DD">
        <w:rPr>
          <w:sz w:val="20"/>
          <w:szCs w:val="20"/>
          <w:lang w:eastAsia="es-ES"/>
        </w:rPr>
        <w:t xml:space="preserve">hamber </w:t>
      </w:r>
      <w:r w:rsidR="00DE48A8" w:rsidRPr="00C837DD">
        <w:rPr>
          <w:sz w:val="20"/>
          <w:szCs w:val="20"/>
          <w:lang w:eastAsia="es-ES"/>
        </w:rPr>
        <w:t>deem</w:t>
      </w:r>
      <w:r w:rsidR="00DE48A8">
        <w:rPr>
          <w:sz w:val="20"/>
          <w:szCs w:val="20"/>
          <w:lang w:eastAsia="es-ES"/>
        </w:rPr>
        <w:t>ed</w:t>
      </w:r>
      <w:r w:rsidR="00DE48A8" w:rsidRPr="00C837DD">
        <w:rPr>
          <w:sz w:val="20"/>
          <w:szCs w:val="20"/>
          <w:lang w:eastAsia="es-ES"/>
        </w:rPr>
        <w:t xml:space="preserve"> it appropriate</w:t>
      </w:r>
      <w:r w:rsidR="00DE48A8">
        <w:rPr>
          <w:sz w:val="20"/>
          <w:szCs w:val="20"/>
          <w:lang w:eastAsia="es-ES"/>
        </w:rPr>
        <w:t xml:space="preserve"> to</w:t>
      </w:r>
      <w:r w:rsidR="00DE48A8" w:rsidRPr="00C837DD">
        <w:rPr>
          <w:sz w:val="20"/>
          <w:szCs w:val="20"/>
          <w:lang w:eastAsia="es-ES"/>
        </w:rPr>
        <w:t xml:space="preserve"> </w:t>
      </w:r>
      <w:r w:rsidRPr="00C837DD">
        <w:rPr>
          <w:sz w:val="20"/>
          <w:szCs w:val="20"/>
          <w:lang w:eastAsia="es-ES"/>
        </w:rPr>
        <w:t xml:space="preserve">suspend </w:t>
      </w:r>
      <w:r w:rsidR="008305C7" w:rsidRPr="00C837DD">
        <w:rPr>
          <w:sz w:val="20"/>
          <w:szCs w:val="20"/>
          <w:lang w:eastAsia="es-ES"/>
        </w:rPr>
        <w:t>it</w:t>
      </w:r>
      <w:r w:rsidRPr="00C837DD">
        <w:rPr>
          <w:sz w:val="20"/>
          <w:szCs w:val="20"/>
          <w:lang w:eastAsia="es-ES"/>
        </w:rPr>
        <w:t>.</w:t>
      </w:r>
    </w:p>
    <w:p w14:paraId="5277CD39" w14:textId="77777777" w:rsidR="00F85D5F" w:rsidRPr="00C837DD" w:rsidRDefault="00F85D5F" w:rsidP="00F85D5F">
      <w:pPr>
        <w:pStyle w:val="Prrafodelista"/>
        <w:widowControl/>
        <w:tabs>
          <w:tab w:val="left" w:pos="142"/>
        </w:tabs>
        <w:autoSpaceDE/>
        <w:autoSpaceDN/>
        <w:ind w:left="0"/>
        <w:rPr>
          <w:sz w:val="20"/>
          <w:szCs w:val="20"/>
          <w:lang w:eastAsia="es-ES"/>
        </w:rPr>
      </w:pPr>
    </w:p>
    <w:p w14:paraId="5908E7BC" w14:textId="66F91370"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Article 27, paragraph 1</w:t>
      </w:r>
      <w:r w:rsidR="003507A9" w:rsidRPr="00C837DD">
        <w:rPr>
          <w:sz w:val="20"/>
          <w:szCs w:val="20"/>
          <w:lang w:eastAsia="es-ES"/>
        </w:rPr>
        <w:t>, of</w:t>
      </w:r>
      <w:r w:rsidRPr="00C837DD">
        <w:rPr>
          <w:sz w:val="20"/>
          <w:szCs w:val="20"/>
          <w:lang w:eastAsia="es-ES"/>
        </w:rPr>
        <w:t xml:space="preserve"> the </w:t>
      </w:r>
      <w:r w:rsidR="00EB69A7" w:rsidRPr="00C837DD">
        <w:rPr>
          <w:sz w:val="20"/>
          <w:szCs w:val="20"/>
          <w:lang w:eastAsia="es-ES"/>
        </w:rPr>
        <w:t>Brazilian</w:t>
      </w:r>
      <w:r w:rsidRPr="00C837DD">
        <w:rPr>
          <w:sz w:val="20"/>
          <w:szCs w:val="20"/>
          <w:lang w:eastAsia="es-ES"/>
        </w:rPr>
        <w:t xml:space="preserve"> Constitution grants state deputies the same prerogatives as federal deputies.</w:t>
      </w:r>
      <w:r w:rsidRPr="00C837DD">
        <w:rPr>
          <w:rStyle w:val="Refdenotaalpie"/>
          <w:sz w:val="20"/>
          <w:szCs w:val="20"/>
          <w:lang w:eastAsia="es-ES"/>
        </w:rPr>
        <w:footnoteReference w:id="78"/>
      </w:r>
      <w:r w:rsidRPr="00C837DD">
        <w:rPr>
          <w:sz w:val="20"/>
          <w:szCs w:val="20"/>
          <w:lang w:eastAsia="es-ES"/>
        </w:rPr>
        <w:t xml:space="preserve"> </w:t>
      </w:r>
    </w:p>
    <w:p w14:paraId="45AF03F1" w14:textId="77777777" w:rsidR="00F85D5F" w:rsidRPr="00C837DD" w:rsidRDefault="00F85D5F" w:rsidP="00F85D5F">
      <w:pPr>
        <w:pStyle w:val="Prrafodelista"/>
        <w:tabs>
          <w:tab w:val="left" w:pos="142"/>
        </w:tabs>
        <w:ind w:left="0"/>
        <w:rPr>
          <w:sz w:val="20"/>
          <w:szCs w:val="20"/>
          <w:lang w:eastAsia="es-ES"/>
        </w:rPr>
      </w:pPr>
    </w:p>
    <w:p w14:paraId="66371CED" w14:textId="4876DDF0"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rFonts w:eastAsia="Calibri"/>
          <w:sz w:val="20"/>
          <w:szCs w:val="20"/>
        </w:rPr>
        <w:t>Likewise</w:t>
      </w:r>
      <w:r w:rsidR="003507A9" w:rsidRPr="00C837DD">
        <w:rPr>
          <w:rFonts w:eastAsia="Calibri"/>
          <w:sz w:val="20"/>
          <w:szCs w:val="20"/>
        </w:rPr>
        <w:t xml:space="preserve">, at the time of the facts of this case, </w:t>
      </w:r>
      <w:r w:rsidRPr="00C837DD">
        <w:rPr>
          <w:rFonts w:eastAsia="Calibri"/>
          <w:sz w:val="20"/>
          <w:szCs w:val="20"/>
        </w:rPr>
        <w:t>the Constitution of the state of Paraíba contained a provision similar to th</w:t>
      </w:r>
      <w:r w:rsidR="003507A9" w:rsidRPr="00C837DD">
        <w:rPr>
          <w:rFonts w:eastAsia="Calibri"/>
          <w:sz w:val="20"/>
          <w:szCs w:val="20"/>
        </w:rPr>
        <w:t>at contained in th</w:t>
      </w:r>
      <w:r w:rsidRPr="00C837DD">
        <w:rPr>
          <w:rFonts w:eastAsia="Calibri"/>
          <w:sz w:val="20"/>
          <w:szCs w:val="20"/>
        </w:rPr>
        <w:t xml:space="preserve">e </w:t>
      </w:r>
      <w:r w:rsidR="003507A9" w:rsidRPr="00C837DD">
        <w:rPr>
          <w:rFonts w:eastAsia="Calibri"/>
          <w:sz w:val="20"/>
          <w:szCs w:val="20"/>
        </w:rPr>
        <w:t xml:space="preserve">Brazilian </w:t>
      </w:r>
      <w:r w:rsidRPr="00C837DD">
        <w:rPr>
          <w:rFonts w:eastAsia="Calibri"/>
          <w:sz w:val="20"/>
          <w:szCs w:val="20"/>
        </w:rPr>
        <w:t xml:space="preserve">Constitution, </w:t>
      </w:r>
      <w:r w:rsidR="00DE48A8">
        <w:rPr>
          <w:rFonts w:eastAsia="Calibri"/>
          <w:sz w:val="20"/>
          <w:szCs w:val="20"/>
        </w:rPr>
        <w:t xml:space="preserve">which </w:t>
      </w:r>
      <w:r w:rsidRPr="00C837DD">
        <w:rPr>
          <w:rFonts w:eastAsia="Calibri"/>
          <w:sz w:val="20"/>
          <w:szCs w:val="20"/>
        </w:rPr>
        <w:t xml:space="preserve">has also been modified in the same terms </w:t>
      </w:r>
      <w:r w:rsidR="003507A9" w:rsidRPr="00C837DD">
        <w:rPr>
          <w:rFonts w:eastAsia="Calibri"/>
          <w:sz w:val="20"/>
          <w:szCs w:val="20"/>
        </w:rPr>
        <w:t xml:space="preserve">as </w:t>
      </w:r>
      <w:r w:rsidRPr="00C837DD">
        <w:rPr>
          <w:rFonts w:eastAsia="Calibri"/>
          <w:sz w:val="20"/>
          <w:szCs w:val="20"/>
        </w:rPr>
        <w:t>EC 35/2001</w:t>
      </w:r>
      <w:r w:rsidR="00571C4B" w:rsidRPr="00C837DD">
        <w:rPr>
          <w:rFonts w:eastAsia="Calibri"/>
          <w:sz w:val="20"/>
          <w:szCs w:val="20"/>
        </w:rPr>
        <w:t>.</w:t>
      </w:r>
      <w:r w:rsidRPr="00C837DD">
        <w:rPr>
          <w:rStyle w:val="Refdenotaalpie"/>
          <w:rFonts w:eastAsia="Calibri"/>
          <w:sz w:val="20"/>
          <w:szCs w:val="20"/>
        </w:rPr>
        <w:footnoteReference w:id="79"/>
      </w:r>
      <w:r w:rsidRPr="00C837DD">
        <w:rPr>
          <w:rFonts w:eastAsia="Calibri"/>
          <w:sz w:val="20"/>
          <w:szCs w:val="20"/>
        </w:rPr>
        <w:t xml:space="preserve"> </w:t>
      </w:r>
    </w:p>
    <w:p w14:paraId="6B5D8AE9" w14:textId="77777777" w:rsidR="00F85D5F" w:rsidRPr="00C837DD" w:rsidRDefault="00F85D5F" w:rsidP="00F85D5F">
      <w:pPr>
        <w:pStyle w:val="Prrafodelista"/>
        <w:tabs>
          <w:tab w:val="left" w:pos="142"/>
        </w:tabs>
        <w:ind w:left="0"/>
        <w:rPr>
          <w:sz w:val="20"/>
          <w:szCs w:val="20"/>
          <w:lang w:eastAsia="es-ES"/>
        </w:rPr>
      </w:pPr>
    </w:p>
    <w:p w14:paraId="7EA6EC2D" w14:textId="056D8F33"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sz w:val="20"/>
          <w:szCs w:val="20"/>
          <w:lang w:eastAsia="es-ES"/>
        </w:rPr>
        <w:t xml:space="preserve">In </w:t>
      </w:r>
      <w:r w:rsidR="00DE48A8">
        <w:rPr>
          <w:sz w:val="20"/>
          <w:szCs w:val="20"/>
          <w:lang w:eastAsia="es-ES"/>
        </w:rPr>
        <w:t>addition</w:t>
      </w:r>
      <w:r w:rsidRPr="00C837DD">
        <w:rPr>
          <w:sz w:val="20"/>
          <w:szCs w:val="20"/>
          <w:lang w:eastAsia="es-ES"/>
        </w:rPr>
        <w:t xml:space="preserve">, the Internal Rules of </w:t>
      </w:r>
      <w:r w:rsidR="00730DB7" w:rsidRPr="00C837DD">
        <w:rPr>
          <w:sz w:val="20"/>
          <w:szCs w:val="20"/>
          <w:lang w:eastAsia="es-ES"/>
        </w:rPr>
        <w:t xml:space="preserve">Procedure of </w:t>
      </w:r>
      <w:r w:rsidRPr="00C837DD">
        <w:rPr>
          <w:sz w:val="20"/>
          <w:szCs w:val="20"/>
          <w:lang w:eastAsia="es-ES"/>
        </w:rPr>
        <w:t>the Legislative Assembly of the state of Paraíba,</w:t>
      </w:r>
      <w:r w:rsidRPr="00C837DD">
        <w:rPr>
          <w:rStyle w:val="Refdenotaalpie"/>
          <w:rFonts w:eastAsia="Calibri"/>
          <w:sz w:val="20"/>
          <w:szCs w:val="20"/>
        </w:rPr>
        <w:footnoteReference w:id="80"/>
      </w:r>
      <w:r w:rsidRPr="00C837DD">
        <w:rPr>
          <w:sz w:val="20"/>
          <w:szCs w:val="20"/>
          <w:lang w:eastAsia="es-ES"/>
        </w:rPr>
        <w:t xml:space="preserve"> in force at the time of the facts, established the procedure to be followed in </w:t>
      </w:r>
      <w:r w:rsidR="00730DB7" w:rsidRPr="00C837DD">
        <w:rPr>
          <w:sz w:val="20"/>
          <w:szCs w:val="20"/>
          <w:lang w:eastAsia="es-ES"/>
        </w:rPr>
        <w:t xml:space="preserve">the event of a request for </w:t>
      </w:r>
      <w:r w:rsidRPr="00C837DD">
        <w:rPr>
          <w:sz w:val="20"/>
          <w:szCs w:val="20"/>
          <w:lang w:eastAsia="es-ES"/>
        </w:rPr>
        <w:t xml:space="preserve">authorization </w:t>
      </w:r>
      <w:r w:rsidR="00516632" w:rsidRPr="00C837DD">
        <w:rPr>
          <w:sz w:val="20"/>
          <w:szCs w:val="20"/>
          <w:lang w:eastAsia="es-ES"/>
        </w:rPr>
        <w:t xml:space="preserve">to prosecute </w:t>
      </w:r>
      <w:r w:rsidRPr="00C837DD">
        <w:rPr>
          <w:sz w:val="20"/>
          <w:szCs w:val="20"/>
          <w:lang w:eastAsia="es-ES"/>
        </w:rPr>
        <w:t xml:space="preserve">a deputy. Article 21 of the Rules </w:t>
      </w:r>
      <w:r w:rsidR="00516632" w:rsidRPr="00C837DD">
        <w:rPr>
          <w:sz w:val="20"/>
          <w:szCs w:val="20"/>
          <w:lang w:eastAsia="es-ES"/>
        </w:rPr>
        <w:t xml:space="preserve">of Procedure </w:t>
      </w:r>
      <w:r w:rsidRPr="00C837DD">
        <w:rPr>
          <w:sz w:val="20"/>
          <w:szCs w:val="20"/>
          <w:lang w:eastAsia="es-ES"/>
        </w:rPr>
        <w:t xml:space="preserve">determined the </w:t>
      </w:r>
      <w:r w:rsidR="00516632" w:rsidRPr="00C837DD">
        <w:rPr>
          <w:sz w:val="20"/>
          <w:szCs w:val="20"/>
          <w:lang w:eastAsia="es-ES"/>
        </w:rPr>
        <w:t xml:space="preserve">competence </w:t>
      </w:r>
      <w:r w:rsidRPr="00C837DD">
        <w:rPr>
          <w:sz w:val="20"/>
          <w:szCs w:val="20"/>
          <w:lang w:eastAsia="es-ES"/>
        </w:rPr>
        <w:t xml:space="preserve">of the Constitution, Justice and </w:t>
      </w:r>
      <w:r w:rsidR="00E66FF6" w:rsidRPr="00C837DD">
        <w:rPr>
          <w:sz w:val="20"/>
          <w:szCs w:val="20"/>
          <w:lang w:eastAsia="es-ES"/>
        </w:rPr>
        <w:t xml:space="preserve">Drafting Committee </w:t>
      </w:r>
      <w:r w:rsidRPr="00C837DD">
        <w:rPr>
          <w:sz w:val="20"/>
          <w:szCs w:val="20"/>
          <w:lang w:eastAsia="es-ES"/>
        </w:rPr>
        <w:t xml:space="preserve">of the Legislative Assembly (hereinafter “Constitution Commission” or “CCJR”) to issue a written opinion regarding </w:t>
      </w:r>
      <w:r w:rsidR="00E32C5A">
        <w:rPr>
          <w:sz w:val="20"/>
          <w:szCs w:val="20"/>
          <w:lang w:eastAsia="es-ES"/>
        </w:rPr>
        <w:t xml:space="preserve">said </w:t>
      </w:r>
      <w:r w:rsidRPr="00C837DD">
        <w:rPr>
          <w:sz w:val="20"/>
          <w:szCs w:val="20"/>
          <w:lang w:eastAsia="es-ES"/>
        </w:rPr>
        <w:t xml:space="preserve">request </w:t>
      </w:r>
      <w:r w:rsidR="00EB69A7" w:rsidRPr="00C837DD">
        <w:rPr>
          <w:sz w:val="20"/>
          <w:szCs w:val="20"/>
          <w:lang w:eastAsia="es-ES"/>
        </w:rPr>
        <w:t xml:space="preserve">for </w:t>
      </w:r>
      <w:r w:rsidR="00ED3F48" w:rsidRPr="00C837DD">
        <w:rPr>
          <w:sz w:val="20"/>
          <w:szCs w:val="20"/>
          <w:lang w:eastAsia="es-ES"/>
        </w:rPr>
        <w:t>authorization</w:t>
      </w:r>
      <w:r w:rsidR="00EB69A7" w:rsidRPr="00C837DD">
        <w:rPr>
          <w:sz w:val="20"/>
          <w:szCs w:val="20"/>
          <w:lang w:eastAsia="es-ES"/>
        </w:rPr>
        <w:t>.</w:t>
      </w:r>
      <w:r w:rsidRPr="00C837DD">
        <w:rPr>
          <w:rStyle w:val="Refdenotaalpie"/>
          <w:sz w:val="20"/>
          <w:szCs w:val="20"/>
          <w:lang w:eastAsia="es-ES"/>
        </w:rPr>
        <w:footnoteReference w:id="81"/>
      </w:r>
      <w:r w:rsidRPr="00C837DD">
        <w:rPr>
          <w:sz w:val="20"/>
          <w:szCs w:val="20"/>
          <w:lang w:eastAsia="es-ES"/>
        </w:rPr>
        <w:t xml:space="preserve"> The procedure was initiated at the request of the President of the Court of Justice of the state of Paraíba. </w:t>
      </w:r>
      <w:r w:rsidR="00516632" w:rsidRPr="00C837DD">
        <w:rPr>
          <w:sz w:val="20"/>
          <w:szCs w:val="20"/>
          <w:lang w:eastAsia="es-ES"/>
        </w:rPr>
        <w:t>F</w:t>
      </w:r>
      <w:r w:rsidRPr="00C837DD">
        <w:rPr>
          <w:sz w:val="20"/>
          <w:szCs w:val="20"/>
          <w:lang w:eastAsia="es-ES"/>
        </w:rPr>
        <w:t>rom that moment</w:t>
      </w:r>
      <w:r w:rsidR="00516632" w:rsidRPr="00C837DD">
        <w:rPr>
          <w:sz w:val="20"/>
          <w:szCs w:val="20"/>
          <w:lang w:eastAsia="es-ES"/>
        </w:rPr>
        <w:t xml:space="preserve"> on</w:t>
      </w:r>
      <w:r w:rsidRPr="00C837DD">
        <w:rPr>
          <w:sz w:val="20"/>
          <w:szCs w:val="20"/>
          <w:lang w:eastAsia="es-ES"/>
        </w:rPr>
        <w:t xml:space="preserve">, the President of the Assembly </w:t>
      </w:r>
      <w:r w:rsidR="00516632" w:rsidRPr="00C837DD">
        <w:rPr>
          <w:sz w:val="20"/>
          <w:szCs w:val="20"/>
          <w:lang w:eastAsia="es-ES"/>
        </w:rPr>
        <w:t xml:space="preserve">was to </w:t>
      </w:r>
      <w:r w:rsidRPr="00C837DD">
        <w:rPr>
          <w:sz w:val="20"/>
          <w:szCs w:val="20"/>
          <w:lang w:eastAsia="es-ES"/>
        </w:rPr>
        <w:t xml:space="preserve">forward the file to the CCJR, </w:t>
      </w:r>
      <w:r w:rsidR="00516632" w:rsidRPr="00C837DD">
        <w:rPr>
          <w:sz w:val="20"/>
          <w:szCs w:val="20"/>
          <w:lang w:eastAsia="es-ES"/>
        </w:rPr>
        <w:t xml:space="preserve">delivering </w:t>
      </w:r>
      <w:r w:rsidRPr="00C837DD">
        <w:rPr>
          <w:sz w:val="20"/>
          <w:szCs w:val="20"/>
          <w:lang w:eastAsia="es-ES"/>
        </w:rPr>
        <w:t xml:space="preserve">a copy of the request </w:t>
      </w:r>
      <w:r w:rsidR="00516632" w:rsidRPr="00C837DD">
        <w:rPr>
          <w:sz w:val="20"/>
          <w:szCs w:val="20"/>
          <w:lang w:eastAsia="es-ES"/>
        </w:rPr>
        <w:t>for</w:t>
      </w:r>
      <w:r w:rsidRPr="00C837DD">
        <w:rPr>
          <w:sz w:val="20"/>
          <w:szCs w:val="20"/>
          <w:lang w:eastAsia="es-ES"/>
        </w:rPr>
        <w:t xml:space="preserve"> authorization </w:t>
      </w:r>
      <w:r w:rsidR="00516632" w:rsidRPr="00C837DD">
        <w:rPr>
          <w:sz w:val="20"/>
          <w:szCs w:val="20"/>
          <w:lang w:eastAsia="es-ES"/>
        </w:rPr>
        <w:t>to the</w:t>
      </w:r>
      <w:r w:rsidRPr="00C837DD">
        <w:rPr>
          <w:sz w:val="20"/>
          <w:szCs w:val="20"/>
          <w:lang w:eastAsia="es-ES"/>
        </w:rPr>
        <w:t xml:space="preserve"> deputy so that </w:t>
      </w:r>
      <w:r w:rsidR="00516632" w:rsidRPr="00C837DD">
        <w:rPr>
          <w:sz w:val="20"/>
          <w:szCs w:val="20"/>
          <w:lang w:eastAsia="es-ES"/>
        </w:rPr>
        <w:t xml:space="preserve">he could </w:t>
      </w:r>
      <w:r w:rsidRPr="00C837DD">
        <w:rPr>
          <w:sz w:val="20"/>
          <w:szCs w:val="20"/>
          <w:lang w:eastAsia="es-ES"/>
        </w:rPr>
        <w:t>present his defense within 10 days. Once the defense ha</w:t>
      </w:r>
      <w:r w:rsidR="00516632" w:rsidRPr="00C837DD">
        <w:rPr>
          <w:sz w:val="20"/>
          <w:szCs w:val="20"/>
          <w:lang w:eastAsia="es-ES"/>
        </w:rPr>
        <w:t>d</w:t>
      </w:r>
      <w:r w:rsidRPr="00C837DD">
        <w:rPr>
          <w:sz w:val="20"/>
          <w:szCs w:val="20"/>
          <w:lang w:eastAsia="es-ES"/>
        </w:rPr>
        <w:t xml:space="preserve"> been presented, the Constitution </w:t>
      </w:r>
      <w:r w:rsidR="00EB69A7" w:rsidRPr="00C837DD">
        <w:rPr>
          <w:sz w:val="20"/>
          <w:szCs w:val="20"/>
          <w:lang w:eastAsia="es-ES"/>
        </w:rPr>
        <w:t>Commi</w:t>
      </w:r>
      <w:r w:rsidR="00516632" w:rsidRPr="00C837DD">
        <w:rPr>
          <w:sz w:val="20"/>
          <w:szCs w:val="20"/>
          <w:lang w:eastAsia="es-ES"/>
        </w:rPr>
        <w:t xml:space="preserve">ttee was to </w:t>
      </w:r>
      <w:r w:rsidR="00EB69A7" w:rsidRPr="00C837DD">
        <w:rPr>
          <w:sz w:val="20"/>
          <w:szCs w:val="20"/>
          <w:lang w:eastAsia="es-ES"/>
        </w:rPr>
        <w:t xml:space="preserve">proceed </w:t>
      </w:r>
      <w:r w:rsidR="00516632" w:rsidRPr="00C837DD">
        <w:rPr>
          <w:sz w:val="20"/>
          <w:szCs w:val="20"/>
          <w:lang w:eastAsia="es-ES"/>
        </w:rPr>
        <w:t xml:space="preserve">with </w:t>
      </w:r>
      <w:r w:rsidRPr="00C837DD">
        <w:rPr>
          <w:sz w:val="20"/>
          <w:szCs w:val="20"/>
          <w:lang w:eastAsia="es-ES"/>
        </w:rPr>
        <w:t xml:space="preserve">the inquiries </w:t>
      </w:r>
      <w:r w:rsidR="00516632" w:rsidRPr="00C837DD">
        <w:rPr>
          <w:sz w:val="20"/>
          <w:szCs w:val="20"/>
          <w:lang w:eastAsia="es-ES"/>
        </w:rPr>
        <w:t xml:space="preserve">it deemed appropriate </w:t>
      </w:r>
      <w:r w:rsidR="00EB69A7" w:rsidRPr="00C837DD">
        <w:rPr>
          <w:sz w:val="20"/>
          <w:szCs w:val="20"/>
          <w:lang w:eastAsia="es-ES"/>
        </w:rPr>
        <w:t xml:space="preserve">and, at the </w:t>
      </w:r>
      <w:r w:rsidR="00516632" w:rsidRPr="00C837DD">
        <w:rPr>
          <w:sz w:val="20"/>
          <w:szCs w:val="20"/>
          <w:lang w:eastAsia="es-ES"/>
        </w:rPr>
        <w:t>end of such inquiries</w:t>
      </w:r>
      <w:r w:rsidRPr="00C837DD">
        <w:rPr>
          <w:sz w:val="20"/>
          <w:szCs w:val="20"/>
          <w:lang w:eastAsia="es-ES"/>
        </w:rPr>
        <w:t>, issue a written opinion within 10 days, concluding whether the authorization should be granted or denied.</w:t>
      </w:r>
      <w:r w:rsidRPr="00C837DD">
        <w:rPr>
          <w:sz w:val="20"/>
          <w:szCs w:val="20"/>
          <w:vertAlign w:val="superscript"/>
          <w:lang w:eastAsia="es-ES"/>
        </w:rPr>
        <w:footnoteReference w:id="82"/>
      </w:r>
      <w:r w:rsidRPr="00C837DD">
        <w:rPr>
          <w:sz w:val="20"/>
          <w:szCs w:val="20"/>
          <w:lang w:eastAsia="es-ES"/>
        </w:rPr>
        <w:t xml:space="preserve"> </w:t>
      </w:r>
      <w:r w:rsidR="00E32C5A">
        <w:rPr>
          <w:sz w:val="20"/>
          <w:szCs w:val="20"/>
          <w:lang w:eastAsia="es-ES"/>
        </w:rPr>
        <w:t xml:space="preserve">This </w:t>
      </w:r>
      <w:r w:rsidRPr="00C837DD">
        <w:rPr>
          <w:sz w:val="20"/>
          <w:szCs w:val="20"/>
          <w:lang w:eastAsia="es-ES"/>
        </w:rPr>
        <w:t xml:space="preserve">opinion </w:t>
      </w:r>
      <w:r w:rsidR="009628CA" w:rsidRPr="00C837DD">
        <w:rPr>
          <w:sz w:val="20"/>
          <w:szCs w:val="20"/>
          <w:lang w:eastAsia="es-ES"/>
        </w:rPr>
        <w:t xml:space="preserve">was then to </w:t>
      </w:r>
      <w:r w:rsidR="009628CA" w:rsidRPr="00C837DD">
        <w:rPr>
          <w:sz w:val="20"/>
          <w:szCs w:val="20"/>
          <w:lang w:eastAsia="es-ES"/>
        </w:rPr>
        <w:lastRenderedPageBreak/>
        <w:t xml:space="preserve">be </w:t>
      </w:r>
      <w:r w:rsidRPr="00C837DD">
        <w:rPr>
          <w:sz w:val="20"/>
          <w:szCs w:val="20"/>
          <w:lang w:eastAsia="es-ES"/>
        </w:rPr>
        <w:t xml:space="preserve">submitted to the Plenary of the Legislative Assembly to be approved or rejected by secret </w:t>
      </w:r>
      <w:r w:rsidR="009628CA" w:rsidRPr="00C837DD">
        <w:rPr>
          <w:sz w:val="20"/>
          <w:szCs w:val="20"/>
          <w:lang w:eastAsia="es-ES"/>
        </w:rPr>
        <w:t xml:space="preserve">ballot </w:t>
      </w:r>
      <w:r w:rsidRPr="00C837DD">
        <w:rPr>
          <w:sz w:val="20"/>
          <w:szCs w:val="20"/>
          <w:lang w:eastAsia="es-ES"/>
        </w:rPr>
        <w:t>of the majority of the deputies.</w:t>
      </w:r>
      <w:r w:rsidRPr="00C837DD">
        <w:rPr>
          <w:sz w:val="20"/>
          <w:szCs w:val="20"/>
          <w:vertAlign w:val="superscript"/>
          <w:lang w:eastAsia="es-ES"/>
        </w:rPr>
        <w:footnoteReference w:id="83"/>
      </w:r>
    </w:p>
    <w:p w14:paraId="64BF6AF7" w14:textId="77777777" w:rsidR="00F85D5F" w:rsidRPr="00C837DD" w:rsidRDefault="00F85D5F" w:rsidP="00F85D5F">
      <w:pPr>
        <w:pStyle w:val="Prrafodelista"/>
        <w:rPr>
          <w:sz w:val="20"/>
          <w:szCs w:val="20"/>
          <w:lang w:eastAsia="es-ES"/>
        </w:rPr>
      </w:pPr>
    </w:p>
    <w:p w14:paraId="1E775FDF" w14:textId="77777777" w:rsidR="00F85D5F" w:rsidRPr="00C837DD" w:rsidRDefault="00F85D5F" w:rsidP="00F85D5F">
      <w:pPr>
        <w:pStyle w:val="Prrafodelista"/>
        <w:widowControl/>
        <w:tabs>
          <w:tab w:val="left" w:pos="142"/>
        </w:tabs>
        <w:autoSpaceDE/>
        <w:autoSpaceDN/>
        <w:ind w:left="0"/>
        <w:rPr>
          <w:sz w:val="20"/>
          <w:szCs w:val="20"/>
          <w:lang w:eastAsia="es-ES"/>
        </w:rPr>
      </w:pPr>
    </w:p>
    <w:p w14:paraId="64A5B531" w14:textId="2609489B" w:rsidR="00F85D5F" w:rsidRPr="00C837DD" w:rsidRDefault="00EB69A7" w:rsidP="00F85D5F">
      <w:pPr>
        <w:pStyle w:val="Prrafodelista"/>
        <w:numPr>
          <w:ilvl w:val="0"/>
          <w:numId w:val="6"/>
        </w:numPr>
        <w:tabs>
          <w:tab w:val="left" w:pos="142"/>
        </w:tabs>
        <w:ind w:left="0" w:firstLine="0"/>
        <w:rPr>
          <w:sz w:val="20"/>
          <w:szCs w:val="20"/>
          <w:lang w:eastAsia="es-ES"/>
        </w:rPr>
      </w:pPr>
      <w:r w:rsidRPr="00C837DD">
        <w:rPr>
          <w:sz w:val="20"/>
          <w:szCs w:val="20"/>
          <w:lang w:eastAsia="es-ES"/>
        </w:rPr>
        <w:t>A</w:t>
      </w:r>
      <w:r w:rsidR="00F85D5F" w:rsidRPr="00C837DD">
        <w:rPr>
          <w:sz w:val="20"/>
          <w:szCs w:val="20"/>
          <w:lang w:eastAsia="es-ES"/>
        </w:rPr>
        <w:t xml:space="preserve">lso </w:t>
      </w:r>
      <w:r w:rsidRPr="00C837DD">
        <w:rPr>
          <w:sz w:val="20"/>
          <w:szCs w:val="20"/>
          <w:lang w:eastAsia="es-ES"/>
        </w:rPr>
        <w:t xml:space="preserve">in force </w:t>
      </w:r>
      <w:r w:rsidR="00C964A7" w:rsidRPr="00C837DD">
        <w:rPr>
          <w:sz w:val="20"/>
          <w:szCs w:val="20"/>
          <w:lang w:eastAsia="es-ES"/>
        </w:rPr>
        <w:t xml:space="preserve">at the time of the </w:t>
      </w:r>
      <w:r w:rsidR="009628CA" w:rsidRPr="00C837DD">
        <w:rPr>
          <w:sz w:val="20"/>
          <w:szCs w:val="20"/>
          <w:lang w:eastAsia="es-ES"/>
        </w:rPr>
        <w:t>f</w:t>
      </w:r>
      <w:r w:rsidR="00F85D5F" w:rsidRPr="00C837DD">
        <w:rPr>
          <w:sz w:val="20"/>
          <w:szCs w:val="20"/>
          <w:lang w:eastAsia="es-ES"/>
        </w:rPr>
        <w:t>acts of this case, the Code of Ethics and Parliamentary Decorum, approved by the Legislative Assembly of the state of Paraíba in 1997, through Resolution 599/97, created the Council of Ethics and Parliamentary Decoru</w:t>
      </w:r>
      <w:r w:rsidRPr="00C837DD">
        <w:rPr>
          <w:sz w:val="20"/>
          <w:szCs w:val="20"/>
          <w:lang w:eastAsia="es-ES"/>
        </w:rPr>
        <w:t>m</w:t>
      </w:r>
      <w:r w:rsidR="00C964A7" w:rsidRPr="00C837DD">
        <w:rPr>
          <w:sz w:val="20"/>
          <w:szCs w:val="20"/>
          <w:lang w:eastAsia="es-ES"/>
        </w:rPr>
        <w:t xml:space="preserve"> and granted it jurisdiction to</w:t>
      </w:r>
      <w:r w:rsidR="00F85D5F" w:rsidRPr="00C837DD">
        <w:rPr>
          <w:sz w:val="20"/>
          <w:szCs w:val="20"/>
          <w:lang w:eastAsia="es-ES"/>
        </w:rPr>
        <w:t xml:space="preserve"> “issue </w:t>
      </w:r>
      <w:r w:rsidR="00C964A7" w:rsidRPr="00C837DD">
        <w:rPr>
          <w:sz w:val="20"/>
          <w:szCs w:val="20"/>
          <w:lang w:eastAsia="es-ES"/>
        </w:rPr>
        <w:t xml:space="preserve">an </w:t>
      </w:r>
      <w:r w:rsidR="00F85D5F" w:rsidRPr="00C837DD">
        <w:rPr>
          <w:sz w:val="20"/>
          <w:szCs w:val="20"/>
          <w:lang w:eastAsia="es-ES"/>
        </w:rPr>
        <w:t xml:space="preserve">opinion in </w:t>
      </w:r>
      <w:r w:rsidR="00C964A7" w:rsidRPr="00C837DD">
        <w:rPr>
          <w:sz w:val="20"/>
          <w:szCs w:val="20"/>
          <w:lang w:eastAsia="es-ES"/>
        </w:rPr>
        <w:t xml:space="preserve">processes of </w:t>
      </w:r>
      <w:r w:rsidR="00F85D5F" w:rsidRPr="00C837DD">
        <w:rPr>
          <w:sz w:val="20"/>
          <w:szCs w:val="20"/>
          <w:lang w:eastAsia="es-ES"/>
        </w:rPr>
        <w:t xml:space="preserve">authorization </w:t>
      </w:r>
      <w:r w:rsidR="009628CA" w:rsidRPr="00C837DD">
        <w:rPr>
          <w:sz w:val="20"/>
          <w:szCs w:val="20"/>
          <w:lang w:eastAsia="es-ES"/>
        </w:rPr>
        <w:t xml:space="preserve">to </w:t>
      </w:r>
      <w:r w:rsidR="00F85D5F" w:rsidRPr="00C837DD">
        <w:rPr>
          <w:sz w:val="20"/>
          <w:szCs w:val="20"/>
          <w:lang w:eastAsia="es-ES"/>
        </w:rPr>
        <w:t>prosecute a deputy.”</w:t>
      </w:r>
      <w:r w:rsidR="00F85D5F" w:rsidRPr="00C837DD">
        <w:rPr>
          <w:sz w:val="20"/>
          <w:szCs w:val="20"/>
          <w:vertAlign w:val="superscript"/>
          <w:lang w:eastAsia="es-ES"/>
        </w:rPr>
        <w:footnoteReference w:id="84"/>
      </w:r>
      <w:r w:rsidR="00F85D5F" w:rsidRPr="00C837DD">
        <w:rPr>
          <w:sz w:val="20"/>
          <w:szCs w:val="20"/>
          <w:lang w:eastAsia="es-ES"/>
        </w:rPr>
        <w:t xml:space="preserve">  </w:t>
      </w:r>
    </w:p>
    <w:p w14:paraId="44250812" w14:textId="77777777" w:rsidR="00F85D5F" w:rsidRPr="00C837DD" w:rsidRDefault="00F85D5F" w:rsidP="00F85D5F">
      <w:pPr>
        <w:tabs>
          <w:tab w:val="left" w:pos="142"/>
        </w:tabs>
        <w:rPr>
          <w:b/>
          <w:i/>
          <w:sz w:val="20"/>
          <w:szCs w:val="20"/>
        </w:rPr>
      </w:pPr>
    </w:p>
    <w:p w14:paraId="5BB36A43" w14:textId="62535FDA" w:rsidR="00F85D5F" w:rsidRPr="00C837DD" w:rsidRDefault="00F85D5F" w:rsidP="00F85D5F">
      <w:pPr>
        <w:pStyle w:val="Ttulo2"/>
        <w:numPr>
          <w:ilvl w:val="1"/>
          <w:numId w:val="20"/>
        </w:numPr>
        <w:ind w:left="1134" w:hanging="567"/>
        <w:rPr>
          <w:lang w:val="en-US"/>
        </w:rPr>
      </w:pPr>
      <w:bookmarkStart w:id="60" w:name="_Toc85001879"/>
      <w:r w:rsidRPr="00C837DD">
        <w:rPr>
          <w:lang w:val="en-US"/>
        </w:rPr>
        <w:t xml:space="preserve">The homicide of </w:t>
      </w:r>
      <w:r w:rsidR="00B8009F" w:rsidRPr="00C837DD">
        <w:rPr>
          <w:lang w:val="en-US"/>
        </w:rPr>
        <w:t>Márcia</w:t>
      </w:r>
      <w:r w:rsidRPr="00C837DD">
        <w:rPr>
          <w:lang w:val="en-US"/>
        </w:rPr>
        <w:t xml:space="preserve"> Barbosa de Souza</w:t>
      </w:r>
      <w:bookmarkEnd w:id="60"/>
    </w:p>
    <w:p w14:paraId="0D00705F" w14:textId="77777777" w:rsidR="00F85D5F" w:rsidRPr="00C837DD" w:rsidRDefault="00F85D5F" w:rsidP="00F85D5F">
      <w:pPr>
        <w:tabs>
          <w:tab w:val="left" w:pos="142"/>
        </w:tabs>
        <w:rPr>
          <w:b/>
          <w:i/>
          <w:sz w:val="20"/>
          <w:szCs w:val="20"/>
        </w:rPr>
      </w:pPr>
    </w:p>
    <w:p w14:paraId="64E3B2CB" w14:textId="21C6EC46" w:rsidR="00F85D5F" w:rsidRPr="00C837DD" w:rsidRDefault="00B8009F" w:rsidP="00F85D5F">
      <w:pPr>
        <w:pStyle w:val="Prrafodelista"/>
        <w:numPr>
          <w:ilvl w:val="0"/>
          <w:numId w:val="6"/>
        </w:numPr>
        <w:tabs>
          <w:tab w:val="left" w:pos="142"/>
        </w:tabs>
        <w:ind w:left="0" w:firstLine="0"/>
        <w:rPr>
          <w:sz w:val="20"/>
          <w:szCs w:val="20"/>
        </w:rPr>
      </w:pPr>
      <w:r w:rsidRPr="00C837DD">
        <w:rPr>
          <w:rFonts w:eastAsia="Calibri"/>
          <w:sz w:val="20"/>
          <w:szCs w:val="20"/>
        </w:rPr>
        <w:t>Márcia</w:t>
      </w:r>
      <w:r w:rsidR="00F85D5F" w:rsidRPr="00C837DD">
        <w:rPr>
          <w:rFonts w:eastAsia="Calibri"/>
          <w:sz w:val="20"/>
          <w:szCs w:val="20"/>
        </w:rPr>
        <w:t xml:space="preserve"> Barbosa de Souza was a twenty year-old Afrodescendant student</w:t>
      </w:r>
      <w:r w:rsidR="00E32C5A">
        <w:rPr>
          <w:rFonts w:eastAsia="Calibri"/>
          <w:sz w:val="20"/>
          <w:szCs w:val="20"/>
        </w:rPr>
        <w:t xml:space="preserve"> who lived</w:t>
      </w:r>
      <w:r w:rsidR="00F85D5F" w:rsidRPr="00C837DD">
        <w:rPr>
          <w:rFonts w:eastAsia="Calibri"/>
          <w:sz w:val="20"/>
          <w:szCs w:val="20"/>
        </w:rPr>
        <w:t xml:space="preserve"> in the city of Cajazeiras,</w:t>
      </w:r>
      <w:r w:rsidR="00F85D5F" w:rsidRPr="00C837DD">
        <w:rPr>
          <w:rStyle w:val="Refdenotaalpie"/>
          <w:rFonts w:eastAsia="Calibri"/>
          <w:sz w:val="20"/>
          <w:szCs w:val="20"/>
        </w:rPr>
        <w:footnoteReference w:id="85"/>
      </w:r>
      <w:r w:rsidR="00F85D5F" w:rsidRPr="00C837DD">
        <w:rPr>
          <w:rFonts w:eastAsia="Calibri"/>
          <w:sz w:val="20"/>
          <w:szCs w:val="20"/>
        </w:rPr>
        <w:t xml:space="preserve"> located in the interior of the state of Paraíba,</w:t>
      </w:r>
      <w:r w:rsidR="00F85D5F" w:rsidRPr="00C837DD">
        <w:rPr>
          <w:rStyle w:val="Refdenotaalpie"/>
          <w:rFonts w:eastAsia="Calibri"/>
          <w:sz w:val="20"/>
          <w:szCs w:val="20"/>
        </w:rPr>
        <w:footnoteReference w:id="86"/>
      </w:r>
      <w:r w:rsidR="00F85D5F" w:rsidRPr="00C837DD">
        <w:rPr>
          <w:rFonts w:eastAsia="Calibri"/>
          <w:sz w:val="20"/>
          <w:szCs w:val="20"/>
        </w:rPr>
        <w:t xml:space="preserve"> in </w:t>
      </w:r>
      <w:r w:rsidR="007121E1" w:rsidRPr="00C837DD">
        <w:rPr>
          <w:rFonts w:eastAsia="Calibri"/>
          <w:sz w:val="20"/>
          <w:szCs w:val="20"/>
        </w:rPr>
        <w:t xml:space="preserve">the </w:t>
      </w:r>
      <w:r w:rsidR="00F85D5F" w:rsidRPr="00C837DD">
        <w:rPr>
          <w:rFonts w:eastAsia="Calibri"/>
          <w:sz w:val="20"/>
          <w:szCs w:val="20"/>
        </w:rPr>
        <w:t>northeast</w:t>
      </w:r>
      <w:r w:rsidR="007121E1" w:rsidRPr="00C837DD">
        <w:rPr>
          <w:rFonts w:eastAsia="Calibri"/>
          <w:sz w:val="20"/>
          <w:szCs w:val="20"/>
        </w:rPr>
        <w:t xml:space="preserve"> of</w:t>
      </w:r>
      <w:r w:rsidR="00F85D5F" w:rsidRPr="00C837DD">
        <w:rPr>
          <w:rFonts w:eastAsia="Calibri"/>
          <w:sz w:val="20"/>
          <w:szCs w:val="20"/>
        </w:rPr>
        <w:t xml:space="preserve"> Brazil. She lived with her father, S.R.S. and her younger sister, Mt.B.S., and very close to the house of her mother, M.B.S. </w:t>
      </w:r>
      <w:r w:rsidR="00EB69A7" w:rsidRPr="00C837DD">
        <w:rPr>
          <w:rFonts w:eastAsia="Calibri"/>
          <w:sz w:val="20"/>
          <w:szCs w:val="20"/>
        </w:rPr>
        <w:t xml:space="preserve">They were </w:t>
      </w:r>
      <w:r w:rsidR="00F85D5F" w:rsidRPr="00C837DD">
        <w:rPr>
          <w:rFonts w:eastAsia="Calibri"/>
          <w:sz w:val="20"/>
          <w:szCs w:val="20"/>
        </w:rPr>
        <w:t xml:space="preserve">a family of </w:t>
      </w:r>
      <w:r w:rsidR="007121E1" w:rsidRPr="00C837DD">
        <w:rPr>
          <w:rFonts w:eastAsia="Calibri"/>
          <w:sz w:val="20"/>
          <w:szCs w:val="20"/>
        </w:rPr>
        <w:t xml:space="preserve">limited </w:t>
      </w:r>
      <w:r w:rsidR="00F85D5F" w:rsidRPr="00C837DD">
        <w:rPr>
          <w:rFonts w:eastAsia="Calibri"/>
          <w:sz w:val="20"/>
          <w:szCs w:val="20"/>
        </w:rPr>
        <w:t xml:space="preserve">financial </w:t>
      </w:r>
      <w:r w:rsidR="007121E1" w:rsidRPr="00C837DD">
        <w:rPr>
          <w:rFonts w:eastAsia="Calibri"/>
          <w:sz w:val="20"/>
          <w:szCs w:val="20"/>
        </w:rPr>
        <w:t>means</w:t>
      </w:r>
      <w:r w:rsidR="00F85D5F" w:rsidRPr="00C837DD">
        <w:rPr>
          <w:rFonts w:eastAsia="Calibri"/>
          <w:sz w:val="20"/>
          <w:szCs w:val="20"/>
        </w:rPr>
        <w:t>.</w:t>
      </w:r>
      <w:r w:rsidR="00F85D5F" w:rsidRPr="00C837DD">
        <w:rPr>
          <w:rStyle w:val="Refdenotaalpie"/>
          <w:rFonts w:eastAsia="Calibri"/>
          <w:sz w:val="20"/>
          <w:szCs w:val="20"/>
        </w:rPr>
        <w:footnoteReference w:id="87"/>
      </w:r>
      <w:r w:rsidR="00F85D5F" w:rsidRPr="00C837DD">
        <w:rPr>
          <w:rFonts w:eastAsia="Calibri"/>
          <w:sz w:val="20"/>
          <w:szCs w:val="20"/>
        </w:rPr>
        <w:t xml:space="preserve"> </w:t>
      </w:r>
      <w:r w:rsidRPr="00C837DD">
        <w:rPr>
          <w:rFonts w:eastAsia="Calibri"/>
          <w:sz w:val="20"/>
          <w:szCs w:val="20"/>
        </w:rPr>
        <w:t>Márcia</w:t>
      </w:r>
      <w:r w:rsidR="00F85D5F" w:rsidRPr="00C837DD">
        <w:rPr>
          <w:rFonts w:eastAsia="Calibri"/>
          <w:sz w:val="20"/>
          <w:szCs w:val="20"/>
        </w:rPr>
        <w:t xml:space="preserve"> Barbosa and her younger sister, who was just 17 years old at the time,</w:t>
      </w:r>
      <w:r w:rsidR="00F85D5F" w:rsidRPr="00C837DD">
        <w:rPr>
          <w:rStyle w:val="Refdenotaalpie"/>
          <w:rFonts w:eastAsia="Calibri"/>
          <w:sz w:val="20"/>
          <w:szCs w:val="20"/>
        </w:rPr>
        <w:footnoteReference w:id="88"/>
      </w:r>
      <w:r w:rsidR="00F85D5F" w:rsidRPr="00C837DD">
        <w:rPr>
          <w:rFonts w:eastAsia="Calibri"/>
          <w:sz w:val="20"/>
          <w:szCs w:val="20"/>
        </w:rPr>
        <w:t xml:space="preserve"> were students. </w:t>
      </w:r>
      <w:r w:rsidRPr="00C837DD">
        <w:rPr>
          <w:rFonts w:eastAsia="Calibri"/>
          <w:sz w:val="20"/>
          <w:szCs w:val="20"/>
        </w:rPr>
        <w:t>Márcia</w:t>
      </w:r>
      <w:r w:rsidR="00F85D5F" w:rsidRPr="00C837DD">
        <w:rPr>
          <w:rFonts w:eastAsia="Calibri"/>
          <w:sz w:val="20"/>
          <w:szCs w:val="20"/>
        </w:rPr>
        <w:t xml:space="preserve"> was about to </w:t>
      </w:r>
      <w:r w:rsidR="007121E1" w:rsidRPr="00C837DD">
        <w:rPr>
          <w:rFonts w:eastAsia="Calibri"/>
          <w:sz w:val="20"/>
          <w:szCs w:val="20"/>
        </w:rPr>
        <w:t xml:space="preserve">finish </w:t>
      </w:r>
      <w:r w:rsidR="00F85D5F" w:rsidRPr="00C837DD">
        <w:rPr>
          <w:rFonts w:eastAsia="Calibri"/>
          <w:sz w:val="20"/>
          <w:szCs w:val="20"/>
        </w:rPr>
        <w:t xml:space="preserve">her </w:t>
      </w:r>
      <w:r w:rsidR="007121E1" w:rsidRPr="00C837DD">
        <w:rPr>
          <w:rFonts w:eastAsia="Calibri"/>
          <w:sz w:val="20"/>
          <w:szCs w:val="20"/>
        </w:rPr>
        <w:t xml:space="preserve">last </w:t>
      </w:r>
      <w:r w:rsidR="00F85D5F" w:rsidRPr="00C837DD">
        <w:rPr>
          <w:rFonts w:eastAsia="Calibri"/>
          <w:sz w:val="20"/>
          <w:szCs w:val="20"/>
        </w:rPr>
        <w:t xml:space="preserve">year of </w:t>
      </w:r>
      <w:r w:rsidR="007121E1" w:rsidRPr="00C837DD">
        <w:rPr>
          <w:rFonts w:eastAsia="Calibri"/>
          <w:sz w:val="20"/>
          <w:szCs w:val="20"/>
        </w:rPr>
        <w:t xml:space="preserve">high </w:t>
      </w:r>
      <w:r w:rsidR="00F85D5F" w:rsidRPr="00C837DD">
        <w:rPr>
          <w:rFonts w:eastAsia="Calibri"/>
          <w:sz w:val="20"/>
          <w:szCs w:val="20"/>
        </w:rPr>
        <w:t xml:space="preserve">school and </w:t>
      </w:r>
      <w:r w:rsidR="007121E1" w:rsidRPr="00C837DD">
        <w:rPr>
          <w:rFonts w:eastAsia="Calibri"/>
          <w:sz w:val="20"/>
          <w:szCs w:val="20"/>
        </w:rPr>
        <w:t xml:space="preserve">intended to look for a job </w:t>
      </w:r>
      <w:r w:rsidR="00F85D5F" w:rsidRPr="00C837DD">
        <w:rPr>
          <w:rFonts w:eastAsia="Calibri"/>
          <w:sz w:val="20"/>
          <w:szCs w:val="20"/>
        </w:rPr>
        <w:t xml:space="preserve">to contribute to the family </w:t>
      </w:r>
      <w:r w:rsidR="007121E1" w:rsidRPr="00C837DD">
        <w:rPr>
          <w:rFonts w:eastAsia="Calibri"/>
          <w:sz w:val="20"/>
          <w:szCs w:val="20"/>
        </w:rPr>
        <w:t>income</w:t>
      </w:r>
      <w:r w:rsidR="00F85D5F" w:rsidRPr="00C837DD">
        <w:rPr>
          <w:rFonts w:eastAsia="Calibri"/>
          <w:sz w:val="20"/>
          <w:szCs w:val="20"/>
        </w:rPr>
        <w:t>.</w:t>
      </w:r>
      <w:r w:rsidR="00F85D5F" w:rsidRPr="00C837DD">
        <w:rPr>
          <w:rStyle w:val="Refdenotaalpie"/>
          <w:rFonts w:eastAsia="Calibri"/>
          <w:sz w:val="20"/>
          <w:szCs w:val="20"/>
        </w:rPr>
        <w:footnoteReference w:id="89"/>
      </w:r>
      <w:r w:rsidR="00F85D5F" w:rsidRPr="00C837DD">
        <w:rPr>
          <w:rFonts w:eastAsia="Calibri"/>
          <w:sz w:val="20"/>
          <w:szCs w:val="20"/>
        </w:rPr>
        <w:t xml:space="preserve"> Her mother w</w:t>
      </w:r>
      <w:r w:rsidR="006773F6" w:rsidRPr="00C837DD">
        <w:rPr>
          <w:rFonts w:eastAsia="Calibri"/>
          <w:sz w:val="20"/>
          <w:szCs w:val="20"/>
        </w:rPr>
        <w:t xml:space="preserve">orked </w:t>
      </w:r>
      <w:r w:rsidR="00F85D5F" w:rsidRPr="00C837DD">
        <w:rPr>
          <w:rFonts w:eastAsia="Calibri"/>
          <w:sz w:val="20"/>
          <w:szCs w:val="20"/>
        </w:rPr>
        <w:t>as a cleaner at a municipal school in Cajazeiras, and her father was a</w:t>
      </w:r>
      <w:r w:rsidR="007121E1" w:rsidRPr="00C837DD">
        <w:rPr>
          <w:rFonts w:eastAsia="Calibri"/>
          <w:sz w:val="20"/>
          <w:szCs w:val="20"/>
        </w:rPr>
        <w:t xml:space="preserve"> municipal</w:t>
      </w:r>
      <w:r w:rsidR="00F85D5F" w:rsidRPr="00C837DD">
        <w:rPr>
          <w:rFonts w:eastAsia="Calibri"/>
          <w:sz w:val="20"/>
          <w:szCs w:val="20"/>
        </w:rPr>
        <w:t xml:space="preserve"> </w:t>
      </w:r>
      <w:r w:rsidR="007121E1" w:rsidRPr="00C837DD">
        <w:rPr>
          <w:rFonts w:eastAsia="Calibri"/>
          <w:sz w:val="20"/>
          <w:szCs w:val="20"/>
        </w:rPr>
        <w:t xml:space="preserve">employee </w:t>
      </w:r>
      <w:r w:rsidR="00F85D5F" w:rsidRPr="00C837DD">
        <w:rPr>
          <w:rFonts w:eastAsia="Calibri"/>
          <w:sz w:val="20"/>
          <w:szCs w:val="20"/>
        </w:rPr>
        <w:t>and a taxi driver.</w:t>
      </w:r>
      <w:r w:rsidR="00F85D5F" w:rsidRPr="00C837DD">
        <w:rPr>
          <w:rStyle w:val="Refdenotaalpie"/>
          <w:rFonts w:eastAsia="Calibri"/>
          <w:sz w:val="20"/>
          <w:szCs w:val="20"/>
        </w:rPr>
        <w:footnoteReference w:id="90"/>
      </w:r>
      <w:r w:rsidR="00F85D5F" w:rsidRPr="00C837DD">
        <w:rPr>
          <w:rFonts w:eastAsia="Calibri"/>
          <w:sz w:val="20"/>
          <w:szCs w:val="20"/>
        </w:rPr>
        <w:t xml:space="preserve"> </w:t>
      </w:r>
    </w:p>
    <w:p w14:paraId="0E4EFE20" w14:textId="77777777" w:rsidR="00F85D5F" w:rsidRPr="00C837DD" w:rsidRDefault="00F85D5F" w:rsidP="00F85D5F">
      <w:pPr>
        <w:pStyle w:val="Prrafodelista"/>
        <w:tabs>
          <w:tab w:val="left" w:pos="142"/>
        </w:tabs>
        <w:ind w:left="0"/>
        <w:rPr>
          <w:rFonts w:eastAsia="Calibri"/>
          <w:sz w:val="20"/>
          <w:szCs w:val="20"/>
        </w:rPr>
      </w:pPr>
    </w:p>
    <w:p w14:paraId="0777C614" w14:textId="59B14BBF"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Ms. Barbosa de Souza traveled to João Pessoa, the capital of Paraíba, in November 1997 and May</w:t>
      </w:r>
      <w:r w:rsidR="00A2257A" w:rsidRPr="00C837DD">
        <w:rPr>
          <w:rFonts w:eastAsia="Calibri"/>
          <w:sz w:val="20"/>
          <w:szCs w:val="20"/>
        </w:rPr>
        <w:t xml:space="preserve"> </w:t>
      </w:r>
      <w:r w:rsidRPr="00C837DD">
        <w:rPr>
          <w:rFonts w:eastAsia="Calibri"/>
          <w:sz w:val="20"/>
          <w:szCs w:val="20"/>
        </w:rPr>
        <w:t>1998 and stayed at the ho</w:t>
      </w:r>
      <w:r w:rsidR="00A2257A" w:rsidRPr="00C837DD">
        <w:rPr>
          <w:rFonts w:eastAsia="Calibri"/>
          <w:sz w:val="20"/>
          <w:szCs w:val="20"/>
        </w:rPr>
        <w:t xml:space="preserve">me </w:t>
      </w:r>
      <w:r w:rsidRPr="00C837DD">
        <w:rPr>
          <w:rFonts w:eastAsia="Calibri"/>
          <w:sz w:val="20"/>
          <w:szCs w:val="20"/>
        </w:rPr>
        <w:t>of her friend M.S.C</w:t>
      </w:r>
      <w:r w:rsidR="00E32C5A">
        <w:rPr>
          <w:rFonts w:eastAsia="Calibri"/>
          <w:sz w:val="20"/>
          <w:szCs w:val="20"/>
        </w:rPr>
        <w:t>.</w:t>
      </w:r>
      <w:r w:rsidRPr="00C837DD">
        <w:rPr>
          <w:rFonts w:eastAsia="Calibri"/>
          <w:sz w:val="20"/>
          <w:szCs w:val="20"/>
        </w:rPr>
        <w:t xml:space="preserve"> and her husband U.M.S</w:t>
      </w:r>
      <w:r w:rsidR="005848EB" w:rsidRPr="00C837DD">
        <w:rPr>
          <w:rFonts w:eastAsia="Calibri"/>
          <w:sz w:val="20"/>
          <w:szCs w:val="20"/>
        </w:rPr>
        <w:t>.</w:t>
      </w:r>
      <w:r w:rsidRPr="00C837DD">
        <w:rPr>
          <w:rStyle w:val="Refdenotaalpie"/>
          <w:rFonts w:eastAsia="Calibri"/>
          <w:sz w:val="20"/>
          <w:szCs w:val="20"/>
        </w:rPr>
        <w:footnoteReference w:id="91"/>
      </w:r>
      <w:r w:rsidRPr="00C837DD">
        <w:rPr>
          <w:rFonts w:eastAsia="Calibri"/>
          <w:sz w:val="20"/>
          <w:szCs w:val="20"/>
        </w:rPr>
        <w:t xml:space="preserve"> Subsequently, she traveled to that city on June 13, 1998</w:t>
      </w:r>
      <w:r w:rsidR="00E32C5A">
        <w:rPr>
          <w:rFonts w:eastAsia="Calibri"/>
          <w:sz w:val="20"/>
          <w:szCs w:val="20"/>
        </w:rPr>
        <w:t>,</w:t>
      </w:r>
      <w:r w:rsidRPr="00C837DD">
        <w:rPr>
          <w:rFonts w:eastAsia="Calibri"/>
          <w:sz w:val="20"/>
          <w:szCs w:val="20"/>
        </w:rPr>
        <w:t xml:space="preserve"> with her sister </w:t>
      </w:r>
      <w:r w:rsidRPr="00C837DD">
        <w:rPr>
          <w:sz w:val="20"/>
          <w:szCs w:val="20"/>
        </w:rPr>
        <w:t>Mt.B.S.</w:t>
      </w:r>
      <w:r w:rsidRPr="00C837DD">
        <w:rPr>
          <w:rStyle w:val="Refdenotaalpie"/>
          <w:sz w:val="20"/>
          <w:szCs w:val="20"/>
        </w:rPr>
        <w:footnoteReference w:id="92"/>
      </w:r>
      <w:r w:rsidRPr="00C837DD">
        <w:rPr>
          <w:rFonts w:eastAsia="Calibri"/>
          <w:sz w:val="20"/>
          <w:szCs w:val="20"/>
        </w:rPr>
        <w:t xml:space="preserve"> to participate in a Convention of the </w:t>
      </w:r>
      <w:r w:rsidR="00EB69A7" w:rsidRPr="00C837DD">
        <w:rPr>
          <w:rStyle w:val="nfasis"/>
          <w:rFonts w:cs="Arial"/>
          <w:bCs/>
          <w:i w:val="0"/>
          <w:iCs w:val="0"/>
          <w:sz w:val="20"/>
          <w:szCs w:val="20"/>
          <w:shd w:val="clear" w:color="auto" w:fill="FFFFFF"/>
        </w:rPr>
        <w:t>Brazilian</w:t>
      </w:r>
      <w:r w:rsidRPr="00C837DD">
        <w:rPr>
          <w:rFonts w:cs="Arial"/>
          <w:sz w:val="20"/>
          <w:szCs w:val="20"/>
          <w:shd w:val="clear" w:color="auto" w:fill="FFFFFF"/>
        </w:rPr>
        <w:t> Democratic Movement </w:t>
      </w:r>
      <w:r w:rsidRPr="00C837DD">
        <w:rPr>
          <w:rStyle w:val="nfasis"/>
          <w:rFonts w:cs="Arial"/>
          <w:bCs/>
          <w:i w:val="0"/>
          <w:iCs w:val="0"/>
          <w:sz w:val="20"/>
          <w:szCs w:val="20"/>
          <w:shd w:val="clear" w:color="auto" w:fill="FFFFFF"/>
        </w:rPr>
        <w:t>Party</w:t>
      </w:r>
      <w:r w:rsidR="00A2257A" w:rsidRPr="00C837DD">
        <w:rPr>
          <w:rFonts w:eastAsia="Calibri"/>
          <w:sz w:val="20"/>
          <w:szCs w:val="20"/>
        </w:rPr>
        <w:t xml:space="preserve"> (PMDB)</w:t>
      </w:r>
      <w:r w:rsidRPr="00C837DD">
        <w:rPr>
          <w:rFonts w:eastAsia="Calibri"/>
          <w:sz w:val="20"/>
          <w:szCs w:val="20"/>
        </w:rPr>
        <w:t>.</w:t>
      </w:r>
      <w:r w:rsidRPr="00C837DD">
        <w:rPr>
          <w:rStyle w:val="Refdenotaalpie"/>
          <w:rFonts w:eastAsia="Calibri"/>
          <w:sz w:val="20"/>
          <w:szCs w:val="20"/>
        </w:rPr>
        <w:footnoteReference w:id="93"/>
      </w:r>
      <w:r w:rsidRPr="00C837DD">
        <w:rPr>
          <w:rFonts w:eastAsia="Calibri"/>
          <w:sz w:val="20"/>
          <w:szCs w:val="20"/>
        </w:rPr>
        <w:t xml:space="preserve"> After the Convention, Ms. </w:t>
      </w:r>
      <w:r w:rsidRPr="00C837DD">
        <w:rPr>
          <w:sz w:val="20"/>
          <w:szCs w:val="20"/>
        </w:rPr>
        <w:t>Mt.B.S</w:t>
      </w:r>
      <w:r w:rsidRPr="00C837DD">
        <w:rPr>
          <w:rFonts w:eastAsia="Calibri"/>
          <w:sz w:val="20"/>
          <w:szCs w:val="20"/>
        </w:rPr>
        <w:t xml:space="preserve"> returned to Cajazeiras</w:t>
      </w:r>
      <w:r w:rsidRPr="00C837DD">
        <w:rPr>
          <w:rStyle w:val="Refdenotaalpie"/>
          <w:rFonts w:eastAsia="Calibri"/>
          <w:sz w:val="20"/>
          <w:szCs w:val="20"/>
        </w:rPr>
        <w:footnoteReference w:id="94"/>
      </w:r>
      <w:r w:rsidRPr="00C837DD">
        <w:rPr>
          <w:rFonts w:eastAsia="Calibri"/>
          <w:sz w:val="20"/>
          <w:szCs w:val="20"/>
        </w:rPr>
        <w:t xml:space="preserve"> and </w:t>
      </w:r>
      <w:r w:rsidR="00B8009F" w:rsidRPr="00C837DD">
        <w:rPr>
          <w:rFonts w:eastAsia="Calibri"/>
          <w:sz w:val="20"/>
          <w:szCs w:val="20"/>
        </w:rPr>
        <w:t>Márcia</w:t>
      </w:r>
      <w:r w:rsidRPr="00C837DD">
        <w:rPr>
          <w:rFonts w:eastAsia="Calibri"/>
          <w:sz w:val="20"/>
          <w:szCs w:val="20"/>
        </w:rPr>
        <w:t xml:space="preserve"> Barbosa de Souza remained in João Pessoa, possibly to look for work,</w:t>
      </w:r>
      <w:r w:rsidRPr="00C837DD">
        <w:rPr>
          <w:rStyle w:val="Refdenotaalpie"/>
          <w:rFonts w:eastAsia="Calibri"/>
          <w:sz w:val="20"/>
          <w:szCs w:val="20"/>
        </w:rPr>
        <w:footnoteReference w:id="95"/>
      </w:r>
      <w:r w:rsidRPr="00C837DD">
        <w:rPr>
          <w:rFonts w:eastAsia="Calibri"/>
          <w:sz w:val="20"/>
          <w:szCs w:val="20"/>
        </w:rPr>
        <w:t xml:space="preserve"> and stayed at the “Canta-Maré”</w:t>
      </w:r>
      <w:r w:rsidR="00A2257A" w:rsidRPr="00C837DD">
        <w:rPr>
          <w:rFonts w:eastAsia="Calibri"/>
          <w:sz w:val="20"/>
          <w:szCs w:val="20"/>
        </w:rPr>
        <w:t xml:space="preserve"> hotel-lodge.</w:t>
      </w:r>
      <w:r w:rsidRPr="00C837DD">
        <w:rPr>
          <w:rStyle w:val="Refdenotaalpie"/>
          <w:rFonts w:eastAsia="Calibri"/>
          <w:sz w:val="20"/>
          <w:szCs w:val="20"/>
        </w:rPr>
        <w:footnoteReference w:id="96"/>
      </w:r>
    </w:p>
    <w:p w14:paraId="18F6A670" w14:textId="77777777" w:rsidR="00F85D5F" w:rsidRPr="00C837DD" w:rsidRDefault="00F85D5F" w:rsidP="00F85D5F">
      <w:pPr>
        <w:pStyle w:val="Prrafodelista"/>
        <w:tabs>
          <w:tab w:val="left" w:pos="142"/>
        </w:tabs>
        <w:ind w:left="0"/>
        <w:rPr>
          <w:rFonts w:eastAsia="Calibri"/>
          <w:sz w:val="20"/>
          <w:szCs w:val="20"/>
        </w:rPr>
      </w:pPr>
    </w:p>
    <w:p w14:paraId="495BE0DE" w14:textId="3D0ABDC4"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On Ju</w:t>
      </w:r>
      <w:r w:rsidR="00C964A7" w:rsidRPr="00C837DD">
        <w:rPr>
          <w:rFonts w:eastAsia="Calibri"/>
          <w:sz w:val="20"/>
          <w:szCs w:val="20"/>
        </w:rPr>
        <w:t>ne 17, 1998, at approximately 7</w:t>
      </w:r>
      <w:r w:rsidRPr="00C837DD">
        <w:rPr>
          <w:rFonts w:eastAsia="Calibri"/>
          <w:sz w:val="20"/>
          <w:szCs w:val="20"/>
        </w:rPr>
        <w:t xml:space="preserve">.00 </w:t>
      </w:r>
      <w:r w:rsidR="00C964A7" w:rsidRPr="00C837DD">
        <w:rPr>
          <w:rFonts w:eastAsia="Calibri"/>
          <w:sz w:val="20"/>
          <w:szCs w:val="20"/>
        </w:rPr>
        <w:t>p.m.</w:t>
      </w:r>
      <w:r w:rsidRPr="00C837DD">
        <w:rPr>
          <w:rFonts w:eastAsia="Calibri"/>
          <w:sz w:val="20"/>
          <w:szCs w:val="20"/>
        </w:rPr>
        <w:t xml:space="preserve">, Ms. Barbosa de Souza received a call from the then state deputy of Paraíba, Aércio Pereira de Lima, and subsequently </w:t>
      </w:r>
      <w:r w:rsidR="001B06BE" w:rsidRPr="00C837DD">
        <w:rPr>
          <w:rFonts w:eastAsia="Calibri"/>
          <w:sz w:val="20"/>
          <w:szCs w:val="20"/>
        </w:rPr>
        <w:t xml:space="preserve">left </w:t>
      </w:r>
      <w:r w:rsidRPr="00C837DD">
        <w:rPr>
          <w:rFonts w:eastAsia="Calibri"/>
          <w:sz w:val="20"/>
          <w:szCs w:val="20"/>
        </w:rPr>
        <w:t>to meet him.</w:t>
      </w:r>
      <w:r w:rsidRPr="00C837DD">
        <w:rPr>
          <w:rStyle w:val="Refdenotaalpie"/>
          <w:rFonts w:eastAsia="Calibri"/>
          <w:sz w:val="20"/>
          <w:szCs w:val="20"/>
        </w:rPr>
        <w:footnoteReference w:id="97"/>
      </w:r>
      <w:r w:rsidR="001B06BE" w:rsidRPr="00C837DD">
        <w:rPr>
          <w:rFonts w:eastAsia="Calibri"/>
          <w:sz w:val="20"/>
          <w:szCs w:val="20"/>
        </w:rPr>
        <w:t xml:space="preserve"> At 9</w:t>
      </w:r>
      <w:r w:rsidRPr="00C837DD">
        <w:rPr>
          <w:rFonts w:eastAsia="Calibri"/>
          <w:sz w:val="20"/>
          <w:szCs w:val="20"/>
        </w:rPr>
        <w:t xml:space="preserve">.00 </w:t>
      </w:r>
      <w:r w:rsidR="001B06BE" w:rsidRPr="00C837DD">
        <w:rPr>
          <w:rFonts w:eastAsia="Calibri"/>
          <w:sz w:val="20"/>
          <w:szCs w:val="20"/>
        </w:rPr>
        <w:t>p.m., at</w:t>
      </w:r>
      <w:r w:rsidRPr="00C837DD">
        <w:rPr>
          <w:rFonts w:eastAsia="Calibri"/>
          <w:sz w:val="20"/>
          <w:szCs w:val="20"/>
        </w:rPr>
        <w:t xml:space="preserve"> the Trevo</w:t>
      </w:r>
      <w:r w:rsidR="001B06BE" w:rsidRPr="00C837DD">
        <w:rPr>
          <w:rFonts w:eastAsia="Calibri"/>
          <w:sz w:val="20"/>
          <w:szCs w:val="20"/>
        </w:rPr>
        <w:t xml:space="preserve"> Motel, a call was </w:t>
      </w:r>
      <w:r w:rsidRPr="00C837DD">
        <w:rPr>
          <w:rFonts w:eastAsia="Calibri"/>
          <w:sz w:val="20"/>
          <w:szCs w:val="20"/>
        </w:rPr>
        <w:t xml:space="preserve">made </w:t>
      </w:r>
      <w:r w:rsidR="001B06BE" w:rsidRPr="00C837DD">
        <w:rPr>
          <w:rFonts w:eastAsia="Calibri"/>
          <w:sz w:val="20"/>
          <w:szCs w:val="20"/>
        </w:rPr>
        <w:t xml:space="preserve">from </w:t>
      </w:r>
      <w:r w:rsidRPr="00C837DD">
        <w:rPr>
          <w:rFonts w:eastAsia="Calibri"/>
          <w:sz w:val="20"/>
          <w:szCs w:val="20"/>
        </w:rPr>
        <w:t xml:space="preserve">the cell phone used by Mr. Pereira de Lima </w:t>
      </w:r>
      <w:r w:rsidR="001B06BE" w:rsidRPr="00C837DD">
        <w:rPr>
          <w:rFonts w:eastAsia="Calibri"/>
          <w:sz w:val="20"/>
          <w:szCs w:val="20"/>
        </w:rPr>
        <w:t xml:space="preserve">to a residential </w:t>
      </w:r>
      <w:r w:rsidRPr="00C837DD">
        <w:rPr>
          <w:rFonts w:eastAsia="Calibri"/>
          <w:sz w:val="20"/>
          <w:szCs w:val="20"/>
        </w:rPr>
        <w:t>phone number in the city of Cajazeiras</w:t>
      </w:r>
      <w:r w:rsidR="001B06BE" w:rsidRPr="00C837DD">
        <w:rPr>
          <w:rFonts w:eastAsia="Calibri"/>
          <w:sz w:val="20"/>
          <w:szCs w:val="20"/>
        </w:rPr>
        <w:t>.</w:t>
      </w:r>
      <w:r w:rsidRPr="00C837DD">
        <w:rPr>
          <w:rStyle w:val="Refdenotaalpie"/>
          <w:rFonts w:eastAsia="Calibri"/>
          <w:sz w:val="20"/>
          <w:szCs w:val="20"/>
        </w:rPr>
        <w:footnoteReference w:id="98"/>
      </w:r>
      <w:r w:rsidRPr="00C837DD">
        <w:rPr>
          <w:rFonts w:eastAsia="Calibri"/>
          <w:sz w:val="20"/>
          <w:szCs w:val="20"/>
        </w:rPr>
        <w:t xml:space="preserve"> During the call, </w:t>
      </w:r>
      <w:r w:rsidR="00B8009F" w:rsidRPr="00C837DD">
        <w:rPr>
          <w:rFonts w:eastAsia="Calibri"/>
          <w:sz w:val="20"/>
          <w:szCs w:val="20"/>
        </w:rPr>
        <w:t>Márcia</w:t>
      </w:r>
      <w:r w:rsidRPr="00C837DD">
        <w:rPr>
          <w:rFonts w:eastAsia="Calibri"/>
          <w:sz w:val="20"/>
          <w:szCs w:val="20"/>
        </w:rPr>
        <w:t xml:space="preserve"> Barbosa de Souza </w:t>
      </w:r>
      <w:r w:rsidR="001B06BE" w:rsidRPr="00C837DD">
        <w:rPr>
          <w:rFonts w:eastAsia="Calibri"/>
          <w:sz w:val="20"/>
          <w:szCs w:val="20"/>
        </w:rPr>
        <w:t xml:space="preserve">talked </w:t>
      </w:r>
      <w:r w:rsidRPr="00C837DD">
        <w:rPr>
          <w:rFonts w:eastAsia="Calibri"/>
          <w:sz w:val="20"/>
          <w:szCs w:val="20"/>
        </w:rPr>
        <w:t xml:space="preserve">to </w:t>
      </w:r>
      <w:r w:rsidR="001B06BE" w:rsidRPr="00C837DD">
        <w:rPr>
          <w:rFonts w:eastAsia="Calibri"/>
          <w:sz w:val="20"/>
          <w:szCs w:val="20"/>
        </w:rPr>
        <w:t>several people</w:t>
      </w:r>
      <w:r w:rsidRPr="00C837DD">
        <w:rPr>
          <w:rStyle w:val="Refdenotaalpie"/>
          <w:rFonts w:eastAsia="Calibri"/>
          <w:sz w:val="20"/>
          <w:szCs w:val="20"/>
        </w:rPr>
        <w:footnoteReference w:id="99"/>
      </w:r>
      <w:r w:rsidR="001B06BE" w:rsidRPr="00C837DD">
        <w:rPr>
          <w:rFonts w:eastAsia="Calibri"/>
          <w:sz w:val="20"/>
          <w:szCs w:val="20"/>
        </w:rPr>
        <w:t xml:space="preserve"> and one of them </w:t>
      </w:r>
      <w:r w:rsidRPr="00C837DD">
        <w:rPr>
          <w:rFonts w:eastAsia="Calibri"/>
          <w:sz w:val="20"/>
          <w:szCs w:val="20"/>
        </w:rPr>
        <w:t>even spoke to Mr. Pereira de Lima.</w:t>
      </w:r>
      <w:r w:rsidRPr="00C837DD">
        <w:rPr>
          <w:rStyle w:val="Refdenotaalpie"/>
          <w:rFonts w:eastAsia="Calibri"/>
          <w:sz w:val="20"/>
          <w:szCs w:val="20"/>
        </w:rPr>
        <w:footnoteReference w:id="100"/>
      </w:r>
    </w:p>
    <w:p w14:paraId="64CE77BE" w14:textId="77777777" w:rsidR="00F85D5F" w:rsidRPr="00C837DD" w:rsidRDefault="00F85D5F" w:rsidP="00F85D5F">
      <w:pPr>
        <w:pStyle w:val="Prrafodelista"/>
        <w:tabs>
          <w:tab w:val="left" w:pos="142"/>
        </w:tabs>
        <w:ind w:left="0"/>
        <w:rPr>
          <w:rFonts w:eastAsia="Calibri"/>
          <w:sz w:val="20"/>
          <w:szCs w:val="20"/>
        </w:rPr>
      </w:pPr>
    </w:p>
    <w:p w14:paraId="5FD49EB8" w14:textId="2CD269A5"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On the morning of June 18, 1998, a passerby observed someone throwing the body of a person,</w:t>
      </w:r>
      <w:r w:rsidRPr="00C837DD">
        <w:rPr>
          <w:rStyle w:val="Refdenotaalpie"/>
          <w:rFonts w:eastAsia="Calibri"/>
          <w:sz w:val="20"/>
          <w:szCs w:val="20"/>
        </w:rPr>
        <w:footnoteReference w:id="101"/>
      </w:r>
      <w:r w:rsidRPr="00C837DD">
        <w:rPr>
          <w:rFonts w:eastAsia="Calibri"/>
          <w:sz w:val="20"/>
          <w:szCs w:val="20"/>
        </w:rPr>
        <w:t xml:space="preserve"> </w:t>
      </w:r>
      <w:r w:rsidR="00A17144" w:rsidRPr="00C837DD">
        <w:rPr>
          <w:rFonts w:eastAsia="Calibri"/>
          <w:sz w:val="20"/>
          <w:szCs w:val="20"/>
        </w:rPr>
        <w:t xml:space="preserve">later </w:t>
      </w:r>
      <w:r w:rsidRPr="00C837DD">
        <w:rPr>
          <w:rFonts w:eastAsia="Calibri"/>
          <w:sz w:val="20"/>
          <w:szCs w:val="20"/>
        </w:rPr>
        <w:t xml:space="preserve">identified as </w:t>
      </w:r>
      <w:r w:rsidR="00B8009F" w:rsidRPr="00C837DD">
        <w:rPr>
          <w:rFonts w:eastAsia="Calibri"/>
          <w:sz w:val="20"/>
          <w:szCs w:val="20"/>
        </w:rPr>
        <w:t>Márcia</w:t>
      </w:r>
      <w:r w:rsidRPr="00C837DD">
        <w:rPr>
          <w:rFonts w:eastAsia="Calibri"/>
          <w:sz w:val="20"/>
          <w:szCs w:val="20"/>
        </w:rPr>
        <w:t xml:space="preserve"> Barbosa de Souza</w:t>
      </w:r>
      <w:r w:rsidR="00A17144" w:rsidRPr="00C837DD">
        <w:rPr>
          <w:rFonts w:eastAsia="Calibri"/>
          <w:sz w:val="20"/>
          <w:szCs w:val="20"/>
        </w:rPr>
        <w:t>,</w:t>
      </w:r>
      <w:r w:rsidRPr="00C837DD">
        <w:rPr>
          <w:rStyle w:val="Refdenotaalpie"/>
          <w:rFonts w:eastAsia="Calibri"/>
          <w:sz w:val="20"/>
          <w:szCs w:val="20"/>
        </w:rPr>
        <w:footnoteReference w:id="102"/>
      </w:r>
      <w:r w:rsidRPr="00C837DD">
        <w:rPr>
          <w:rFonts w:eastAsia="Calibri"/>
          <w:sz w:val="20"/>
          <w:szCs w:val="20"/>
        </w:rPr>
        <w:t xml:space="preserve"> </w:t>
      </w:r>
      <w:r w:rsidR="00A17144" w:rsidRPr="00C837DD">
        <w:rPr>
          <w:rFonts w:eastAsia="Calibri"/>
          <w:sz w:val="20"/>
          <w:szCs w:val="20"/>
        </w:rPr>
        <w:t xml:space="preserve">from </w:t>
      </w:r>
      <w:r w:rsidRPr="00C837DD">
        <w:rPr>
          <w:rFonts w:eastAsia="Calibri"/>
          <w:sz w:val="20"/>
          <w:szCs w:val="20"/>
        </w:rPr>
        <w:t>a vehicle into a</w:t>
      </w:r>
      <w:r w:rsidR="00A17144" w:rsidRPr="00C837DD">
        <w:rPr>
          <w:rFonts w:eastAsia="Calibri"/>
          <w:sz w:val="20"/>
          <w:szCs w:val="20"/>
        </w:rPr>
        <w:t xml:space="preserve"> vacant </w:t>
      </w:r>
      <w:r w:rsidRPr="00C837DD">
        <w:rPr>
          <w:rFonts w:eastAsia="Calibri"/>
          <w:sz w:val="20"/>
          <w:szCs w:val="20"/>
        </w:rPr>
        <w:t>lot in Altiplano Cabo Branco, near the city of João Pessoa, in the state of Paraíba.</w:t>
      </w:r>
      <w:r w:rsidRPr="00C837DD">
        <w:rPr>
          <w:rStyle w:val="Refdenotaalpie"/>
          <w:rFonts w:eastAsia="Calibri"/>
          <w:sz w:val="20"/>
          <w:szCs w:val="20"/>
        </w:rPr>
        <w:footnoteReference w:id="103"/>
      </w:r>
      <w:r w:rsidRPr="00C837DD">
        <w:rPr>
          <w:rFonts w:eastAsia="Calibri"/>
          <w:sz w:val="20"/>
          <w:szCs w:val="20"/>
        </w:rPr>
        <w:t xml:space="preserve"> </w:t>
      </w:r>
      <w:r w:rsidR="000E16E5" w:rsidRPr="00C837DD">
        <w:rPr>
          <w:rFonts w:eastAsia="Calibri"/>
          <w:sz w:val="20"/>
          <w:szCs w:val="20"/>
        </w:rPr>
        <w:t xml:space="preserve">At the time when </w:t>
      </w:r>
      <w:r w:rsidRPr="00C837DD">
        <w:rPr>
          <w:rFonts w:eastAsia="Calibri"/>
          <w:sz w:val="20"/>
          <w:szCs w:val="20"/>
        </w:rPr>
        <w:t xml:space="preserve">her body was </w:t>
      </w:r>
      <w:r w:rsidR="000E16E5" w:rsidRPr="00C837DD">
        <w:rPr>
          <w:rFonts w:eastAsia="Calibri"/>
          <w:sz w:val="20"/>
          <w:szCs w:val="20"/>
        </w:rPr>
        <w:t>found</w:t>
      </w:r>
      <w:r w:rsidRPr="00C837DD">
        <w:rPr>
          <w:rFonts w:eastAsia="Calibri"/>
          <w:sz w:val="20"/>
          <w:szCs w:val="20"/>
        </w:rPr>
        <w:t xml:space="preserve">, </w:t>
      </w:r>
      <w:r w:rsidR="00B8009F" w:rsidRPr="00C837DD">
        <w:rPr>
          <w:rFonts w:eastAsia="Calibri"/>
          <w:sz w:val="20"/>
          <w:szCs w:val="20"/>
        </w:rPr>
        <w:t>Márcia</w:t>
      </w:r>
      <w:r w:rsidRPr="00C837DD">
        <w:rPr>
          <w:rFonts w:eastAsia="Calibri"/>
          <w:sz w:val="20"/>
          <w:szCs w:val="20"/>
        </w:rPr>
        <w:t xml:space="preserve"> Barbosa de Souza presented abrasions on </w:t>
      </w:r>
      <w:r w:rsidR="00D24EBA">
        <w:rPr>
          <w:rFonts w:eastAsia="Calibri"/>
          <w:sz w:val="20"/>
          <w:szCs w:val="20"/>
        </w:rPr>
        <w:t>her forehead</w:t>
      </w:r>
      <w:r w:rsidRPr="00C837DD">
        <w:rPr>
          <w:rFonts w:eastAsia="Calibri"/>
          <w:sz w:val="20"/>
          <w:szCs w:val="20"/>
        </w:rPr>
        <w:t xml:space="preserve">, her nose and her lips. In addition, her lips, nose and back </w:t>
      </w:r>
      <w:r w:rsidR="00D24EBA">
        <w:rPr>
          <w:rFonts w:eastAsia="Calibri"/>
          <w:sz w:val="20"/>
          <w:szCs w:val="20"/>
        </w:rPr>
        <w:t xml:space="preserve">had </w:t>
      </w:r>
      <w:r w:rsidR="000E16E5" w:rsidRPr="00C837DD">
        <w:rPr>
          <w:rFonts w:eastAsia="Calibri"/>
          <w:sz w:val="20"/>
          <w:szCs w:val="20"/>
        </w:rPr>
        <w:t xml:space="preserve">purplish-blue </w:t>
      </w:r>
      <w:r w:rsidR="00D24EBA">
        <w:rPr>
          <w:rFonts w:eastAsia="Calibri"/>
          <w:sz w:val="20"/>
          <w:szCs w:val="20"/>
        </w:rPr>
        <w:t>bruises (</w:t>
      </w:r>
      <w:r w:rsidR="000E16E5" w:rsidRPr="00C837DD">
        <w:rPr>
          <w:rFonts w:eastAsia="Calibri"/>
          <w:sz w:val="20"/>
          <w:szCs w:val="20"/>
        </w:rPr>
        <w:t>ecchymosis</w:t>
      </w:r>
      <w:r w:rsidR="00D24EBA">
        <w:rPr>
          <w:rFonts w:eastAsia="Calibri"/>
          <w:sz w:val="20"/>
          <w:szCs w:val="20"/>
        </w:rPr>
        <w:t>)</w:t>
      </w:r>
      <w:r w:rsidR="000E16E5" w:rsidRPr="00C837DD">
        <w:rPr>
          <w:rFonts w:eastAsia="Calibri"/>
          <w:sz w:val="20"/>
          <w:szCs w:val="20"/>
        </w:rPr>
        <w:t xml:space="preserve"> </w:t>
      </w:r>
      <w:r w:rsidRPr="00C837DD">
        <w:rPr>
          <w:rFonts w:eastAsia="Calibri"/>
          <w:sz w:val="20"/>
          <w:szCs w:val="20"/>
        </w:rPr>
        <w:t xml:space="preserve">and her body had traces of sand. </w:t>
      </w:r>
      <w:r w:rsidR="00812151" w:rsidRPr="00C837DD">
        <w:rPr>
          <w:rFonts w:eastAsia="Calibri"/>
          <w:sz w:val="20"/>
          <w:szCs w:val="20"/>
        </w:rPr>
        <w:t xml:space="preserve">During the </w:t>
      </w:r>
      <w:r w:rsidRPr="00C837DD">
        <w:rPr>
          <w:rFonts w:eastAsia="Calibri"/>
          <w:sz w:val="20"/>
          <w:szCs w:val="20"/>
        </w:rPr>
        <w:t xml:space="preserve">autopsy </w:t>
      </w:r>
      <w:r w:rsidR="00812151" w:rsidRPr="00C837DD">
        <w:rPr>
          <w:rFonts w:eastAsia="Calibri"/>
          <w:sz w:val="20"/>
          <w:szCs w:val="20"/>
        </w:rPr>
        <w:t xml:space="preserve">it was </w:t>
      </w:r>
      <w:r w:rsidRPr="00C837DD">
        <w:rPr>
          <w:rFonts w:eastAsia="Calibri"/>
          <w:sz w:val="20"/>
          <w:szCs w:val="20"/>
        </w:rPr>
        <w:t xml:space="preserve">revealed that the cranial, </w:t>
      </w:r>
      <w:r w:rsidR="00EB69A7" w:rsidRPr="00C837DD">
        <w:rPr>
          <w:rFonts w:eastAsia="Calibri"/>
          <w:sz w:val="20"/>
          <w:szCs w:val="20"/>
        </w:rPr>
        <w:t>thoracic</w:t>
      </w:r>
      <w:r w:rsidRPr="00C837DD">
        <w:rPr>
          <w:rFonts w:eastAsia="Calibri"/>
          <w:sz w:val="20"/>
          <w:szCs w:val="20"/>
        </w:rPr>
        <w:t xml:space="preserve"> abdominal </w:t>
      </w:r>
      <w:r w:rsidR="00812151" w:rsidRPr="00C837DD">
        <w:rPr>
          <w:rFonts w:eastAsia="Calibri"/>
          <w:sz w:val="20"/>
          <w:szCs w:val="20"/>
        </w:rPr>
        <w:t xml:space="preserve">cavity </w:t>
      </w:r>
      <w:r w:rsidRPr="00C837DD">
        <w:rPr>
          <w:rFonts w:eastAsia="Calibri"/>
          <w:sz w:val="20"/>
          <w:szCs w:val="20"/>
        </w:rPr>
        <w:t>and the neck presented internal hemorrhage</w:t>
      </w:r>
      <w:r w:rsidR="00812151" w:rsidRPr="00C837DD">
        <w:rPr>
          <w:rFonts w:eastAsia="Calibri"/>
          <w:sz w:val="20"/>
          <w:szCs w:val="20"/>
        </w:rPr>
        <w:t xml:space="preserve"> and</w:t>
      </w:r>
      <w:r w:rsidRPr="00C837DD">
        <w:rPr>
          <w:rFonts w:eastAsia="Calibri"/>
          <w:sz w:val="20"/>
          <w:szCs w:val="20"/>
        </w:rPr>
        <w:t xml:space="preserve"> </w:t>
      </w:r>
      <w:r w:rsidR="00812151" w:rsidRPr="00C837DD">
        <w:rPr>
          <w:rFonts w:eastAsia="Calibri"/>
          <w:sz w:val="20"/>
          <w:szCs w:val="20"/>
        </w:rPr>
        <w:t>t</w:t>
      </w:r>
      <w:r w:rsidRPr="00C837DD">
        <w:rPr>
          <w:rFonts w:eastAsia="Calibri"/>
          <w:sz w:val="20"/>
          <w:szCs w:val="20"/>
        </w:rPr>
        <w:t>he cause of death was determined to be asphyxia</w:t>
      </w:r>
      <w:r w:rsidR="00D24EBA">
        <w:rPr>
          <w:rFonts w:eastAsia="Calibri"/>
          <w:sz w:val="20"/>
          <w:szCs w:val="20"/>
        </w:rPr>
        <w:t>tion</w:t>
      </w:r>
      <w:r w:rsidRPr="00C837DD">
        <w:rPr>
          <w:rFonts w:eastAsia="Calibri"/>
          <w:sz w:val="20"/>
          <w:szCs w:val="20"/>
        </w:rPr>
        <w:t xml:space="preserve"> by suffocation, resulting from </w:t>
      </w:r>
      <w:r w:rsidR="00812151" w:rsidRPr="00C837DD">
        <w:rPr>
          <w:rFonts w:eastAsia="Calibri"/>
          <w:sz w:val="20"/>
          <w:szCs w:val="20"/>
        </w:rPr>
        <w:t xml:space="preserve">a </w:t>
      </w:r>
      <w:r w:rsidRPr="00C837DD">
        <w:rPr>
          <w:rFonts w:eastAsia="Calibri"/>
          <w:sz w:val="20"/>
          <w:szCs w:val="20"/>
        </w:rPr>
        <w:t>mechanical action.</w:t>
      </w:r>
      <w:r w:rsidRPr="00C837DD">
        <w:rPr>
          <w:rFonts w:eastAsia="Calibri"/>
          <w:sz w:val="20"/>
          <w:szCs w:val="20"/>
          <w:vertAlign w:val="superscript"/>
        </w:rPr>
        <w:footnoteReference w:id="104"/>
      </w:r>
      <w:r w:rsidRPr="00C837DD">
        <w:rPr>
          <w:rFonts w:eastAsia="Calibri"/>
          <w:b/>
          <w:sz w:val="20"/>
          <w:szCs w:val="20"/>
        </w:rPr>
        <w:t xml:space="preserve"> </w:t>
      </w:r>
      <w:r w:rsidR="00EB69A7" w:rsidRPr="00C837DD">
        <w:rPr>
          <w:rFonts w:eastAsia="Calibri"/>
          <w:sz w:val="20"/>
          <w:szCs w:val="20"/>
        </w:rPr>
        <w:t>In addition</w:t>
      </w:r>
      <w:r w:rsidRPr="00C837DD">
        <w:rPr>
          <w:rFonts w:eastAsia="Calibri"/>
          <w:sz w:val="20"/>
          <w:szCs w:val="20"/>
        </w:rPr>
        <w:t xml:space="preserve">, the </w:t>
      </w:r>
      <w:r w:rsidR="00812151" w:rsidRPr="00C837DD">
        <w:rPr>
          <w:rFonts w:eastAsia="Calibri"/>
          <w:sz w:val="20"/>
          <w:szCs w:val="20"/>
        </w:rPr>
        <w:t xml:space="preserve">forensic medical </w:t>
      </w:r>
      <w:r w:rsidRPr="00C837DD">
        <w:rPr>
          <w:rFonts w:eastAsia="Calibri"/>
          <w:sz w:val="20"/>
          <w:szCs w:val="20"/>
        </w:rPr>
        <w:t>expert who examined her body determined that Ms. Barbosa had been beaten prior to her death</w:t>
      </w:r>
      <w:r w:rsidRPr="00C837DD">
        <w:rPr>
          <w:rStyle w:val="Refdenotaalpie"/>
          <w:rFonts w:eastAsia="Calibri"/>
          <w:sz w:val="20"/>
          <w:szCs w:val="20"/>
        </w:rPr>
        <w:footnoteReference w:id="105"/>
      </w:r>
      <w:r w:rsidRPr="00C837DD">
        <w:rPr>
          <w:rFonts w:eastAsia="Calibri"/>
          <w:sz w:val="20"/>
          <w:szCs w:val="20"/>
        </w:rPr>
        <w:t xml:space="preserve"> and had suffered compression of the neck, although this had not </w:t>
      </w:r>
      <w:r w:rsidR="00812151" w:rsidRPr="00C837DD">
        <w:rPr>
          <w:rFonts w:eastAsia="Calibri"/>
          <w:sz w:val="20"/>
          <w:szCs w:val="20"/>
        </w:rPr>
        <w:t xml:space="preserve">been the </w:t>
      </w:r>
      <w:r w:rsidRPr="00C837DD">
        <w:rPr>
          <w:rFonts w:eastAsia="Calibri"/>
          <w:sz w:val="20"/>
          <w:szCs w:val="20"/>
        </w:rPr>
        <w:t>cause</w:t>
      </w:r>
      <w:r w:rsidR="00812151" w:rsidRPr="00C837DD">
        <w:rPr>
          <w:rFonts w:eastAsia="Calibri"/>
          <w:sz w:val="20"/>
          <w:szCs w:val="20"/>
        </w:rPr>
        <w:t xml:space="preserve"> of</w:t>
      </w:r>
      <w:r w:rsidRPr="00C837DD">
        <w:rPr>
          <w:rFonts w:eastAsia="Calibri"/>
          <w:sz w:val="20"/>
          <w:szCs w:val="20"/>
        </w:rPr>
        <w:t xml:space="preserve"> death.</w:t>
      </w:r>
      <w:r w:rsidRPr="00C837DD">
        <w:rPr>
          <w:rStyle w:val="Refdenotaalpie"/>
          <w:rFonts w:eastAsia="Calibri"/>
          <w:sz w:val="20"/>
          <w:szCs w:val="20"/>
        </w:rPr>
        <w:footnoteReference w:id="106"/>
      </w:r>
      <w:r w:rsidRPr="00C837DD">
        <w:rPr>
          <w:rFonts w:eastAsia="Calibri"/>
          <w:sz w:val="20"/>
          <w:szCs w:val="20"/>
        </w:rPr>
        <w:t xml:space="preserve"> </w:t>
      </w:r>
    </w:p>
    <w:p w14:paraId="7AD9EBDB" w14:textId="77777777" w:rsidR="00F85D5F" w:rsidRPr="00C837DD" w:rsidRDefault="00F85D5F" w:rsidP="00F85D5F">
      <w:pPr>
        <w:pStyle w:val="Prrafodelista"/>
        <w:tabs>
          <w:tab w:val="left" w:pos="142"/>
        </w:tabs>
        <w:ind w:left="0"/>
        <w:rPr>
          <w:sz w:val="20"/>
          <w:szCs w:val="20"/>
        </w:rPr>
      </w:pPr>
    </w:p>
    <w:p w14:paraId="153A29CC" w14:textId="5DD4E8B1"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The complaint </w:t>
      </w:r>
      <w:r w:rsidR="00812151" w:rsidRPr="00C837DD">
        <w:rPr>
          <w:rFonts w:eastAsia="Calibri"/>
          <w:sz w:val="20"/>
          <w:szCs w:val="20"/>
        </w:rPr>
        <w:t xml:space="preserve">filed by </w:t>
      </w:r>
      <w:r w:rsidRPr="00C837DD">
        <w:rPr>
          <w:rFonts w:eastAsia="Calibri"/>
          <w:sz w:val="20"/>
          <w:szCs w:val="20"/>
        </w:rPr>
        <w:t xml:space="preserve">the </w:t>
      </w:r>
      <w:r w:rsidR="004E3A99" w:rsidRPr="00C837DD">
        <w:rPr>
          <w:rFonts w:eastAsia="Calibri"/>
          <w:sz w:val="20"/>
          <w:szCs w:val="20"/>
        </w:rPr>
        <w:t>Public Prosecutor’s Office</w:t>
      </w:r>
      <w:r w:rsidRPr="00C837DD">
        <w:rPr>
          <w:rFonts w:eastAsia="Calibri"/>
          <w:sz w:val="20"/>
          <w:szCs w:val="20"/>
        </w:rPr>
        <w:t xml:space="preserve"> </w:t>
      </w:r>
      <w:r w:rsidR="00EB69A7" w:rsidRPr="00C837DD">
        <w:rPr>
          <w:rFonts w:eastAsia="Calibri"/>
          <w:sz w:val="20"/>
          <w:szCs w:val="20"/>
        </w:rPr>
        <w:t xml:space="preserve">attributed </w:t>
      </w:r>
      <w:r w:rsidRPr="00C837DD">
        <w:rPr>
          <w:rFonts w:eastAsia="Calibri"/>
          <w:sz w:val="20"/>
          <w:szCs w:val="20"/>
        </w:rPr>
        <w:t>the crimes of “</w:t>
      </w:r>
      <w:r w:rsidR="00EB69A7" w:rsidRPr="00C837DD">
        <w:rPr>
          <w:rFonts w:eastAsia="Calibri"/>
          <w:sz w:val="20"/>
          <w:szCs w:val="20"/>
        </w:rPr>
        <w:t>doubl</w:t>
      </w:r>
      <w:r w:rsidR="001F7449" w:rsidRPr="00C837DD">
        <w:rPr>
          <w:rFonts w:eastAsia="Calibri"/>
          <w:sz w:val="20"/>
          <w:szCs w:val="20"/>
        </w:rPr>
        <w:t>e</w:t>
      </w:r>
      <w:r w:rsidR="00EB69A7" w:rsidRPr="00C837DD">
        <w:rPr>
          <w:rFonts w:eastAsia="Calibri"/>
          <w:sz w:val="20"/>
          <w:szCs w:val="20"/>
        </w:rPr>
        <w:t xml:space="preserve"> aggravated </w:t>
      </w:r>
      <w:r w:rsidRPr="00C837DD">
        <w:rPr>
          <w:rFonts w:eastAsia="Calibri"/>
          <w:sz w:val="20"/>
          <w:szCs w:val="20"/>
        </w:rPr>
        <w:t>homicide”</w:t>
      </w:r>
      <w:r w:rsidRPr="00C837DD">
        <w:rPr>
          <w:rStyle w:val="Refdenotaalpie"/>
          <w:rFonts w:eastAsia="Calibri"/>
          <w:sz w:val="20"/>
          <w:szCs w:val="20"/>
        </w:rPr>
        <w:footnoteReference w:id="107"/>
      </w:r>
      <w:r w:rsidRPr="00C837DD">
        <w:rPr>
          <w:rFonts w:eastAsia="Calibri"/>
          <w:sz w:val="20"/>
          <w:szCs w:val="20"/>
        </w:rPr>
        <w:t xml:space="preserve"> and concealment of a </w:t>
      </w:r>
      <w:r w:rsidR="001F7449" w:rsidRPr="00C837DD">
        <w:rPr>
          <w:rFonts w:eastAsia="Calibri"/>
          <w:sz w:val="20"/>
          <w:szCs w:val="20"/>
        </w:rPr>
        <w:t xml:space="preserve">corpse </w:t>
      </w:r>
      <w:r w:rsidRPr="00C837DD">
        <w:rPr>
          <w:rFonts w:eastAsia="Calibri"/>
          <w:sz w:val="20"/>
          <w:szCs w:val="20"/>
        </w:rPr>
        <w:t>to the then state deputy,</w:t>
      </w:r>
      <w:r w:rsidR="001F7449" w:rsidRPr="00C837DD">
        <w:rPr>
          <w:rFonts w:eastAsia="Calibri"/>
          <w:sz w:val="20"/>
          <w:szCs w:val="20"/>
        </w:rPr>
        <w:t xml:space="preserve"> Mr. </w:t>
      </w:r>
      <w:r w:rsidR="001F7449" w:rsidRPr="00C837DD">
        <w:rPr>
          <w:rFonts w:eastAsia="Calibri"/>
          <w:sz w:val="20"/>
          <w:szCs w:val="20"/>
          <w:lang w:val="es-CR"/>
        </w:rPr>
        <w:t>Aércio Pereira de Lima</w:t>
      </w:r>
      <w:r w:rsidRPr="00C837DD">
        <w:rPr>
          <w:rFonts w:eastAsia="Calibri"/>
          <w:sz w:val="20"/>
          <w:szCs w:val="20"/>
        </w:rPr>
        <w:t>,</w:t>
      </w:r>
      <w:r w:rsidRPr="00C837DD">
        <w:rPr>
          <w:rStyle w:val="Refdenotaalpie"/>
          <w:rFonts w:eastAsia="Calibri"/>
          <w:sz w:val="20"/>
          <w:szCs w:val="20"/>
        </w:rPr>
        <w:footnoteReference w:id="108"/>
      </w:r>
      <w:r w:rsidRPr="00C837DD">
        <w:rPr>
          <w:rFonts w:eastAsia="Calibri"/>
          <w:sz w:val="20"/>
          <w:szCs w:val="20"/>
        </w:rPr>
        <w:t xml:space="preserve"> who </w:t>
      </w:r>
      <w:r w:rsidR="001F7449" w:rsidRPr="00C837DD">
        <w:rPr>
          <w:rFonts w:eastAsia="Calibri"/>
          <w:sz w:val="20"/>
          <w:szCs w:val="20"/>
        </w:rPr>
        <w:t xml:space="preserve">had </w:t>
      </w:r>
      <w:r w:rsidRPr="00C837DD">
        <w:rPr>
          <w:rFonts w:eastAsia="Calibri"/>
          <w:sz w:val="20"/>
          <w:szCs w:val="20"/>
        </w:rPr>
        <w:t>kn</w:t>
      </w:r>
      <w:r w:rsidR="001F7449" w:rsidRPr="00C837DD">
        <w:rPr>
          <w:rFonts w:eastAsia="Calibri"/>
          <w:sz w:val="20"/>
          <w:szCs w:val="20"/>
        </w:rPr>
        <w:t>own</w:t>
      </w:r>
      <w:r w:rsidRPr="00C837DD">
        <w:rPr>
          <w:rFonts w:eastAsia="Calibri"/>
          <w:sz w:val="20"/>
          <w:szCs w:val="20"/>
        </w:rPr>
        <w:t xml:space="preserve"> the alleged victim since November 1997.</w:t>
      </w:r>
      <w:r w:rsidRPr="00C837DD">
        <w:rPr>
          <w:rStyle w:val="Refdenotaalpie"/>
          <w:rFonts w:eastAsia="Calibri"/>
          <w:sz w:val="20"/>
          <w:szCs w:val="20"/>
        </w:rPr>
        <w:footnoteReference w:id="109"/>
      </w:r>
      <w:r w:rsidRPr="00C837DD">
        <w:rPr>
          <w:rFonts w:eastAsia="Calibri"/>
          <w:sz w:val="20"/>
          <w:szCs w:val="20"/>
        </w:rPr>
        <w:t xml:space="preserve"> According to his own statement and to testimonial evidence, Mr. Aércio Pereira de Lima had in his possession </w:t>
      </w:r>
      <w:r w:rsidRPr="00C837DD">
        <w:rPr>
          <w:rFonts w:eastAsia="Calibri"/>
          <w:sz w:val="20"/>
          <w:szCs w:val="20"/>
        </w:rPr>
        <w:lastRenderedPageBreak/>
        <w:t>the vehicle</w:t>
      </w:r>
      <w:r w:rsidRPr="00C837DD">
        <w:rPr>
          <w:rStyle w:val="Refdenotaalpie"/>
          <w:rFonts w:eastAsia="Calibri"/>
          <w:sz w:val="20"/>
          <w:szCs w:val="20"/>
        </w:rPr>
        <w:footnoteReference w:id="110"/>
      </w:r>
      <w:r w:rsidRPr="00C837DD">
        <w:rPr>
          <w:rFonts w:eastAsia="Calibri"/>
          <w:sz w:val="20"/>
          <w:szCs w:val="20"/>
        </w:rPr>
        <w:t xml:space="preserve"> used to conceal the body of the victim.</w:t>
      </w:r>
      <w:r w:rsidRPr="00C837DD">
        <w:rPr>
          <w:rStyle w:val="Refdenotaalpie"/>
          <w:rFonts w:eastAsia="Calibri"/>
          <w:sz w:val="20"/>
          <w:szCs w:val="20"/>
        </w:rPr>
        <w:footnoteReference w:id="111"/>
      </w:r>
      <w:r w:rsidRPr="00C837DD">
        <w:rPr>
          <w:rFonts w:eastAsia="Calibri"/>
          <w:sz w:val="20"/>
          <w:szCs w:val="20"/>
        </w:rPr>
        <w:t xml:space="preserve"> Four other persons - D.D.P.M., L.B.S., A.G.A.M. and M.D.M. -</w:t>
      </w:r>
      <w:r w:rsidR="00897316">
        <w:rPr>
          <w:rFonts w:eastAsia="Calibri"/>
          <w:sz w:val="20"/>
          <w:szCs w:val="20"/>
        </w:rPr>
        <w:t xml:space="preserve"> </w:t>
      </w:r>
      <w:r w:rsidRPr="00C837DD">
        <w:rPr>
          <w:rFonts w:eastAsia="Calibri"/>
          <w:sz w:val="20"/>
          <w:szCs w:val="20"/>
        </w:rPr>
        <w:t>were also included in the investigations</w:t>
      </w:r>
      <w:r w:rsidR="008A210D" w:rsidRPr="00C837DD">
        <w:rPr>
          <w:rFonts w:eastAsia="Calibri"/>
          <w:sz w:val="20"/>
          <w:szCs w:val="20"/>
        </w:rPr>
        <w:t xml:space="preserve"> as</w:t>
      </w:r>
      <w:r w:rsidRPr="00C837DD">
        <w:rPr>
          <w:rFonts w:eastAsia="Calibri"/>
          <w:sz w:val="20"/>
          <w:szCs w:val="20"/>
        </w:rPr>
        <w:t xml:space="preserve"> suspect</w:t>
      </w:r>
      <w:r w:rsidR="008A210D" w:rsidRPr="00C837DD">
        <w:rPr>
          <w:rFonts w:eastAsia="Calibri"/>
          <w:sz w:val="20"/>
          <w:szCs w:val="20"/>
        </w:rPr>
        <w:t>s</w:t>
      </w:r>
      <w:r w:rsidRPr="00C837DD">
        <w:rPr>
          <w:rFonts w:eastAsia="Calibri"/>
          <w:sz w:val="20"/>
          <w:szCs w:val="20"/>
        </w:rPr>
        <w:t xml:space="preserve"> of having participated in the crime.</w:t>
      </w:r>
      <w:r w:rsidRPr="00C837DD">
        <w:rPr>
          <w:rStyle w:val="Refdenotaalpie"/>
          <w:rFonts w:eastAsia="Calibri"/>
          <w:sz w:val="20"/>
          <w:szCs w:val="20"/>
        </w:rPr>
        <w:footnoteReference w:id="112"/>
      </w:r>
    </w:p>
    <w:p w14:paraId="736226B0" w14:textId="77777777" w:rsidR="00F85D5F" w:rsidRPr="00C837DD" w:rsidRDefault="00F85D5F" w:rsidP="00F85D5F">
      <w:pPr>
        <w:tabs>
          <w:tab w:val="left" w:pos="142"/>
        </w:tabs>
        <w:rPr>
          <w:sz w:val="20"/>
          <w:szCs w:val="20"/>
        </w:rPr>
      </w:pPr>
    </w:p>
    <w:p w14:paraId="177314E4" w14:textId="77777777" w:rsidR="00F85D5F" w:rsidRPr="00C837DD" w:rsidRDefault="00F85D5F" w:rsidP="00F85D5F">
      <w:pPr>
        <w:pStyle w:val="Ttulo2"/>
        <w:numPr>
          <w:ilvl w:val="1"/>
          <w:numId w:val="21"/>
        </w:numPr>
        <w:ind w:left="1134" w:hanging="567"/>
        <w:rPr>
          <w:lang w:val="en-US"/>
        </w:rPr>
      </w:pPr>
      <w:bookmarkStart w:id="61" w:name="_Toc85001880"/>
      <w:r w:rsidRPr="00C837DD">
        <w:rPr>
          <w:lang w:val="en-US"/>
        </w:rPr>
        <w:t>Domestic proceedings</w:t>
      </w:r>
      <w:bookmarkEnd w:id="61"/>
    </w:p>
    <w:p w14:paraId="34F5387C" w14:textId="77777777" w:rsidR="00F85D5F" w:rsidRPr="00C837DD" w:rsidRDefault="00F85D5F" w:rsidP="00F85D5F">
      <w:pPr>
        <w:tabs>
          <w:tab w:val="left" w:pos="142"/>
        </w:tabs>
        <w:rPr>
          <w:sz w:val="20"/>
          <w:szCs w:val="20"/>
        </w:rPr>
      </w:pPr>
    </w:p>
    <w:p w14:paraId="3E84B5BA" w14:textId="723975CC" w:rsidR="00F85D5F" w:rsidRPr="00C837DD" w:rsidRDefault="004103B1" w:rsidP="00F85D5F">
      <w:pPr>
        <w:pStyle w:val="Prrafodelista"/>
        <w:numPr>
          <w:ilvl w:val="0"/>
          <w:numId w:val="6"/>
        </w:numPr>
        <w:tabs>
          <w:tab w:val="left" w:pos="142"/>
        </w:tabs>
        <w:ind w:left="0" w:firstLine="0"/>
        <w:rPr>
          <w:sz w:val="20"/>
          <w:szCs w:val="20"/>
        </w:rPr>
      </w:pPr>
      <w:r w:rsidRPr="00C837DD">
        <w:rPr>
          <w:rFonts w:eastAsia="Calibri"/>
          <w:sz w:val="20"/>
          <w:szCs w:val="20"/>
        </w:rPr>
        <w:t>On June 19, 1998, p</w:t>
      </w:r>
      <w:r w:rsidR="00F85D5F" w:rsidRPr="00C837DD">
        <w:rPr>
          <w:rFonts w:eastAsia="Calibri"/>
          <w:sz w:val="20"/>
          <w:szCs w:val="20"/>
        </w:rPr>
        <w:t xml:space="preserve">olice investigation No. 18/98 regarding the death of </w:t>
      </w:r>
      <w:r w:rsidR="00B8009F" w:rsidRPr="00C837DD">
        <w:rPr>
          <w:rFonts w:eastAsia="Calibri"/>
          <w:sz w:val="20"/>
          <w:szCs w:val="20"/>
        </w:rPr>
        <w:t>Márcia</w:t>
      </w:r>
      <w:r w:rsidR="00F85D5F" w:rsidRPr="00C837DD">
        <w:rPr>
          <w:rFonts w:eastAsia="Calibri"/>
          <w:sz w:val="20"/>
          <w:szCs w:val="20"/>
        </w:rPr>
        <w:t xml:space="preserve"> Barbosa de Souza was formally opened.</w:t>
      </w:r>
      <w:r w:rsidR="00F85D5F" w:rsidRPr="00C837DD">
        <w:rPr>
          <w:rStyle w:val="Refdenotaalpie"/>
          <w:rFonts w:eastAsia="Calibri"/>
          <w:sz w:val="20"/>
          <w:szCs w:val="20"/>
        </w:rPr>
        <w:footnoteReference w:id="113"/>
      </w:r>
      <w:r w:rsidR="00F85D5F" w:rsidRPr="00C837DD">
        <w:rPr>
          <w:rFonts w:eastAsia="Calibri"/>
          <w:sz w:val="20"/>
          <w:szCs w:val="20"/>
        </w:rPr>
        <w:t xml:space="preserve"> </w:t>
      </w:r>
      <w:r w:rsidRPr="00C837DD">
        <w:rPr>
          <w:rFonts w:eastAsia="Calibri"/>
          <w:sz w:val="20"/>
          <w:szCs w:val="20"/>
        </w:rPr>
        <w:t>After the collection of testimonial and expert evidence, the Police Commissioner in charge of the investigation, on July 21, 1998, issued a report in which he stated that all the evidence indicated the direct participation of the then deputy Aércio Pereira de Lima in the crime</w:t>
      </w:r>
      <w:r w:rsidR="00F85D5F" w:rsidRPr="00C837DD">
        <w:rPr>
          <w:rFonts w:eastAsia="Calibri"/>
          <w:sz w:val="20"/>
          <w:szCs w:val="20"/>
        </w:rPr>
        <w:t xml:space="preserve">. However, </w:t>
      </w:r>
      <w:r w:rsidR="004867CC" w:rsidRPr="00C837DD">
        <w:rPr>
          <w:rFonts w:eastAsia="Calibri"/>
          <w:sz w:val="20"/>
          <w:szCs w:val="20"/>
        </w:rPr>
        <w:t xml:space="preserve">he </w:t>
      </w:r>
      <w:r w:rsidR="00F85D5F" w:rsidRPr="00C837DD">
        <w:rPr>
          <w:rFonts w:eastAsia="Calibri"/>
          <w:sz w:val="20"/>
          <w:szCs w:val="20"/>
        </w:rPr>
        <w:t xml:space="preserve">noted that it was difficult to take the statement of the then deputy by virtue of his prerogatives </w:t>
      </w:r>
      <w:r w:rsidR="004867CC" w:rsidRPr="00C837DD">
        <w:rPr>
          <w:rFonts w:eastAsia="Calibri"/>
          <w:sz w:val="20"/>
          <w:szCs w:val="20"/>
        </w:rPr>
        <w:t xml:space="preserve">related to </w:t>
      </w:r>
      <w:r w:rsidR="00F85D5F" w:rsidRPr="00C837DD">
        <w:rPr>
          <w:rFonts w:eastAsia="Calibri"/>
          <w:sz w:val="20"/>
          <w:szCs w:val="20"/>
        </w:rPr>
        <w:t>parliamentary immunity. The Commissioner also concluded that there were indications of the participation of four other persons in the crime: D.D.P.M., L.B.S., A.G.A.M. and M.D.M</w:t>
      </w:r>
      <w:r w:rsidR="00E66FF6" w:rsidRPr="00C837DD">
        <w:rPr>
          <w:rFonts w:eastAsia="Calibri"/>
          <w:sz w:val="20"/>
          <w:szCs w:val="20"/>
        </w:rPr>
        <w:t>.</w:t>
      </w:r>
      <w:r w:rsidR="00F85D5F" w:rsidRPr="00C837DD">
        <w:rPr>
          <w:rStyle w:val="Refdenotaalpie"/>
          <w:rFonts w:eastAsia="Calibri"/>
          <w:sz w:val="20"/>
          <w:szCs w:val="20"/>
        </w:rPr>
        <w:footnoteReference w:id="114"/>
      </w:r>
    </w:p>
    <w:p w14:paraId="043C81C2" w14:textId="77777777" w:rsidR="00F85D5F" w:rsidRPr="00C837DD" w:rsidRDefault="00F85D5F" w:rsidP="00F85D5F">
      <w:pPr>
        <w:pStyle w:val="Prrafodelista"/>
        <w:tabs>
          <w:tab w:val="left" w:pos="142"/>
        </w:tabs>
        <w:ind w:left="0"/>
        <w:rPr>
          <w:sz w:val="20"/>
          <w:szCs w:val="20"/>
        </w:rPr>
      </w:pPr>
    </w:p>
    <w:p w14:paraId="204A9325" w14:textId="63125639" w:rsidR="00F85D5F" w:rsidRPr="00C837DD" w:rsidRDefault="00897316" w:rsidP="00F85D5F">
      <w:pPr>
        <w:pStyle w:val="Prrafodelista"/>
        <w:numPr>
          <w:ilvl w:val="0"/>
          <w:numId w:val="6"/>
        </w:numPr>
        <w:tabs>
          <w:tab w:val="left" w:pos="142"/>
        </w:tabs>
        <w:ind w:left="0" w:firstLine="0"/>
        <w:rPr>
          <w:sz w:val="20"/>
          <w:szCs w:val="20"/>
        </w:rPr>
      </w:pPr>
      <w:r>
        <w:rPr>
          <w:rFonts w:eastAsia="Calibri"/>
          <w:sz w:val="20"/>
          <w:szCs w:val="20"/>
        </w:rPr>
        <w:t xml:space="preserve">In </w:t>
      </w:r>
      <w:r w:rsidR="00F85D5F" w:rsidRPr="00C837DD">
        <w:rPr>
          <w:rFonts w:eastAsia="Calibri"/>
          <w:sz w:val="20"/>
          <w:szCs w:val="20"/>
        </w:rPr>
        <w:t>the course of the investigations, the police authorit</w:t>
      </w:r>
      <w:r w:rsidR="00CF61FA" w:rsidRPr="00C837DD">
        <w:rPr>
          <w:rFonts w:eastAsia="Calibri"/>
          <w:sz w:val="20"/>
          <w:szCs w:val="20"/>
        </w:rPr>
        <w:t>ies</w:t>
      </w:r>
      <w:r w:rsidR="00F85D5F" w:rsidRPr="00C837DD">
        <w:rPr>
          <w:rFonts w:eastAsia="Calibri"/>
          <w:sz w:val="20"/>
          <w:szCs w:val="20"/>
        </w:rPr>
        <w:t xml:space="preserve"> questioned different witnesses about the personality, social conduct and sexuality of Ms. Barbosa de Souza.</w:t>
      </w:r>
      <w:r w:rsidR="00F85D5F" w:rsidRPr="00C837DD">
        <w:rPr>
          <w:rStyle w:val="Refdenotaalpie"/>
          <w:rFonts w:eastAsia="Calibri"/>
          <w:sz w:val="20"/>
          <w:szCs w:val="20"/>
        </w:rPr>
        <w:footnoteReference w:id="115"/>
      </w:r>
      <w:r w:rsidR="00F85D5F" w:rsidRPr="00C837DD">
        <w:rPr>
          <w:sz w:val="20"/>
          <w:szCs w:val="20"/>
        </w:rPr>
        <w:t xml:space="preserve"> Likewise, during the criminal proceedings against Aércio Pereira de Lima, to which reference will be made below, at the request of his </w:t>
      </w:r>
      <w:r w:rsidR="00CF61FA" w:rsidRPr="00C837DD">
        <w:rPr>
          <w:sz w:val="20"/>
          <w:szCs w:val="20"/>
        </w:rPr>
        <w:t>attorney</w:t>
      </w:r>
      <w:r w:rsidR="00F85D5F" w:rsidRPr="00C837DD">
        <w:rPr>
          <w:sz w:val="20"/>
          <w:szCs w:val="20"/>
        </w:rPr>
        <w:t xml:space="preserve">, </w:t>
      </w:r>
      <w:r w:rsidR="00F85D5F" w:rsidRPr="00C837DD">
        <w:rPr>
          <w:iCs/>
          <w:sz w:val="20"/>
          <w:szCs w:val="20"/>
        </w:rPr>
        <w:t xml:space="preserve">more than 150 pages of newspaper articles </w:t>
      </w:r>
      <w:r w:rsidR="00CF61FA" w:rsidRPr="00C837DD">
        <w:rPr>
          <w:iCs/>
          <w:sz w:val="20"/>
          <w:szCs w:val="20"/>
        </w:rPr>
        <w:t>referring to the alleged prostitution, overdose and alleged suicide of Márcia Barbosa de Souza were incorporated into the case file</w:t>
      </w:r>
      <w:r w:rsidR="00F85D5F" w:rsidRPr="00C837DD">
        <w:rPr>
          <w:iCs/>
          <w:sz w:val="20"/>
          <w:szCs w:val="20"/>
        </w:rPr>
        <w:t>.</w:t>
      </w:r>
      <w:r w:rsidR="00F85D5F" w:rsidRPr="00C837DD">
        <w:rPr>
          <w:vertAlign w:val="superscript"/>
        </w:rPr>
        <w:footnoteReference w:id="116"/>
      </w:r>
      <w:r w:rsidR="00F85D5F" w:rsidRPr="00C837DD">
        <w:rPr>
          <w:sz w:val="20"/>
          <w:szCs w:val="20"/>
        </w:rPr>
        <w:t xml:space="preserve"> </w:t>
      </w:r>
    </w:p>
    <w:p w14:paraId="67FBB799" w14:textId="77777777" w:rsidR="00F85D5F" w:rsidRPr="00C837DD" w:rsidRDefault="00F85D5F" w:rsidP="00F85D5F">
      <w:pPr>
        <w:pStyle w:val="Prrafodelista"/>
        <w:tabs>
          <w:tab w:val="left" w:pos="142"/>
        </w:tabs>
        <w:ind w:left="0"/>
        <w:rPr>
          <w:sz w:val="20"/>
          <w:szCs w:val="20"/>
        </w:rPr>
      </w:pPr>
    </w:p>
    <w:p w14:paraId="3EBF5B86" w14:textId="216E0D19"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On July 23, 1998, the police sent the investigation </w:t>
      </w:r>
      <w:r w:rsidR="0068291B" w:rsidRPr="00C837DD">
        <w:rPr>
          <w:rFonts w:eastAsia="Calibri"/>
          <w:sz w:val="20"/>
          <w:szCs w:val="20"/>
        </w:rPr>
        <w:t xml:space="preserve">report </w:t>
      </w:r>
      <w:r w:rsidRPr="00C837DD">
        <w:rPr>
          <w:rFonts w:eastAsia="Calibri"/>
          <w:sz w:val="20"/>
          <w:szCs w:val="20"/>
        </w:rPr>
        <w:t xml:space="preserve">to the </w:t>
      </w:r>
      <w:r w:rsidR="004E3A99" w:rsidRPr="00C837DD">
        <w:rPr>
          <w:rFonts w:eastAsia="Calibri"/>
          <w:sz w:val="20"/>
          <w:szCs w:val="20"/>
        </w:rPr>
        <w:t>Public Prosecutor’s Office</w:t>
      </w:r>
      <w:r w:rsidR="0068291B" w:rsidRPr="00C837DD">
        <w:rPr>
          <w:rFonts w:eastAsia="Calibri"/>
          <w:sz w:val="20"/>
          <w:szCs w:val="20"/>
        </w:rPr>
        <w:t>,</w:t>
      </w:r>
      <w:r w:rsidRPr="00C837DD">
        <w:rPr>
          <w:rStyle w:val="Refdenotaalpie"/>
          <w:rFonts w:eastAsia="Calibri"/>
          <w:sz w:val="20"/>
          <w:szCs w:val="20"/>
        </w:rPr>
        <w:footnoteReference w:id="117"/>
      </w:r>
      <w:r w:rsidRPr="00C837DD">
        <w:rPr>
          <w:rFonts w:eastAsia="Calibri"/>
          <w:sz w:val="20"/>
          <w:szCs w:val="20"/>
        </w:rPr>
        <w:t xml:space="preserve"> which asked the competent judge, some days later, for additional inquiries to be conducted by the police authorit</w:t>
      </w:r>
      <w:r w:rsidR="0068291B" w:rsidRPr="00C837DD">
        <w:rPr>
          <w:rFonts w:eastAsia="Calibri"/>
          <w:sz w:val="20"/>
          <w:szCs w:val="20"/>
        </w:rPr>
        <w:t>ies</w:t>
      </w:r>
      <w:r w:rsidRPr="00C837DD">
        <w:rPr>
          <w:rFonts w:eastAsia="Calibri"/>
          <w:sz w:val="20"/>
          <w:szCs w:val="20"/>
        </w:rPr>
        <w:t>.</w:t>
      </w:r>
      <w:r w:rsidRPr="00C837DD">
        <w:rPr>
          <w:rStyle w:val="Refdenotaalpie"/>
          <w:rFonts w:eastAsia="Calibri"/>
          <w:sz w:val="20"/>
          <w:szCs w:val="20"/>
        </w:rPr>
        <w:footnoteReference w:id="118"/>
      </w:r>
      <w:r w:rsidRPr="00C837DD">
        <w:rPr>
          <w:rFonts w:eastAsia="Calibri"/>
          <w:sz w:val="20"/>
          <w:szCs w:val="20"/>
        </w:rPr>
        <w:t xml:space="preserve"> On July 28, 1998, the judge authorized said inquiries and </w:t>
      </w:r>
      <w:r w:rsidR="00EB69A7" w:rsidRPr="00C837DD">
        <w:rPr>
          <w:rFonts w:eastAsia="Calibri"/>
          <w:sz w:val="20"/>
          <w:szCs w:val="20"/>
        </w:rPr>
        <w:t>assigned</w:t>
      </w:r>
      <w:r w:rsidRPr="00C837DD">
        <w:rPr>
          <w:rFonts w:eastAsia="Calibri"/>
          <w:sz w:val="20"/>
          <w:szCs w:val="20"/>
        </w:rPr>
        <w:t xml:space="preserve"> a term of 20 days </w:t>
      </w:r>
      <w:r w:rsidR="0068291B" w:rsidRPr="00C837DD">
        <w:rPr>
          <w:rFonts w:eastAsia="Calibri"/>
          <w:sz w:val="20"/>
          <w:szCs w:val="20"/>
        </w:rPr>
        <w:t xml:space="preserve">for </w:t>
      </w:r>
      <w:r w:rsidRPr="00C837DD">
        <w:rPr>
          <w:rFonts w:eastAsia="Calibri"/>
          <w:sz w:val="20"/>
          <w:szCs w:val="20"/>
        </w:rPr>
        <w:t>the police to carry them out.</w:t>
      </w:r>
      <w:r w:rsidRPr="00C837DD">
        <w:rPr>
          <w:rStyle w:val="Refdenotaalpie"/>
          <w:rFonts w:eastAsia="Calibri"/>
          <w:sz w:val="20"/>
          <w:szCs w:val="20"/>
        </w:rPr>
        <w:footnoteReference w:id="119"/>
      </w:r>
    </w:p>
    <w:p w14:paraId="4E26EF95" w14:textId="77777777" w:rsidR="00F85D5F" w:rsidRPr="00C837DD" w:rsidRDefault="00F85D5F" w:rsidP="00F85D5F">
      <w:pPr>
        <w:pStyle w:val="Prrafodelista"/>
        <w:tabs>
          <w:tab w:val="left" w:pos="142"/>
        </w:tabs>
        <w:ind w:left="0"/>
        <w:rPr>
          <w:rFonts w:eastAsia="Calibri"/>
          <w:sz w:val="20"/>
          <w:szCs w:val="20"/>
        </w:rPr>
      </w:pPr>
    </w:p>
    <w:p w14:paraId="46C2010B" w14:textId="15FCEBA1"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rFonts w:eastAsia="Calibri"/>
          <w:sz w:val="20"/>
          <w:szCs w:val="20"/>
        </w:rPr>
        <w:t>On August 19, 1998, the Police Commissioner and the Prosecutor requested the presence of the then deputy to hear his testimony.</w:t>
      </w:r>
      <w:r w:rsidRPr="00C837DD">
        <w:rPr>
          <w:rStyle w:val="Refdenotaalpie"/>
          <w:rFonts w:eastAsia="Calibri"/>
          <w:sz w:val="20"/>
          <w:szCs w:val="20"/>
        </w:rPr>
        <w:footnoteReference w:id="120"/>
      </w:r>
      <w:r w:rsidRPr="00C837DD">
        <w:rPr>
          <w:rFonts w:eastAsia="Calibri"/>
          <w:sz w:val="20"/>
          <w:szCs w:val="20"/>
        </w:rPr>
        <w:t xml:space="preserve"> On August 24, 1998, the then deputy indicated that the request </w:t>
      </w:r>
      <w:r w:rsidR="00EB69A7" w:rsidRPr="00C837DD">
        <w:rPr>
          <w:rFonts w:eastAsia="Calibri"/>
          <w:sz w:val="20"/>
          <w:szCs w:val="20"/>
        </w:rPr>
        <w:t>sh</w:t>
      </w:r>
      <w:r w:rsidRPr="00C837DD">
        <w:rPr>
          <w:rFonts w:eastAsia="Calibri"/>
          <w:sz w:val="20"/>
          <w:szCs w:val="20"/>
        </w:rPr>
        <w:t xml:space="preserve">ould be made to the Legislative Assembly of the state of Paraíba </w:t>
      </w:r>
      <w:r w:rsidR="0068291B" w:rsidRPr="00C837DD">
        <w:rPr>
          <w:rFonts w:eastAsia="Calibri"/>
          <w:sz w:val="20"/>
          <w:szCs w:val="20"/>
        </w:rPr>
        <w:t xml:space="preserve">due to his </w:t>
      </w:r>
      <w:r w:rsidRPr="00C837DD">
        <w:rPr>
          <w:rFonts w:eastAsia="Calibri"/>
          <w:sz w:val="20"/>
          <w:szCs w:val="20"/>
        </w:rPr>
        <w:t>parliamentary prerogatives</w:t>
      </w:r>
      <w:r w:rsidR="00EB69A7" w:rsidRPr="00C837DD">
        <w:rPr>
          <w:rFonts w:eastAsia="Calibri"/>
          <w:sz w:val="20"/>
          <w:szCs w:val="20"/>
        </w:rPr>
        <w:t>.</w:t>
      </w:r>
      <w:r w:rsidRPr="00C837DD">
        <w:rPr>
          <w:rStyle w:val="Refdenotaalpie"/>
          <w:rFonts w:eastAsia="Calibri"/>
          <w:sz w:val="20"/>
          <w:szCs w:val="20"/>
        </w:rPr>
        <w:footnoteReference w:id="121"/>
      </w:r>
      <w:r w:rsidRPr="00C837DD">
        <w:rPr>
          <w:rFonts w:eastAsia="Calibri"/>
          <w:sz w:val="20"/>
          <w:szCs w:val="20"/>
        </w:rPr>
        <w:t xml:space="preserve"> </w:t>
      </w:r>
    </w:p>
    <w:p w14:paraId="1BAEDBA4" w14:textId="77777777" w:rsidR="00F85D5F" w:rsidRPr="00C837DD" w:rsidRDefault="00F85D5F" w:rsidP="00F85D5F">
      <w:pPr>
        <w:pStyle w:val="Prrafodelista"/>
        <w:tabs>
          <w:tab w:val="left" w:pos="142"/>
        </w:tabs>
        <w:ind w:left="0"/>
        <w:rPr>
          <w:rFonts w:eastAsia="Calibri"/>
          <w:sz w:val="20"/>
          <w:szCs w:val="20"/>
        </w:rPr>
      </w:pPr>
    </w:p>
    <w:p w14:paraId="1E2CD17C" w14:textId="3B06607D" w:rsidR="00F85D5F" w:rsidRPr="00C837DD" w:rsidRDefault="00F85D5F" w:rsidP="00F85D5F">
      <w:pPr>
        <w:pStyle w:val="Prrafodelista"/>
        <w:widowControl/>
        <w:numPr>
          <w:ilvl w:val="0"/>
          <w:numId w:val="6"/>
        </w:numPr>
        <w:tabs>
          <w:tab w:val="left" w:pos="142"/>
        </w:tabs>
        <w:autoSpaceDE/>
        <w:autoSpaceDN/>
        <w:ind w:left="0" w:firstLine="0"/>
        <w:rPr>
          <w:sz w:val="20"/>
          <w:szCs w:val="20"/>
          <w:lang w:eastAsia="es-ES"/>
        </w:rPr>
      </w:pPr>
      <w:r w:rsidRPr="00C837DD">
        <w:rPr>
          <w:rFonts w:eastAsia="Calibri"/>
          <w:sz w:val="20"/>
          <w:szCs w:val="20"/>
        </w:rPr>
        <w:t>On August 27, 1998, the Police Commissioner prepared a new report ratifying the terms of the previous report.</w:t>
      </w:r>
      <w:r w:rsidRPr="00C837DD">
        <w:rPr>
          <w:rStyle w:val="Refdenotaalpie"/>
          <w:rFonts w:eastAsia="Calibri"/>
          <w:sz w:val="20"/>
          <w:szCs w:val="20"/>
        </w:rPr>
        <w:footnoteReference w:id="122"/>
      </w:r>
      <w:r w:rsidRPr="00C837DD">
        <w:rPr>
          <w:rFonts w:eastAsia="Calibri"/>
          <w:sz w:val="20"/>
          <w:szCs w:val="20"/>
        </w:rPr>
        <w:t xml:space="preserve"> On September 4, 1998, the </w:t>
      </w:r>
      <w:r w:rsidR="003B3A04">
        <w:rPr>
          <w:rFonts w:eastAsia="Calibri"/>
          <w:sz w:val="20"/>
          <w:szCs w:val="20"/>
        </w:rPr>
        <w:t>P</w:t>
      </w:r>
      <w:r w:rsidRPr="00C837DD">
        <w:rPr>
          <w:rFonts w:eastAsia="Calibri"/>
          <w:sz w:val="20"/>
          <w:szCs w:val="20"/>
        </w:rPr>
        <w:t xml:space="preserve">rosecutor requested that the file of the police investigation be sent to the </w:t>
      </w:r>
      <w:r w:rsidR="00A42F58" w:rsidRPr="00C837DD">
        <w:rPr>
          <w:rStyle w:val="Ttulo3Car"/>
          <w:i w:val="0"/>
          <w:sz w:val="20"/>
          <w:szCs w:val="20"/>
        </w:rPr>
        <w:t>Attorney General</w:t>
      </w:r>
      <w:r w:rsidR="00542D64" w:rsidRPr="00C837DD">
        <w:rPr>
          <w:rStyle w:val="Ttulo3Car"/>
          <w:i w:val="0"/>
          <w:sz w:val="20"/>
          <w:szCs w:val="20"/>
        </w:rPr>
        <w:t xml:space="preserve"> of Justice, who was</w:t>
      </w:r>
      <w:r w:rsidRPr="00C837DD">
        <w:rPr>
          <w:rFonts w:eastAsia="Calibri"/>
          <w:sz w:val="20"/>
          <w:szCs w:val="20"/>
        </w:rPr>
        <w:t xml:space="preserve"> competent </w:t>
      </w:r>
      <w:r w:rsidR="00542D64" w:rsidRPr="00C837DD">
        <w:rPr>
          <w:rFonts w:eastAsia="Calibri"/>
          <w:sz w:val="20"/>
          <w:szCs w:val="20"/>
        </w:rPr>
        <w:t xml:space="preserve">to file </w:t>
      </w:r>
      <w:r w:rsidRPr="00C837DD">
        <w:rPr>
          <w:rFonts w:eastAsia="Calibri"/>
          <w:sz w:val="20"/>
          <w:szCs w:val="20"/>
        </w:rPr>
        <w:t xml:space="preserve">the criminal action against the then deputy Aércio Pereira de Lima, </w:t>
      </w:r>
      <w:r w:rsidR="00542D64" w:rsidRPr="00C837DD">
        <w:rPr>
          <w:rFonts w:eastAsia="Calibri"/>
          <w:sz w:val="20"/>
          <w:szCs w:val="20"/>
        </w:rPr>
        <w:t xml:space="preserve">since </w:t>
      </w:r>
      <w:r w:rsidRPr="00C837DD">
        <w:rPr>
          <w:rFonts w:eastAsia="Calibri"/>
          <w:sz w:val="20"/>
          <w:szCs w:val="20"/>
        </w:rPr>
        <w:t xml:space="preserve">he enjoyed </w:t>
      </w:r>
      <w:r w:rsidR="00EB69A7" w:rsidRPr="00C837DD">
        <w:rPr>
          <w:rFonts w:eastAsia="Calibri"/>
          <w:sz w:val="20"/>
          <w:szCs w:val="20"/>
        </w:rPr>
        <w:t xml:space="preserve">privileged </w:t>
      </w:r>
      <w:r w:rsidR="00542D64" w:rsidRPr="00C837DD">
        <w:rPr>
          <w:rFonts w:eastAsia="Calibri"/>
          <w:sz w:val="20"/>
          <w:szCs w:val="20"/>
        </w:rPr>
        <w:t>immunity.</w:t>
      </w:r>
      <w:r w:rsidRPr="00C837DD">
        <w:rPr>
          <w:rStyle w:val="Refdenotaalpie"/>
          <w:rFonts w:eastAsia="Calibri"/>
          <w:sz w:val="20"/>
          <w:szCs w:val="20"/>
        </w:rPr>
        <w:footnoteReference w:id="123"/>
      </w:r>
      <w:r w:rsidRPr="00C837DD">
        <w:rPr>
          <w:rFonts w:eastAsia="Calibri"/>
          <w:sz w:val="20"/>
          <w:szCs w:val="20"/>
        </w:rPr>
        <w:t xml:space="preserve"> On September 15, 1998, the </w:t>
      </w:r>
      <w:r w:rsidR="00EB69A7" w:rsidRPr="00C837DD">
        <w:rPr>
          <w:rFonts w:eastAsia="Calibri"/>
          <w:sz w:val="20"/>
          <w:szCs w:val="20"/>
        </w:rPr>
        <w:t xml:space="preserve">case </w:t>
      </w:r>
      <w:r w:rsidRPr="00C837DD">
        <w:rPr>
          <w:rFonts w:eastAsia="Calibri"/>
          <w:sz w:val="20"/>
          <w:szCs w:val="20"/>
        </w:rPr>
        <w:t>was rec</w:t>
      </w:r>
      <w:r w:rsidR="00EB69A7" w:rsidRPr="00C837DD">
        <w:rPr>
          <w:rFonts w:eastAsia="Calibri"/>
          <w:sz w:val="20"/>
          <w:szCs w:val="20"/>
        </w:rPr>
        <w:t>e</w:t>
      </w:r>
      <w:r w:rsidRPr="00C837DD">
        <w:rPr>
          <w:rFonts w:eastAsia="Calibri"/>
          <w:sz w:val="20"/>
          <w:szCs w:val="20"/>
        </w:rPr>
        <w:t>i</w:t>
      </w:r>
      <w:r w:rsidR="00EB69A7" w:rsidRPr="00C837DD">
        <w:rPr>
          <w:rFonts w:eastAsia="Calibri"/>
          <w:sz w:val="20"/>
          <w:szCs w:val="20"/>
        </w:rPr>
        <w:t xml:space="preserve">ved </w:t>
      </w:r>
      <w:r w:rsidR="00542D64" w:rsidRPr="00C837DD">
        <w:rPr>
          <w:rFonts w:eastAsia="Calibri"/>
          <w:sz w:val="20"/>
          <w:szCs w:val="20"/>
        </w:rPr>
        <w:t>by</w:t>
      </w:r>
      <w:r w:rsidRPr="00C837DD">
        <w:rPr>
          <w:rFonts w:eastAsia="Calibri"/>
          <w:sz w:val="20"/>
          <w:szCs w:val="20"/>
        </w:rPr>
        <w:t xml:space="preserve"> the </w:t>
      </w:r>
      <w:r w:rsidR="00A42F58" w:rsidRPr="00C837DD">
        <w:rPr>
          <w:rStyle w:val="Ttulo3Car"/>
          <w:i w:val="0"/>
          <w:sz w:val="20"/>
          <w:szCs w:val="20"/>
        </w:rPr>
        <w:t>Attorney General’s Office</w:t>
      </w:r>
      <w:r w:rsidR="00A42F58" w:rsidRPr="00C837DD">
        <w:rPr>
          <w:rFonts w:eastAsia="Calibri"/>
          <w:sz w:val="20"/>
          <w:szCs w:val="20"/>
        </w:rPr>
        <w:t>.</w:t>
      </w:r>
      <w:r w:rsidRPr="00C837DD">
        <w:rPr>
          <w:rStyle w:val="Refdenotaalpie"/>
          <w:rFonts w:eastAsia="Calibri"/>
          <w:sz w:val="20"/>
          <w:szCs w:val="20"/>
        </w:rPr>
        <w:footnoteReference w:id="124"/>
      </w:r>
      <w:r w:rsidRPr="00C837DD">
        <w:rPr>
          <w:rFonts w:eastAsia="Calibri"/>
          <w:sz w:val="20"/>
          <w:szCs w:val="20"/>
        </w:rPr>
        <w:t xml:space="preserve"> (</w:t>
      </w:r>
      <w:r w:rsidRPr="00C837DD">
        <w:rPr>
          <w:rFonts w:eastAsia="Calibri"/>
          <w:i/>
          <w:sz w:val="20"/>
          <w:szCs w:val="20"/>
        </w:rPr>
        <w:t>infra</w:t>
      </w:r>
      <w:r w:rsidRPr="00C837DD">
        <w:rPr>
          <w:rFonts w:eastAsia="Calibri"/>
          <w:sz w:val="20"/>
          <w:szCs w:val="20"/>
        </w:rPr>
        <w:t xml:space="preserve"> paras. 75 to 81). </w:t>
      </w:r>
      <w:r w:rsidR="00542D64" w:rsidRPr="00C837DD">
        <w:rPr>
          <w:rFonts w:eastAsia="Calibri"/>
          <w:sz w:val="20"/>
          <w:szCs w:val="20"/>
        </w:rPr>
        <w:t>At the same time</w:t>
      </w:r>
      <w:r w:rsidRPr="00C837DD">
        <w:rPr>
          <w:rFonts w:eastAsia="Calibri"/>
          <w:sz w:val="20"/>
          <w:szCs w:val="20"/>
        </w:rPr>
        <w:t xml:space="preserve">, the investigations related to the other accused, who did not have </w:t>
      </w:r>
      <w:r w:rsidR="003B3A04">
        <w:rPr>
          <w:rFonts w:eastAsia="Calibri"/>
          <w:sz w:val="20"/>
          <w:szCs w:val="20"/>
        </w:rPr>
        <w:t xml:space="preserve">such </w:t>
      </w:r>
      <w:r w:rsidR="00542D64" w:rsidRPr="00C837DD">
        <w:rPr>
          <w:rFonts w:eastAsia="Calibri"/>
          <w:sz w:val="20"/>
          <w:szCs w:val="20"/>
        </w:rPr>
        <w:t>privilege of jurisdiction, continued to be conducted by the police</w:t>
      </w:r>
      <w:r w:rsidRPr="00C837DD">
        <w:rPr>
          <w:rStyle w:val="Refdenotaalpie"/>
          <w:rFonts w:eastAsia="Calibri"/>
          <w:sz w:val="20"/>
          <w:szCs w:val="20"/>
        </w:rPr>
        <w:footnoteReference w:id="125"/>
      </w:r>
      <w:r w:rsidRPr="00C837DD">
        <w:rPr>
          <w:rFonts w:eastAsia="Calibri"/>
          <w:sz w:val="20"/>
          <w:szCs w:val="20"/>
        </w:rPr>
        <w:t xml:space="preserve"> (</w:t>
      </w:r>
      <w:r w:rsidRPr="00C837DD">
        <w:rPr>
          <w:rFonts w:eastAsia="Calibri"/>
          <w:i/>
          <w:sz w:val="20"/>
          <w:szCs w:val="20"/>
        </w:rPr>
        <w:t>infra</w:t>
      </w:r>
      <w:r w:rsidRPr="00C837DD">
        <w:rPr>
          <w:rFonts w:eastAsia="Calibri"/>
          <w:sz w:val="20"/>
          <w:szCs w:val="20"/>
        </w:rPr>
        <w:t xml:space="preserve"> paras. 82 to 87).</w:t>
      </w:r>
      <w:r w:rsidRPr="00C837DD">
        <w:rPr>
          <w:rFonts w:eastAsia="Calibri"/>
          <w:b/>
          <w:sz w:val="20"/>
          <w:szCs w:val="20"/>
        </w:rPr>
        <w:t xml:space="preserve"> </w:t>
      </w:r>
      <w:r w:rsidR="00DF6770" w:rsidRPr="00C837DD">
        <w:rPr>
          <w:rFonts w:eastAsia="Calibri"/>
          <w:bCs/>
          <w:sz w:val="20"/>
          <w:szCs w:val="20"/>
        </w:rPr>
        <w:t>An account of these two proceedings is given below:</w:t>
      </w:r>
      <w:r w:rsidR="00DF6770" w:rsidRPr="00C837DD">
        <w:rPr>
          <w:rFonts w:eastAsia="Calibri"/>
          <w:b/>
          <w:sz w:val="20"/>
          <w:szCs w:val="20"/>
        </w:rPr>
        <w:t xml:space="preserve"> </w:t>
      </w:r>
    </w:p>
    <w:p w14:paraId="386D50A6" w14:textId="77777777" w:rsidR="00F85D5F" w:rsidRPr="00C837DD" w:rsidRDefault="00F85D5F" w:rsidP="00F85D5F">
      <w:pPr>
        <w:tabs>
          <w:tab w:val="left" w:pos="142"/>
        </w:tabs>
        <w:rPr>
          <w:sz w:val="20"/>
          <w:szCs w:val="20"/>
        </w:rPr>
      </w:pPr>
    </w:p>
    <w:p w14:paraId="54BBB889" w14:textId="3F1C469A" w:rsidR="00F85D5F" w:rsidRPr="00C837DD" w:rsidRDefault="00F85D5F" w:rsidP="00F85D5F">
      <w:pPr>
        <w:pStyle w:val="Ttulo3"/>
        <w:numPr>
          <w:ilvl w:val="0"/>
          <w:numId w:val="27"/>
        </w:numPr>
        <w:ind w:left="1560" w:hanging="709"/>
        <w:jc w:val="both"/>
        <w:rPr>
          <w:sz w:val="20"/>
          <w:szCs w:val="20"/>
        </w:rPr>
      </w:pPr>
      <w:bookmarkStart w:id="62" w:name="_Toc85001881"/>
      <w:r w:rsidRPr="00C837DD">
        <w:rPr>
          <w:rStyle w:val="Ttulo3Car"/>
          <w:i/>
          <w:sz w:val="20"/>
          <w:szCs w:val="20"/>
        </w:rPr>
        <w:t>The investigations c</w:t>
      </w:r>
      <w:r w:rsidR="00CE1A44">
        <w:rPr>
          <w:rStyle w:val="Ttulo3Car"/>
          <w:i/>
          <w:sz w:val="20"/>
          <w:szCs w:val="20"/>
        </w:rPr>
        <w:t xml:space="preserve">onducted </w:t>
      </w:r>
      <w:r w:rsidRPr="00C837DD">
        <w:rPr>
          <w:rStyle w:val="Ttulo3Car"/>
          <w:i/>
          <w:sz w:val="20"/>
          <w:szCs w:val="20"/>
        </w:rPr>
        <w:t xml:space="preserve">by the </w:t>
      </w:r>
      <w:r w:rsidR="00A42F58" w:rsidRPr="00C837DD">
        <w:rPr>
          <w:rStyle w:val="Ttulo3Car"/>
          <w:i/>
          <w:sz w:val="20"/>
          <w:szCs w:val="20"/>
        </w:rPr>
        <w:t xml:space="preserve">Attorney </w:t>
      </w:r>
      <w:r w:rsidRPr="00C837DD">
        <w:rPr>
          <w:rStyle w:val="Ttulo3Car"/>
          <w:i/>
          <w:sz w:val="20"/>
          <w:szCs w:val="20"/>
        </w:rPr>
        <w:t>General</w:t>
      </w:r>
      <w:r w:rsidR="00A42F58" w:rsidRPr="00C837DD">
        <w:rPr>
          <w:rStyle w:val="Ttulo3Car"/>
          <w:i/>
          <w:sz w:val="20"/>
          <w:szCs w:val="20"/>
        </w:rPr>
        <w:t>’s Office of the s</w:t>
      </w:r>
      <w:r w:rsidRPr="00C837DD">
        <w:rPr>
          <w:rStyle w:val="Ttulo3Car"/>
          <w:i/>
          <w:sz w:val="20"/>
          <w:szCs w:val="20"/>
        </w:rPr>
        <w:t>tate of Paraíba re</w:t>
      </w:r>
      <w:r w:rsidR="00DF6770" w:rsidRPr="00C837DD">
        <w:rPr>
          <w:rStyle w:val="Ttulo3Car"/>
          <w:i/>
          <w:sz w:val="20"/>
          <w:szCs w:val="20"/>
        </w:rPr>
        <w:t xml:space="preserve">garding </w:t>
      </w:r>
      <w:r w:rsidRPr="00C837DD">
        <w:rPr>
          <w:rStyle w:val="Ttulo3Car"/>
          <w:i/>
          <w:sz w:val="20"/>
          <w:szCs w:val="20"/>
        </w:rPr>
        <w:t>Aércio Pereira de Lima</w:t>
      </w:r>
      <w:bookmarkEnd w:id="62"/>
    </w:p>
    <w:p w14:paraId="40A33D81" w14:textId="77777777" w:rsidR="00F85D5F" w:rsidRPr="00C837DD" w:rsidRDefault="00F85D5F" w:rsidP="00F85D5F">
      <w:pPr>
        <w:pStyle w:val="Prrafodelista"/>
        <w:tabs>
          <w:tab w:val="left" w:pos="142"/>
        </w:tabs>
        <w:ind w:left="0"/>
        <w:rPr>
          <w:b/>
          <w:sz w:val="20"/>
          <w:szCs w:val="20"/>
        </w:rPr>
      </w:pPr>
    </w:p>
    <w:p w14:paraId="517B609E" w14:textId="506AB146" w:rsidR="00F85D5F" w:rsidRPr="00C837DD" w:rsidRDefault="00DF6770"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Owing to </w:t>
      </w:r>
      <w:r w:rsidR="00F85D5F" w:rsidRPr="00C837DD">
        <w:rPr>
          <w:rFonts w:eastAsia="Calibri"/>
          <w:sz w:val="20"/>
          <w:szCs w:val="20"/>
        </w:rPr>
        <w:t>the parliamentary immunity enjoyed by the then state deputy</w:t>
      </w:r>
      <w:r w:rsidR="00CE1A44">
        <w:rPr>
          <w:rFonts w:eastAsia="Calibri"/>
          <w:sz w:val="20"/>
          <w:szCs w:val="20"/>
        </w:rPr>
        <w:t xml:space="preserve"> </w:t>
      </w:r>
      <w:r w:rsidR="00CE1A44" w:rsidRPr="00C837DD">
        <w:rPr>
          <w:rFonts w:eastAsia="Calibri"/>
          <w:sz w:val="20"/>
          <w:szCs w:val="20"/>
        </w:rPr>
        <w:t>Aércio Pereira de Lima</w:t>
      </w:r>
      <w:r w:rsidR="00F85D5F" w:rsidRPr="00C837DD">
        <w:rPr>
          <w:rFonts w:eastAsia="Calibri"/>
          <w:sz w:val="20"/>
          <w:szCs w:val="20"/>
        </w:rPr>
        <w:t xml:space="preserve">, the </w:t>
      </w:r>
      <w:r w:rsidR="00A42F58" w:rsidRPr="00C837DD">
        <w:rPr>
          <w:rStyle w:val="Ttulo3Car"/>
          <w:i w:val="0"/>
          <w:sz w:val="20"/>
          <w:szCs w:val="20"/>
        </w:rPr>
        <w:t>Attorney General</w:t>
      </w:r>
      <w:r w:rsidRPr="00C837DD">
        <w:rPr>
          <w:rStyle w:val="Ttulo3Car"/>
          <w:i w:val="0"/>
          <w:sz w:val="20"/>
          <w:szCs w:val="20"/>
        </w:rPr>
        <w:t xml:space="preserve"> of Justice</w:t>
      </w:r>
      <w:r w:rsidR="00A42F58" w:rsidRPr="00C837DD">
        <w:rPr>
          <w:rFonts w:eastAsia="Calibri"/>
          <w:sz w:val="20"/>
          <w:szCs w:val="20"/>
        </w:rPr>
        <w:t xml:space="preserve"> </w:t>
      </w:r>
      <w:r w:rsidR="00F85D5F" w:rsidRPr="00C837DD">
        <w:rPr>
          <w:rFonts w:eastAsia="Calibri"/>
          <w:sz w:val="20"/>
          <w:szCs w:val="20"/>
        </w:rPr>
        <w:t xml:space="preserve">filed </w:t>
      </w:r>
      <w:r w:rsidRPr="00C837DD">
        <w:rPr>
          <w:rFonts w:eastAsia="Calibri"/>
          <w:sz w:val="20"/>
          <w:szCs w:val="20"/>
        </w:rPr>
        <w:t>the</w:t>
      </w:r>
      <w:r w:rsidR="00F85D5F" w:rsidRPr="00C837DD">
        <w:rPr>
          <w:rFonts w:eastAsia="Calibri"/>
          <w:sz w:val="20"/>
          <w:szCs w:val="20"/>
        </w:rPr>
        <w:t xml:space="preserve"> criminal </w:t>
      </w:r>
      <w:r w:rsidRPr="00C837DD">
        <w:rPr>
          <w:rFonts w:eastAsia="Calibri"/>
          <w:sz w:val="20"/>
          <w:szCs w:val="20"/>
        </w:rPr>
        <w:t xml:space="preserve">action </w:t>
      </w:r>
      <w:r w:rsidR="00F85D5F" w:rsidRPr="00C837DD">
        <w:rPr>
          <w:rFonts w:eastAsia="Calibri"/>
          <w:sz w:val="20"/>
          <w:szCs w:val="20"/>
        </w:rPr>
        <w:t xml:space="preserve">before the Court of Justice of the state of Paraíba, on October 8, 1998, with the proviso that </w:t>
      </w:r>
      <w:r w:rsidRPr="00C837DD">
        <w:rPr>
          <w:rFonts w:eastAsia="Calibri"/>
          <w:sz w:val="20"/>
          <w:szCs w:val="20"/>
        </w:rPr>
        <w:t xml:space="preserve">it </w:t>
      </w:r>
      <w:r w:rsidR="00F85D5F" w:rsidRPr="00C837DD">
        <w:rPr>
          <w:rFonts w:eastAsia="Calibri"/>
          <w:sz w:val="20"/>
          <w:szCs w:val="20"/>
        </w:rPr>
        <w:t xml:space="preserve">could only </w:t>
      </w:r>
      <w:r w:rsidRPr="00C837DD">
        <w:rPr>
          <w:rFonts w:eastAsia="Calibri"/>
          <w:sz w:val="20"/>
          <w:szCs w:val="20"/>
        </w:rPr>
        <w:t xml:space="preserve">be initiated </w:t>
      </w:r>
      <w:r w:rsidR="00F85D5F" w:rsidRPr="00C837DD">
        <w:rPr>
          <w:rFonts w:eastAsia="Calibri"/>
          <w:sz w:val="20"/>
          <w:szCs w:val="20"/>
        </w:rPr>
        <w:t>if the Legislative Assembly allowed it.</w:t>
      </w:r>
      <w:r w:rsidR="00F85D5F" w:rsidRPr="00C837DD">
        <w:rPr>
          <w:rStyle w:val="Refdenotaalpie"/>
          <w:rFonts w:eastAsia="Calibri"/>
          <w:sz w:val="20"/>
          <w:szCs w:val="20"/>
        </w:rPr>
        <w:footnoteReference w:id="126"/>
      </w:r>
      <w:r w:rsidR="00F85D5F" w:rsidRPr="00C837DD">
        <w:rPr>
          <w:rFonts w:eastAsia="Calibri"/>
          <w:sz w:val="20"/>
          <w:szCs w:val="20"/>
        </w:rPr>
        <w:t xml:space="preserve"> On October 14, 1998, the relevant authorization was requested from the Legislative Assembly,</w:t>
      </w:r>
      <w:r w:rsidR="00F85D5F" w:rsidRPr="00C837DD">
        <w:rPr>
          <w:rStyle w:val="Refdenotaalpie"/>
          <w:rFonts w:eastAsia="Calibri"/>
          <w:sz w:val="20"/>
          <w:szCs w:val="20"/>
        </w:rPr>
        <w:footnoteReference w:id="127"/>
      </w:r>
      <w:r w:rsidR="00F85D5F" w:rsidRPr="00C837DD">
        <w:rPr>
          <w:rFonts w:eastAsia="Calibri"/>
          <w:sz w:val="20"/>
          <w:szCs w:val="20"/>
        </w:rPr>
        <w:t xml:space="preserve"> which rejected it on December 17, 1998</w:t>
      </w:r>
      <w:r w:rsidR="00952580" w:rsidRPr="00C837DD">
        <w:rPr>
          <w:rFonts w:eastAsia="Calibri"/>
          <w:sz w:val="20"/>
          <w:szCs w:val="20"/>
        </w:rPr>
        <w:t>,</w:t>
      </w:r>
      <w:r w:rsidR="00F85D5F" w:rsidRPr="00C837DD">
        <w:rPr>
          <w:rFonts w:eastAsia="Calibri"/>
          <w:sz w:val="20"/>
          <w:szCs w:val="20"/>
        </w:rPr>
        <w:t xml:space="preserve"> </w:t>
      </w:r>
      <w:r w:rsidR="00952580" w:rsidRPr="00C837DD">
        <w:rPr>
          <w:rFonts w:eastAsia="Calibri"/>
          <w:sz w:val="20"/>
          <w:szCs w:val="20"/>
        </w:rPr>
        <w:t xml:space="preserve">by means of </w:t>
      </w:r>
      <w:r w:rsidR="00F85D5F" w:rsidRPr="00C837DD">
        <w:rPr>
          <w:rFonts w:eastAsia="Calibri"/>
          <w:sz w:val="20"/>
          <w:szCs w:val="20"/>
        </w:rPr>
        <w:t>Resolution No. 614/98</w:t>
      </w:r>
      <w:r w:rsidR="00952580" w:rsidRPr="00C837DD">
        <w:rPr>
          <w:rFonts w:eastAsia="Calibri"/>
          <w:sz w:val="20"/>
          <w:szCs w:val="20"/>
        </w:rPr>
        <w:t>.</w:t>
      </w:r>
      <w:r w:rsidR="00F85D5F" w:rsidRPr="00C837DD">
        <w:rPr>
          <w:rStyle w:val="Refdenotaalpie"/>
          <w:rFonts w:eastAsia="Calibri"/>
          <w:sz w:val="20"/>
          <w:szCs w:val="20"/>
        </w:rPr>
        <w:footnoteReference w:id="128"/>
      </w:r>
      <w:r w:rsidR="00F85D5F" w:rsidRPr="00C837DD">
        <w:rPr>
          <w:rFonts w:eastAsia="Calibri"/>
          <w:b/>
          <w:sz w:val="20"/>
          <w:szCs w:val="20"/>
        </w:rPr>
        <w:t xml:space="preserve"> </w:t>
      </w:r>
      <w:r w:rsidR="00F85D5F" w:rsidRPr="00C837DD">
        <w:rPr>
          <w:rFonts w:eastAsia="Calibri"/>
          <w:sz w:val="20"/>
          <w:szCs w:val="20"/>
        </w:rPr>
        <w:t xml:space="preserve">On March 31, 1999, the Judiciary reiterated </w:t>
      </w:r>
      <w:r w:rsidR="00CE1A44">
        <w:rPr>
          <w:rFonts w:eastAsia="Calibri"/>
          <w:sz w:val="20"/>
          <w:szCs w:val="20"/>
        </w:rPr>
        <w:t xml:space="preserve">its </w:t>
      </w:r>
      <w:r w:rsidR="00F85D5F" w:rsidRPr="00C837DD">
        <w:rPr>
          <w:rFonts w:eastAsia="Calibri"/>
          <w:sz w:val="20"/>
          <w:szCs w:val="20"/>
        </w:rPr>
        <w:t>request to the Legislative Assembly,</w:t>
      </w:r>
      <w:r w:rsidR="00F85D5F" w:rsidRPr="00C837DD">
        <w:rPr>
          <w:rStyle w:val="Refdenotaalpie"/>
          <w:rFonts w:eastAsia="Calibri"/>
          <w:sz w:val="20"/>
          <w:szCs w:val="20"/>
        </w:rPr>
        <w:footnoteReference w:id="129"/>
      </w:r>
      <w:r w:rsidR="00F85D5F" w:rsidRPr="00C837DD">
        <w:rPr>
          <w:rFonts w:eastAsia="Calibri"/>
          <w:sz w:val="20"/>
          <w:szCs w:val="20"/>
        </w:rPr>
        <w:t xml:space="preserve"> which was also denied on September 29, 1999.</w:t>
      </w:r>
      <w:r w:rsidR="00F85D5F" w:rsidRPr="00C837DD">
        <w:rPr>
          <w:rStyle w:val="Refdenotaalpie"/>
          <w:rFonts w:eastAsia="Calibri"/>
          <w:sz w:val="20"/>
          <w:szCs w:val="20"/>
        </w:rPr>
        <w:footnoteReference w:id="130"/>
      </w:r>
    </w:p>
    <w:p w14:paraId="053676AD" w14:textId="77777777" w:rsidR="00F85D5F" w:rsidRPr="00C837DD" w:rsidRDefault="00F85D5F" w:rsidP="00F85D5F">
      <w:pPr>
        <w:pStyle w:val="Prrafodelista"/>
        <w:tabs>
          <w:tab w:val="left" w:pos="142"/>
        </w:tabs>
        <w:ind w:left="0"/>
        <w:rPr>
          <w:rFonts w:eastAsia="Calibri"/>
          <w:sz w:val="20"/>
          <w:szCs w:val="20"/>
        </w:rPr>
      </w:pPr>
    </w:p>
    <w:p w14:paraId="15738632" w14:textId="3988C508"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On April 12, 2002, the Judicial </w:t>
      </w:r>
      <w:r w:rsidR="002B57CE" w:rsidRPr="00C837DD">
        <w:rPr>
          <w:rFonts w:eastAsia="Calibri"/>
          <w:sz w:val="20"/>
          <w:szCs w:val="20"/>
        </w:rPr>
        <w:t xml:space="preserve">Coordination </w:t>
      </w:r>
      <w:r w:rsidRPr="00C837DD">
        <w:rPr>
          <w:rFonts w:eastAsia="Calibri"/>
          <w:sz w:val="20"/>
          <w:szCs w:val="20"/>
        </w:rPr>
        <w:t xml:space="preserve">of the Court of Justice of the state of Paraíba informed the Presidency of the Court </w:t>
      </w:r>
      <w:r w:rsidR="002B57CE" w:rsidRPr="00C837DD">
        <w:rPr>
          <w:rFonts w:eastAsia="Calibri"/>
          <w:sz w:val="20"/>
          <w:szCs w:val="20"/>
        </w:rPr>
        <w:t xml:space="preserve">about </w:t>
      </w:r>
      <w:r w:rsidRPr="00C837DD">
        <w:rPr>
          <w:rFonts w:eastAsia="Calibri"/>
          <w:sz w:val="20"/>
          <w:szCs w:val="20"/>
        </w:rPr>
        <w:t>Constitutional</w:t>
      </w:r>
      <w:r w:rsidR="002B57CE" w:rsidRPr="00C837DD">
        <w:rPr>
          <w:rFonts w:eastAsia="Calibri"/>
          <w:sz w:val="20"/>
          <w:szCs w:val="20"/>
        </w:rPr>
        <w:t xml:space="preserve"> Amendment</w:t>
      </w:r>
      <w:r w:rsidRPr="00C837DD">
        <w:rPr>
          <w:rFonts w:eastAsia="Calibri"/>
          <w:sz w:val="20"/>
          <w:szCs w:val="20"/>
        </w:rPr>
        <w:t xml:space="preserve"> 35/2001 (</w:t>
      </w:r>
      <w:r w:rsidRPr="00C837DD">
        <w:rPr>
          <w:rFonts w:eastAsia="Calibri"/>
          <w:i/>
          <w:sz w:val="20"/>
          <w:szCs w:val="20"/>
        </w:rPr>
        <w:t>infra</w:t>
      </w:r>
      <w:r w:rsidR="002B57CE" w:rsidRPr="00C837DD">
        <w:rPr>
          <w:rFonts w:eastAsia="Calibri"/>
          <w:sz w:val="20"/>
          <w:szCs w:val="20"/>
        </w:rPr>
        <w:t xml:space="preserve"> paras. 58-</w:t>
      </w:r>
      <w:r w:rsidRPr="00C837DD">
        <w:rPr>
          <w:rFonts w:eastAsia="Calibri"/>
          <w:sz w:val="20"/>
          <w:szCs w:val="20"/>
        </w:rPr>
        <w:t>64).</w:t>
      </w:r>
      <w:r w:rsidRPr="00C837DD">
        <w:rPr>
          <w:rStyle w:val="Refdenotaalpie"/>
          <w:rFonts w:eastAsia="Calibri"/>
          <w:sz w:val="20"/>
          <w:szCs w:val="20"/>
        </w:rPr>
        <w:footnoteReference w:id="131"/>
      </w:r>
      <w:r w:rsidRPr="00C837DD">
        <w:rPr>
          <w:rFonts w:eastAsia="Calibri"/>
          <w:sz w:val="20"/>
          <w:szCs w:val="20"/>
        </w:rPr>
        <w:t xml:space="preserve"> Thus, on April 16, 2002, the magistrate of </w:t>
      </w:r>
      <w:r w:rsidR="00A42F58" w:rsidRPr="00C837DD">
        <w:rPr>
          <w:rFonts w:eastAsia="Calibri"/>
          <w:sz w:val="20"/>
          <w:szCs w:val="20"/>
        </w:rPr>
        <w:t>the Court</w:t>
      </w:r>
      <w:r w:rsidRPr="00C837DD">
        <w:rPr>
          <w:rFonts w:eastAsia="Calibri"/>
          <w:sz w:val="20"/>
          <w:szCs w:val="20"/>
        </w:rPr>
        <w:t xml:space="preserve"> o</w:t>
      </w:r>
      <w:r w:rsidR="002B57CE" w:rsidRPr="00C837DD">
        <w:rPr>
          <w:rFonts w:eastAsia="Calibri"/>
          <w:sz w:val="20"/>
          <w:szCs w:val="20"/>
        </w:rPr>
        <w:t>f Justice in charge of the case file</w:t>
      </w:r>
      <w:r w:rsidRPr="00C837DD">
        <w:rPr>
          <w:rFonts w:eastAsia="Calibri"/>
          <w:sz w:val="20"/>
          <w:szCs w:val="20"/>
        </w:rPr>
        <w:t xml:space="preserve"> sent </w:t>
      </w:r>
      <w:r w:rsidR="002B57CE" w:rsidRPr="00C837DD">
        <w:rPr>
          <w:rFonts w:eastAsia="Calibri"/>
          <w:sz w:val="20"/>
          <w:szCs w:val="20"/>
        </w:rPr>
        <w:t xml:space="preserve">it </w:t>
      </w:r>
      <w:r w:rsidRPr="00C837DD">
        <w:rPr>
          <w:rFonts w:eastAsia="Calibri"/>
          <w:sz w:val="20"/>
          <w:szCs w:val="20"/>
        </w:rPr>
        <w:t xml:space="preserve">to </w:t>
      </w:r>
      <w:r w:rsidR="00A42F58" w:rsidRPr="00C837DD">
        <w:rPr>
          <w:rFonts w:eastAsia="Calibri"/>
          <w:sz w:val="20"/>
          <w:szCs w:val="20"/>
        </w:rPr>
        <w:t>t</w:t>
      </w:r>
      <w:r w:rsidRPr="00C837DD">
        <w:rPr>
          <w:rFonts w:eastAsia="Calibri"/>
          <w:sz w:val="20"/>
          <w:szCs w:val="20"/>
        </w:rPr>
        <w:t xml:space="preserve">he </w:t>
      </w:r>
      <w:r w:rsidR="00A42F58" w:rsidRPr="00C837DD">
        <w:rPr>
          <w:rStyle w:val="Ttulo3Car"/>
          <w:i w:val="0"/>
          <w:sz w:val="20"/>
          <w:szCs w:val="20"/>
        </w:rPr>
        <w:t>Attorney General’s Office</w:t>
      </w:r>
      <w:r w:rsidR="00A42F58" w:rsidRPr="00C837DD">
        <w:rPr>
          <w:rFonts w:eastAsia="Calibri"/>
          <w:sz w:val="20"/>
          <w:szCs w:val="20"/>
        </w:rPr>
        <w:t xml:space="preserve"> </w:t>
      </w:r>
      <w:r w:rsidR="002B57CE" w:rsidRPr="00C837DD">
        <w:rPr>
          <w:rFonts w:eastAsia="Calibri"/>
          <w:sz w:val="20"/>
          <w:szCs w:val="20"/>
        </w:rPr>
        <w:t>for its opinion</w:t>
      </w:r>
      <w:r w:rsidR="00A42F58" w:rsidRPr="00C837DD">
        <w:rPr>
          <w:rFonts w:eastAsia="Calibri"/>
          <w:sz w:val="20"/>
          <w:szCs w:val="20"/>
        </w:rPr>
        <w:t>.</w:t>
      </w:r>
      <w:r w:rsidRPr="00C837DD">
        <w:rPr>
          <w:rStyle w:val="Refdenotaalpie"/>
          <w:rFonts w:eastAsia="Calibri"/>
          <w:sz w:val="20"/>
          <w:szCs w:val="20"/>
        </w:rPr>
        <w:footnoteReference w:id="132"/>
      </w:r>
      <w:r w:rsidR="00A42F58" w:rsidRPr="00C837DD">
        <w:rPr>
          <w:rFonts w:eastAsia="Calibri"/>
          <w:sz w:val="20"/>
          <w:szCs w:val="20"/>
        </w:rPr>
        <w:t xml:space="preserve"> T</w:t>
      </w:r>
      <w:r w:rsidRPr="00C837DD">
        <w:rPr>
          <w:rFonts w:eastAsia="Calibri"/>
          <w:sz w:val="20"/>
          <w:szCs w:val="20"/>
        </w:rPr>
        <w:t xml:space="preserve">he </w:t>
      </w:r>
      <w:r w:rsidR="00A42F58" w:rsidRPr="00C837DD">
        <w:rPr>
          <w:rStyle w:val="Ttulo3Car"/>
          <w:i w:val="0"/>
          <w:sz w:val="20"/>
          <w:szCs w:val="20"/>
        </w:rPr>
        <w:t>Attorney General</w:t>
      </w:r>
      <w:r w:rsidRPr="00C837DD">
        <w:rPr>
          <w:rFonts w:eastAsia="Calibri"/>
          <w:sz w:val="20"/>
          <w:szCs w:val="20"/>
        </w:rPr>
        <w:t xml:space="preserve"> </w:t>
      </w:r>
      <w:r w:rsidR="00952580" w:rsidRPr="00C837DD">
        <w:rPr>
          <w:rFonts w:eastAsia="Calibri"/>
          <w:sz w:val="20"/>
          <w:szCs w:val="20"/>
        </w:rPr>
        <w:t xml:space="preserve">of Justice </w:t>
      </w:r>
      <w:r w:rsidR="002B57CE" w:rsidRPr="00C837DD">
        <w:rPr>
          <w:rFonts w:eastAsia="Calibri"/>
          <w:sz w:val="20"/>
          <w:szCs w:val="20"/>
        </w:rPr>
        <w:t xml:space="preserve">submitted </w:t>
      </w:r>
      <w:r w:rsidRPr="00C837DD">
        <w:rPr>
          <w:rFonts w:eastAsia="Calibri"/>
          <w:sz w:val="20"/>
          <w:szCs w:val="20"/>
        </w:rPr>
        <w:t>his written opinion, on October 21, 2002, arguing that</w:t>
      </w:r>
      <w:r w:rsidR="002B57CE" w:rsidRPr="00C837DD">
        <w:rPr>
          <w:rFonts w:eastAsia="Calibri"/>
          <w:sz w:val="20"/>
          <w:szCs w:val="20"/>
        </w:rPr>
        <w:t>,</w:t>
      </w:r>
      <w:r w:rsidRPr="00C837DD">
        <w:rPr>
          <w:rFonts w:eastAsia="Calibri"/>
          <w:sz w:val="20"/>
          <w:szCs w:val="20"/>
        </w:rPr>
        <w:t xml:space="preserve"> due to the </w:t>
      </w:r>
      <w:r w:rsidR="002B57CE" w:rsidRPr="00C837DD">
        <w:rPr>
          <w:rFonts w:eastAsia="Calibri"/>
          <w:sz w:val="20"/>
          <w:szCs w:val="20"/>
        </w:rPr>
        <w:t xml:space="preserve">amendments </w:t>
      </w:r>
      <w:r w:rsidRPr="00C837DD">
        <w:rPr>
          <w:rFonts w:eastAsia="Calibri"/>
          <w:sz w:val="20"/>
          <w:szCs w:val="20"/>
        </w:rPr>
        <w:t xml:space="preserve">introduced by EC 35/2001, </w:t>
      </w:r>
      <w:r w:rsidR="00A42F58" w:rsidRPr="00C837DD">
        <w:rPr>
          <w:rFonts w:eastAsia="Calibri"/>
          <w:sz w:val="20"/>
          <w:szCs w:val="20"/>
        </w:rPr>
        <w:t xml:space="preserve">the </w:t>
      </w:r>
      <w:r w:rsidR="002B57CE" w:rsidRPr="00C837DD">
        <w:rPr>
          <w:rFonts w:eastAsia="Calibri"/>
          <w:sz w:val="20"/>
          <w:szCs w:val="20"/>
        </w:rPr>
        <w:t xml:space="preserve">Judiciary </w:t>
      </w:r>
      <w:r w:rsidR="00CE1A44">
        <w:rPr>
          <w:rFonts w:eastAsia="Calibri"/>
          <w:sz w:val="20"/>
          <w:szCs w:val="20"/>
        </w:rPr>
        <w:t xml:space="preserve">should </w:t>
      </w:r>
      <w:r w:rsidR="002B57CE" w:rsidRPr="00C837DD">
        <w:rPr>
          <w:rFonts w:eastAsia="Calibri"/>
          <w:sz w:val="20"/>
          <w:szCs w:val="20"/>
        </w:rPr>
        <w:t>continue with</w:t>
      </w:r>
      <w:r w:rsidRPr="00C837DD">
        <w:rPr>
          <w:rFonts w:eastAsia="Calibri"/>
          <w:sz w:val="20"/>
          <w:szCs w:val="20"/>
        </w:rPr>
        <w:t xml:space="preserve"> the case.</w:t>
      </w:r>
      <w:r w:rsidRPr="00C837DD">
        <w:rPr>
          <w:rStyle w:val="Refdenotaalpie"/>
          <w:rFonts w:eastAsia="Calibri"/>
          <w:sz w:val="20"/>
          <w:szCs w:val="20"/>
        </w:rPr>
        <w:footnoteReference w:id="133"/>
      </w:r>
      <w:r w:rsidRPr="00C837DD">
        <w:rPr>
          <w:rFonts w:eastAsia="Calibri"/>
          <w:sz w:val="20"/>
          <w:szCs w:val="20"/>
        </w:rPr>
        <w:t xml:space="preserve"> </w:t>
      </w:r>
    </w:p>
    <w:p w14:paraId="0BEFDA40" w14:textId="77777777" w:rsidR="00F85D5F" w:rsidRPr="00C837DD" w:rsidRDefault="00F85D5F" w:rsidP="00F85D5F">
      <w:pPr>
        <w:pStyle w:val="Prrafodelista"/>
        <w:tabs>
          <w:tab w:val="left" w:pos="142"/>
        </w:tabs>
        <w:ind w:left="0"/>
        <w:rPr>
          <w:rFonts w:eastAsia="Calibri"/>
          <w:sz w:val="20"/>
          <w:szCs w:val="20"/>
        </w:rPr>
      </w:pPr>
    </w:p>
    <w:p w14:paraId="0B947191" w14:textId="77777777" w:rsidR="00F85D5F" w:rsidRPr="00C837DD" w:rsidRDefault="00F85D5F" w:rsidP="007A1C1D">
      <w:pPr>
        <w:pStyle w:val="Prrafodelista"/>
        <w:numPr>
          <w:ilvl w:val="0"/>
          <w:numId w:val="6"/>
        </w:numPr>
        <w:tabs>
          <w:tab w:val="left" w:pos="142"/>
        </w:tabs>
        <w:ind w:left="0" w:firstLine="0"/>
        <w:rPr>
          <w:sz w:val="20"/>
          <w:szCs w:val="20"/>
        </w:rPr>
      </w:pPr>
      <w:r w:rsidRPr="00C837DD">
        <w:rPr>
          <w:rFonts w:eastAsia="Calibri"/>
          <w:sz w:val="20"/>
          <w:szCs w:val="20"/>
        </w:rPr>
        <w:t xml:space="preserve">On February 3, 2003, the </w:t>
      </w:r>
      <w:r w:rsidR="00A42F58" w:rsidRPr="00C837DD">
        <w:rPr>
          <w:rFonts w:eastAsia="Calibri"/>
          <w:sz w:val="20"/>
          <w:szCs w:val="20"/>
        </w:rPr>
        <w:t xml:space="preserve">reporting </w:t>
      </w:r>
      <w:r w:rsidR="007A1C1D" w:rsidRPr="00C837DD">
        <w:rPr>
          <w:rFonts w:eastAsia="Calibri"/>
          <w:sz w:val="20"/>
          <w:szCs w:val="20"/>
        </w:rPr>
        <w:t xml:space="preserve">magistrate </w:t>
      </w:r>
      <w:r w:rsidRPr="00C837DD">
        <w:rPr>
          <w:rFonts w:eastAsia="Calibri"/>
          <w:sz w:val="20"/>
          <w:szCs w:val="20"/>
        </w:rPr>
        <w:t xml:space="preserve">of the case </w:t>
      </w:r>
      <w:r w:rsidR="007A1C1D" w:rsidRPr="00C837DD">
        <w:rPr>
          <w:rFonts w:eastAsia="Calibri"/>
          <w:sz w:val="20"/>
          <w:szCs w:val="20"/>
        </w:rPr>
        <w:t>ordered that the Regional Electoral Court of Paraíba (hereinafter "TRE/PB") be consulted as to whether Mr. Aércio Pereira de Lima had been elected to any office in the October 2002 elections so that it could decide whether the Court of Justice had jurisdiction to prosecute him</w:t>
      </w:r>
      <w:r w:rsidRPr="00C837DD">
        <w:rPr>
          <w:rFonts w:eastAsia="Calibri"/>
          <w:sz w:val="20"/>
          <w:szCs w:val="20"/>
        </w:rPr>
        <w:t>.</w:t>
      </w:r>
      <w:r w:rsidRPr="00C837DD">
        <w:rPr>
          <w:rStyle w:val="Refdenotaalpie"/>
          <w:rFonts w:eastAsia="Calibri"/>
          <w:sz w:val="20"/>
          <w:szCs w:val="20"/>
        </w:rPr>
        <w:footnoteReference w:id="134"/>
      </w:r>
      <w:r w:rsidRPr="00C837DD">
        <w:rPr>
          <w:rFonts w:eastAsia="Calibri"/>
          <w:sz w:val="20"/>
          <w:szCs w:val="20"/>
        </w:rPr>
        <w:t xml:space="preserve"> On February 11, 2003, the TRE/PB informed the magistrate that Mr. Pereira de Lima had not been elected to any </w:t>
      </w:r>
      <w:r w:rsidR="007A1C1D" w:rsidRPr="00C837DD">
        <w:rPr>
          <w:rFonts w:eastAsia="Calibri"/>
          <w:sz w:val="20"/>
          <w:szCs w:val="20"/>
        </w:rPr>
        <w:t>office</w:t>
      </w:r>
      <w:r w:rsidR="00D6097D" w:rsidRPr="00C837DD">
        <w:rPr>
          <w:rFonts w:eastAsia="Calibri"/>
          <w:sz w:val="20"/>
          <w:szCs w:val="20"/>
        </w:rPr>
        <w:t>.</w:t>
      </w:r>
      <w:r w:rsidRPr="00C837DD">
        <w:rPr>
          <w:rStyle w:val="Refdenotaalpie"/>
          <w:rFonts w:eastAsia="Calibri"/>
          <w:sz w:val="20"/>
          <w:szCs w:val="20"/>
        </w:rPr>
        <w:footnoteReference w:id="135"/>
      </w:r>
      <w:r w:rsidRPr="00C837DD">
        <w:rPr>
          <w:rFonts w:eastAsia="Calibri"/>
          <w:sz w:val="20"/>
          <w:szCs w:val="20"/>
        </w:rPr>
        <w:t xml:space="preserve"> Therefore, the magistrate sent the case to the Court of First Instance of João Pessoa, given </w:t>
      </w:r>
      <w:r w:rsidRPr="00C837DD">
        <w:rPr>
          <w:rFonts w:eastAsia="Calibri"/>
          <w:sz w:val="20"/>
          <w:szCs w:val="20"/>
        </w:rPr>
        <w:lastRenderedPageBreak/>
        <w:t xml:space="preserve">that Mr. Pereira de Lima no longer had the </w:t>
      </w:r>
      <w:r w:rsidR="007A1C1D" w:rsidRPr="00C837DD">
        <w:rPr>
          <w:rFonts w:eastAsia="Calibri"/>
          <w:sz w:val="20"/>
          <w:szCs w:val="20"/>
        </w:rPr>
        <w:t>prerogative of privilege.</w:t>
      </w:r>
      <w:r w:rsidRPr="00C837DD">
        <w:rPr>
          <w:rStyle w:val="Refdenotaalpie"/>
          <w:rFonts w:eastAsia="Calibri"/>
          <w:sz w:val="20"/>
          <w:szCs w:val="20"/>
        </w:rPr>
        <w:footnoteReference w:id="136"/>
      </w:r>
      <w:r w:rsidRPr="00C837DD">
        <w:rPr>
          <w:rFonts w:eastAsia="Calibri"/>
          <w:sz w:val="20"/>
          <w:szCs w:val="20"/>
        </w:rPr>
        <w:t xml:space="preserve"> </w:t>
      </w:r>
    </w:p>
    <w:p w14:paraId="58D57083" w14:textId="77777777" w:rsidR="00F85D5F" w:rsidRPr="00C837DD" w:rsidRDefault="00F85D5F" w:rsidP="00F85D5F">
      <w:pPr>
        <w:pStyle w:val="Prrafodelista"/>
        <w:tabs>
          <w:tab w:val="left" w:pos="142"/>
        </w:tabs>
        <w:ind w:left="0"/>
        <w:rPr>
          <w:sz w:val="20"/>
          <w:szCs w:val="20"/>
        </w:rPr>
      </w:pPr>
    </w:p>
    <w:p w14:paraId="0F4A2B35" w14:textId="3DD0D931"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Criminal proceedings formally began on March 14, 2003.</w:t>
      </w:r>
      <w:r w:rsidRPr="00C837DD">
        <w:rPr>
          <w:rStyle w:val="Refdenotaalpie"/>
          <w:rFonts w:eastAsia="Calibri"/>
          <w:sz w:val="20"/>
          <w:szCs w:val="20"/>
        </w:rPr>
        <w:footnoteReference w:id="137"/>
      </w:r>
      <w:r w:rsidRPr="00C837DD">
        <w:rPr>
          <w:rFonts w:eastAsia="Calibri"/>
          <w:sz w:val="20"/>
          <w:szCs w:val="20"/>
        </w:rPr>
        <w:t xml:space="preserve"> On April 7, 2003, the </w:t>
      </w:r>
      <w:r w:rsidR="00571C4B" w:rsidRPr="00C837DD">
        <w:rPr>
          <w:rFonts w:eastAsia="Calibri"/>
          <w:sz w:val="20"/>
          <w:szCs w:val="20"/>
        </w:rPr>
        <w:t xml:space="preserve">first </w:t>
      </w:r>
      <w:r w:rsidR="007A1C1D" w:rsidRPr="00C837DD">
        <w:rPr>
          <w:rFonts w:eastAsia="Calibri"/>
          <w:sz w:val="20"/>
          <w:szCs w:val="20"/>
        </w:rPr>
        <w:t xml:space="preserve">preliminary </w:t>
      </w:r>
      <w:r w:rsidR="00571C4B" w:rsidRPr="00C837DD">
        <w:rPr>
          <w:rFonts w:eastAsia="Calibri"/>
          <w:sz w:val="20"/>
          <w:szCs w:val="20"/>
        </w:rPr>
        <w:t>hearing</w:t>
      </w:r>
      <w:r w:rsidRPr="00C837DD">
        <w:rPr>
          <w:rFonts w:eastAsia="Calibri"/>
          <w:sz w:val="20"/>
          <w:szCs w:val="20"/>
        </w:rPr>
        <w:t xml:space="preserve"> </w:t>
      </w:r>
      <w:r w:rsidR="007A1C1D" w:rsidRPr="00C837DD">
        <w:rPr>
          <w:rFonts w:eastAsia="Calibri"/>
          <w:sz w:val="20"/>
          <w:szCs w:val="20"/>
        </w:rPr>
        <w:t>took place</w:t>
      </w:r>
      <w:r w:rsidRPr="00C837DD">
        <w:rPr>
          <w:rFonts w:eastAsia="Calibri"/>
          <w:sz w:val="20"/>
          <w:szCs w:val="20"/>
        </w:rPr>
        <w:t>, in which Mr. Pereira de Lima denied all the charges.</w:t>
      </w:r>
      <w:r w:rsidRPr="00C837DD">
        <w:rPr>
          <w:rStyle w:val="Refdenotaalpie"/>
          <w:rFonts w:eastAsia="Calibri"/>
          <w:sz w:val="20"/>
          <w:szCs w:val="20"/>
        </w:rPr>
        <w:footnoteReference w:id="138"/>
      </w:r>
      <w:r w:rsidRPr="00C837DD">
        <w:rPr>
          <w:rFonts w:eastAsia="Calibri"/>
          <w:b/>
          <w:sz w:val="20"/>
          <w:szCs w:val="20"/>
        </w:rPr>
        <w:t xml:space="preserve"> </w:t>
      </w:r>
      <w:r w:rsidRPr="00C837DD">
        <w:rPr>
          <w:rFonts w:eastAsia="Calibri"/>
          <w:sz w:val="20"/>
          <w:szCs w:val="20"/>
        </w:rPr>
        <w:t>Between</w:t>
      </w:r>
      <w:r w:rsidRPr="00C837DD">
        <w:rPr>
          <w:rFonts w:eastAsia="Calibri"/>
          <w:b/>
          <w:sz w:val="20"/>
          <w:szCs w:val="20"/>
        </w:rPr>
        <w:t xml:space="preserve"> </w:t>
      </w:r>
      <w:r w:rsidRPr="00C837DD">
        <w:rPr>
          <w:rFonts w:eastAsia="Calibri"/>
          <w:sz w:val="20"/>
          <w:szCs w:val="20"/>
        </w:rPr>
        <w:t xml:space="preserve">April 7, 2003 and July 27, 2005, five hearings </w:t>
      </w:r>
      <w:r w:rsidR="007A1C1D" w:rsidRPr="00C837DD">
        <w:rPr>
          <w:rFonts w:eastAsia="Calibri"/>
          <w:sz w:val="20"/>
          <w:szCs w:val="20"/>
        </w:rPr>
        <w:t>were held</w:t>
      </w:r>
      <w:r w:rsidRPr="00C837DD">
        <w:rPr>
          <w:rFonts w:eastAsia="Calibri"/>
          <w:sz w:val="20"/>
          <w:szCs w:val="20"/>
        </w:rPr>
        <w:t>.</w:t>
      </w:r>
      <w:r w:rsidRPr="00C837DD">
        <w:rPr>
          <w:rStyle w:val="Refdenotaalpie"/>
          <w:rFonts w:eastAsia="Calibri"/>
          <w:sz w:val="20"/>
          <w:szCs w:val="20"/>
        </w:rPr>
        <w:footnoteReference w:id="139"/>
      </w:r>
      <w:r w:rsidRPr="00C837DD">
        <w:rPr>
          <w:rFonts w:eastAsia="Calibri"/>
          <w:sz w:val="20"/>
          <w:szCs w:val="20"/>
        </w:rPr>
        <w:t xml:space="preserve"> </w:t>
      </w:r>
      <w:r w:rsidR="007A1C1D" w:rsidRPr="00C837DD">
        <w:rPr>
          <w:rFonts w:eastAsia="Calibri"/>
          <w:sz w:val="20"/>
          <w:szCs w:val="20"/>
        </w:rPr>
        <w:t xml:space="preserve">In </w:t>
      </w:r>
      <w:r w:rsidRPr="00C837DD">
        <w:rPr>
          <w:rFonts w:eastAsia="Calibri"/>
          <w:sz w:val="20"/>
          <w:szCs w:val="20"/>
        </w:rPr>
        <w:t xml:space="preserve">the hearing </w:t>
      </w:r>
      <w:r w:rsidR="007A1C1D" w:rsidRPr="00C837DD">
        <w:rPr>
          <w:rFonts w:eastAsia="Calibri"/>
          <w:sz w:val="20"/>
          <w:szCs w:val="20"/>
        </w:rPr>
        <w:t>of</w:t>
      </w:r>
      <w:r w:rsidR="00A42F58" w:rsidRPr="00C837DD">
        <w:rPr>
          <w:rFonts w:eastAsia="Calibri"/>
          <w:sz w:val="20"/>
          <w:szCs w:val="20"/>
        </w:rPr>
        <w:t xml:space="preserve"> July</w:t>
      </w:r>
      <w:r w:rsidRPr="00C837DD">
        <w:rPr>
          <w:rFonts w:eastAsia="Calibri"/>
          <w:sz w:val="20"/>
          <w:szCs w:val="20"/>
        </w:rPr>
        <w:t xml:space="preserve"> 27, 2005, </w:t>
      </w:r>
      <w:r w:rsidR="007A1C1D" w:rsidRPr="00C837DD">
        <w:rPr>
          <w:rFonts w:eastAsia="Calibri"/>
          <w:sz w:val="20"/>
          <w:szCs w:val="20"/>
        </w:rPr>
        <w:t xml:space="preserve">the </w:t>
      </w:r>
      <w:r w:rsidR="00C30344" w:rsidRPr="00C837DD">
        <w:rPr>
          <w:rFonts w:eastAsia="Calibri"/>
          <w:sz w:val="20"/>
          <w:szCs w:val="20"/>
        </w:rPr>
        <w:t>decision to arraign</w:t>
      </w:r>
      <w:r w:rsidRPr="00C837DD">
        <w:rPr>
          <w:rFonts w:eastAsia="Calibri"/>
          <w:i/>
          <w:sz w:val="20"/>
          <w:szCs w:val="20"/>
        </w:rPr>
        <w:t xml:space="preserve"> </w:t>
      </w:r>
      <w:r w:rsidR="00C30344" w:rsidRPr="00C837DD">
        <w:rPr>
          <w:rFonts w:eastAsia="Calibri"/>
          <w:i/>
          <w:sz w:val="20"/>
          <w:szCs w:val="20"/>
        </w:rPr>
        <w:t>(</w:t>
      </w:r>
      <w:r w:rsidR="00C30344" w:rsidRPr="00C837DD">
        <w:rPr>
          <w:rFonts w:cs="Arial"/>
          <w:i/>
          <w:iCs/>
          <w:sz w:val="20"/>
          <w:szCs w:val="20"/>
          <w:shd w:val="clear" w:color="auto" w:fill="FFFFFF"/>
        </w:rPr>
        <w:t>sentença </w:t>
      </w:r>
      <w:r w:rsidR="00C30344" w:rsidRPr="00C837DD">
        <w:rPr>
          <w:rStyle w:val="nfasis"/>
          <w:rFonts w:cs="Arial"/>
          <w:sz w:val="20"/>
          <w:szCs w:val="20"/>
          <w:shd w:val="clear" w:color="auto" w:fill="FFFFFF"/>
        </w:rPr>
        <w:t>de pronuncia)</w:t>
      </w:r>
      <w:r w:rsidR="00C30344" w:rsidRPr="00C837DD">
        <w:rPr>
          <w:rFonts w:eastAsia="Calibri"/>
          <w:sz w:val="20"/>
          <w:szCs w:val="20"/>
        </w:rPr>
        <w:t xml:space="preserve"> </w:t>
      </w:r>
      <w:r w:rsidR="00A42F58" w:rsidRPr="00C837DD">
        <w:rPr>
          <w:rFonts w:eastAsia="Calibri"/>
          <w:sz w:val="20"/>
          <w:szCs w:val="20"/>
        </w:rPr>
        <w:t>was delivered,</w:t>
      </w:r>
      <w:r w:rsidRPr="00C837DD">
        <w:rPr>
          <w:rFonts w:eastAsia="Calibri"/>
          <w:sz w:val="20"/>
          <w:szCs w:val="20"/>
        </w:rPr>
        <w:t xml:space="preserve"> </w:t>
      </w:r>
      <w:r w:rsidR="00A42F58" w:rsidRPr="00C837DD">
        <w:rPr>
          <w:rFonts w:eastAsia="Calibri"/>
          <w:sz w:val="20"/>
          <w:szCs w:val="20"/>
        </w:rPr>
        <w:t>that is</w:t>
      </w:r>
      <w:r w:rsidRPr="00C837DD">
        <w:rPr>
          <w:rFonts w:eastAsia="Calibri"/>
          <w:sz w:val="20"/>
          <w:szCs w:val="20"/>
        </w:rPr>
        <w:t xml:space="preserve">, it was decided that Mr. Pereira de Lima should be </w:t>
      </w:r>
      <w:r w:rsidR="007A1C1D" w:rsidRPr="00C837DD">
        <w:rPr>
          <w:rFonts w:eastAsia="Calibri"/>
          <w:sz w:val="20"/>
          <w:szCs w:val="20"/>
        </w:rPr>
        <w:t>referred to a Jury Court because there was</w:t>
      </w:r>
      <w:r w:rsidRPr="00C837DD">
        <w:rPr>
          <w:rFonts w:eastAsia="Calibri"/>
          <w:sz w:val="20"/>
          <w:szCs w:val="20"/>
        </w:rPr>
        <w:t xml:space="preserve"> sufficient </w:t>
      </w:r>
      <w:r w:rsidR="007A1C1D" w:rsidRPr="00C837DD">
        <w:rPr>
          <w:rFonts w:eastAsia="Calibri"/>
          <w:sz w:val="20"/>
          <w:szCs w:val="20"/>
        </w:rPr>
        <w:t xml:space="preserve">evidence to establish </w:t>
      </w:r>
      <w:r w:rsidR="00A42F58" w:rsidRPr="00C837DD">
        <w:rPr>
          <w:rFonts w:eastAsia="Calibri"/>
          <w:sz w:val="20"/>
          <w:szCs w:val="20"/>
        </w:rPr>
        <w:t xml:space="preserve">the </w:t>
      </w:r>
      <w:r w:rsidRPr="00C837DD">
        <w:rPr>
          <w:rFonts w:eastAsia="Calibri"/>
          <w:sz w:val="20"/>
          <w:szCs w:val="20"/>
        </w:rPr>
        <w:t xml:space="preserve">crimes of </w:t>
      </w:r>
      <w:r w:rsidR="00997DD9" w:rsidRPr="00C837DD">
        <w:rPr>
          <w:rStyle w:val="nfasis"/>
          <w:rFonts w:cs="Arial"/>
          <w:bCs/>
          <w:i w:val="0"/>
          <w:iCs w:val="0"/>
          <w:sz w:val="20"/>
          <w:szCs w:val="20"/>
          <w:shd w:val="clear" w:color="auto" w:fill="FFFFFF"/>
        </w:rPr>
        <w:t>aggravated homicide</w:t>
      </w:r>
      <w:r w:rsidR="00CE1A44">
        <w:rPr>
          <w:rStyle w:val="nfasis"/>
          <w:rFonts w:cs="Arial"/>
          <w:bCs/>
          <w:i w:val="0"/>
          <w:iCs w:val="0"/>
          <w:sz w:val="20"/>
          <w:szCs w:val="20"/>
          <w:shd w:val="clear" w:color="auto" w:fill="FFFFFF"/>
        </w:rPr>
        <w:t>,</w:t>
      </w:r>
      <w:r w:rsidR="00997DD9" w:rsidRPr="00C837DD">
        <w:rPr>
          <w:rStyle w:val="nfasis"/>
          <w:rFonts w:cs="Arial"/>
          <w:bCs/>
          <w:i w:val="0"/>
          <w:iCs w:val="0"/>
          <w:sz w:val="20"/>
          <w:szCs w:val="20"/>
          <w:shd w:val="clear" w:color="auto" w:fill="FFFFFF"/>
        </w:rPr>
        <w:t xml:space="preserve"> perpetrated</w:t>
      </w:r>
      <w:r w:rsidR="00997DD9" w:rsidRPr="00C837DD">
        <w:rPr>
          <w:rFonts w:cs="Arial"/>
          <w:sz w:val="20"/>
          <w:szCs w:val="20"/>
          <w:shd w:val="clear" w:color="auto" w:fill="FFFFFF"/>
        </w:rPr>
        <w:t> for </w:t>
      </w:r>
      <w:r w:rsidR="00997DD9" w:rsidRPr="00C837DD">
        <w:rPr>
          <w:rStyle w:val="nfasis"/>
          <w:rFonts w:cs="Arial"/>
          <w:bCs/>
          <w:i w:val="0"/>
          <w:iCs w:val="0"/>
          <w:sz w:val="20"/>
          <w:szCs w:val="20"/>
          <w:shd w:val="clear" w:color="auto" w:fill="FFFFFF"/>
        </w:rPr>
        <w:t>futile</w:t>
      </w:r>
      <w:r w:rsidR="00997DD9" w:rsidRPr="00C837DD">
        <w:rPr>
          <w:rFonts w:cs="Arial"/>
          <w:sz w:val="20"/>
          <w:szCs w:val="20"/>
          <w:shd w:val="clear" w:color="auto" w:fill="FFFFFF"/>
        </w:rPr>
        <w:t> </w:t>
      </w:r>
      <w:r w:rsidR="00997DD9" w:rsidRPr="00C837DD">
        <w:rPr>
          <w:rStyle w:val="nfasis"/>
          <w:rFonts w:cs="Arial"/>
          <w:bCs/>
          <w:i w:val="0"/>
          <w:iCs w:val="0"/>
          <w:sz w:val="20"/>
          <w:szCs w:val="20"/>
          <w:shd w:val="clear" w:color="auto" w:fill="FFFFFF"/>
        </w:rPr>
        <w:t>reasons</w:t>
      </w:r>
      <w:r w:rsidR="00CE1A44">
        <w:rPr>
          <w:rStyle w:val="nfasis"/>
          <w:rFonts w:cs="Arial"/>
          <w:bCs/>
          <w:i w:val="0"/>
          <w:iCs w:val="0"/>
          <w:sz w:val="20"/>
          <w:szCs w:val="20"/>
          <w:shd w:val="clear" w:color="auto" w:fill="FFFFFF"/>
        </w:rPr>
        <w:t xml:space="preserve"> by</w:t>
      </w:r>
      <w:r w:rsidRPr="00C837DD">
        <w:rPr>
          <w:rFonts w:eastAsia="Calibri"/>
          <w:sz w:val="20"/>
          <w:szCs w:val="20"/>
        </w:rPr>
        <w:t xml:space="preserve"> asphyxia</w:t>
      </w:r>
      <w:r w:rsidR="00CE1A44">
        <w:rPr>
          <w:rFonts w:eastAsia="Calibri"/>
          <w:sz w:val="20"/>
          <w:szCs w:val="20"/>
        </w:rPr>
        <w:t>tion</w:t>
      </w:r>
      <w:r w:rsidRPr="00C837DD">
        <w:rPr>
          <w:rFonts w:eastAsia="Calibri"/>
          <w:sz w:val="20"/>
          <w:szCs w:val="20"/>
        </w:rPr>
        <w:t xml:space="preserve">, and concealment of </w:t>
      </w:r>
      <w:r w:rsidR="005B299C" w:rsidRPr="00C837DD">
        <w:rPr>
          <w:rFonts w:eastAsia="Calibri"/>
          <w:sz w:val="20"/>
          <w:szCs w:val="20"/>
        </w:rPr>
        <w:t xml:space="preserve">a </w:t>
      </w:r>
      <w:r w:rsidR="00997DD9" w:rsidRPr="00C837DD">
        <w:rPr>
          <w:rFonts w:eastAsia="Calibri"/>
          <w:sz w:val="20"/>
          <w:szCs w:val="20"/>
        </w:rPr>
        <w:t>corpse</w:t>
      </w:r>
      <w:r w:rsidRPr="00C837DD">
        <w:rPr>
          <w:rFonts w:eastAsia="Calibri"/>
          <w:sz w:val="20"/>
          <w:szCs w:val="20"/>
        </w:rPr>
        <w:t>.</w:t>
      </w:r>
      <w:r w:rsidRPr="00C837DD">
        <w:rPr>
          <w:rStyle w:val="Refdenotaalpie"/>
          <w:rFonts w:eastAsia="Calibri"/>
          <w:sz w:val="20"/>
          <w:szCs w:val="20"/>
        </w:rPr>
        <w:footnoteReference w:id="140"/>
      </w:r>
      <w:r w:rsidRPr="00C837DD">
        <w:rPr>
          <w:rFonts w:eastAsia="Calibri"/>
          <w:b/>
          <w:sz w:val="20"/>
          <w:szCs w:val="20"/>
        </w:rPr>
        <w:t xml:space="preserve"> </w:t>
      </w:r>
    </w:p>
    <w:p w14:paraId="2B684D06" w14:textId="77777777" w:rsidR="00F85D5F" w:rsidRPr="00C837DD" w:rsidRDefault="00F85D5F" w:rsidP="00F85D5F">
      <w:pPr>
        <w:pStyle w:val="Prrafodelista"/>
        <w:tabs>
          <w:tab w:val="left" w:pos="142"/>
        </w:tabs>
        <w:ind w:left="0"/>
        <w:rPr>
          <w:sz w:val="20"/>
          <w:szCs w:val="20"/>
        </w:rPr>
      </w:pPr>
    </w:p>
    <w:p w14:paraId="5B5F9E91" w14:textId="69D83F3E"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On August 3, 2005, Mr. Pereira de Lima</w:t>
      </w:r>
      <w:r w:rsidR="003A3CB4" w:rsidRPr="00C837DD">
        <w:rPr>
          <w:rFonts w:eastAsia="Calibri"/>
          <w:sz w:val="20"/>
          <w:szCs w:val="20"/>
        </w:rPr>
        <w:t>’s defense</w:t>
      </w:r>
      <w:r w:rsidRPr="00C837DD">
        <w:rPr>
          <w:rFonts w:eastAsia="Calibri"/>
          <w:sz w:val="20"/>
          <w:szCs w:val="20"/>
        </w:rPr>
        <w:t xml:space="preserve"> filed an appeal against the aforementioned </w:t>
      </w:r>
      <w:r w:rsidR="005B299C" w:rsidRPr="00C837DD">
        <w:rPr>
          <w:rFonts w:eastAsia="Calibri"/>
          <w:sz w:val="20"/>
          <w:szCs w:val="20"/>
        </w:rPr>
        <w:t>ruling</w:t>
      </w:r>
      <w:r w:rsidRPr="00C837DD">
        <w:rPr>
          <w:rFonts w:eastAsia="Calibri"/>
          <w:sz w:val="20"/>
          <w:szCs w:val="20"/>
        </w:rPr>
        <w:t>.</w:t>
      </w:r>
      <w:r w:rsidRPr="00C837DD">
        <w:rPr>
          <w:rStyle w:val="Refdenotaalpie"/>
          <w:rFonts w:eastAsia="Calibri"/>
          <w:sz w:val="20"/>
          <w:szCs w:val="20"/>
        </w:rPr>
        <w:footnoteReference w:id="141"/>
      </w:r>
      <w:r w:rsidRPr="00C837DD">
        <w:rPr>
          <w:rFonts w:eastAsia="Calibri"/>
          <w:sz w:val="20"/>
          <w:szCs w:val="20"/>
        </w:rPr>
        <w:t xml:space="preserve"> However, on November 1, 2005, the </w:t>
      </w:r>
      <w:r w:rsidR="003A3CB4" w:rsidRPr="00C837DD">
        <w:rPr>
          <w:rFonts w:eastAsia="Calibri"/>
          <w:sz w:val="20"/>
          <w:szCs w:val="20"/>
        </w:rPr>
        <w:t xml:space="preserve">lower </w:t>
      </w:r>
      <w:r w:rsidRPr="00C837DD">
        <w:rPr>
          <w:rFonts w:eastAsia="Calibri"/>
          <w:sz w:val="20"/>
          <w:szCs w:val="20"/>
        </w:rPr>
        <w:t xml:space="preserve">court </w:t>
      </w:r>
      <w:r w:rsidR="003A3CB4" w:rsidRPr="00C837DD">
        <w:rPr>
          <w:rFonts w:eastAsia="Calibri"/>
          <w:sz w:val="20"/>
          <w:szCs w:val="20"/>
        </w:rPr>
        <w:t xml:space="preserve">confirmed </w:t>
      </w:r>
      <w:r w:rsidRPr="00C837DD">
        <w:rPr>
          <w:rFonts w:eastAsia="Calibri"/>
          <w:sz w:val="20"/>
          <w:szCs w:val="20"/>
        </w:rPr>
        <w:t>the decision,</w:t>
      </w:r>
      <w:r w:rsidRPr="00C837DD">
        <w:rPr>
          <w:rStyle w:val="Refdenotaalpie"/>
          <w:rFonts w:eastAsia="Calibri"/>
          <w:sz w:val="20"/>
          <w:szCs w:val="20"/>
        </w:rPr>
        <w:footnoteReference w:id="142"/>
      </w:r>
      <w:r w:rsidRPr="00C837DD">
        <w:rPr>
          <w:rFonts w:eastAsia="Calibri"/>
          <w:sz w:val="20"/>
          <w:szCs w:val="20"/>
        </w:rPr>
        <w:t xml:space="preserve"> and on January 31, 2006, the Criminal Chamber of the Court rejected the appeal.</w:t>
      </w:r>
      <w:r w:rsidRPr="00C837DD">
        <w:rPr>
          <w:rStyle w:val="Refdenotaalpie"/>
          <w:rFonts w:eastAsia="Calibri"/>
          <w:sz w:val="20"/>
          <w:szCs w:val="20"/>
        </w:rPr>
        <w:footnoteReference w:id="143"/>
      </w:r>
      <w:r w:rsidRPr="00C837DD">
        <w:rPr>
          <w:rFonts w:eastAsia="Calibri"/>
          <w:sz w:val="20"/>
          <w:szCs w:val="20"/>
        </w:rPr>
        <w:t xml:space="preserve"> </w:t>
      </w:r>
      <w:r w:rsidR="003A3CB4" w:rsidRPr="00C837DD">
        <w:rPr>
          <w:rFonts w:eastAsia="Calibri"/>
          <w:sz w:val="20"/>
          <w:szCs w:val="20"/>
        </w:rPr>
        <w:t>O</w:t>
      </w:r>
      <w:r w:rsidRPr="00C837DD">
        <w:rPr>
          <w:rFonts w:eastAsia="Calibri"/>
          <w:sz w:val="20"/>
          <w:szCs w:val="20"/>
        </w:rPr>
        <w:t>n February 15, 2006, Mr. Pereira de Lima’s defense filed a special appeal</w:t>
      </w:r>
      <w:r w:rsidR="003A3CB4" w:rsidRPr="00C837DD">
        <w:rPr>
          <w:rFonts w:eastAsia="Calibri"/>
          <w:sz w:val="20"/>
          <w:szCs w:val="20"/>
        </w:rPr>
        <w:t xml:space="preserve"> against this decision</w:t>
      </w:r>
      <w:r w:rsidRPr="00C837DD">
        <w:rPr>
          <w:rFonts w:eastAsia="Calibri"/>
          <w:sz w:val="20"/>
          <w:szCs w:val="20"/>
        </w:rPr>
        <w:t>,</w:t>
      </w:r>
      <w:r w:rsidRPr="00C837DD">
        <w:rPr>
          <w:rStyle w:val="Refdenotaalpie"/>
          <w:rFonts w:eastAsia="Calibri"/>
          <w:sz w:val="20"/>
          <w:szCs w:val="20"/>
        </w:rPr>
        <w:footnoteReference w:id="144"/>
      </w:r>
      <w:r w:rsidRPr="00C837DD">
        <w:rPr>
          <w:rFonts w:eastAsia="Calibri"/>
          <w:sz w:val="20"/>
          <w:szCs w:val="20"/>
        </w:rPr>
        <w:t xml:space="preserve"> which was s</w:t>
      </w:r>
      <w:r w:rsidR="00CE1A44">
        <w:rPr>
          <w:rFonts w:eastAsia="Calibri"/>
          <w:sz w:val="20"/>
          <w:szCs w:val="20"/>
        </w:rPr>
        <w:t xml:space="preserve">ubmitted </w:t>
      </w:r>
      <w:r w:rsidRPr="00C837DD">
        <w:rPr>
          <w:rFonts w:eastAsia="Calibri"/>
          <w:sz w:val="20"/>
          <w:szCs w:val="20"/>
        </w:rPr>
        <w:t>to the Superior Court of Justice on January 19, 2007.</w:t>
      </w:r>
      <w:r w:rsidRPr="00C837DD">
        <w:rPr>
          <w:rStyle w:val="Refdenotaalpie"/>
          <w:rFonts w:eastAsia="Calibri"/>
          <w:sz w:val="20"/>
          <w:szCs w:val="20"/>
        </w:rPr>
        <w:footnoteReference w:id="145"/>
      </w:r>
      <w:r w:rsidRPr="00C837DD">
        <w:rPr>
          <w:rFonts w:eastAsia="Calibri"/>
          <w:sz w:val="20"/>
          <w:szCs w:val="20"/>
        </w:rPr>
        <w:t xml:space="preserve"> On June 25, 2007, the Jury </w:t>
      </w:r>
      <w:r w:rsidR="00A42F58" w:rsidRPr="00C837DD">
        <w:rPr>
          <w:rFonts w:eastAsia="Calibri"/>
          <w:sz w:val="20"/>
          <w:szCs w:val="20"/>
        </w:rPr>
        <w:t>held its first session</w:t>
      </w:r>
      <w:r w:rsidRPr="00C837DD">
        <w:rPr>
          <w:rFonts w:eastAsia="Calibri"/>
          <w:sz w:val="20"/>
          <w:szCs w:val="20"/>
        </w:rPr>
        <w:t xml:space="preserve">, but the trial was </w:t>
      </w:r>
      <w:r w:rsidR="003A3CB4" w:rsidRPr="00C837DD">
        <w:rPr>
          <w:rFonts w:eastAsia="Calibri"/>
          <w:sz w:val="20"/>
          <w:szCs w:val="20"/>
        </w:rPr>
        <w:t xml:space="preserve">adjourned due </w:t>
      </w:r>
      <w:r w:rsidRPr="00C837DD">
        <w:rPr>
          <w:rFonts w:eastAsia="Calibri"/>
          <w:sz w:val="20"/>
          <w:szCs w:val="20"/>
        </w:rPr>
        <w:t xml:space="preserve">to the absence of Mr. Pereira de Lima’s </w:t>
      </w:r>
      <w:r w:rsidR="003A3CB4" w:rsidRPr="00C837DD">
        <w:rPr>
          <w:rFonts w:eastAsia="Calibri"/>
          <w:sz w:val="20"/>
          <w:szCs w:val="20"/>
        </w:rPr>
        <w:t>attorney</w:t>
      </w:r>
      <w:r w:rsidRPr="00C837DD">
        <w:rPr>
          <w:rStyle w:val="Refdenotaalpie"/>
          <w:rFonts w:eastAsia="Calibri"/>
          <w:sz w:val="20"/>
          <w:szCs w:val="20"/>
        </w:rPr>
        <w:footnoteReference w:id="146"/>
      </w:r>
      <w:r w:rsidRPr="00C837DD">
        <w:rPr>
          <w:rFonts w:eastAsia="Calibri"/>
          <w:sz w:val="20"/>
          <w:szCs w:val="20"/>
        </w:rPr>
        <w:t xml:space="preserve"> and resumed on September 26, 2007</w:t>
      </w:r>
      <w:r w:rsidR="003A3CB4" w:rsidRPr="00C837DD">
        <w:rPr>
          <w:rFonts w:eastAsia="Calibri"/>
          <w:sz w:val="20"/>
          <w:szCs w:val="20"/>
        </w:rPr>
        <w:t>.</w:t>
      </w:r>
      <w:r w:rsidRPr="00C837DD">
        <w:rPr>
          <w:rStyle w:val="Refdenotaalpie"/>
          <w:rFonts w:eastAsia="Calibri"/>
          <w:sz w:val="20"/>
          <w:szCs w:val="20"/>
        </w:rPr>
        <w:footnoteReference w:id="147"/>
      </w:r>
      <w:r w:rsidRPr="00C837DD">
        <w:rPr>
          <w:rFonts w:eastAsia="Calibri"/>
          <w:sz w:val="20"/>
          <w:szCs w:val="20"/>
        </w:rPr>
        <w:t xml:space="preserve"> On September 26, 2007, the First Jury Court of João Pessoa sentenced Mr. Pereira de Lima to 16 years imprisonment for the crimes of </w:t>
      </w:r>
      <w:r w:rsidR="003A3CB4" w:rsidRPr="00C837DD">
        <w:rPr>
          <w:rFonts w:eastAsia="Calibri"/>
          <w:sz w:val="20"/>
          <w:szCs w:val="20"/>
        </w:rPr>
        <w:t xml:space="preserve">murder </w:t>
      </w:r>
      <w:r w:rsidRPr="00C837DD">
        <w:rPr>
          <w:rFonts w:eastAsia="Calibri"/>
          <w:sz w:val="20"/>
          <w:szCs w:val="20"/>
        </w:rPr>
        <w:t xml:space="preserve">and concealment of the body of </w:t>
      </w:r>
      <w:r w:rsidR="00B8009F" w:rsidRPr="00C837DD">
        <w:rPr>
          <w:rFonts w:eastAsia="Calibri"/>
          <w:sz w:val="20"/>
          <w:szCs w:val="20"/>
        </w:rPr>
        <w:t>Márcia</w:t>
      </w:r>
      <w:r w:rsidRPr="00C837DD">
        <w:rPr>
          <w:rFonts w:eastAsia="Calibri"/>
          <w:sz w:val="20"/>
          <w:szCs w:val="20"/>
        </w:rPr>
        <w:t xml:space="preserve"> Barbosa de Souza.</w:t>
      </w:r>
      <w:r w:rsidRPr="00C837DD">
        <w:rPr>
          <w:rStyle w:val="Refdenotaalpie"/>
          <w:rFonts w:eastAsia="Calibri"/>
          <w:sz w:val="20"/>
          <w:szCs w:val="20"/>
        </w:rPr>
        <w:footnoteReference w:id="148"/>
      </w:r>
      <w:r w:rsidRPr="00C837DD">
        <w:rPr>
          <w:rFonts w:eastAsia="Calibri"/>
          <w:sz w:val="20"/>
          <w:szCs w:val="20"/>
        </w:rPr>
        <w:t xml:space="preserve"> Mr. Pereira de Lima appealed </w:t>
      </w:r>
      <w:r w:rsidR="003A3CB4" w:rsidRPr="00C837DD">
        <w:rPr>
          <w:rFonts w:eastAsia="Calibri"/>
          <w:sz w:val="20"/>
          <w:szCs w:val="20"/>
        </w:rPr>
        <w:t>t</w:t>
      </w:r>
      <w:r w:rsidRPr="00C837DD">
        <w:rPr>
          <w:rFonts w:eastAsia="Calibri"/>
          <w:sz w:val="20"/>
          <w:szCs w:val="20"/>
        </w:rPr>
        <w:t>he judgment on September 27, 2007.</w:t>
      </w:r>
      <w:r w:rsidRPr="00C837DD">
        <w:rPr>
          <w:rStyle w:val="Refdenotaalpie"/>
          <w:rFonts w:eastAsia="Calibri"/>
          <w:sz w:val="20"/>
          <w:szCs w:val="20"/>
        </w:rPr>
        <w:footnoteReference w:id="149"/>
      </w:r>
    </w:p>
    <w:p w14:paraId="7E531423" w14:textId="77777777" w:rsidR="00F85D5F" w:rsidRPr="00C837DD" w:rsidRDefault="00F85D5F" w:rsidP="00F85D5F">
      <w:pPr>
        <w:pStyle w:val="Prrafodelista"/>
        <w:tabs>
          <w:tab w:val="left" w:pos="142"/>
        </w:tabs>
        <w:ind w:left="0"/>
        <w:rPr>
          <w:sz w:val="20"/>
          <w:szCs w:val="20"/>
        </w:rPr>
      </w:pPr>
    </w:p>
    <w:p w14:paraId="54387F65" w14:textId="22974CB5"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Before his appeal could be </w:t>
      </w:r>
      <w:r w:rsidR="003A3CB4" w:rsidRPr="00C837DD">
        <w:rPr>
          <w:rFonts w:eastAsia="Calibri"/>
          <w:sz w:val="20"/>
          <w:szCs w:val="20"/>
        </w:rPr>
        <w:t>considered</w:t>
      </w:r>
      <w:r w:rsidRPr="00C837DD">
        <w:rPr>
          <w:rFonts w:eastAsia="Calibri"/>
          <w:sz w:val="20"/>
          <w:szCs w:val="20"/>
        </w:rPr>
        <w:t>, Mr. Pereira de Lima died from a heart attack on February 12, 2008.</w:t>
      </w:r>
      <w:r w:rsidRPr="00C837DD">
        <w:rPr>
          <w:rStyle w:val="Refdenotaalpie"/>
          <w:rFonts w:eastAsia="Calibri"/>
          <w:sz w:val="20"/>
          <w:szCs w:val="20"/>
        </w:rPr>
        <w:footnoteReference w:id="150"/>
      </w:r>
      <w:r w:rsidRPr="00C837DD">
        <w:rPr>
          <w:rFonts w:eastAsia="Calibri"/>
          <w:sz w:val="20"/>
          <w:szCs w:val="20"/>
        </w:rPr>
        <w:t xml:space="preserve"> Therefore, </w:t>
      </w:r>
      <w:r w:rsidR="003A3CB4" w:rsidRPr="00C837DD">
        <w:rPr>
          <w:rFonts w:eastAsia="Calibri"/>
          <w:sz w:val="20"/>
          <w:szCs w:val="20"/>
        </w:rPr>
        <w:t xml:space="preserve">the criminal liability was </w:t>
      </w:r>
      <w:r w:rsidR="00A42F58" w:rsidRPr="00C837DD">
        <w:rPr>
          <w:rFonts w:eastAsia="Calibri"/>
          <w:sz w:val="20"/>
          <w:szCs w:val="20"/>
        </w:rPr>
        <w:t xml:space="preserve">extinguished </w:t>
      </w:r>
      <w:r w:rsidRPr="00C837DD">
        <w:rPr>
          <w:rFonts w:eastAsia="Calibri"/>
          <w:sz w:val="20"/>
          <w:szCs w:val="20"/>
        </w:rPr>
        <w:t>and the case was archived.</w:t>
      </w:r>
      <w:r w:rsidRPr="00C837DD">
        <w:rPr>
          <w:rStyle w:val="Refdenotaalpie"/>
          <w:rFonts w:eastAsia="Calibri"/>
          <w:sz w:val="20"/>
          <w:szCs w:val="20"/>
        </w:rPr>
        <w:footnoteReference w:id="151"/>
      </w:r>
    </w:p>
    <w:p w14:paraId="167C2920" w14:textId="77777777" w:rsidR="00F85D5F" w:rsidRPr="00C837DD" w:rsidRDefault="00F85D5F" w:rsidP="00F85D5F">
      <w:pPr>
        <w:pStyle w:val="Prrafodelista"/>
        <w:tabs>
          <w:tab w:val="left" w:pos="142"/>
        </w:tabs>
        <w:ind w:left="0"/>
        <w:rPr>
          <w:rFonts w:eastAsia="Calibri"/>
          <w:sz w:val="20"/>
          <w:szCs w:val="20"/>
        </w:rPr>
      </w:pPr>
    </w:p>
    <w:p w14:paraId="34426587" w14:textId="197C8BBF" w:rsidR="00F85D5F" w:rsidRPr="00C837DD" w:rsidRDefault="00F85D5F" w:rsidP="0020052C">
      <w:pPr>
        <w:pStyle w:val="Prrafodelista"/>
        <w:numPr>
          <w:ilvl w:val="0"/>
          <w:numId w:val="6"/>
        </w:numPr>
        <w:tabs>
          <w:tab w:val="left" w:pos="142"/>
        </w:tabs>
        <w:ind w:left="0" w:firstLine="0"/>
        <w:rPr>
          <w:sz w:val="20"/>
          <w:szCs w:val="20"/>
        </w:rPr>
      </w:pPr>
      <w:r w:rsidRPr="00C837DD">
        <w:rPr>
          <w:rFonts w:eastAsia="Calibri"/>
          <w:sz w:val="20"/>
          <w:szCs w:val="20"/>
        </w:rPr>
        <w:t>Mr. Pereira de Lima</w:t>
      </w:r>
      <w:r w:rsidR="00571C4B" w:rsidRPr="00C837DD">
        <w:rPr>
          <w:rFonts w:eastAsia="Calibri"/>
          <w:sz w:val="20"/>
          <w:szCs w:val="20"/>
        </w:rPr>
        <w:t>’s body</w:t>
      </w:r>
      <w:r w:rsidRPr="00C837DD">
        <w:rPr>
          <w:rFonts w:eastAsia="Calibri"/>
          <w:sz w:val="20"/>
          <w:szCs w:val="20"/>
        </w:rPr>
        <w:t xml:space="preserve"> was </w:t>
      </w:r>
      <w:r w:rsidR="003A3CB4" w:rsidRPr="00C837DD">
        <w:rPr>
          <w:rFonts w:eastAsia="Calibri"/>
          <w:sz w:val="20"/>
          <w:szCs w:val="20"/>
        </w:rPr>
        <w:t xml:space="preserve">laid to rest </w:t>
      </w:r>
      <w:r w:rsidRPr="00C837DD">
        <w:rPr>
          <w:rFonts w:eastAsia="Calibri"/>
          <w:sz w:val="20"/>
          <w:szCs w:val="20"/>
        </w:rPr>
        <w:t xml:space="preserve">in the </w:t>
      </w:r>
      <w:r w:rsidRPr="00C837DD">
        <w:rPr>
          <w:rFonts w:eastAsia="Calibri"/>
          <w:i/>
          <w:sz w:val="20"/>
          <w:szCs w:val="20"/>
        </w:rPr>
        <w:t>Salón Noble</w:t>
      </w:r>
      <w:r w:rsidRPr="00C837DD">
        <w:rPr>
          <w:rFonts w:eastAsia="Calibri"/>
          <w:sz w:val="20"/>
          <w:szCs w:val="20"/>
        </w:rPr>
        <w:t xml:space="preserve"> of the state Legislative Assembly</w:t>
      </w:r>
      <w:r w:rsidR="004E727D">
        <w:rPr>
          <w:rFonts w:eastAsia="Calibri"/>
          <w:sz w:val="20"/>
          <w:szCs w:val="20"/>
        </w:rPr>
        <w:t xml:space="preserve"> of </w:t>
      </w:r>
      <w:r w:rsidR="004E727D" w:rsidRPr="00C837DD">
        <w:rPr>
          <w:rFonts w:eastAsia="Calibri"/>
          <w:sz w:val="20"/>
          <w:szCs w:val="20"/>
        </w:rPr>
        <w:t>Paraíba</w:t>
      </w:r>
      <w:r w:rsidRPr="00C837DD">
        <w:rPr>
          <w:rFonts w:eastAsia="Calibri"/>
          <w:sz w:val="20"/>
          <w:szCs w:val="20"/>
        </w:rPr>
        <w:t>.</w:t>
      </w:r>
      <w:r w:rsidRPr="00C837DD">
        <w:rPr>
          <w:rStyle w:val="Refdenotaalpie"/>
          <w:rFonts w:eastAsia="Calibri"/>
          <w:sz w:val="20"/>
          <w:szCs w:val="20"/>
        </w:rPr>
        <w:footnoteReference w:id="152"/>
      </w:r>
      <w:r w:rsidRPr="00C837DD">
        <w:rPr>
          <w:rFonts w:eastAsia="Calibri"/>
          <w:sz w:val="20"/>
          <w:szCs w:val="20"/>
        </w:rPr>
        <w:t xml:space="preserve"> </w:t>
      </w:r>
      <w:r w:rsidR="003A3CB4" w:rsidRPr="00C837DD">
        <w:rPr>
          <w:rFonts w:eastAsia="Calibri"/>
          <w:sz w:val="20"/>
          <w:szCs w:val="20"/>
        </w:rPr>
        <w:t xml:space="preserve">The Assembly, by </w:t>
      </w:r>
      <w:r w:rsidR="005B299C" w:rsidRPr="00C837DD">
        <w:rPr>
          <w:rFonts w:eastAsia="Calibri"/>
          <w:sz w:val="20"/>
          <w:szCs w:val="20"/>
        </w:rPr>
        <w:t xml:space="preserve">order </w:t>
      </w:r>
      <w:r w:rsidR="003A3CB4" w:rsidRPr="00C837DD">
        <w:rPr>
          <w:rFonts w:eastAsia="Calibri"/>
          <w:sz w:val="20"/>
          <w:szCs w:val="20"/>
        </w:rPr>
        <w:t xml:space="preserve">of its President, cancelled the legislative session and sent an official communication to all the deputies. </w:t>
      </w:r>
      <w:r w:rsidR="005B299C" w:rsidRPr="00C837DD">
        <w:rPr>
          <w:rFonts w:eastAsia="Calibri"/>
          <w:sz w:val="20"/>
          <w:szCs w:val="20"/>
        </w:rPr>
        <w:t>O</w:t>
      </w:r>
      <w:r w:rsidR="003A3CB4" w:rsidRPr="00C837DD">
        <w:rPr>
          <w:rFonts w:eastAsia="Calibri"/>
          <w:sz w:val="20"/>
          <w:szCs w:val="20"/>
        </w:rPr>
        <w:t>fficial mourning was decreed for three days and the wake was attended by several politicians, among them the then Governor of the State of Paraíba.</w:t>
      </w:r>
      <w:r w:rsidRPr="00C837DD">
        <w:rPr>
          <w:rStyle w:val="Refdenotaalpie"/>
          <w:rFonts w:eastAsia="Calibri"/>
          <w:sz w:val="20"/>
          <w:szCs w:val="20"/>
        </w:rPr>
        <w:footnoteReference w:id="153"/>
      </w:r>
    </w:p>
    <w:p w14:paraId="723DA8A8" w14:textId="77777777" w:rsidR="00F85D5F" w:rsidRPr="00C837DD" w:rsidRDefault="00F85D5F" w:rsidP="00F85D5F">
      <w:pPr>
        <w:tabs>
          <w:tab w:val="left" w:pos="142"/>
        </w:tabs>
        <w:rPr>
          <w:sz w:val="20"/>
          <w:szCs w:val="20"/>
        </w:rPr>
      </w:pPr>
    </w:p>
    <w:p w14:paraId="427C3336" w14:textId="7A40EEDE" w:rsidR="00F85D5F" w:rsidRPr="00C837DD" w:rsidRDefault="00D34CF0" w:rsidP="00F85D5F">
      <w:pPr>
        <w:pStyle w:val="Ttulo3"/>
        <w:numPr>
          <w:ilvl w:val="0"/>
          <w:numId w:val="27"/>
        </w:numPr>
        <w:ind w:left="1560" w:hanging="709"/>
        <w:jc w:val="both"/>
        <w:rPr>
          <w:sz w:val="20"/>
          <w:szCs w:val="20"/>
        </w:rPr>
      </w:pPr>
      <w:bookmarkStart w:id="63" w:name="_Toc85001882"/>
      <w:r w:rsidRPr="00C837DD">
        <w:rPr>
          <w:rStyle w:val="Ttulo3Car"/>
          <w:i/>
          <w:sz w:val="20"/>
          <w:szCs w:val="20"/>
        </w:rPr>
        <w:t>I</w:t>
      </w:r>
      <w:r w:rsidR="00F85D5F" w:rsidRPr="00C837DD">
        <w:rPr>
          <w:rStyle w:val="Ttulo3Car"/>
          <w:i/>
          <w:sz w:val="20"/>
          <w:szCs w:val="20"/>
        </w:rPr>
        <w:t>nvestigations conducted by the Civil Police in relation to D.D.P.M., M.D.M., L.B.S. and A.G.A.M.</w:t>
      </w:r>
      <w:bookmarkEnd w:id="63"/>
    </w:p>
    <w:p w14:paraId="31C573F6" w14:textId="77777777" w:rsidR="00F85D5F" w:rsidRPr="00C837DD" w:rsidRDefault="00F85D5F" w:rsidP="00F85D5F">
      <w:pPr>
        <w:pStyle w:val="Prrafodelista"/>
        <w:tabs>
          <w:tab w:val="left" w:pos="142"/>
        </w:tabs>
        <w:ind w:left="0"/>
        <w:rPr>
          <w:sz w:val="20"/>
          <w:szCs w:val="20"/>
        </w:rPr>
      </w:pPr>
    </w:p>
    <w:p w14:paraId="7EFE79EF" w14:textId="73E07E33"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On October 1, 1998, the </w:t>
      </w:r>
      <w:r w:rsidR="004E3A99" w:rsidRPr="00C837DD">
        <w:rPr>
          <w:rFonts w:eastAsia="Calibri"/>
          <w:sz w:val="20"/>
          <w:szCs w:val="20"/>
        </w:rPr>
        <w:t>Public Prosecutor’s Office</w:t>
      </w:r>
      <w:r w:rsidRPr="00C837DD">
        <w:rPr>
          <w:rFonts w:eastAsia="Calibri"/>
          <w:sz w:val="20"/>
          <w:szCs w:val="20"/>
        </w:rPr>
        <w:t xml:space="preserve"> </w:t>
      </w:r>
      <w:r w:rsidR="00DD69F5" w:rsidRPr="00C837DD">
        <w:rPr>
          <w:rFonts w:eastAsia="Calibri"/>
          <w:sz w:val="20"/>
          <w:szCs w:val="20"/>
        </w:rPr>
        <w:t xml:space="preserve">advised </w:t>
      </w:r>
      <w:r w:rsidR="00DD4006" w:rsidRPr="00C837DD">
        <w:rPr>
          <w:rFonts w:eastAsia="Calibri"/>
          <w:sz w:val="20"/>
          <w:szCs w:val="20"/>
        </w:rPr>
        <w:t xml:space="preserve">the </w:t>
      </w:r>
      <w:r w:rsidR="004E727D">
        <w:rPr>
          <w:rFonts w:eastAsia="Calibri"/>
          <w:sz w:val="20"/>
          <w:szCs w:val="20"/>
        </w:rPr>
        <w:t xml:space="preserve">supervising </w:t>
      </w:r>
      <w:r w:rsidRPr="00C837DD">
        <w:rPr>
          <w:rFonts w:eastAsia="Calibri"/>
          <w:sz w:val="20"/>
          <w:szCs w:val="20"/>
        </w:rPr>
        <w:t xml:space="preserve">judge in charge of the investigations related to the involvement of D.D.P.M., L.B.S., A.G.A.M. and M.D.M., in the </w:t>
      </w:r>
      <w:r w:rsidRPr="00C837DD">
        <w:rPr>
          <w:sz w:val="20"/>
          <w:szCs w:val="20"/>
          <w:lang w:eastAsia="es-ES"/>
        </w:rPr>
        <w:t>homicide</w:t>
      </w:r>
      <w:r w:rsidRPr="00C837DD">
        <w:rPr>
          <w:rFonts w:eastAsia="Calibri"/>
          <w:sz w:val="20"/>
          <w:szCs w:val="20"/>
        </w:rPr>
        <w:t xml:space="preserve"> of </w:t>
      </w:r>
      <w:r w:rsidR="00B8009F" w:rsidRPr="00C837DD">
        <w:rPr>
          <w:rFonts w:eastAsia="Calibri"/>
          <w:sz w:val="20"/>
          <w:szCs w:val="20"/>
        </w:rPr>
        <w:t>Márcia</w:t>
      </w:r>
      <w:r w:rsidRPr="00C837DD">
        <w:rPr>
          <w:rFonts w:eastAsia="Calibri"/>
          <w:sz w:val="20"/>
          <w:szCs w:val="20"/>
        </w:rPr>
        <w:t xml:space="preserve"> Barbosa de Souza, </w:t>
      </w:r>
      <w:r w:rsidR="00DD4006" w:rsidRPr="00C837DD">
        <w:rPr>
          <w:rFonts w:eastAsia="Calibri"/>
          <w:sz w:val="20"/>
          <w:szCs w:val="20"/>
        </w:rPr>
        <w:t xml:space="preserve">of </w:t>
      </w:r>
      <w:r w:rsidRPr="00C837DD">
        <w:rPr>
          <w:rFonts w:eastAsia="Calibri"/>
          <w:sz w:val="20"/>
          <w:szCs w:val="20"/>
        </w:rPr>
        <w:t>the need t</w:t>
      </w:r>
      <w:r w:rsidR="00DD69F5" w:rsidRPr="00C837DD">
        <w:rPr>
          <w:rFonts w:eastAsia="Calibri"/>
          <w:sz w:val="20"/>
          <w:szCs w:val="20"/>
        </w:rPr>
        <w:t>o</w:t>
      </w:r>
      <w:r w:rsidRPr="00C837DD">
        <w:rPr>
          <w:rFonts w:eastAsia="Calibri"/>
          <w:sz w:val="20"/>
          <w:szCs w:val="20"/>
        </w:rPr>
        <w:t xml:space="preserve"> extend the </w:t>
      </w:r>
      <w:r w:rsidR="00DD69F5" w:rsidRPr="00C837DD">
        <w:rPr>
          <w:rFonts w:eastAsia="Calibri"/>
          <w:sz w:val="20"/>
          <w:szCs w:val="20"/>
        </w:rPr>
        <w:t xml:space="preserve">term </w:t>
      </w:r>
      <w:r w:rsidRPr="00C837DD">
        <w:rPr>
          <w:rFonts w:eastAsia="Calibri"/>
          <w:sz w:val="20"/>
          <w:szCs w:val="20"/>
        </w:rPr>
        <w:t xml:space="preserve">of the investigations </w:t>
      </w:r>
      <w:r w:rsidR="00DD69F5" w:rsidRPr="00C837DD">
        <w:rPr>
          <w:rFonts w:eastAsia="Calibri"/>
          <w:sz w:val="20"/>
          <w:szCs w:val="20"/>
        </w:rPr>
        <w:t xml:space="preserve">to </w:t>
      </w:r>
      <w:r w:rsidRPr="00C837DD">
        <w:rPr>
          <w:rFonts w:eastAsia="Calibri"/>
          <w:sz w:val="20"/>
          <w:szCs w:val="20"/>
        </w:rPr>
        <w:t xml:space="preserve">clarify individual aspects of the conduct of each </w:t>
      </w:r>
      <w:r w:rsidR="004E727D">
        <w:rPr>
          <w:rFonts w:eastAsia="Calibri"/>
          <w:sz w:val="20"/>
          <w:szCs w:val="20"/>
        </w:rPr>
        <w:t xml:space="preserve">suspect </w:t>
      </w:r>
      <w:r w:rsidRPr="00C837DD">
        <w:rPr>
          <w:rFonts w:eastAsia="Calibri"/>
          <w:sz w:val="20"/>
          <w:szCs w:val="20"/>
        </w:rPr>
        <w:t xml:space="preserve">in relation to </w:t>
      </w:r>
      <w:r w:rsidR="004E727D">
        <w:rPr>
          <w:rFonts w:eastAsia="Calibri"/>
          <w:sz w:val="20"/>
          <w:szCs w:val="20"/>
        </w:rPr>
        <w:t xml:space="preserve">her </w:t>
      </w:r>
      <w:r w:rsidRPr="00C837DD">
        <w:rPr>
          <w:rFonts w:eastAsia="Calibri"/>
          <w:sz w:val="20"/>
          <w:szCs w:val="20"/>
        </w:rPr>
        <w:t xml:space="preserve">death and concealment of </w:t>
      </w:r>
      <w:r w:rsidR="004E727D">
        <w:rPr>
          <w:rFonts w:eastAsia="Calibri"/>
          <w:sz w:val="20"/>
          <w:szCs w:val="20"/>
        </w:rPr>
        <w:t xml:space="preserve">her </w:t>
      </w:r>
      <w:r w:rsidRPr="00C837DD">
        <w:rPr>
          <w:rFonts w:eastAsia="Calibri"/>
          <w:sz w:val="20"/>
          <w:szCs w:val="20"/>
        </w:rPr>
        <w:t>body, as well as all</w:t>
      </w:r>
      <w:r w:rsidR="004E3A99" w:rsidRPr="00C837DD">
        <w:rPr>
          <w:rFonts w:eastAsia="Calibri"/>
          <w:sz w:val="20"/>
          <w:szCs w:val="20"/>
        </w:rPr>
        <w:t xml:space="preserve"> t</w:t>
      </w:r>
      <w:r w:rsidRPr="00C837DD">
        <w:rPr>
          <w:rFonts w:eastAsia="Calibri"/>
          <w:sz w:val="20"/>
          <w:szCs w:val="20"/>
        </w:rPr>
        <w:t xml:space="preserve">he facts, and made a series of specific </w:t>
      </w:r>
      <w:r w:rsidR="004E3A99" w:rsidRPr="00C837DD">
        <w:rPr>
          <w:rFonts w:eastAsia="Calibri"/>
          <w:sz w:val="20"/>
          <w:szCs w:val="20"/>
        </w:rPr>
        <w:t>requ</w:t>
      </w:r>
      <w:r w:rsidR="004E727D">
        <w:rPr>
          <w:rFonts w:eastAsia="Calibri"/>
          <w:sz w:val="20"/>
          <w:szCs w:val="20"/>
        </w:rPr>
        <w:t>ests</w:t>
      </w:r>
      <w:r w:rsidRPr="00C837DD">
        <w:rPr>
          <w:rFonts w:eastAsia="Calibri"/>
          <w:sz w:val="20"/>
          <w:szCs w:val="20"/>
        </w:rPr>
        <w:t>.</w:t>
      </w:r>
      <w:r w:rsidRPr="00C837DD">
        <w:rPr>
          <w:rStyle w:val="Refdenotaalpie"/>
          <w:rFonts w:eastAsia="Calibri"/>
          <w:sz w:val="20"/>
          <w:szCs w:val="20"/>
        </w:rPr>
        <w:footnoteReference w:id="154"/>
      </w:r>
      <w:r w:rsidRPr="00C837DD">
        <w:rPr>
          <w:rFonts w:eastAsia="Calibri"/>
          <w:sz w:val="20"/>
          <w:szCs w:val="20"/>
        </w:rPr>
        <w:t xml:space="preserve"> </w:t>
      </w:r>
      <w:r w:rsidR="00DD69F5" w:rsidRPr="00C837DD">
        <w:rPr>
          <w:rFonts w:eastAsia="Calibri"/>
          <w:sz w:val="20"/>
          <w:szCs w:val="20"/>
        </w:rPr>
        <w:t xml:space="preserve">On the </w:t>
      </w:r>
      <w:r w:rsidRPr="00C837DD">
        <w:rPr>
          <w:rFonts w:eastAsia="Calibri"/>
          <w:sz w:val="20"/>
          <w:szCs w:val="20"/>
        </w:rPr>
        <w:t xml:space="preserve">same day, the judge authorized the inquiries requested by the Prosecutor, </w:t>
      </w:r>
      <w:r w:rsidR="004E3A99" w:rsidRPr="00C837DD">
        <w:rPr>
          <w:rFonts w:eastAsia="Calibri"/>
          <w:sz w:val="20"/>
          <w:szCs w:val="20"/>
        </w:rPr>
        <w:t xml:space="preserve">on the understanding </w:t>
      </w:r>
      <w:r w:rsidRPr="00C837DD">
        <w:rPr>
          <w:rFonts w:eastAsia="Calibri"/>
          <w:sz w:val="20"/>
          <w:szCs w:val="20"/>
        </w:rPr>
        <w:t>that the re</w:t>
      </w:r>
      <w:r w:rsidR="004E3A99" w:rsidRPr="00C837DD">
        <w:rPr>
          <w:rFonts w:eastAsia="Calibri"/>
          <w:sz w:val="20"/>
          <w:szCs w:val="20"/>
        </w:rPr>
        <w:t xml:space="preserve">quired </w:t>
      </w:r>
      <w:r w:rsidR="00DD69F5" w:rsidRPr="00C837DD">
        <w:rPr>
          <w:rFonts w:eastAsia="Calibri"/>
          <w:sz w:val="20"/>
          <w:szCs w:val="20"/>
        </w:rPr>
        <w:t xml:space="preserve">evidence </w:t>
      </w:r>
      <w:r w:rsidR="004E3A99" w:rsidRPr="00C837DD">
        <w:rPr>
          <w:rFonts w:eastAsia="Calibri"/>
          <w:sz w:val="20"/>
          <w:szCs w:val="20"/>
        </w:rPr>
        <w:t>was</w:t>
      </w:r>
      <w:r w:rsidRPr="00C837DD">
        <w:rPr>
          <w:rFonts w:eastAsia="Calibri"/>
          <w:sz w:val="20"/>
          <w:szCs w:val="20"/>
        </w:rPr>
        <w:t xml:space="preserve"> essential, and ordered the investigation</w:t>
      </w:r>
      <w:r w:rsidR="00DD69F5" w:rsidRPr="00C837DD">
        <w:rPr>
          <w:rFonts w:eastAsia="Calibri"/>
          <w:sz w:val="20"/>
          <w:szCs w:val="20"/>
        </w:rPr>
        <w:t xml:space="preserve"> files</w:t>
      </w:r>
      <w:r w:rsidRPr="00C837DD">
        <w:rPr>
          <w:rFonts w:eastAsia="Calibri"/>
          <w:sz w:val="20"/>
          <w:szCs w:val="20"/>
        </w:rPr>
        <w:t xml:space="preserve"> to be sent to the police authority to comply with those </w:t>
      </w:r>
      <w:r w:rsidR="00DD69F5" w:rsidRPr="00C837DD">
        <w:rPr>
          <w:rFonts w:eastAsia="Calibri"/>
          <w:sz w:val="20"/>
          <w:szCs w:val="20"/>
        </w:rPr>
        <w:t>procedures</w:t>
      </w:r>
      <w:r w:rsidRPr="00C837DD">
        <w:rPr>
          <w:rFonts w:eastAsia="Calibri"/>
          <w:sz w:val="20"/>
          <w:szCs w:val="20"/>
        </w:rPr>
        <w:t>.</w:t>
      </w:r>
      <w:r w:rsidRPr="00C837DD">
        <w:rPr>
          <w:rStyle w:val="Refdenotaalpie"/>
          <w:rFonts w:eastAsia="Calibri"/>
          <w:sz w:val="20"/>
          <w:szCs w:val="20"/>
        </w:rPr>
        <w:footnoteReference w:id="155"/>
      </w:r>
      <w:r w:rsidRPr="00C837DD">
        <w:rPr>
          <w:rFonts w:eastAsia="Calibri"/>
          <w:sz w:val="20"/>
          <w:szCs w:val="20"/>
        </w:rPr>
        <w:t xml:space="preserve"> </w:t>
      </w:r>
    </w:p>
    <w:p w14:paraId="0398B04D" w14:textId="77777777" w:rsidR="00F85D5F" w:rsidRPr="00C837DD" w:rsidRDefault="00F85D5F" w:rsidP="00F85D5F">
      <w:pPr>
        <w:pStyle w:val="Prrafodelista"/>
        <w:tabs>
          <w:tab w:val="left" w:pos="142"/>
        </w:tabs>
        <w:ind w:left="0"/>
        <w:rPr>
          <w:sz w:val="20"/>
          <w:szCs w:val="20"/>
        </w:rPr>
      </w:pPr>
    </w:p>
    <w:p w14:paraId="13B031CC" w14:textId="1B1B28DC"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On December 14, 1998, th</w:t>
      </w:r>
      <w:r w:rsidR="0020052C" w:rsidRPr="00C837DD">
        <w:rPr>
          <w:rFonts w:eastAsia="Calibri"/>
          <w:sz w:val="20"/>
          <w:szCs w:val="20"/>
        </w:rPr>
        <w:t>e Prosecutor again requested that certain tests</w:t>
      </w:r>
      <w:r w:rsidRPr="00C837DD">
        <w:rPr>
          <w:rFonts w:eastAsia="Calibri"/>
          <w:sz w:val="20"/>
          <w:szCs w:val="20"/>
        </w:rPr>
        <w:t xml:space="preserve"> be </w:t>
      </w:r>
      <w:r w:rsidR="00DD4006" w:rsidRPr="00C837DD">
        <w:rPr>
          <w:rFonts w:eastAsia="Calibri"/>
          <w:sz w:val="20"/>
          <w:szCs w:val="20"/>
        </w:rPr>
        <w:t>c</w:t>
      </w:r>
      <w:r w:rsidR="00E0426A" w:rsidRPr="00C837DD">
        <w:rPr>
          <w:rFonts w:eastAsia="Calibri"/>
          <w:sz w:val="20"/>
          <w:szCs w:val="20"/>
        </w:rPr>
        <w:t xml:space="preserve">onducted </w:t>
      </w:r>
      <w:r w:rsidRPr="00C837DD">
        <w:rPr>
          <w:rFonts w:eastAsia="Calibri"/>
          <w:sz w:val="20"/>
          <w:szCs w:val="20"/>
        </w:rPr>
        <w:t>by the polic</w:t>
      </w:r>
      <w:r w:rsidR="004E727D">
        <w:rPr>
          <w:rFonts w:eastAsia="Calibri"/>
          <w:sz w:val="20"/>
          <w:szCs w:val="20"/>
        </w:rPr>
        <w:t>e</w:t>
      </w:r>
      <w:r w:rsidRPr="00C837DD">
        <w:rPr>
          <w:rFonts w:eastAsia="Calibri"/>
          <w:sz w:val="20"/>
          <w:szCs w:val="20"/>
        </w:rPr>
        <w:t xml:space="preserve">, which in his </w:t>
      </w:r>
      <w:r w:rsidR="0020052C" w:rsidRPr="00C837DD">
        <w:rPr>
          <w:rFonts w:eastAsia="Calibri"/>
          <w:sz w:val="20"/>
          <w:szCs w:val="20"/>
        </w:rPr>
        <w:t xml:space="preserve">opinion </w:t>
      </w:r>
      <w:r w:rsidRPr="00C837DD">
        <w:rPr>
          <w:rFonts w:eastAsia="Calibri"/>
          <w:sz w:val="20"/>
          <w:szCs w:val="20"/>
        </w:rPr>
        <w:t>had not been carried out, without specifying wh</w:t>
      </w:r>
      <w:r w:rsidR="0020052C" w:rsidRPr="00C837DD">
        <w:rPr>
          <w:rFonts w:eastAsia="Calibri"/>
          <w:sz w:val="20"/>
          <w:szCs w:val="20"/>
        </w:rPr>
        <w:t>at the</w:t>
      </w:r>
      <w:r w:rsidR="00E0426A" w:rsidRPr="00C837DD">
        <w:rPr>
          <w:rFonts w:eastAsia="Calibri"/>
          <w:sz w:val="20"/>
          <w:szCs w:val="20"/>
        </w:rPr>
        <w:t>se</w:t>
      </w:r>
      <w:r w:rsidR="00DD4006" w:rsidRPr="00C837DD">
        <w:rPr>
          <w:rFonts w:eastAsia="Calibri"/>
          <w:sz w:val="20"/>
          <w:szCs w:val="20"/>
        </w:rPr>
        <w:t xml:space="preserve"> would be</w:t>
      </w:r>
      <w:r w:rsidRPr="00C837DD">
        <w:rPr>
          <w:rFonts w:eastAsia="Calibri"/>
          <w:sz w:val="20"/>
          <w:szCs w:val="20"/>
        </w:rPr>
        <w:t>.</w:t>
      </w:r>
      <w:r w:rsidRPr="00C837DD">
        <w:rPr>
          <w:rStyle w:val="Refdenotaalpie"/>
          <w:rFonts w:eastAsia="Calibri"/>
          <w:sz w:val="20"/>
          <w:szCs w:val="20"/>
        </w:rPr>
        <w:footnoteReference w:id="156"/>
      </w:r>
      <w:r w:rsidR="0020052C" w:rsidRPr="00C837DD">
        <w:rPr>
          <w:rFonts w:eastAsia="Calibri"/>
          <w:sz w:val="20"/>
          <w:szCs w:val="20"/>
        </w:rPr>
        <w:t xml:space="preserve"> During</w:t>
      </w:r>
      <w:r w:rsidRPr="00C837DD">
        <w:rPr>
          <w:rFonts w:eastAsia="Calibri"/>
          <w:sz w:val="20"/>
          <w:szCs w:val="20"/>
        </w:rPr>
        <w:t xml:space="preserve"> 1999, there w</w:t>
      </w:r>
      <w:r w:rsidR="004E727D">
        <w:rPr>
          <w:rFonts w:eastAsia="Calibri"/>
          <w:sz w:val="20"/>
          <w:szCs w:val="20"/>
        </w:rPr>
        <w:t>as</w:t>
      </w:r>
      <w:r w:rsidRPr="00C837DD">
        <w:rPr>
          <w:rFonts w:eastAsia="Calibri"/>
          <w:sz w:val="20"/>
          <w:szCs w:val="20"/>
        </w:rPr>
        <w:t xml:space="preserve"> no significant </w:t>
      </w:r>
      <w:r w:rsidR="004E727D">
        <w:rPr>
          <w:rFonts w:eastAsia="Calibri"/>
          <w:sz w:val="20"/>
          <w:szCs w:val="20"/>
        </w:rPr>
        <w:t xml:space="preserve">progress </w:t>
      </w:r>
      <w:r w:rsidRPr="00C837DD">
        <w:rPr>
          <w:rFonts w:eastAsia="Calibri"/>
          <w:sz w:val="20"/>
          <w:szCs w:val="20"/>
        </w:rPr>
        <w:t xml:space="preserve">in </w:t>
      </w:r>
      <w:r w:rsidR="0020052C" w:rsidRPr="00C837DD">
        <w:rPr>
          <w:rFonts w:eastAsia="Calibri"/>
          <w:sz w:val="20"/>
          <w:szCs w:val="20"/>
        </w:rPr>
        <w:t xml:space="preserve">the investigations, due mainly </w:t>
      </w:r>
      <w:r w:rsidRPr="00C837DD">
        <w:rPr>
          <w:rFonts w:eastAsia="Calibri"/>
          <w:sz w:val="20"/>
          <w:szCs w:val="20"/>
        </w:rPr>
        <w:t xml:space="preserve">to the </w:t>
      </w:r>
      <w:r w:rsidR="0020052C" w:rsidRPr="00C837DD">
        <w:rPr>
          <w:rFonts w:eastAsia="Calibri"/>
          <w:sz w:val="20"/>
          <w:szCs w:val="20"/>
        </w:rPr>
        <w:t xml:space="preserve">substitution </w:t>
      </w:r>
      <w:r w:rsidRPr="00C837DD">
        <w:rPr>
          <w:rFonts w:eastAsia="Calibri"/>
          <w:sz w:val="20"/>
          <w:szCs w:val="20"/>
        </w:rPr>
        <w:t xml:space="preserve">of three prosecutors in charge of the </w:t>
      </w:r>
      <w:r w:rsidR="0020052C" w:rsidRPr="00C837DD">
        <w:rPr>
          <w:rFonts w:eastAsia="Calibri"/>
          <w:sz w:val="20"/>
          <w:szCs w:val="20"/>
        </w:rPr>
        <w:t>investigation</w:t>
      </w:r>
      <w:r w:rsidRPr="00C837DD">
        <w:rPr>
          <w:rFonts w:eastAsia="Calibri"/>
          <w:sz w:val="20"/>
          <w:szCs w:val="20"/>
        </w:rPr>
        <w:t xml:space="preserve">, two of whom alleged impediment for </w:t>
      </w:r>
      <w:r w:rsidR="00BA2DEC" w:rsidRPr="00C837DD">
        <w:rPr>
          <w:rFonts w:eastAsia="Calibri"/>
          <w:sz w:val="20"/>
          <w:szCs w:val="20"/>
        </w:rPr>
        <w:t xml:space="preserve">personal </w:t>
      </w:r>
      <w:r w:rsidRPr="00C837DD">
        <w:rPr>
          <w:rFonts w:eastAsia="Calibri"/>
          <w:sz w:val="20"/>
          <w:szCs w:val="20"/>
        </w:rPr>
        <w:t>reasons</w:t>
      </w:r>
      <w:r w:rsidR="00BA2DEC" w:rsidRPr="00C837DD">
        <w:rPr>
          <w:rFonts w:eastAsia="Calibri"/>
          <w:sz w:val="20"/>
          <w:szCs w:val="20"/>
        </w:rPr>
        <w:t>.</w:t>
      </w:r>
      <w:r w:rsidRPr="00C837DD">
        <w:rPr>
          <w:rStyle w:val="Refdenotaalpie"/>
          <w:rFonts w:eastAsia="Calibri"/>
          <w:sz w:val="20"/>
          <w:szCs w:val="20"/>
        </w:rPr>
        <w:footnoteReference w:id="157"/>
      </w:r>
    </w:p>
    <w:p w14:paraId="69731EF2" w14:textId="77777777" w:rsidR="00F85D5F" w:rsidRPr="00C837DD" w:rsidRDefault="00F85D5F" w:rsidP="00F85D5F">
      <w:pPr>
        <w:pStyle w:val="Prrafodelista"/>
        <w:tabs>
          <w:tab w:val="left" w:pos="142"/>
        </w:tabs>
        <w:ind w:left="0"/>
        <w:rPr>
          <w:rFonts w:eastAsia="Calibri"/>
          <w:sz w:val="20"/>
          <w:szCs w:val="20"/>
        </w:rPr>
      </w:pPr>
    </w:p>
    <w:p w14:paraId="007720D4" w14:textId="7BFB4407"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On June 19, 2000, </w:t>
      </w:r>
      <w:r w:rsidR="007F35E3" w:rsidRPr="00C837DD">
        <w:rPr>
          <w:rFonts w:eastAsia="Calibri"/>
          <w:sz w:val="20"/>
          <w:szCs w:val="20"/>
        </w:rPr>
        <w:t xml:space="preserve">the </w:t>
      </w:r>
      <w:r w:rsidR="00E0426A" w:rsidRPr="00C837DD">
        <w:rPr>
          <w:rFonts w:eastAsia="Calibri"/>
          <w:sz w:val="20"/>
          <w:szCs w:val="20"/>
        </w:rPr>
        <w:t xml:space="preserve">forensic medical </w:t>
      </w:r>
      <w:r w:rsidR="007F35E3" w:rsidRPr="00C837DD">
        <w:rPr>
          <w:rFonts w:eastAsia="Calibri"/>
          <w:sz w:val="20"/>
          <w:szCs w:val="20"/>
        </w:rPr>
        <w:t xml:space="preserve">report </w:t>
      </w:r>
      <w:r w:rsidR="00BA2DEC" w:rsidRPr="00C837DD">
        <w:rPr>
          <w:rFonts w:eastAsia="Calibri"/>
          <w:sz w:val="20"/>
          <w:szCs w:val="20"/>
        </w:rPr>
        <w:t xml:space="preserve">requested by the </w:t>
      </w:r>
      <w:r w:rsidR="00E0426A" w:rsidRPr="00C837DD">
        <w:rPr>
          <w:rFonts w:eastAsia="Calibri"/>
          <w:sz w:val="20"/>
          <w:szCs w:val="20"/>
        </w:rPr>
        <w:t>P</w:t>
      </w:r>
      <w:r w:rsidRPr="00C837DD">
        <w:rPr>
          <w:rFonts w:eastAsia="Calibri"/>
          <w:sz w:val="20"/>
          <w:szCs w:val="20"/>
        </w:rPr>
        <w:t>rosecutor in October 1998</w:t>
      </w:r>
      <w:r w:rsidR="004E727D">
        <w:rPr>
          <w:rFonts w:eastAsia="Calibri"/>
          <w:sz w:val="20"/>
          <w:szCs w:val="20"/>
        </w:rPr>
        <w:t>,</w:t>
      </w:r>
      <w:r w:rsidR="007F35E3" w:rsidRPr="00C837DD">
        <w:rPr>
          <w:rFonts w:eastAsia="Calibri"/>
          <w:sz w:val="20"/>
          <w:szCs w:val="20"/>
        </w:rPr>
        <w:t xml:space="preserve"> was sent to the judge</w:t>
      </w:r>
      <w:r w:rsidRPr="00C837DD">
        <w:rPr>
          <w:rFonts w:eastAsia="Calibri"/>
          <w:sz w:val="20"/>
          <w:szCs w:val="20"/>
        </w:rPr>
        <w:t>.</w:t>
      </w:r>
      <w:r w:rsidRPr="00C837DD">
        <w:rPr>
          <w:rStyle w:val="Refdenotaalpie"/>
          <w:rFonts w:eastAsia="Calibri"/>
          <w:sz w:val="20"/>
          <w:szCs w:val="20"/>
        </w:rPr>
        <w:footnoteReference w:id="158"/>
      </w:r>
      <w:r w:rsidRPr="00C837DD">
        <w:rPr>
          <w:rFonts w:eastAsia="Calibri"/>
          <w:sz w:val="20"/>
          <w:szCs w:val="20"/>
        </w:rPr>
        <w:t xml:space="preserve"> On August 8, 2000, the Prosecutor asked the judge to order the police authority to conclude the investigations</w:t>
      </w:r>
      <w:r w:rsidR="00DD4006" w:rsidRPr="00C837DD">
        <w:rPr>
          <w:rFonts w:eastAsia="Calibri"/>
          <w:sz w:val="20"/>
          <w:szCs w:val="20"/>
        </w:rPr>
        <w:t>.</w:t>
      </w:r>
      <w:r w:rsidRPr="00C837DD">
        <w:rPr>
          <w:rStyle w:val="Refdenotaalpie"/>
          <w:rFonts w:eastAsia="Calibri"/>
          <w:sz w:val="20"/>
          <w:szCs w:val="20"/>
        </w:rPr>
        <w:footnoteReference w:id="159"/>
      </w:r>
      <w:r w:rsidRPr="00C837DD">
        <w:rPr>
          <w:rFonts w:eastAsia="Calibri"/>
          <w:sz w:val="20"/>
          <w:szCs w:val="20"/>
        </w:rPr>
        <w:t xml:space="preserve"> The </w:t>
      </w:r>
      <w:r w:rsidR="00DD4006" w:rsidRPr="00C837DD">
        <w:rPr>
          <w:rFonts w:eastAsia="Calibri"/>
          <w:sz w:val="20"/>
          <w:szCs w:val="20"/>
        </w:rPr>
        <w:t xml:space="preserve">judge complied with this </w:t>
      </w:r>
      <w:r w:rsidRPr="00C837DD">
        <w:rPr>
          <w:rFonts w:eastAsia="Calibri"/>
          <w:sz w:val="20"/>
          <w:szCs w:val="20"/>
        </w:rPr>
        <w:t xml:space="preserve">request </w:t>
      </w:r>
      <w:r w:rsidR="004E3A99" w:rsidRPr="00C837DD">
        <w:rPr>
          <w:rFonts w:eastAsia="Calibri"/>
          <w:sz w:val="20"/>
          <w:szCs w:val="20"/>
        </w:rPr>
        <w:t xml:space="preserve">on </w:t>
      </w:r>
      <w:r w:rsidRPr="00C837DD">
        <w:rPr>
          <w:rFonts w:eastAsia="Calibri"/>
          <w:sz w:val="20"/>
          <w:szCs w:val="20"/>
        </w:rPr>
        <w:t xml:space="preserve">August </w:t>
      </w:r>
      <w:r w:rsidR="004E3A99" w:rsidRPr="00C837DD">
        <w:rPr>
          <w:rFonts w:eastAsia="Calibri"/>
          <w:sz w:val="20"/>
          <w:szCs w:val="20"/>
        </w:rPr>
        <w:t xml:space="preserve">14 </w:t>
      </w:r>
      <w:r w:rsidR="00E0426A" w:rsidRPr="00C837DD">
        <w:rPr>
          <w:rFonts w:eastAsia="Calibri"/>
          <w:sz w:val="20"/>
          <w:szCs w:val="20"/>
        </w:rPr>
        <w:t xml:space="preserve">of </w:t>
      </w:r>
      <w:r w:rsidRPr="00C837DD">
        <w:rPr>
          <w:rFonts w:eastAsia="Calibri"/>
          <w:sz w:val="20"/>
          <w:szCs w:val="20"/>
        </w:rPr>
        <w:t>that same year.</w:t>
      </w:r>
      <w:r w:rsidRPr="00C837DD">
        <w:rPr>
          <w:rStyle w:val="Refdenotaalpie"/>
          <w:rFonts w:eastAsia="Calibri"/>
          <w:sz w:val="20"/>
          <w:szCs w:val="20"/>
        </w:rPr>
        <w:footnoteReference w:id="160"/>
      </w:r>
      <w:r w:rsidRPr="00C837DD">
        <w:rPr>
          <w:rFonts w:eastAsia="Calibri"/>
          <w:sz w:val="20"/>
          <w:szCs w:val="20"/>
        </w:rPr>
        <w:t xml:space="preserve"> On December 26, 2000, the new Commissioner of the </w:t>
      </w:r>
      <w:r w:rsidR="00571C4B" w:rsidRPr="00C837DD">
        <w:rPr>
          <w:rFonts w:eastAsia="Calibri"/>
          <w:sz w:val="20"/>
          <w:szCs w:val="20"/>
        </w:rPr>
        <w:t xml:space="preserve">police station </w:t>
      </w:r>
      <w:r w:rsidRPr="00C837DD">
        <w:rPr>
          <w:rFonts w:eastAsia="Calibri"/>
          <w:sz w:val="20"/>
          <w:szCs w:val="20"/>
        </w:rPr>
        <w:t>investigat</w:t>
      </w:r>
      <w:r w:rsidR="00E0426A" w:rsidRPr="00C837DD">
        <w:rPr>
          <w:rFonts w:eastAsia="Calibri"/>
          <w:sz w:val="20"/>
          <w:szCs w:val="20"/>
        </w:rPr>
        <w:t>ing</w:t>
      </w:r>
      <w:r w:rsidRPr="00C837DD">
        <w:rPr>
          <w:rFonts w:eastAsia="Calibri"/>
          <w:sz w:val="20"/>
          <w:szCs w:val="20"/>
        </w:rPr>
        <w:t xml:space="preserve"> the case requested </w:t>
      </w:r>
      <w:r w:rsidR="004E3A99" w:rsidRPr="00C837DD">
        <w:rPr>
          <w:rFonts w:eastAsia="Calibri"/>
          <w:sz w:val="20"/>
          <w:szCs w:val="20"/>
        </w:rPr>
        <w:t xml:space="preserve">an extension of the </w:t>
      </w:r>
      <w:r w:rsidR="00E0426A" w:rsidRPr="00C837DD">
        <w:rPr>
          <w:rFonts w:eastAsia="Calibri"/>
          <w:sz w:val="20"/>
          <w:szCs w:val="20"/>
        </w:rPr>
        <w:t xml:space="preserve">deadline for the completion of the required </w:t>
      </w:r>
      <w:r w:rsidRPr="00C837DD">
        <w:rPr>
          <w:rFonts w:eastAsia="Calibri"/>
          <w:sz w:val="20"/>
          <w:szCs w:val="20"/>
        </w:rPr>
        <w:t xml:space="preserve">investigative </w:t>
      </w:r>
      <w:r w:rsidR="00E0426A" w:rsidRPr="00C837DD">
        <w:rPr>
          <w:rFonts w:eastAsia="Calibri"/>
          <w:sz w:val="20"/>
          <w:szCs w:val="20"/>
        </w:rPr>
        <w:t xml:space="preserve">procedures </w:t>
      </w:r>
      <w:r w:rsidRPr="00C837DD">
        <w:rPr>
          <w:rFonts w:eastAsia="Calibri"/>
          <w:sz w:val="20"/>
          <w:szCs w:val="20"/>
        </w:rPr>
        <w:t>and t</w:t>
      </w:r>
      <w:r w:rsidR="00E0426A" w:rsidRPr="00C837DD">
        <w:rPr>
          <w:rFonts w:eastAsia="Calibri"/>
          <w:sz w:val="20"/>
          <w:szCs w:val="20"/>
        </w:rPr>
        <w:t>he preparation of</w:t>
      </w:r>
      <w:r w:rsidRPr="00C837DD">
        <w:rPr>
          <w:rFonts w:eastAsia="Calibri"/>
          <w:sz w:val="20"/>
          <w:szCs w:val="20"/>
        </w:rPr>
        <w:t xml:space="preserve"> the final report.</w:t>
      </w:r>
      <w:r w:rsidRPr="00C837DD">
        <w:rPr>
          <w:rStyle w:val="Refdenotaalpie"/>
          <w:rFonts w:eastAsia="Calibri"/>
          <w:sz w:val="20"/>
          <w:szCs w:val="20"/>
        </w:rPr>
        <w:footnoteReference w:id="161"/>
      </w:r>
      <w:r w:rsidRPr="00C837DD">
        <w:rPr>
          <w:rFonts w:eastAsia="Calibri"/>
          <w:sz w:val="20"/>
          <w:szCs w:val="20"/>
        </w:rPr>
        <w:t xml:space="preserve"> </w:t>
      </w:r>
    </w:p>
    <w:p w14:paraId="7533229B" w14:textId="77777777" w:rsidR="00F85D5F" w:rsidRPr="00C837DD" w:rsidRDefault="00F85D5F" w:rsidP="00F85D5F">
      <w:pPr>
        <w:pStyle w:val="Prrafodelista"/>
        <w:tabs>
          <w:tab w:val="left" w:pos="142"/>
        </w:tabs>
        <w:ind w:left="0"/>
        <w:rPr>
          <w:rFonts w:eastAsia="Calibri"/>
          <w:sz w:val="20"/>
          <w:szCs w:val="20"/>
        </w:rPr>
      </w:pPr>
    </w:p>
    <w:p w14:paraId="45C379FD" w14:textId="46E029F0"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 In the absence of news, on March of 2001, the </w:t>
      </w:r>
      <w:r w:rsidR="004E3A99" w:rsidRPr="00C837DD">
        <w:rPr>
          <w:rFonts w:eastAsia="Calibri"/>
          <w:sz w:val="20"/>
          <w:szCs w:val="20"/>
        </w:rPr>
        <w:t>Public Prosecutor’s Office</w:t>
      </w:r>
      <w:r w:rsidRPr="00C837DD">
        <w:rPr>
          <w:rFonts w:eastAsia="Calibri"/>
          <w:sz w:val="20"/>
          <w:szCs w:val="20"/>
        </w:rPr>
        <w:t xml:space="preserve"> </w:t>
      </w:r>
      <w:r w:rsidR="004E3A99" w:rsidRPr="00C837DD">
        <w:rPr>
          <w:rFonts w:eastAsia="Calibri"/>
          <w:sz w:val="20"/>
          <w:szCs w:val="20"/>
        </w:rPr>
        <w:t xml:space="preserve">again requested </w:t>
      </w:r>
      <w:r w:rsidR="00D43D4D" w:rsidRPr="00C837DD">
        <w:rPr>
          <w:rFonts w:eastAsia="Calibri"/>
          <w:sz w:val="20"/>
          <w:szCs w:val="20"/>
        </w:rPr>
        <w:t>that the police carry out certain procedures</w:t>
      </w:r>
      <w:r w:rsidRPr="00C837DD">
        <w:rPr>
          <w:rFonts w:eastAsia="Calibri"/>
          <w:sz w:val="20"/>
          <w:szCs w:val="20"/>
        </w:rPr>
        <w:t>.</w:t>
      </w:r>
      <w:r w:rsidRPr="00C837DD">
        <w:rPr>
          <w:rStyle w:val="Refdenotaalpie"/>
          <w:rFonts w:eastAsia="Calibri"/>
          <w:sz w:val="20"/>
          <w:szCs w:val="20"/>
        </w:rPr>
        <w:footnoteReference w:id="162"/>
      </w:r>
      <w:r w:rsidRPr="00C837DD">
        <w:rPr>
          <w:rFonts w:eastAsia="Calibri"/>
          <w:sz w:val="20"/>
          <w:szCs w:val="20"/>
        </w:rPr>
        <w:t xml:space="preserve"> On April 2, the Police Commissioner </w:t>
      </w:r>
      <w:r w:rsidR="00D43D4D" w:rsidRPr="00C837DD">
        <w:rPr>
          <w:rFonts w:eastAsia="Calibri"/>
          <w:sz w:val="20"/>
          <w:szCs w:val="20"/>
        </w:rPr>
        <w:lastRenderedPageBreak/>
        <w:t xml:space="preserve">indicated </w:t>
      </w:r>
      <w:r w:rsidRPr="00C837DD">
        <w:rPr>
          <w:rFonts w:eastAsia="Calibri"/>
          <w:sz w:val="20"/>
          <w:szCs w:val="20"/>
        </w:rPr>
        <w:t xml:space="preserve">that </w:t>
      </w:r>
      <w:r w:rsidR="004E3A99" w:rsidRPr="00C837DD">
        <w:rPr>
          <w:rFonts w:eastAsia="Calibri"/>
          <w:sz w:val="20"/>
          <w:szCs w:val="20"/>
        </w:rPr>
        <w:t xml:space="preserve">he had already </w:t>
      </w:r>
      <w:r w:rsidR="00D43D4D" w:rsidRPr="00C837DD">
        <w:rPr>
          <w:rFonts w:eastAsia="Calibri"/>
          <w:sz w:val="20"/>
          <w:szCs w:val="20"/>
        </w:rPr>
        <w:t xml:space="preserve">taken </w:t>
      </w:r>
      <w:r w:rsidR="004E3A99" w:rsidRPr="00C837DD">
        <w:rPr>
          <w:rFonts w:eastAsia="Calibri"/>
          <w:sz w:val="20"/>
          <w:szCs w:val="20"/>
        </w:rPr>
        <w:t xml:space="preserve">sufficient </w:t>
      </w:r>
      <w:r w:rsidR="00D43D4D" w:rsidRPr="00C837DD">
        <w:rPr>
          <w:rFonts w:eastAsia="Calibri"/>
          <w:sz w:val="20"/>
          <w:szCs w:val="20"/>
        </w:rPr>
        <w:t>steps</w:t>
      </w:r>
      <w:r w:rsidR="004E3A99" w:rsidRPr="00C837DD">
        <w:rPr>
          <w:rFonts w:eastAsia="Calibri"/>
          <w:sz w:val="20"/>
          <w:szCs w:val="20"/>
        </w:rPr>
        <w:t xml:space="preserve">, </w:t>
      </w:r>
      <w:r w:rsidRPr="00C837DD">
        <w:rPr>
          <w:rFonts w:eastAsia="Calibri"/>
          <w:sz w:val="20"/>
          <w:szCs w:val="20"/>
        </w:rPr>
        <w:t>expr</w:t>
      </w:r>
      <w:r w:rsidR="004E3A99" w:rsidRPr="00C837DD">
        <w:rPr>
          <w:rFonts w:eastAsia="Calibri"/>
          <w:sz w:val="20"/>
          <w:szCs w:val="20"/>
        </w:rPr>
        <w:t xml:space="preserve">essly stating </w:t>
      </w:r>
      <w:r w:rsidRPr="00C837DD">
        <w:rPr>
          <w:rFonts w:eastAsia="Calibri"/>
          <w:sz w:val="20"/>
          <w:szCs w:val="20"/>
        </w:rPr>
        <w:t xml:space="preserve">that </w:t>
      </w:r>
      <w:r w:rsidR="004E3A99" w:rsidRPr="00C837DD">
        <w:rPr>
          <w:rFonts w:eastAsia="Calibri"/>
          <w:sz w:val="20"/>
          <w:szCs w:val="20"/>
        </w:rPr>
        <w:t xml:space="preserve">he </w:t>
      </w:r>
      <w:r w:rsidR="00F11C66">
        <w:rPr>
          <w:rFonts w:eastAsia="Calibri"/>
          <w:sz w:val="20"/>
          <w:szCs w:val="20"/>
        </w:rPr>
        <w:t>c</w:t>
      </w:r>
      <w:r w:rsidR="004E3A99" w:rsidRPr="00C837DD">
        <w:rPr>
          <w:rFonts w:eastAsia="Calibri"/>
          <w:sz w:val="20"/>
          <w:szCs w:val="20"/>
        </w:rPr>
        <w:t xml:space="preserve">ould not carry out </w:t>
      </w:r>
      <w:r w:rsidRPr="00C837DD">
        <w:rPr>
          <w:rFonts w:eastAsia="Calibri"/>
          <w:sz w:val="20"/>
          <w:szCs w:val="20"/>
        </w:rPr>
        <w:t xml:space="preserve">all the </w:t>
      </w:r>
      <w:r w:rsidR="00D43D4D" w:rsidRPr="00C837DD">
        <w:rPr>
          <w:rFonts w:eastAsia="Calibri"/>
          <w:sz w:val="20"/>
          <w:szCs w:val="20"/>
        </w:rPr>
        <w:t xml:space="preserve">procedures </w:t>
      </w:r>
      <w:r w:rsidRPr="00C837DD">
        <w:rPr>
          <w:rFonts w:eastAsia="Calibri"/>
          <w:sz w:val="20"/>
          <w:szCs w:val="20"/>
        </w:rPr>
        <w:t xml:space="preserve">requested by the </w:t>
      </w:r>
      <w:r w:rsidR="004E3A99" w:rsidRPr="00C837DD">
        <w:rPr>
          <w:rFonts w:eastAsia="Calibri"/>
          <w:sz w:val="20"/>
          <w:szCs w:val="20"/>
        </w:rPr>
        <w:t>Public Prosecutor’s Office.</w:t>
      </w:r>
      <w:r w:rsidRPr="00C837DD">
        <w:rPr>
          <w:rStyle w:val="Refdenotaalpie"/>
          <w:rFonts w:eastAsia="Calibri"/>
          <w:sz w:val="20"/>
          <w:szCs w:val="20"/>
        </w:rPr>
        <w:footnoteReference w:id="163"/>
      </w:r>
      <w:r w:rsidRPr="00C837DD">
        <w:rPr>
          <w:rFonts w:eastAsia="Calibri"/>
          <w:sz w:val="20"/>
          <w:szCs w:val="20"/>
        </w:rPr>
        <w:t xml:space="preserve">Subsequently, in April 2001, the </w:t>
      </w:r>
      <w:r w:rsidR="004E3A99" w:rsidRPr="00C837DD">
        <w:rPr>
          <w:rFonts w:eastAsia="Calibri"/>
          <w:sz w:val="20"/>
          <w:szCs w:val="20"/>
        </w:rPr>
        <w:t>Public Prosecutor’s Office</w:t>
      </w:r>
      <w:r w:rsidRPr="00C837DD">
        <w:rPr>
          <w:rFonts w:eastAsia="Calibri"/>
          <w:sz w:val="20"/>
          <w:szCs w:val="20"/>
        </w:rPr>
        <w:t xml:space="preserve"> </w:t>
      </w:r>
      <w:r w:rsidR="004E3A99" w:rsidRPr="00C837DD">
        <w:rPr>
          <w:rFonts w:eastAsia="Calibri"/>
          <w:sz w:val="20"/>
          <w:szCs w:val="20"/>
        </w:rPr>
        <w:t>left a note in the investigation file to the</w:t>
      </w:r>
      <w:r w:rsidRPr="00C837DD">
        <w:rPr>
          <w:rFonts w:eastAsia="Calibri"/>
          <w:sz w:val="20"/>
          <w:szCs w:val="20"/>
        </w:rPr>
        <w:t xml:space="preserve"> Commissioner in charge of the case, warning him that </w:t>
      </w:r>
      <w:r w:rsidR="004E3A99" w:rsidRPr="00C837DD">
        <w:rPr>
          <w:rFonts w:eastAsia="Calibri"/>
          <w:sz w:val="20"/>
          <w:szCs w:val="20"/>
        </w:rPr>
        <w:t xml:space="preserve">he could </w:t>
      </w:r>
      <w:r w:rsidR="00976EF0" w:rsidRPr="00C837DD">
        <w:rPr>
          <w:rFonts w:eastAsia="Calibri"/>
          <w:sz w:val="20"/>
          <w:szCs w:val="20"/>
        </w:rPr>
        <w:t xml:space="preserve">be committing </w:t>
      </w:r>
      <w:r w:rsidR="00C2131E" w:rsidRPr="00C837DD">
        <w:rPr>
          <w:rFonts w:eastAsia="Calibri"/>
          <w:sz w:val="20"/>
          <w:szCs w:val="20"/>
        </w:rPr>
        <w:t xml:space="preserve">the </w:t>
      </w:r>
      <w:r w:rsidRPr="00C837DD">
        <w:rPr>
          <w:rFonts w:eastAsia="Calibri"/>
          <w:sz w:val="20"/>
          <w:szCs w:val="20"/>
        </w:rPr>
        <w:t xml:space="preserve">crime of </w:t>
      </w:r>
      <w:r w:rsidR="004E3A99" w:rsidRPr="00C837DD">
        <w:rPr>
          <w:rFonts w:eastAsia="Calibri"/>
          <w:sz w:val="20"/>
          <w:szCs w:val="20"/>
        </w:rPr>
        <w:t>disobedience if he did not fully compl</w:t>
      </w:r>
      <w:r w:rsidR="00C2131E" w:rsidRPr="00C837DD">
        <w:rPr>
          <w:rFonts w:eastAsia="Calibri"/>
          <w:sz w:val="20"/>
          <w:szCs w:val="20"/>
        </w:rPr>
        <w:t>y</w:t>
      </w:r>
      <w:r w:rsidRPr="00C837DD">
        <w:rPr>
          <w:rFonts w:eastAsia="Calibri"/>
          <w:sz w:val="20"/>
          <w:szCs w:val="20"/>
        </w:rPr>
        <w:t xml:space="preserve">, </w:t>
      </w:r>
      <w:r w:rsidR="004E3A99" w:rsidRPr="00C837DD">
        <w:rPr>
          <w:rFonts w:eastAsia="Calibri"/>
          <w:sz w:val="20"/>
          <w:szCs w:val="20"/>
        </w:rPr>
        <w:t xml:space="preserve">within </w:t>
      </w:r>
      <w:r w:rsidRPr="00C837DD">
        <w:rPr>
          <w:rFonts w:eastAsia="Calibri"/>
          <w:sz w:val="20"/>
          <w:szCs w:val="20"/>
        </w:rPr>
        <w:t xml:space="preserve">30 days, </w:t>
      </w:r>
      <w:r w:rsidR="00C2131E" w:rsidRPr="00C837DD">
        <w:rPr>
          <w:rFonts w:eastAsia="Calibri"/>
          <w:sz w:val="20"/>
          <w:szCs w:val="20"/>
        </w:rPr>
        <w:t xml:space="preserve">with </w:t>
      </w:r>
      <w:r w:rsidRPr="00C837DD">
        <w:rPr>
          <w:rFonts w:eastAsia="Calibri"/>
          <w:sz w:val="20"/>
          <w:szCs w:val="20"/>
        </w:rPr>
        <w:t xml:space="preserve">the </w:t>
      </w:r>
      <w:r w:rsidR="00C2131E" w:rsidRPr="00C837DD">
        <w:rPr>
          <w:rFonts w:eastAsia="Calibri"/>
          <w:sz w:val="20"/>
          <w:szCs w:val="20"/>
        </w:rPr>
        <w:t xml:space="preserve">procedures </w:t>
      </w:r>
      <w:r w:rsidRPr="00C837DD">
        <w:rPr>
          <w:rFonts w:eastAsia="Calibri"/>
          <w:sz w:val="20"/>
          <w:szCs w:val="20"/>
        </w:rPr>
        <w:t>previ</w:t>
      </w:r>
      <w:r w:rsidR="004E3A99" w:rsidRPr="00C837DD">
        <w:rPr>
          <w:rFonts w:eastAsia="Calibri"/>
          <w:sz w:val="20"/>
          <w:szCs w:val="20"/>
        </w:rPr>
        <w:t>ously requ</w:t>
      </w:r>
      <w:r w:rsidR="00C2131E" w:rsidRPr="00C837DD">
        <w:rPr>
          <w:rFonts w:eastAsia="Calibri"/>
          <w:sz w:val="20"/>
          <w:szCs w:val="20"/>
        </w:rPr>
        <w:t>ested</w:t>
      </w:r>
      <w:r w:rsidR="004E3A99" w:rsidRPr="00C837DD">
        <w:rPr>
          <w:rFonts w:eastAsia="Calibri"/>
          <w:sz w:val="20"/>
          <w:szCs w:val="20"/>
        </w:rPr>
        <w:t>.</w:t>
      </w:r>
      <w:r w:rsidRPr="00C837DD">
        <w:rPr>
          <w:rStyle w:val="Refdenotaalpie"/>
          <w:rFonts w:eastAsia="Calibri"/>
          <w:sz w:val="20"/>
          <w:szCs w:val="20"/>
        </w:rPr>
        <w:footnoteReference w:id="164"/>
      </w:r>
      <w:r w:rsidRPr="00C837DD">
        <w:rPr>
          <w:rFonts w:eastAsia="Calibri"/>
          <w:sz w:val="20"/>
          <w:szCs w:val="20"/>
        </w:rPr>
        <w:t xml:space="preserve"> In June</w:t>
      </w:r>
      <w:r w:rsidRPr="00C837DD">
        <w:rPr>
          <w:rStyle w:val="Refdenotaalpie"/>
          <w:rFonts w:eastAsia="Calibri"/>
          <w:sz w:val="20"/>
          <w:szCs w:val="20"/>
        </w:rPr>
        <w:footnoteReference w:id="165"/>
      </w:r>
      <w:r w:rsidRPr="00C837DD">
        <w:rPr>
          <w:rFonts w:eastAsia="Calibri"/>
          <w:sz w:val="20"/>
          <w:szCs w:val="20"/>
        </w:rPr>
        <w:t xml:space="preserve"> and August</w:t>
      </w:r>
      <w:r w:rsidRPr="00C837DD">
        <w:rPr>
          <w:rStyle w:val="Refdenotaalpie"/>
          <w:rFonts w:eastAsia="Calibri"/>
          <w:sz w:val="20"/>
          <w:szCs w:val="20"/>
        </w:rPr>
        <w:footnoteReference w:id="166"/>
      </w:r>
      <w:r w:rsidRPr="00C837DD">
        <w:rPr>
          <w:rFonts w:eastAsia="Calibri"/>
          <w:sz w:val="20"/>
          <w:szCs w:val="20"/>
        </w:rPr>
        <w:t xml:space="preserve"> 2001, the </w:t>
      </w:r>
      <w:r w:rsidR="004E3A99" w:rsidRPr="00C837DD">
        <w:rPr>
          <w:rFonts w:eastAsia="Calibri"/>
          <w:sz w:val="20"/>
          <w:szCs w:val="20"/>
        </w:rPr>
        <w:t>Public Prosecutor’s Office</w:t>
      </w:r>
      <w:r w:rsidRPr="00C837DD">
        <w:rPr>
          <w:rFonts w:eastAsia="Calibri"/>
          <w:sz w:val="20"/>
          <w:szCs w:val="20"/>
        </w:rPr>
        <w:t xml:space="preserve"> again </w:t>
      </w:r>
      <w:r w:rsidR="004E3A99" w:rsidRPr="00C837DD">
        <w:rPr>
          <w:rFonts w:eastAsia="Calibri"/>
          <w:sz w:val="20"/>
          <w:szCs w:val="20"/>
        </w:rPr>
        <w:t>asked t</w:t>
      </w:r>
      <w:r w:rsidRPr="00C837DD">
        <w:rPr>
          <w:rFonts w:eastAsia="Calibri"/>
          <w:sz w:val="20"/>
          <w:szCs w:val="20"/>
        </w:rPr>
        <w:t xml:space="preserve">he police authority to comply </w:t>
      </w:r>
      <w:r w:rsidR="004E3A99" w:rsidRPr="00C837DD">
        <w:rPr>
          <w:rFonts w:eastAsia="Calibri"/>
          <w:sz w:val="20"/>
          <w:szCs w:val="20"/>
        </w:rPr>
        <w:t xml:space="preserve">fully </w:t>
      </w:r>
      <w:r w:rsidRPr="00C837DD">
        <w:rPr>
          <w:rFonts w:eastAsia="Calibri"/>
          <w:sz w:val="20"/>
          <w:szCs w:val="20"/>
        </w:rPr>
        <w:t xml:space="preserve">with the inquiries </w:t>
      </w:r>
      <w:r w:rsidR="00DD4006" w:rsidRPr="00C837DD">
        <w:rPr>
          <w:rFonts w:eastAsia="Calibri"/>
          <w:sz w:val="20"/>
          <w:szCs w:val="20"/>
        </w:rPr>
        <w:t xml:space="preserve">ordered </w:t>
      </w:r>
      <w:r w:rsidRPr="00C837DD">
        <w:rPr>
          <w:rFonts w:eastAsia="Calibri"/>
          <w:sz w:val="20"/>
          <w:szCs w:val="20"/>
        </w:rPr>
        <w:t xml:space="preserve">previously. </w:t>
      </w:r>
    </w:p>
    <w:p w14:paraId="772BB0A7" w14:textId="77777777" w:rsidR="00F85D5F" w:rsidRPr="00C837DD" w:rsidRDefault="00F85D5F" w:rsidP="00F85D5F">
      <w:pPr>
        <w:pStyle w:val="Prrafodelista"/>
        <w:tabs>
          <w:tab w:val="left" w:pos="142"/>
        </w:tabs>
        <w:ind w:left="0"/>
        <w:rPr>
          <w:rFonts w:eastAsia="Calibri"/>
          <w:sz w:val="20"/>
          <w:szCs w:val="20"/>
        </w:rPr>
      </w:pPr>
    </w:p>
    <w:p w14:paraId="6224FD63" w14:textId="09AD4688"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In September of 2001, the Commissioner in charge of the investigations reported that, </w:t>
      </w:r>
      <w:r w:rsidR="00976EF0" w:rsidRPr="00C837DD">
        <w:rPr>
          <w:rFonts w:eastAsia="Calibri"/>
          <w:sz w:val="20"/>
          <w:szCs w:val="20"/>
        </w:rPr>
        <w:t xml:space="preserve">due </w:t>
      </w:r>
      <w:r w:rsidRPr="00C837DD">
        <w:rPr>
          <w:rFonts w:eastAsia="Calibri"/>
          <w:sz w:val="20"/>
          <w:szCs w:val="20"/>
        </w:rPr>
        <w:t xml:space="preserve">to </w:t>
      </w:r>
      <w:r w:rsidR="00976EF0" w:rsidRPr="00C837DD">
        <w:rPr>
          <w:rFonts w:eastAsia="Calibri"/>
          <w:sz w:val="20"/>
          <w:szCs w:val="20"/>
        </w:rPr>
        <w:t xml:space="preserve">the backlog </w:t>
      </w:r>
      <w:r w:rsidRPr="00C837DD">
        <w:rPr>
          <w:rFonts w:eastAsia="Calibri"/>
          <w:sz w:val="20"/>
          <w:szCs w:val="20"/>
        </w:rPr>
        <w:t xml:space="preserve">of work, </w:t>
      </w:r>
      <w:r w:rsidR="00DD4006" w:rsidRPr="00C837DD">
        <w:rPr>
          <w:rFonts w:eastAsia="Calibri"/>
          <w:sz w:val="20"/>
          <w:szCs w:val="20"/>
        </w:rPr>
        <w:t xml:space="preserve">he had not completed </w:t>
      </w:r>
      <w:r w:rsidRPr="00C837DD">
        <w:rPr>
          <w:rFonts w:eastAsia="Calibri"/>
          <w:sz w:val="20"/>
          <w:szCs w:val="20"/>
        </w:rPr>
        <w:t xml:space="preserve">the </w:t>
      </w:r>
      <w:r w:rsidR="00976EF0" w:rsidRPr="00C837DD">
        <w:rPr>
          <w:rFonts w:eastAsia="Calibri"/>
          <w:sz w:val="20"/>
          <w:szCs w:val="20"/>
        </w:rPr>
        <w:t xml:space="preserve">procedures </w:t>
      </w:r>
      <w:r w:rsidRPr="00C837DD">
        <w:rPr>
          <w:rFonts w:eastAsia="Calibri"/>
          <w:sz w:val="20"/>
          <w:szCs w:val="20"/>
        </w:rPr>
        <w:t>requ</w:t>
      </w:r>
      <w:r w:rsidR="004E3A99" w:rsidRPr="00C837DD">
        <w:rPr>
          <w:rFonts w:eastAsia="Calibri"/>
          <w:sz w:val="20"/>
          <w:szCs w:val="20"/>
        </w:rPr>
        <w:t xml:space="preserve">ired </w:t>
      </w:r>
      <w:r w:rsidRPr="00C837DD">
        <w:rPr>
          <w:rFonts w:eastAsia="Calibri"/>
          <w:sz w:val="20"/>
          <w:szCs w:val="20"/>
        </w:rPr>
        <w:t xml:space="preserve">by the </w:t>
      </w:r>
      <w:r w:rsidR="004E3A99" w:rsidRPr="00C837DD">
        <w:rPr>
          <w:rFonts w:eastAsia="Calibri"/>
          <w:sz w:val="20"/>
          <w:szCs w:val="20"/>
        </w:rPr>
        <w:t>Public Prosecutor’s Office.</w:t>
      </w:r>
      <w:r w:rsidRPr="00C837DD">
        <w:rPr>
          <w:rStyle w:val="Refdenotaalpie"/>
          <w:rFonts w:eastAsia="Calibri"/>
          <w:sz w:val="20"/>
          <w:szCs w:val="20"/>
        </w:rPr>
        <w:footnoteReference w:id="167"/>
      </w:r>
      <w:r w:rsidRPr="00C837DD">
        <w:rPr>
          <w:rFonts w:eastAsia="Calibri"/>
          <w:sz w:val="20"/>
          <w:szCs w:val="20"/>
        </w:rPr>
        <w:t xml:space="preserve"> Thus, in December 2001, the </w:t>
      </w:r>
      <w:r w:rsidR="004E3A99" w:rsidRPr="00C837DD">
        <w:rPr>
          <w:rFonts w:eastAsia="Calibri"/>
          <w:sz w:val="20"/>
          <w:szCs w:val="20"/>
        </w:rPr>
        <w:t>Public Prosecutor’s Office</w:t>
      </w:r>
      <w:r w:rsidRPr="00C837DD">
        <w:rPr>
          <w:rFonts w:eastAsia="Calibri"/>
          <w:sz w:val="20"/>
          <w:szCs w:val="20"/>
        </w:rPr>
        <w:t xml:space="preserve"> again requested the </w:t>
      </w:r>
      <w:r w:rsidR="004E3A99" w:rsidRPr="00C837DD">
        <w:rPr>
          <w:rFonts w:eastAsia="Calibri"/>
          <w:sz w:val="20"/>
          <w:szCs w:val="20"/>
        </w:rPr>
        <w:t xml:space="preserve">aforementioned </w:t>
      </w:r>
      <w:r w:rsidR="00976EF0" w:rsidRPr="00C837DD">
        <w:rPr>
          <w:rFonts w:eastAsia="Calibri"/>
          <w:sz w:val="20"/>
          <w:szCs w:val="20"/>
        </w:rPr>
        <w:t>procedures</w:t>
      </w:r>
      <w:r w:rsidR="004E3A99" w:rsidRPr="00C837DD">
        <w:rPr>
          <w:rFonts w:eastAsia="Calibri"/>
          <w:sz w:val="20"/>
          <w:szCs w:val="20"/>
        </w:rPr>
        <w:t>.</w:t>
      </w:r>
      <w:r w:rsidRPr="00C837DD">
        <w:rPr>
          <w:rStyle w:val="Refdenotaalpie"/>
          <w:rFonts w:eastAsia="Calibri"/>
          <w:sz w:val="20"/>
          <w:szCs w:val="20"/>
        </w:rPr>
        <w:footnoteReference w:id="168"/>
      </w:r>
      <w:r w:rsidRPr="00C837DD">
        <w:rPr>
          <w:rFonts w:eastAsia="Calibri"/>
          <w:sz w:val="20"/>
          <w:szCs w:val="20"/>
        </w:rPr>
        <w:t xml:space="preserve"> </w:t>
      </w:r>
      <w:r w:rsidR="003C5A07">
        <w:rPr>
          <w:rFonts w:eastAsia="Calibri"/>
          <w:sz w:val="20"/>
          <w:szCs w:val="20"/>
        </w:rPr>
        <w:t>I</w:t>
      </w:r>
      <w:r w:rsidRPr="00C837DD">
        <w:rPr>
          <w:rFonts w:eastAsia="Calibri"/>
          <w:sz w:val="20"/>
          <w:szCs w:val="20"/>
        </w:rPr>
        <w:t xml:space="preserve">n March 2002, the Commissioner </w:t>
      </w:r>
      <w:r w:rsidR="003C5A07">
        <w:rPr>
          <w:rFonts w:eastAsia="Calibri"/>
          <w:sz w:val="20"/>
          <w:szCs w:val="20"/>
        </w:rPr>
        <w:t xml:space="preserve">again </w:t>
      </w:r>
      <w:r w:rsidRPr="00C837DD">
        <w:rPr>
          <w:rFonts w:eastAsia="Calibri"/>
          <w:sz w:val="20"/>
          <w:szCs w:val="20"/>
        </w:rPr>
        <w:t xml:space="preserve">reported that it was not possible to </w:t>
      </w:r>
      <w:r w:rsidR="00976EF0" w:rsidRPr="00C837DD">
        <w:rPr>
          <w:rFonts w:eastAsia="Calibri"/>
          <w:sz w:val="20"/>
          <w:szCs w:val="20"/>
        </w:rPr>
        <w:t xml:space="preserve">proceed </w:t>
      </w:r>
      <w:r w:rsidR="00DD4006" w:rsidRPr="00C837DD">
        <w:rPr>
          <w:rFonts w:eastAsia="Calibri"/>
          <w:sz w:val="20"/>
          <w:szCs w:val="20"/>
        </w:rPr>
        <w:t xml:space="preserve">with the </w:t>
      </w:r>
      <w:r w:rsidR="00976EF0" w:rsidRPr="00C837DD">
        <w:rPr>
          <w:rFonts w:eastAsia="Calibri"/>
          <w:sz w:val="20"/>
          <w:szCs w:val="20"/>
        </w:rPr>
        <w:t xml:space="preserve">actions </w:t>
      </w:r>
      <w:r w:rsidRPr="00C837DD">
        <w:rPr>
          <w:rFonts w:eastAsia="Calibri"/>
          <w:sz w:val="20"/>
          <w:szCs w:val="20"/>
        </w:rPr>
        <w:t xml:space="preserve">required due to the </w:t>
      </w:r>
      <w:r w:rsidR="00976EF0" w:rsidRPr="00C837DD">
        <w:rPr>
          <w:rFonts w:eastAsia="Calibri"/>
          <w:sz w:val="20"/>
          <w:szCs w:val="20"/>
        </w:rPr>
        <w:t xml:space="preserve">backlog </w:t>
      </w:r>
      <w:r w:rsidRPr="00C837DD">
        <w:rPr>
          <w:rFonts w:eastAsia="Calibri"/>
          <w:sz w:val="20"/>
          <w:szCs w:val="20"/>
        </w:rPr>
        <w:t>of work caused by lack of personnel and the lack of vehicles in working order.</w:t>
      </w:r>
      <w:r w:rsidRPr="00C837DD">
        <w:rPr>
          <w:rStyle w:val="Refdenotaalpie"/>
          <w:rFonts w:eastAsia="Calibri"/>
          <w:sz w:val="20"/>
          <w:szCs w:val="20"/>
        </w:rPr>
        <w:footnoteReference w:id="169"/>
      </w:r>
      <w:r w:rsidRPr="00C837DD">
        <w:rPr>
          <w:rFonts w:eastAsia="Calibri"/>
          <w:sz w:val="20"/>
          <w:szCs w:val="20"/>
        </w:rPr>
        <w:t xml:space="preserve"> Likewise, in December 2002, the Commissioner </w:t>
      </w:r>
      <w:r w:rsidR="00DD4006" w:rsidRPr="00C837DD">
        <w:rPr>
          <w:rFonts w:eastAsia="Calibri"/>
          <w:sz w:val="20"/>
          <w:szCs w:val="20"/>
        </w:rPr>
        <w:t>stated that he had been unable to com</w:t>
      </w:r>
      <w:r w:rsidR="001A2A97" w:rsidRPr="00C837DD">
        <w:rPr>
          <w:rFonts w:eastAsia="Calibri"/>
          <w:sz w:val="20"/>
          <w:szCs w:val="20"/>
        </w:rPr>
        <w:t>pl</w:t>
      </w:r>
      <w:r w:rsidR="001C0547" w:rsidRPr="00C837DD">
        <w:rPr>
          <w:rFonts w:eastAsia="Calibri"/>
          <w:sz w:val="20"/>
          <w:szCs w:val="20"/>
        </w:rPr>
        <w:t xml:space="preserve">ete the procedures </w:t>
      </w:r>
      <w:r w:rsidRPr="00C837DD">
        <w:rPr>
          <w:rFonts w:eastAsia="Calibri"/>
          <w:sz w:val="20"/>
          <w:szCs w:val="20"/>
        </w:rPr>
        <w:t>order</w:t>
      </w:r>
      <w:r w:rsidR="004E3A99" w:rsidRPr="00C837DD">
        <w:rPr>
          <w:rFonts w:eastAsia="Calibri"/>
          <w:sz w:val="20"/>
          <w:szCs w:val="20"/>
        </w:rPr>
        <w:t>ed.</w:t>
      </w:r>
      <w:r w:rsidRPr="00C837DD">
        <w:rPr>
          <w:rStyle w:val="Refdenotaalpie"/>
          <w:rFonts w:eastAsia="Calibri"/>
          <w:sz w:val="20"/>
          <w:szCs w:val="20"/>
        </w:rPr>
        <w:footnoteReference w:id="170"/>
      </w:r>
    </w:p>
    <w:p w14:paraId="4019AF95" w14:textId="77777777" w:rsidR="00F85D5F" w:rsidRPr="00C837DD" w:rsidRDefault="00F85D5F" w:rsidP="00F85D5F">
      <w:pPr>
        <w:pStyle w:val="Prrafodelista"/>
        <w:tabs>
          <w:tab w:val="left" w:pos="142"/>
        </w:tabs>
        <w:ind w:left="0"/>
        <w:rPr>
          <w:rFonts w:eastAsia="Calibri"/>
          <w:sz w:val="20"/>
          <w:szCs w:val="20"/>
        </w:rPr>
      </w:pPr>
    </w:p>
    <w:p w14:paraId="3471C132" w14:textId="3D2734F0" w:rsidR="00F85D5F" w:rsidRPr="00C837DD" w:rsidRDefault="00F85D5F" w:rsidP="00F85D5F">
      <w:pPr>
        <w:pStyle w:val="Prrafodelista"/>
        <w:numPr>
          <w:ilvl w:val="0"/>
          <w:numId w:val="6"/>
        </w:numPr>
        <w:tabs>
          <w:tab w:val="left" w:pos="142"/>
        </w:tabs>
        <w:ind w:left="0" w:firstLine="0"/>
        <w:rPr>
          <w:sz w:val="20"/>
          <w:szCs w:val="20"/>
        </w:rPr>
      </w:pPr>
      <w:r w:rsidRPr="00C837DD">
        <w:rPr>
          <w:rFonts w:eastAsia="Calibri"/>
          <w:sz w:val="20"/>
          <w:szCs w:val="20"/>
        </w:rPr>
        <w:t xml:space="preserve">In March 2003, the </w:t>
      </w:r>
      <w:r w:rsidR="004E3A99" w:rsidRPr="00C837DD">
        <w:rPr>
          <w:rFonts w:eastAsia="Calibri"/>
          <w:sz w:val="20"/>
          <w:szCs w:val="20"/>
        </w:rPr>
        <w:t>Public Prosecutor’s Office</w:t>
      </w:r>
      <w:r w:rsidR="00DD4006" w:rsidRPr="00C837DD">
        <w:rPr>
          <w:rFonts w:eastAsia="Calibri"/>
          <w:sz w:val="20"/>
          <w:szCs w:val="20"/>
        </w:rPr>
        <w:t xml:space="preserve"> recommended the dismissal </w:t>
      </w:r>
      <w:r w:rsidRPr="00C837DD">
        <w:rPr>
          <w:rFonts w:eastAsia="Calibri"/>
          <w:sz w:val="20"/>
          <w:szCs w:val="20"/>
        </w:rPr>
        <w:t xml:space="preserve">of the </w:t>
      </w:r>
      <w:r w:rsidR="00DD4006" w:rsidRPr="00C837DD">
        <w:rPr>
          <w:rFonts w:eastAsia="Calibri"/>
          <w:sz w:val="20"/>
          <w:szCs w:val="20"/>
        </w:rPr>
        <w:t>case</w:t>
      </w:r>
      <w:r w:rsidRPr="00C837DD">
        <w:rPr>
          <w:rFonts w:eastAsia="Calibri"/>
          <w:sz w:val="20"/>
          <w:szCs w:val="20"/>
        </w:rPr>
        <w:t xml:space="preserve"> due to </w:t>
      </w:r>
      <w:r w:rsidR="001C0547" w:rsidRPr="00C837DD">
        <w:rPr>
          <w:rFonts w:eastAsia="Calibri"/>
          <w:sz w:val="20"/>
          <w:szCs w:val="20"/>
        </w:rPr>
        <w:t xml:space="preserve">insufficient </w:t>
      </w:r>
      <w:r w:rsidRPr="00C837DD">
        <w:rPr>
          <w:rFonts w:eastAsia="Calibri"/>
          <w:sz w:val="20"/>
          <w:szCs w:val="20"/>
        </w:rPr>
        <w:t>evidence,</w:t>
      </w:r>
      <w:r w:rsidRPr="00C837DD">
        <w:rPr>
          <w:rStyle w:val="Refdenotaalpie"/>
          <w:rFonts w:eastAsia="Calibri"/>
          <w:sz w:val="20"/>
          <w:szCs w:val="20"/>
        </w:rPr>
        <w:footnoteReference w:id="171"/>
      </w:r>
      <w:r w:rsidRPr="00C837DD">
        <w:rPr>
          <w:rFonts w:eastAsia="Calibri"/>
          <w:sz w:val="20"/>
          <w:szCs w:val="20"/>
        </w:rPr>
        <w:t xml:space="preserve"> which was ordered by the </w:t>
      </w:r>
      <w:r w:rsidR="001C0547" w:rsidRPr="00C837DD">
        <w:rPr>
          <w:rFonts w:eastAsia="Calibri"/>
          <w:sz w:val="20"/>
          <w:szCs w:val="20"/>
        </w:rPr>
        <w:t>j</w:t>
      </w:r>
      <w:r w:rsidRPr="00C837DD">
        <w:rPr>
          <w:rFonts w:eastAsia="Calibri"/>
          <w:sz w:val="20"/>
          <w:szCs w:val="20"/>
        </w:rPr>
        <w:t>udge.</w:t>
      </w:r>
      <w:r w:rsidRPr="00C837DD">
        <w:rPr>
          <w:rStyle w:val="Refdenotaalpie"/>
          <w:rFonts w:eastAsia="Calibri"/>
          <w:sz w:val="20"/>
          <w:szCs w:val="20"/>
        </w:rPr>
        <w:footnoteReference w:id="172"/>
      </w:r>
    </w:p>
    <w:p w14:paraId="0B0D5B62" w14:textId="77777777" w:rsidR="00F85D5F" w:rsidRPr="00C837DD" w:rsidRDefault="00F85D5F" w:rsidP="00F85D5F">
      <w:pPr>
        <w:pStyle w:val="Prrafodelista"/>
        <w:tabs>
          <w:tab w:val="left" w:pos="142"/>
        </w:tabs>
        <w:ind w:left="0"/>
        <w:rPr>
          <w:sz w:val="20"/>
          <w:szCs w:val="20"/>
        </w:rPr>
      </w:pPr>
    </w:p>
    <w:p w14:paraId="1A776544" w14:textId="77777777" w:rsidR="00F85D5F" w:rsidRPr="00C837DD" w:rsidRDefault="00F85D5F" w:rsidP="00F85D5F">
      <w:pPr>
        <w:pStyle w:val="Ttulo1"/>
        <w:rPr>
          <w:w w:val="100"/>
          <w:lang w:val="en-US"/>
        </w:rPr>
      </w:pPr>
      <w:bookmarkStart w:id="64" w:name="_Toc85001883"/>
      <w:r w:rsidRPr="00C837DD">
        <w:rPr>
          <w:w w:val="100"/>
          <w:lang w:val="en-US"/>
        </w:rPr>
        <w:t>VIII</w:t>
      </w:r>
      <w:r w:rsidRPr="00C837DD">
        <w:rPr>
          <w:w w:val="100"/>
          <w:lang w:val="en-US"/>
        </w:rPr>
        <w:br/>
        <w:t xml:space="preserve">MERITS </w:t>
      </w:r>
      <w:bookmarkEnd w:id="64"/>
    </w:p>
    <w:p w14:paraId="7174B10D" w14:textId="77777777" w:rsidR="00F85D5F" w:rsidRPr="00C837DD" w:rsidRDefault="00F85D5F" w:rsidP="00F85D5F">
      <w:pPr>
        <w:pStyle w:val="Textoindependiente"/>
        <w:tabs>
          <w:tab w:val="left" w:pos="142"/>
        </w:tabs>
        <w:rPr>
          <w:b/>
        </w:rPr>
      </w:pPr>
      <w:bookmarkStart w:id="65" w:name="VIII_FONDO"/>
      <w:bookmarkStart w:id="66" w:name="_bookmark100"/>
      <w:bookmarkEnd w:id="65"/>
      <w:bookmarkEnd w:id="66"/>
    </w:p>
    <w:p w14:paraId="24B92747" w14:textId="43ADD09C" w:rsidR="00F85D5F" w:rsidRPr="00C837DD" w:rsidRDefault="00F85D5F" w:rsidP="00F85D5F">
      <w:pPr>
        <w:pStyle w:val="Prrafodelista"/>
        <w:numPr>
          <w:ilvl w:val="0"/>
          <w:numId w:val="6"/>
        </w:numPr>
        <w:tabs>
          <w:tab w:val="left" w:pos="142"/>
        </w:tabs>
        <w:ind w:left="0" w:firstLine="0"/>
        <w:rPr>
          <w:sz w:val="20"/>
          <w:szCs w:val="20"/>
          <w:lang w:eastAsia="es-ES"/>
        </w:rPr>
      </w:pPr>
      <w:r w:rsidRPr="00C837DD">
        <w:rPr>
          <w:sz w:val="20"/>
          <w:szCs w:val="20"/>
        </w:rPr>
        <w:t xml:space="preserve">The case </w:t>
      </w:r>
      <w:r w:rsidRPr="00C837DD">
        <w:rPr>
          <w:i/>
          <w:sz w:val="20"/>
          <w:szCs w:val="20"/>
        </w:rPr>
        <w:t>sub judice</w:t>
      </w:r>
      <w:r w:rsidRPr="00C837DD">
        <w:rPr>
          <w:sz w:val="20"/>
          <w:szCs w:val="20"/>
        </w:rPr>
        <w:t xml:space="preserve"> </w:t>
      </w:r>
      <w:r w:rsidR="003C5A07">
        <w:rPr>
          <w:sz w:val="20"/>
          <w:szCs w:val="20"/>
        </w:rPr>
        <w:t xml:space="preserve">concerns </w:t>
      </w:r>
      <w:r w:rsidRPr="00C837DD">
        <w:rPr>
          <w:sz w:val="20"/>
          <w:szCs w:val="20"/>
        </w:rPr>
        <w:t xml:space="preserve">the murder of </w:t>
      </w:r>
      <w:r w:rsidR="00B8009F" w:rsidRPr="00C837DD">
        <w:rPr>
          <w:sz w:val="20"/>
          <w:szCs w:val="20"/>
        </w:rPr>
        <w:t>Márcia</w:t>
      </w:r>
      <w:r w:rsidRPr="00C837DD">
        <w:rPr>
          <w:sz w:val="20"/>
          <w:szCs w:val="20"/>
        </w:rPr>
        <w:t xml:space="preserve"> Barbosa de Souza, </w:t>
      </w:r>
      <w:r w:rsidR="00DD4006" w:rsidRPr="00C837DD">
        <w:rPr>
          <w:sz w:val="20"/>
          <w:szCs w:val="20"/>
        </w:rPr>
        <w:t xml:space="preserve">of which </w:t>
      </w:r>
      <w:r w:rsidRPr="00C837DD">
        <w:rPr>
          <w:sz w:val="20"/>
          <w:szCs w:val="20"/>
        </w:rPr>
        <w:t>the then state deputy Aércio Pereira de Lima</w:t>
      </w:r>
      <w:r w:rsidR="00DD4006" w:rsidRPr="00C837DD">
        <w:rPr>
          <w:sz w:val="20"/>
          <w:szCs w:val="20"/>
        </w:rPr>
        <w:t xml:space="preserve"> was accused</w:t>
      </w:r>
      <w:r w:rsidRPr="00C837DD">
        <w:rPr>
          <w:sz w:val="20"/>
          <w:szCs w:val="20"/>
        </w:rPr>
        <w:t xml:space="preserve">, and the alleged international responsibility of Brazil for the violation </w:t>
      </w:r>
      <w:r w:rsidR="003C5A07">
        <w:rPr>
          <w:sz w:val="20"/>
          <w:szCs w:val="20"/>
        </w:rPr>
        <w:t>of</w:t>
      </w:r>
      <w:r w:rsidRPr="00C837DD">
        <w:rPr>
          <w:sz w:val="20"/>
          <w:szCs w:val="20"/>
        </w:rPr>
        <w:t xml:space="preserve"> the right of access to justice of the mother and father of </w:t>
      </w:r>
      <w:r w:rsidR="00B8009F" w:rsidRPr="00C837DD">
        <w:rPr>
          <w:sz w:val="20"/>
          <w:szCs w:val="20"/>
        </w:rPr>
        <w:t>Márcia</w:t>
      </w:r>
      <w:r w:rsidRPr="00C837DD">
        <w:rPr>
          <w:sz w:val="20"/>
          <w:szCs w:val="20"/>
        </w:rPr>
        <w:t xml:space="preserve"> Barbosa de Souza, as well as the obligation to in</w:t>
      </w:r>
      <w:r w:rsidR="00DD4006" w:rsidRPr="00C837DD">
        <w:rPr>
          <w:sz w:val="20"/>
          <w:szCs w:val="20"/>
        </w:rPr>
        <w:t>vestigate th</w:t>
      </w:r>
      <w:r w:rsidR="00FC2E44" w:rsidRPr="00C837DD">
        <w:rPr>
          <w:sz w:val="20"/>
          <w:szCs w:val="20"/>
        </w:rPr>
        <w:t xml:space="preserve">is </w:t>
      </w:r>
      <w:r w:rsidR="00DD4006" w:rsidRPr="00C837DD">
        <w:rPr>
          <w:sz w:val="20"/>
          <w:szCs w:val="20"/>
        </w:rPr>
        <w:t xml:space="preserve">crime with the </w:t>
      </w:r>
      <w:r w:rsidR="00FC2E44" w:rsidRPr="00C837DD">
        <w:rPr>
          <w:sz w:val="20"/>
          <w:szCs w:val="20"/>
        </w:rPr>
        <w:t xml:space="preserve">required </w:t>
      </w:r>
      <w:r w:rsidRPr="00C837DD">
        <w:rPr>
          <w:sz w:val="20"/>
          <w:szCs w:val="20"/>
        </w:rPr>
        <w:t xml:space="preserve">strict due diligence and within a reasonable time. Although the facts related to the </w:t>
      </w:r>
      <w:r w:rsidR="00FC2E44" w:rsidRPr="00C837DD">
        <w:rPr>
          <w:sz w:val="20"/>
          <w:szCs w:val="20"/>
        </w:rPr>
        <w:t xml:space="preserve">homicide </w:t>
      </w:r>
      <w:r w:rsidRPr="00C837DD">
        <w:rPr>
          <w:sz w:val="20"/>
          <w:szCs w:val="20"/>
        </w:rPr>
        <w:t xml:space="preserve">are not within the Court’s temporal jurisdiction, the Court finds </w:t>
      </w:r>
      <w:r w:rsidR="00D353B5" w:rsidRPr="00C837DD">
        <w:rPr>
          <w:sz w:val="20"/>
          <w:szCs w:val="20"/>
        </w:rPr>
        <w:t xml:space="preserve">that it is plausible that the homicide of Ms. Barbosa de Souza was committed for gender reasons, especially because of the asymmetrical situation </w:t>
      </w:r>
      <w:r w:rsidRPr="00C837DD">
        <w:rPr>
          <w:sz w:val="20"/>
          <w:szCs w:val="20"/>
        </w:rPr>
        <w:t>of economic and political power with respect to her male aggressor, as well as the way in which her body was found</w:t>
      </w:r>
      <w:r w:rsidRPr="00C837DD">
        <w:rPr>
          <w:rStyle w:val="Refdenotaalpie"/>
          <w:sz w:val="20"/>
          <w:szCs w:val="20"/>
        </w:rPr>
        <w:footnoteReference w:id="173"/>
      </w:r>
      <w:r w:rsidRPr="00C837DD">
        <w:rPr>
          <w:sz w:val="20"/>
          <w:szCs w:val="20"/>
        </w:rPr>
        <w:t>- in a</w:t>
      </w:r>
      <w:r w:rsidR="00D353B5" w:rsidRPr="00C837DD">
        <w:rPr>
          <w:sz w:val="20"/>
          <w:szCs w:val="20"/>
        </w:rPr>
        <w:t xml:space="preserve"> vacant</w:t>
      </w:r>
      <w:r w:rsidRPr="00C837DD">
        <w:rPr>
          <w:sz w:val="20"/>
          <w:szCs w:val="20"/>
        </w:rPr>
        <w:t xml:space="preserve"> lot - with traces of sand, </w:t>
      </w:r>
      <w:r w:rsidR="00D353B5" w:rsidRPr="00C837DD">
        <w:rPr>
          <w:sz w:val="20"/>
          <w:szCs w:val="20"/>
        </w:rPr>
        <w:t>which indicated that she had possibly been dragged,</w:t>
      </w:r>
      <w:r w:rsidRPr="00C837DD">
        <w:rPr>
          <w:sz w:val="20"/>
          <w:szCs w:val="20"/>
        </w:rPr>
        <w:t xml:space="preserve"> </w:t>
      </w:r>
      <w:r w:rsidR="00BE5671">
        <w:rPr>
          <w:sz w:val="20"/>
          <w:szCs w:val="20"/>
        </w:rPr>
        <w:t xml:space="preserve">with signs </w:t>
      </w:r>
      <w:r w:rsidR="00D353B5" w:rsidRPr="00C837DD">
        <w:rPr>
          <w:sz w:val="20"/>
          <w:szCs w:val="20"/>
        </w:rPr>
        <w:t xml:space="preserve">of </w:t>
      </w:r>
      <w:r w:rsidR="00BE5671">
        <w:rPr>
          <w:sz w:val="20"/>
          <w:szCs w:val="20"/>
        </w:rPr>
        <w:t>having been beaten</w:t>
      </w:r>
      <w:r w:rsidRPr="00C837DD">
        <w:rPr>
          <w:sz w:val="20"/>
          <w:szCs w:val="20"/>
        </w:rPr>
        <w:t xml:space="preserve">, abrasions </w:t>
      </w:r>
      <w:r w:rsidR="00BE5671">
        <w:rPr>
          <w:sz w:val="20"/>
          <w:szCs w:val="20"/>
        </w:rPr>
        <w:t xml:space="preserve">on her forehead, </w:t>
      </w:r>
      <w:r w:rsidRPr="00C837DD">
        <w:rPr>
          <w:sz w:val="20"/>
          <w:szCs w:val="20"/>
        </w:rPr>
        <w:t xml:space="preserve">nose and lips, </w:t>
      </w:r>
      <w:r w:rsidR="00D353B5" w:rsidRPr="00C837DD">
        <w:rPr>
          <w:sz w:val="20"/>
          <w:szCs w:val="20"/>
        </w:rPr>
        <w:t xml:space="preserve">bruises </w:t>
      </w:r>
      <w:r w:rsidRPr="00C837DD">
        <w:rPr>
          <w:sz w:val="20"/>
          <w:szCs w:val="20"/>
        </w:rPr>
        <w:t>distributed on her face and her back and with marks showing that she had be</w:t>
      </w:r>
      <w:r w:rsidR="000414A7" w:rsidRPr="00C837DD">
        <w:rPr>
          <w:sz w:val="20"/>
          <w:szCs w:val="20"/>
        </w:rPr>
        <w:t>en</w:t>
      </w:r>
      <w:r w:rsidRPr="00C837DD">
        <w:rPr>
          <w:sz w:val="20"/>
          <w:szCs w:val="20"/>
        </w:rPr>
        <w:t xml:space="preserve"> subjected to a compressive action </w:t>
      </w:r>
      <w:r w:rsidR="00D353B5" w:rsidRPr="00C837DD">
        <w:rPr>
          <w:sz w:val="20"/>
          <w:szCs w:val="20"/>
        </w:rPr>
        <w:t>o</w:t>
      </w:r>
      <w:r w:rsidRPr="00C837DD">
        <w:rPr>
          <w:sz w:val="20"/>
          <w:szCs w:val="20"/>
        </w:rPr>
        <w:t xml:space="preserve">n </w:t>
      </w:r>
      <w:r w:rsidR="00D353B5" w:rsidRPr="00C837DD">
        <w:rPr>
          <w:sz w:val="20"/>
          <w:szCs w:val="20"/>
        </w:rPr>
        <w:t xml:space="preserve">her </w:t>
      </w:r>
      <w:r w:rsidRPr="00C837DD">
        <w:rPr>
          <w:sz w:val="20"/>
          <w:szCs w:val="20"/>
        </w:rPr>
        <w:t>neck (</w:t>
      </w:r>
      <w:r w:rsidRPr="00C837DD">
        <w:rPr>
          <w:i/>
          <w:sz w:val="20"/>
          <w:szCs w:val="20"/>
        </w:rPr>
        <w:t>supra</w:t>
      </w:r>
      <w:r w:rsidRPr="00C837DD">
        <w:rPr>
          <w:sz w:val="20"/>
          <w:szCs w:val="20"/>
        </w:rPr>
        <w:t xml:space="preserve"> para. 68). </w:t>
      </w:r>
    </w:p>
    <w:p w14:paraId="6E248377" w14:textId="77777777" w:rsidR="00F85D5F" w:rsidRPr="00C837DD" w:rsidRDefault="00F85D5F" w:rsidP="00F85D5F">
      <w:pPr>
        <w:pStyle w:val="Prrafodelista"/>
        <w:tabs>
          <w:tab w:val="left" w:pos="142"/>
        </w:tabs>
        <w:ind w:left="0"/>
        <w:rPr>
          <w:sz w:val="20"/>
          <w:szCs w:val="20"/>
          <w:lang w:eastAsia="es-ES"/>
        </w:rPr>
      </w:pPr>
    </w:p>
    <w:p w14:paraId="09D460AC" w14:textId="5917CB6C"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lastRenderedPageBreak/>
        <w:t xml:space="preserve">The Court considers </w:t>
      </w:r>
      <w:r w:rsidR="00002DB4" w:rsidRPr="00C837DD">
        <w:rPr>
          <w:sz w:val="20"/>
          <w:szCs w:val="20"/>
        </w:rPr>
        <w:t xml:space="preserve">it </w:t>
      </w:r>
      <w:r w:rsidR="00BE5671">
        <w:rPr>
          <w:sz w:val="20"/>
          <w:szCs w:val="20"/>
        </w:rPr>
        <w:t xml:space="preserve">pertinent </w:t>
      </w:r>
      <w:r w:rsidRPr="00C837DD">
        <w:rPr>
          <w:sz w:val="20"/>
          <w:szCs w:val="20"/>
        </w:rPr>
        <w:t xml:space="preserve">to recall that, as </w:t>
      </w:r>
      <w:r w:rsidR="00DD7F8B" w:rsidRPr="00C837DD">
        <w:rPr>
          <w:sz w:val="20"/>
          <w:szCs w:val="20"/>
        </w:rPr>
        <w:t xml:space="preserve">stated </w:t>
      </w:r>
      <w:r w:rsidRPr="00C837DD">
        <w:rPr>
          <w:sz w:val="20"/>
          <w:szCs w:val="20"/>
        </w:rPr>
        <w:t xml:space="preserve">previously, it has jurisdiction to examine </w:t>
      </w:r>
      <w:r w:rsidR="00BE5671">
        <w:rPr>
          <w:sz w:val="20"/>
          <w:szCs w:val="20"/>
        </w:rPr>
        <w:t xml:space="preserve">separate </w:t>
      </w:r>
      <w:r w:rsidRPr="00C837DD">
        <w:rPr>
          <w:sz w:val="20"/>
          <w:szCs w:val="20"/>
        </w:rPr>
        <w:t xml:space="preserve">acts that took place within the investigations and criminal proceedings initiated </w:t>
      </w:r>
      <w:r w:rsidR="00B47C3B" w:rsidRPr="00C837DD">
        <w:rPr>
          <w:sz w:val="20"/>
          <w:szCs w:val="20"/>
        </w:rPr>
        <w:t xml:space="preserve">for the </w:t>
      </w:r>
      <w:r w:rsidR="00205F06" w:rsidRPr="00C837DD">
        <w:rPr>
          <w:sz w:val="20"/>
          <w:szCs w:val="20"/>
        </w:rPr>
        <w:t xml:space="preserve">murder </w:t>
      </w:r>
      <w:r w:rsidRPr="00C837DD">
        <w:rPr>
          <w:sz w:val="20"/>
          <w:szCs w:val="20"/>
        </w:rPr>
        <w:t xml:space="preserve">of </w:t>
      </w:r>
      <w:r w:rsidR="00B8009F" w:rsidRPr="00C837DD">
        <w:rPr>
          <w:sz w:val="20"/>
          <w:szCs w:val="20"/>
        </w:rPr>
        <w:t>Márcia</w:t>
      </w:r>
      <w:r w:rsidRPr="00C837DD">
        <w:rPr>
          <w:sz w:val="20"/>
          <w:szCs w:val="20"/>
        </w:rPr>
        <w:t xml:space="preserve"> Barbosa de Souza, </w:t>
      </w:r>
      <w:r w:rsidR="00B24DBE" w:rsidRPr="00C837DD">
        <w:rPr>
          <w:sz w:val="20"/>
          <w:szCs w:val="20"/>
        </w:rPr>
        <w:t xml:space="preserve">after </w:t>
      </w:r>
      <w:r w:rsidRPr="00C837DD">
        <w:rPr>
          <w:sz w:val="20"/>
          <w:szCs w:val="20"/>
        </w:rPr>
        <w:t xml:space="preserve">December 10, 1998. Therefore, </w:t>
      </w:r>
      <w:r w:rsidR="00205F06" w:rsidRPr="00C837DD">
        <w:rPr>
          <w:sz w:val="20"/>
          <w:szCs w:val="20"/>
        </w:rPr>
        <w:t>the decision adopted by the Legislative Assembly of the State of Paraíba on December 17, 1998 (</w:t>
      </w:r>
      <w:r w:rsidR="00205F06" w:rsidRPr="00C837DD">
        <w:rPr>
          <w:i/>
          <w:iCs/>
          <w:sz w:val="20"/>
          <w:szCs w:val="20"/>
        </w:rPr>
        <w:t>supra</w:t>
      </w:r>
      <w:r w:rsidR="00205F06" w:rsidRPr="00C837DD">
        <w:rPr>
          <w:sz w:val="20"/>
          <w:szCs w:val="20"/>
        </w:rPr>
        <w:t xml:space="preserve"> para. 75),</w:t>
      </w:r>
      <w:r w:rsidRPr="00C837DD">
        <w:rPr>
          <w:sz w:val="20"/>
          <w:szCs w:val="20"/>
        </w:rPr>
        <w:t xml:space="preserve"> </w:t>
      </w:r>
      <w:r w:rsidR="00205F06" w:rsidRPr="00C837DD">
        <w:rPr>
          <w:sz w:val="20"/>
          <w:szCs w:val="20"/>
        </w:rPr>
        <w:t xml:space="preserve">which </w:t>
      </w:r>
      <w:r w:rsidR="00BE5671">
        <w:rPr>
          <w:sz w:val="20"/>
          <w:szCs w:val="20"/>
        </w:rPr>
        <w:t xml:space="preserve">denied </w:t>
      </w:r>
      <w:r w:rsidR="00205F06" w:rsidRPr="00C837DD">
        <w:rPr>
          <w:sz w:val="20"/>
          <w:szCs w:val="20"/>
        </w:rPr>
        <w:t xml:space="preserve">the authorization to criminally prosecute Mr. Pereira de Lima, on the one hand, and, on the other, </w:t>
      </w:r>
      <w:r w:rsidRPr="00C837DD">
        <w:rPr>
          <w:sz w:val="20"/>
          <w:szCs w:val="20"/>
        </w:rPr>
        <w:t xml:space="preserve">the request </w:t>
      </w:r>
      <w:r w:rsidR="00205F06" w:rsidRPr="00C837DD">
        <w:rPr>
          <w:sz w:val="20"/>
          <w:szCs w:val="20"/>
        </w:rPr>
        <w:t xml:space="preserve">for </w:t>
      </w:r>
      <w:r w:rsidR="00571C4B" w:rsidRPr="00C837DD">
        <w:rPr>
          <w:sz w:val="20"/>
          <w:szCs w:val="20"/>
        </w:rPr>
        <w:t xml:space="preserve">evidentiary procedures </w:t>
      </w:r>
      <w:r w:rsidR="00205F06" w:rsidRPr="00C837DD">
        <w:rPr>
          <w:sz w:val="20"/>
          <w:szCs w:val="20"/>
        </w:rPr>
        <w:t xml:space="preserve">by </w:t>
      </w:r>
      <w:r w:rsidR="00B24DBE" w:rsidRPr="00C837DD">
        <w:rPr>
          <w:sz w:val="20"/>
          <w:szCs w:val="20"/>
        </w:rPr>
        <w:t xml:space="preserve">the </w:t>
      </w:r>
      <w:r w:rsidRPr="00C837DD">
        <w:rPr>
          <w:sz w:val="20"/>
          <w:szCs w:val="20"/>
        </w:rPr>
        <w:t>prosecutor in charge of the investigations against the other suspects, dated December 14,</w:t>
      </w:r>
      <w:r w:rsidR="00BE5671">
        <w:rPr>
          <w:sz w:val="20"/>
          <w:szCs w:val="20"/>
        </w:rPr>
        <w:t xml:space="preserve"> </w:t>
      </w:r>
      <w:r w:rsidRPr="00C837DD">
        <w:rPr>
          <w:sz w:val="20"/>
          <w:szCs w:val="20"/>
        </w:rPr>
        <w:t>1998 (</w:t>
      </w:r>
      <w:r w:rsidRPr="00C837DD">
        <w:rPr>
          <w:i/>
          <w:sz w:val="20"/>
          <w:szCs w:val="20"/>
        </w:rPr>
        <w:t>supra</w:t>
      </w:r>
      <w:r w:rsidRPr="00C837DD">
        <w:rPr>
          <w:sz w:val="20"/>
          <w:szCs w:val="20"/>
        </w:rPr>
        <w:t xml:space="preserve"> para. 83), as well as the acts that </w:t>
      </w:r>
      <w:r w:rsidR="00B24DBE" w:rsidRPr="00C837DD">
        <w:rPr>
          <w:sz w:val="20"/>
          <w:szCs w:val="20"/>
        </w:rPr>
        <w:t xml:space="preserve">were </w:t>
      </w:r>
      <w:r w:rsidRPr="00C837DD">
        <w:rPr>
          <w:sz w:val="20"/>
          <w:szCs w:val="20"/>
        </w:rPr>
        <w:t xml:space="preserve">subsequently </w:t>
      </w:r>
      <w:r w:rsidR="00B24DBE" w:rsidRPr="00C837DD">
        <w:rPr>
          <w:sz w:val="20"/>
          <w:szCs w:val="20"/>
        </w:rPr>
        <w:t>carried out</w:t>
      </w:r>
      <w:r w:rsidR="00205F06" w:rsidRPr="00C837DD">
        <w:rPr>
          <w:sz w:val="20"/>
          <w:szCs w:val="20"/>
        </w:rPr>
        <w:t>, are within the Court’s jurisdiction,</w:t>
      </w:r>
      <w:r w:rsidR="00B24DBE" w:rsidRPr="00C837DD">
        <w:rPr>
          <w:sz w:val="20"/>
          <w:szCs w:val="20"/>
        </w:rPr>
        <w:t xml:space="preserve"> as they are closely </w:t>
      </w:r>
      <w:r w:rsidR="00205F06" w:rsidRPr="00C837DD">
        <w:rPr>
          <w:sz w:val="20"/>
          <w:szCs w:val="20"/>
        </w:rPr>
        <w:t xml:space="preserve">related to </w:t>
      </w:r>
      <w:r w:rsidR="00B24DBE" w:rsidRPr="00C837DD">
        <w:rPr>
          <w:sz w:val="20"/>
          <w:szCs w:val="20"/>
        </w:rPr>
        <w:t>the</w:t>
      </w:r>
      <w:r w:rsidR="00205F06" w:rsidRPr="00C837DD">
        <w:rPr>
          <w:sz w:val="20"/>
          <w:szCs w:val="20"/>
        </w:rPr>
        <w:t>m</w:t>
      </w:r>
      <w:r w:rsidRPr="00C837DD">
        <w:rPr>
          <w:sz w:val="20"/>
          <w:szCs w:val="20"/>
        </w:rPr>
        <w:t>.</w:t>
      </w:r>
      <w:r w:rsidRPr="00C837DD" w:rsidDel="00696052">
        <w:rPr>
          <w:sz w:val="20"/>
          <w:szCs w:val="20"/>
        </w:rPr>
        <w:t xml:space="preserve"> </w:t>
      </w:r>
    </w:p>
    <w:p w14:paraId="338D6473" w14:textId="77777777" w:rsidR="00F85D5F" w:rsidRPr="00C837DD" w:rsidRDefault="00F85D5F" w:rsidP="00F85D5F">
      <w:pPr>
        <w:pStyle w:val="Prrafodelista"/>
        <w:tabs>
          <w:tab w:val="left" w:pos="142"/>
        </w:tabs>
        <w:ind w:left="0"/>
        <w:rPr>
          <w:sz w:val="20"/>
          <w:szCs w:val="20"/>
        </w:rPr>
      </w:pPr>
    </w:p>
    <w:p w14:paraId="525371EF" w14:textId="3D73D130" w:rsidR="00F85D5F" w:rsidRPr="00C837DD" w:rsidRDefault="00F85D5F" w:rsidP="00F85D5F">
      <w:pPr>
        <w:pStyle w:val="Prrafodelista"/>
        <w:numPr>
          <w:ilvl w:val="0"/>
          <w:numId w:val="6"/>
        </w:numPr>
        <w:tabs>
          <w:tab w:val="left" w:pos="142"/>
        </w:tabs>
        <w:ind w:left="0" w:firstLine="0"/>
        <w:rPr>
          <w:sz w:val="20"/>
          <w:szCs w:val="20"/>
          <w:lang w:eastAsia="es-ES"/>
        </w:rPr>
      </w:pPr>
      <w:r w:rsidRPr="00C837DD">
        <w:rPr>
          <w:sz w:val="20"/>
          <w:szCs w:val="20"/>
        </w:rPr>
        <w:t xml:space="preserve">Taking into consideration the arguments of the Commission, the representatives and the  State, the Court will now proceed to examine the merits of this case in the following order: a) rights to judicial guarantees, judicial protection and equality before the law, in relation to the obligations </w:t>
      </w:r>
      <w:r w:rsidR="00BE5671">
        <w:rPr>
          <w:sz w:val="20"/>
          <w:szCs w:val="20"/>
        </w:rPr>
        <w:t>to</w:t>
      </w:r>
      <w:r w:rsidRPr="00C837DD">
        <w:rPr>
          <w:sz w:val="20"/>
          <w:szCs w:val="20"/>
        </w:rPr>
        <w:t xml:space="preserve"> respect and guarantee, the duty to adopt provisions of domestic law and the obligations </w:t>
      </w:r>
      <w:r w:rsidR="001949EF" w:rsidRPr="00C837DD">
        <w:rPr>
          <w:sz w:val="20"/>
          <w:szCs w:val="20"/>
        </w:rPr>
        <w:t xml:space="preserve">set forth </w:t>
      </w:r>
      <w:r w:rsidRPr="00C837DD">
        <w:rPr>
          <w:sz w:val="20"/>
          <w:szCs w:val="20"/>
        </w:rPr>
        <w:t xml:space="preserve">in Article 7 of the Inter-American Convention </w:t>
      </w:r>
      <w:r w:rsidR="001949EF" w:rsidRPr="00C837DD">
        <w:rPr>
          <w:rFonts w:ascii="Arial" w:hAnsi="Arial" w:cs="Arial"/>
          <w:color w:val="202124"/>
          <w:shd w:val="clear" w:color="auto" w:fill="FFFFFF"/>
        </w:rPr>
        <w:t> </w:t>
      </w:r>
      <w:r w:rsidR="001949EF" w:rsidRPr="00C837DD">
        <w:rPr>
          <w:rFonts w:cs="Arial"/>
          <w:sz w:val="20"/>
          <w:szCs w:val="20"/>
          <w:shd w:val="clear" w:color="auto" w:fill="FFFFFF"/>
        </w:rPr>
        <w:t>on the Prevention, Punishment, and Eradication of Violence against Women</w:t>
      </w:r>
      <w:r w:rsidRPr="00C837DD">
        <w:rPr>
          <w:sz w:val="20"/>
          <w:szCs w:val="20"/>
        </w:rPr>
        <w:t xml:space="preserve"> (hereinafter “Convention of Belém do Pará”) and b) right to personal integrity of the next of kin of </w:t>
      </w:r>
      <w:r w:rsidR="00B8009F" w:rsidRPr="00C837DD">
        <w:rPr>
          <w:sz w:val="20"/>
          <w:szCs w:val="20"/>
        </w:rPr>
        <w:t>Márcia</w:t>
      </w:r>
      <w:r w:rsidRPr="00C837DD">
        <w:rPr>
          <w:sz w:val="20"/>
          <w:szCs w:val="20"/>
        </w:rPr>
        <w:t xml:space="preserve"> Barbosa de Souza.</w:t>
      </w:r>
    </w:p>
    <w:p w14:paraId="6646B5B7" w14:textId="77777777" w:rsidR="00F85D5F" w:rsidRPr="00C837DD" w:rsidRDefault="00F85D5F" w:rsidP="00F85D5F">
      <w:pPr>
        <w:pStyle w:val="Ttulo1"/>
        <w:tabs>
          <w:tab w:val="left" w:pos="142"/>
        </w:tabs>
        <w:jc w:val="left"/>
        <w:rPr>
          <w:lang w:val="en-US"/>
        </w:rPr>
      </w:pPr>
      <w:bookmarkStart w:id="67" w:name="VIII-1_GARANTÍAS_JUDICIALES,_PRINCIPIO_D"/>
      <w:bookmarkStart w:id="68" w:name="_bookmark105"/>
      <w:bookmarkEnd w:id="67"/>
      <w:bookmarkEnd w:id="68"/>
    </w:p>
    <w:p w14:paraId="41B609CB" w14:textId="2B71CC82" w:rsidR="00F85D5F" w:rsidRPr="00C837DD" w:rsidRDefault="00F85D5F" w:rsidP="00F85D5F">
      <w:pPr>
        <w:pStyle w:val="Ttulo2"/>
        <w:numPr>
          <w:ilvl w:val="0"/>
          <w:numId w:val="0"/>
        </w:numPr>
        <w:jc w:val="center"/>
        <w:rPr>
          <w:lang w:val="en-US"/>
        </w:rPr>
      </w:pPr>
      <w:bookmarkStart w:id="69" w:name="_Toc85001884"/>
      <w:r w:rsidRPr="00C837DD">
        <w:rPr>
          <w:lang w:val="en-US"/>
        </w:rPr>
        <w:t>VIII-1</w:t>
      </w:r>
      <w:r w:rsidRPr="00C837DD">
        <w:rPr>
          <w:lang w:val="en-US"/>
        </w:rPr>
        <w:br/>
        <w:t>RIGHTS TO JUDICIAL GUARANTEES</w:t>
      </w:r>
      <w:r w:rsidR="005A41ED" w:rsidRPr="00C837DD">
        <w:rPr>
          <w:lang w:val="en-US"/>
        </w:rPr>
        <w:t>,</w:t>
      </w:r>
      <w:r w:rsidRPr="00C837DD">
        <w:rPr>
          <w:rStyle w:val="Refdenotaalpie"/>
          <w:lang w:val="en-US"/>
        </w:rPr>
        <w:footnoteReference w:id="174"/>
      </w:r>
      <w:r w:rsidRPr="00C837DD">
        <w:rPr>
          <w:lang w:val="en-US"/>
        </w:rPr>
        <w:t xml:space="preserve"> EQUALITY BEFORE THE LAW</w:t>
      </w:r>
      <w:r w:rsidRPr="00C837DD">
        <w:rPr>
          <w:rStyle w:val="Refdenotaalpie"/>
          <w:lang w:val="en-US"/>
        </w:rPr>
        <w:footnoteReference w:id="175"/>
      </w:r>
      <w:r w:rsidRPr="00C837DD">
        <w:rPr>
          <w:lang w:val="en-US"/>
        </w:rPr>
        <w:t xml:space="preserve"> AND JUDICIAL PROTECTION,</w:t>
      </w:r>
      <w:r w:rsidRPr="00C837DD">
        <w:rPr>
          <w:rStyle w:val="Refdenotaalpie"/>
          <w:lang w:val="en-US"/>
        </w:rPr>
        <w:footnoteReference w:id="176"/>
      </w:r>
      <w:r w:rsidRPr="00C837DD">
        <w:rPr>
          <w:lang w:val="en-US"/>
        </w:rPr>
        <w:t xml:space="preserve"> IN RELATION TO THE OBLIGATIONS OF RESPECT AND GUARANTEE</w:t>
      </w:r>
      <w:r w:rsidR="0015581B" w:rsidRPr="00C837DD">
        <w:rPr>
          <w:lang w:val="en-US"/>
        </w:rPr>
        <w:t>,</w:t>
      </w:r>
      <w:r w:rsidRPr="00C837DD">
        <w:rPr>
          <w:rStyle w:val="Refdenotaalpie"/>
          <w:lang w:val="en-US"/>
        </w:rPr>
        <w:footnoteReference w:id="177"/>
      </w:r>
      <w:r w:rsidRPr="00C837DD">
        <w:rPr>
          <w:lang w:val="en-US"/>
        </w:rPr>
        <w:t xml:space="preserve"> THE DUTY TO ADOPT PROVISIONS OF DOMESTIC LAW</w:t>
      </w:r>
      <w:r w:rsidRPr="00C837DD">
        <w:rPr>
          <w:rStyle w:val="Refdenotaalpie"/>
          <w:lang w:val="en-US"/>
        </w:rPr>
        <w:footnoteReference w:id="178"/>
      </w:r>
      <w:r w:rsidRPr="00C837DD">
        <w:rPr>
          <w:lang w:val="en-US"/>
        </w:rPr>
        <w:t xml:space="preserve"> AND THE OBLIGATIONS </w:t>
      </w:r>
      <w:r w:rsidR="0088239C" w:rsidRPr="00C837DD">
        <w:rPr>
          <w:lang w:val="en-US"/>
        </w:rPr>
        <w:t xml:space="preserve">SET FORTH </w:t>
      </w:r>
      <w:r w:rsidRPr="00C837DD">
        <w:rPr>
          <w:lang w:val="en-US"/>
        </w:rPr>
        <w:t>IN ARTICLE 7 OF THE BELÉM DO PARÁ</w:t>
      </w:r>
      <w:r w:rsidR="00AF1287" w:rsidRPr="00C837DD">
        <w:rPr>
          <w:lang w:val="en-US"/>
        </w:rPr>
        <w:t xml:space="preserve"> CONVENTION </w:t>
      </w:r>
      <w:r w:rsidRPr="00C837DD">
        <w:rPr>
          <w:vertAlign w:val="superscript"/>
          <w:lang w:val="en-US"/>
        </w:rPr>
        <w:footnoteReference w:id="179"/>
      </w:r>
      <w:bookmarkEnd w:id="69"/>
    </w:p>
    <w:p w14:paraId="7FA28231" w14:textId="77777777" w:rsidR="00F85D5F" w:rsidRPr="00C837DD" w:rsidRDefault="00F85D5F" w:rsidP="00F85D5F">
      <w:pPr>
        <w:tabs>
          <w:tab w:val="left" w:pos="142"/>
        </w:tabs>
        <w:rPr>
          <w:sz w:val="20"/>
          <w:szCs w:val="20"/>
        </w:rPr>
      </w:pPr>
      <w:bookmarkStart w:id="70" w:name="_bookmark106"/>
      <w:bookmarkEnd w:id="70"/>
    </w:p>
    <w:p w14:paraId="18697CA7" w14:textId="77777777" w:rsidR="00F85D5F" w:rsidRPr="00C837DD" w:rsidRDefault="00F85D5F" w:rsidP="00F85D5F">
      <w:pPr>
        <w:pStyle w:val="Ttulo2"/>
        <w:ind w:left="1134" w:hanging="567"/>
        <w:rPr>
          <w:lang w:val="en-US"/>
        </w:rPr>
      </w:pPr>
      <w:bookmarkStart w:id="71" w:name="_Toc85001885"/>
      <w:r w:rsidRPr="00C837DD">
        <w:rPr>
          <w:lang w:val="en-US"/>
        </w:rPr>
        <w:t>Arguments of the parties and of the Commission</w:t>
      </w:r>
      <w:bookmarkEnd w:id="71"/>
    </w:p>
    <w:p w14:paraId="21DFC70C" w14:textId="77777777" w:rsidR="00F85D5F" w:rsidRPr="00C837DD" w:rsidRDefault="00F85D5F" w:rsidP="00F85D5F">
      <w:pPr>
        <w:pStyle w:val="Textoindependiente"/>
        <w:tabs>
          <w:tab w:val="left" w:pos="142"/>
        </w:tabs>
      </w:pPr>
    </w:p>
    <w:p w14:paraId="20E3C990" w14:textId="1A1BDFF8" w:rsidR="00F85D5F" w:rsidRPr="00C837DD" w:rsidRDefault="00774FD3" w:rsidP="00F85D5F">
      <w:pPr>
        <w:pStyle w:val="Prrafodelista"/>
        <w:numPr>
          <w:ilvl w:val="0"/>
          <w:numId w:val="6"/>
        </w:numPr>
        <w:tabs>
          <w:tab w:val="left" w:pos="142"/>
        </w:tabs>
        <w:ind w:left="0" w:firstLine="0"/>
        <w:rPr>
          <w:sz w:val="20"/>
          <w:szCs w:val="20"/>
        </w:rPr>
      </w:pPr>
      <w:r w:rsidRPr="00C837DD">
        <w:rPr>
          <w:sz w:val="20"/>
          <w:szCs w:val="20"/>
        </w:rPr>
        <w:t xml:space="preserve">Regarding </w:t>
      </w:r>
      <w:r w:rsidR="00F85D5F" w:rsidRPr="00C837DD">
        <w:rPr>
          <w:sz w:val="20"/>
          <w:szCs w:val="20"/>
          <w:u w:val="single"/>
        </w:rPr>
        <w:t>parliamentary immunity</w:t>
      </w:r>
      <w:r w:rsidR="00F85D5F" w:rsidRPr="00C837DD">
        <w:rPr>
          <w:sz w:val="20"/>
          <w:szCs w:val="20"/>
        </w:rPr>
        <w:t xml:space="preserve">, the </w:t>
      </w:r>
      <w:r w:rsidR="00F85D5F" w:rsidRPr="00C837DD">
        <w:rPr>
          <w:b/>
          <w:bCs/>
          <w:i/>
          <w:iCs/>
          <w:sz w:val="20"/>
          <w:szCs w:val="20"/>
        </w:rPr>
        <w:t>Commission</w:t>
      </w:r>
      <w:r w:rsidR="00F85D5F" w:rsidRPr="00C837DD">
        <w:rPr>
          <w:b/>
          <w:i/>
          <w:sz w:val="20"/>
          <w:szCs w:val="20"/>
        </w:rPr>
        <w:t xml:space="preserve"> </w:t>
      </w:r>
      <w:r w:rsidR="00F85D5F" w:rsidRPr="00C837DD">
        <w:rPr>
          <w:sz w:val="20"/>
          <w:szCs w:val="20"/>
        </w:rPr>
        <w:t xml:space="preserve">indicated that, </w:t>
      </w:r>
      <w:r w:rsidR="005A41ED" w:rsidRPr="00C837DD">
        <w:rPr>
          <w:sz w:val="20"/>
          <w:szCs w:val="20"/>
        </w:rPr>
        <w:t>despite the fact that</w:t>
      </w:r>
      <w:r w:rsidR="00F85D5F" w:rsidRPr="00C837DD">
        <w:rPr>
          <w:sz w:val="20"/>
          <w:szCs w:val="20"/>
        </w:rPr>
        <w:t xml:space="preserve">, </w:t>
      </w:r>
      <w:r w:rsidR="005A41ED" w:rsidRPr="00C837DD">
        <w:rPr>
          <w:sz w:val="20"/>
          <w:szCs w:val="20"/>
        </w:rPr>
        <w:t xml:space="preserve">from the </w:t>
      </w:r>
      <w:r w:rsidRPr="00C837DD">
        <w:rPr>
          <w:sz w:val="20"/>
          <w:szCs w:val="20"/>
        </w:rPr>
        <w:t xml:space="preserve">beginning </w:t>
      </w:r>
      <w:r w:rsidR="00F85D5F" w:rsidRPr="00C837DD">
        <w:rPr>
          <w:sz w:val="20"/>
          <w:szCs w:val="20"/>
        </w:rPr>
        <w:t xml:space="preserve">of the police investigation, responsibility for the death of </w:t>
      </w:r>
      <w:r w:rsidR="00B8009F" w:rsidRPr="00C837DD">
        <w:rPr>
          <w:sz w:val="20"/>
          <w:szCs w:val="20"/>
        </w:rPr>
        <w:t>Márcia</w:t>
      </w:r>
      <w:r w:rsidR="00F85D5F" w:rsidRPr="00C837DD">
        <w:rPr>
          <w:sz w:val="20"/>
          <w:szCs w:val="20"/>
        </w:rPr>
        <w:t xml:space="preserve"> Barbosa de Souza had been attributed to Mr. Pereira de Lima, it was not possible to begin criminal proceedings because the Legislative Assembly had </w:t>
      </w:r>
      <w:r w:rsidRPr="00C837DD">
        <w:rPr>
          <w:sz w:val="20"/>
          <w:szCs w:val="20"/>
        </w:rPr>
        <w:t>denied</w:t>
      </w:r>
      <w:r w:rsidR="00F85D5F" w:rsidRPr="00C837DD">
        <w:rPr>
          <w:sz w:val="20"/>
          <w:szCs w:val="20"/>
        </w:rPr>
        <w:t xml:space="preserve">, without </w:t>
      </w:r>
      <w:r w:rsidRPr="00C837DD">
        <w:rPr>
          <w:sz w:val="20"/>
          <w:szCs w:val="20"/>
        </w:rPr>
        <w:t>justification</w:t>
      </w:r>
      <w:r w:rsidR="00F85D5F" w:rsidRPr="00C837DD">
        <w:rPr>
          <w:sz w:val="20"/>
          <w:szCs w:val="20"/>
        </w:rPr>
        <w:t xml:space="preserve">, the request to lift his parliamentary immunity. It added that it was only possible to begin the proceedings against Mr. Pereira de Lima in March 2003, since he was not reelected as a deputy. It </w:t>
      </w:r>
      <w:r w:rsidRPr="00C837DD">
        <w:rPr>
          <w:sz w:val="20"/>
          <w:szCs w:val="20"/>
        </w:rPr>
        <w:t xml:space="preserve">pointed out </w:t>
      </w:r>
      <w:r w:rsidR="00F85D5F" w:rsidRPr="00C837DD">
        <w:rPr>
          <w:sz w:val="20"/>
          <w:szCs w:val="20"/>
        </w:rPr>
        <w:t xml:space="preserve">that parliamentary immunity </w:t>
      </w:r>
      <w:r w:rsidRPr="00C837DD">
        <w:rPr>
          <w:sz w:val="20"/>
          <w:szCs w:val="20"/>
        </w:rPr>
        <w:t xml:space="preserve">was provided for </w:t>
      </w:r>
      <w:r w:rsidR="00F85D5F" w:rsidRPr="00C837DD">
        <w:rPr>
          <w:sz w:val="20"/>
          <w:szCs w:val="20"/>
        </w:rPr>
        <w:t xml:space="preserve">in the </w:t>
      </w:r>
      <w:r w:rsidR="00EB69A7" w:rsidRPr="00C837DD">
        <w:rPr>
          <w:sz w:val="20"/>
          <w:szCs w:val="20"/>
        </w:rPr>
        <w:t>Brazilian</w:t>
      </w:r>
      <w:r w:rsidR="00F85D5F" w:rsidRPr="00C837DD">
        <w:rPr>
          <w:sz w:val="20"/>
          <w:szCs w:val="20"/>
        </w:rPr>
        <w:t xml:space="preserve"> Constitution in very broad terms</w:t>
      </w:r>
      <w:r w:rsidR="00D00ED4" w:rsidRPr="00C837DD">
        <w:rPr>
          <w:sz w:val="20"/>
          <w:szCs w:val="20"/>
        </w:rPr>
        <w:t>;</w:t>
      </w:r>
      <w:r w:rsidR="00F85D5F" w:rsidRPr="00C837DD">
        <w:rPr>
          <w:sz w:val="20"/>
          <w:szCs w:val="20"/>
        </w:rPr>
        <w:t xml:space="preserve"> </w:t>
      </w:r>
      <w:r w:rsidRPr="00C837DD">
        <w:rPr>
          <w:sz w:val="20"/>
          <w:szCs w:val="20"/>
        </w:rPr>
        <w:t>therefore</w:t>
      </w:r>
      <w:r w:rsidR="00F85D5F" w:rsidRPr="00C837DD">
        <w:rPr>
          <w:sz w:val="20"/>
          <w:szCs w:val="20"/>
        </w:rPr>
        <w:t>,</w:t>
      </w:r>
      <w:r w:rsidRPr="00C837DD">
        <w:t xml:space="preserve"> </w:t>
      </w:r>
      <w:r w:rsidRPr="00C837DD">
        <w:rPr>
          <w:sz w:val="20"/>
          <w:szCs w:val="20"/>
        </w:rPr>
        <w:t>since it did not comply with the parameters of objectivity and reasonableness, the rule was disproportionate and discriminatory</w:t>
      </w:r>
      <w:r w:rsidR="00F85D5F" w:rsidRPr="00C837DD">
        <w:rPr>
          <w:sz w:val="20"/>
          <w:szCs w:val="20"/>
        </w:rPr>
        <w:t xml:space="preserve">. Furthermore, it considered that the lack of </w:t>
      </w:r>
      <w:r w:rsidR="00131090" w:rsidRPr="00C837DD">
        <w:rPr>
          <w:sz w:val="20"/>
          <w:szCs w:val="20"/>
        </w:rPr>
        <w:t xml:space="preserve">justification </w:t>
      </w:r>
      <w:r w:rsidR="00F85D5F" w:rsidRPr="00C837DD">
        <w:rPr>
          <w:sz w:val="20"/>
          <w:szCs w:val="20"/>
        </w:rPr>
        <w:t xml:space="preserve">by the Legislative Assembly </w:t>
      </w:r>
      <w:r w:rsidR="00131090" w:rsidRPr="00C837DD">
        <w:rPr>
          <w:sz w:val="20"/>
          <w:szCs w:val="20"/>
        </w:rPr>
        <w:t xml:space="preserve">for </w:t>
      </w:r>
      <w:r w:rsidR="00F85D5F" w:rsidRPr="00C837DD">
        <w:rPr>
          <w:sz w:val="20"/>
          <w:szCs w:val="20"/>
        </w:rPr>
        <w:t>reject</w:t>
      </w:r>
      <w:r w:rsidR="00131090" w:rsidRPr="00C837DD">
        <w:rPr>
          <w:sz w:val="20"/>
          <w:szCs w:val="20"/>
        </w:rPr>
        <w:t>ing</w:t>
      </w:r>
      <w:r w:rsidR="00F85D5F" w:rsidRPr="00C837DD">
        <w:rPr>
          <w:sz w:val="20"/>
          <w:szCs w:val="20"/>
        </w:rPr>
        <w:t xml:space="preserve"> the requests for authorization t</w:t>
      </w:r>
      <w:r w:rsidR="005A41ED" w:rsidRPr="00C837DD">
        <w:rPr>
          <w:sz w:val="20"/>
          <w:szCs w:val="20"/>
        </w:rPr>
        <w:t>o in</w:t>
      </w:r>
      <w:r w:rsidR="00F85D5F" w:rsidRPr="00C837DD">
        <w:rPr>
          <w:sz w:val="20"/>
          <w:szCs w:val="20"/>
        </w:rPr>
        <w:t>it</w:t>
      </w:r>
      <w:r w:rsidR="005A41ED" w:rsidRPr="00C837DD">
        <w:rPr>
          <w:sz w:val="20"/>
          <w:szCs w:val="20"/>
        </w:rPr>
        <w:t>i</w:t>
      </w:r>
      <w:r w:rsidR="00F85D5F" w:rsidRPr="00C837DD">
        <w:rPr>
          <w:sz w:val="20"/>
          <w:szCs w:val="20"/>
        </w:rPr>
        <w:t xml:space="preserve">ate judicial proceedings </w:t>
      </w:r>
      <w:r w:rsidR="00131090" w:rsidRPr="00C837DD">
        <w:rPr>
          <w:sz w:val="20"/>
          <w:szCs w:val="20"/>
        </w:rPr>
        <w:t xml:space="preserve">showed </w:t>
      </w:r>
      <w:r w:rsidR="00F85D5F" w:rsidRPr="00C837DD">
        <w:rPr>
          <w:sz w:val="20"/>
          <w:szCs w:val="20"/>
        </w:rPr>
        <w:t xml:space="preserve">that these were arbitrary decisions. It considered that the new wording of Article 53 of the Constitution, modified by Constitutional Amendment N° 35/2001, continued to allow proceedings to be suspended or paralyzed by the will of the deputies, so that </w:t>
      </w:r>
      <w:r w:rsidR="00131090" w:rsidRPr="00C837DD">
        <w:rPr>
          <w:sz w:val="20"/>
          <w:szCs w:val="20"/>
        </w:rPr>
        <w:t xml:space="preserve">the fundamental flaw of the broad and indeterminate nature of parliamentary immunity </w:t>
      </w:r>
      <w:r w:rsidR="00F85D5F" w:rsidRPr="00C837DD">
        <w:rPr>
          <w:sz w:val="20"/>
          <w:szCs w:val="20"/>
        </w:rPr>
        <w:t xml:space="preserve">would not have </w:t>
      </w:r>
      <w:r w:rsidR="00131090" w:rsidRPr="00C837DD">
        <w:rPr>
          <w:sz w:val="20"/>
          <w:szCs w:val="20"/>
        </w:rPr>
        <w:t xml:space="preserve">been </w:t>
      </w:r>
      <w:r w:rsidR="00F85D5F" w:rsidRPr="00C837DD">
        <w:rPr>
          <w:sz w:val="20"/>
          <w:szCs w:val="20"/>
        </w:rPr>
        <w:t>completely re</w:t>
      </w:r>
      <w:r w:rsidR="00131090" w:rsidRPr="00C837DD">
        <w:rPr>
          <w:sz w:val="20"/>
          <w:szCs w:val="20"/>
        </w:rPr>
        <w:t>medied</w:t>
      </w:r>
      <w:r w:rsidR="00F85D5F" w:rsidRPr="00C837DD">
        <w:rPr>
          <w:sz w:val="20"/>
          <w:szCs w:val="20"/>
        </w:rPr>
        <w:t xml:space="preserve">, and would perpetuate the discrimination. Thus, </w:t>
      </w:r>
      <w:r w:rsidR="00131090" w:rsidRPr="00C837DD">
        <w:rPr>
          <w:sz w:val="20"/>
          <w:szCs w:val="20"/>
        </w:rPr>
        <w:t xml:space="preserve">it </w:t>
      </w:r>
      <w:r w:rsidR="00F85D5F" w:rsidRPr="00C837DD">
        <w:rPr>
          <w:sz w:val="20"/>
          <w:szCs w:val="20"/>
        </w:rPr>
        <w:t xml:space="preserve">concluded that parliamentary immunity, applied to the specific case, </w:t>
      </w:r>
      <w:r w:rsidR="00B47C3B" w:rsidRPr="00C837DD">
        <w:rPr>
          <w:sz w:val="20"/>
          <w:szCs w:val="20"/>
        </w:rPr>
        <w:t xml:space="preserve">would </w:t>
      </w:r>
      <w:r w:rsidR="00F85D5F" w:rsidRPr="00C837DD">
        <w:rPr>
          <w:sz w:val="20"/>
          <w:szCs w:val="20"/>
        </w:rPr>
        <w:t>constitu</w:t>
      </w:r>
      <w:r w:rsidR="00B47C3B" w:rsidRPr="00C837DD">
        <w:rPr>
          <w:sz w:val="20"/>
          <w:szCs w:val="20"/>
        </w:rPr>
        <w:t xml:space="preserve">te </w:t>
      </w:r>
      <w:r w:rsidR="00F85D5F" w:rsidRPr="00C837DD">
        <w:rPr>
          <w:sz w:val="20"/>
          <w:szCs w:val="20"/>
        </w:rPr>
        <w:t xml:space="preserve">a violation of the right to judicial guarantees, the principle of equality and non-discrimination and </w:t>
      </w:r>
      <w:r w:rsidR="002904FA">
        <w:rPr>
          <w:sz w:val="20"/>
          <w:szCs w:val="20"/>
        </w:rPr>
        <w:t xml:space="preserve">the right to </w:t>
      </w:r>
      <w:r w:rsidR="00F85D5F" w:rsidRPr="00C837DD">
        <w:rPr>
          <w:sz w:val="20"/>
          <w:szCs w:val="20"/>
        </w:rPr>
        <w:t xml:space="preserve">judicial protection. </w:t>
      </w:r>
    </w:p>
    <w:p w14:paraId="5DB8679C" w14:textId="77777777" w:rsidR="00F85D5F" w:rsidRPr="00C837DD" w:rsidRDefault="00F85D5F" w:rsidP="00F85D5F">
      <w:pPr>
        <w:pStyle w:val="Prrafodelista"/>
        <w:tabs>
          <w:tab w:val="left" w:pos="142"/>
        </w:tabs>
        <w:ind w:left="0"/>
        <w:rPr>
          <w:sz w:val="20"/>
          <w:szCs w:val="20"/>
        </w:rPr>
      </w:pPr>
    </w:p>
    <w:p w14:paraId="066BC4C3" w14:textId="2D7B936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With respect to </w:t>
      </w:r>
      <w:r w:rsidRPr="00C837DD">
        <w:rPr>
          <w:sz w:val="20"/>
          <w:szCs w:val="20"/>
          <w:u w:val="single"/>
        </w:rPr>
        <w:t>reasonable time</w:t>
      </w:r>
      <w:r w:rsidRPr="00C837DD">
        <w:rPr>
          <w:sz w:val="20"/>
          <w:szCs w:val="20"/>
        </w:rPr>
        <w:t xml:space="preserve">, the Commission considered that the case was not of </w:t>
      </w:r>
      <w:r w:rsidRPr="00C837DD">
        <w:rPr>
          <w:sz w:val="20"/>
          <w:szCs w:val="20"/>
        </w:rPr>
        <w:lastRenderedPageBreak/>
        <w:t xml:space="preserve">great complexity, </w:t>
      </w:r>
      <w:r w:rsidR="002904FA">
        <w:rPr>
          <w:sz w:val="20"/>
          <w:szCs w:val="20"/>
        </w:rPr>
        <w:t xml:space="preserve">given that based on </w:t>
      </w:r>
      <w:r w:rsidRPr="00C837DD">
        <w:rPr>
          <w:sz w:val="20"/>
          <w:szCs w:val="20"/>
        </w:rPr>
        <w:t>the police investigation, there w</w:t>
      </w:r>
      <w:r w:rsidR="00AD751A" w:rsidRPr="00C837DD">
        <w:rPr>
          <w:sz w:val="20"/>
          <w:szCs w:val="20"/>
        </w:rPr>
        <w:t xml:space="preserve">as </w:t>
      </w:r>
      <w:r w:rsidRPr="00C837DD">
        <w:rPr>
          <w:sz w:val="20"/>
          <w:szCs w:val="20"/>
        </w:rPr>
        <w:t xml:space="preserve">sufficient evidence to </w:t>
      </w:r>
      <w:r w:rsidR="00AD751A" w:rsidRPr="00C837DD">
        <w:rPr>
          <w:sz w:val="20"/>
          <w:szCs w:val="20"/>
        </w:rPr>
        <w:t xml:space="preserve">initiate the </w:t>
      </w:r>
      <w:r w:rsidRPr="00C837DD">
        <w:rPr>
          <w:sz w:val="20"/>
          <w:szCs w:val="20"/>
        </w:rPr>
        <w:t>proce</w:t>
      </w:r>
      <w:r w:rsidR="00AD751A" w:rsidRPr="00C837DD">
        <w:rPr>
          <w:sz w:val="20"/>
          <w:szCs w:val="20"/>
        </w:rPr>
        <w:t>ss</w:t>
      </w:r>
      <w:r w:rsidRPr="00C837DD">
        <w:rPr>
          <w:sz w:val="20"/>
          <w:szCs w:val="20"/>
        </w:rPr>
        <w:t xml:space="preserve">. It indicated that parliamentary immunity was the main cause of the delay, but that other delays caused by the </w:t>
      </w:r>
      <w:r w:rsidR="00666D49" w:rsidRPr="00C837DD">
        <w:rPr>
          <w:sz w:val="20"/>
          <w:szCs w:val="20"/>
        </w:rPr>
        <w:t>S</w:t>
      </w:r>
      <w:r w:rsidRPr="00C837DD">
        <w:rPr>
          <w:sz w:val="20"/>
          <w:szCs w:val="20"/>
        </w:rPr>
        <w:t>tate authorities</w:t>
      </w:r>
      <w:r w:rsidR="00666D49" w:rsidRPr="00C837DD">
        <w:rPr>
          <w:sz w:val="20"/>
          <w:szCs w:val="20"/>
        </w:rPr>
        <w:t xml:space="preserve"> also contributed</w:t>
      </w:r>
      <w:r w:rsidRPr="00C837DD">
        <w:rPr>
          <w:sz w:val="20"/>
          <w:szCs w:val="20"/>
        </w:rPr>
        <w:t xml:space="preserve">. Thus, it concluded that the State violated the guarantee of reasonable time. </w:t>
      </w:r>
    </w:p>
    <w:p w14:paraId="6F680E55" w14:textId="77777777" w:rsidR="00F85D5F" w:rsidRPr="00C837DD" w:rsidRDefault="00F85D5F" w:rsidP="00F85D5F">
      <w:pPr>
        <w:pStyle w:val="Prrafodelista"/>
        <w:tabs>
          <w:tab w:val="left" w:pos="142"/>
        </w:tabs>
        <w:ind w:left="0"/>
        <w:rPr>
          <w:sz w:val="20"/>
          <w:szCs w:val="20"/>
        </w:rPr>
      </w:pPr>
    </w:p>
    <w:p w14:paraId="05FAB424" w14:textId="0F37424C"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With regard to </w:t>
      </w:r>
      <w:r w:rsidRPr="00C837DD">
        <w:rPr>
          <w:sz w:val="20"/>
          <w:szCs w:val="20"/>
          <w:u w:val="single"/>
        </w:rPr>
        <w:t xml:space="preserve">due diligence in the investigation of other possible </w:t>
      </w:r>
      <w:r w:rsidR="00151F9F" w:rsidRPr="00C837DD">
        <w:rPr>
          <w:sz w:val="20"/>
          <w:szCs w:val="20"/>
          <w:u w:val="single"/>
        </w:rPr>
        <w:t>perpetrators</w:t>
      </w:r>
      <w:r w:rsidRPr="00C837DD">
        <w:rPr>
          <w:sz w:val="20"/>
          <w:szCs w:val="20"/>
        </w:rPr>
        <w:t xml:space="preserve">, the Commission </w:t>
      </w:r>
      <w:r w:rsidR="00666D49" w:rsidRPr="00C837DD">
        <w:rPr>
          <w:sz w:val="20"/>
          <w:szCs w:val="20"/>
        </w:rPr>
        <w:t xml:space="preserve">noted </w:t>
      </w:r>
      <w:r w:rsidRPr="00C837DD">
        <w:rPr>
          <w:sz w:val="20"/>
          <w:szCs w:val="20"/>
        </w:rPr>
        <w:t xml:space="preserve">that the police report of July 21, 1998, </w:t>
      </w:r>
      <w:r w:rsidR="00666D49" w:rsidRPr="00C837DD">
        <w:rPr>
          <w:sz w:val="20"/>
          <w:szCs w:val="20"/>
        </w:rPr>
        <w:t xml:space="preserve">did not specify </w:t>
      </w:r>
      <w:r w:rsidRPr="00C837DD">
        <w:rPr>
          <w:sz w:val="20"/>
          <w:szCs w:val="20"/>
        </w:rPr>
        <w:t xml:space="preserve">the acts that constituted the crimes of the then state deputy and the </w:t>
      </w:r>
      <w:r w:rsidR="00666D49" w:rsidRPr="00C837DD">
        <w:rPr>
          <w:sz w:val="20"/>
          <w:szCs w:val="20"/>
        </w:rPr>
        <w:t xml:space="preserve">four </w:t>
      </w:r>
      <w:r w:rsidRPr="00C837DD">
        <w:rPr>
          <w:sz w:val="20"/>
          <w:szCs w:val="20"/>
        </w:rPr>
        <w:t>other suspects</w:t>
      </w:r>
      <w:r w:rsidR="00666D49" w:rsidRPr="00C837DD">
        <w:rPr>
          <w:sz w:val="20"/>
          <w:szCs w:val="20"/>
        </w:rPr>
        <w:t>.</w:t>
      </w:r>
      <w:r w:rsidRPr="00C837DD">
        <w:rPr>
          <w:sz w:val="20"/>
          <w:szCs w:val="20"/>
        </w:rPr>
        <w:t xml:space="preserve"> </w:t>
      </w:r>
      <w:r w:rsidR="005A41ED" w:rsidRPr="00C837DD">
        <w:rPr>
          <w:sz w:val="20"/>
          <w:szCs w:val="20"/>
        </w:rPr>
        <w:t>It a</w:t>
      </w:r>
      <w:r w:rsidR="00666D49" w:rsidRPr="00C837DD">
        <w:rPr>
          <w:sz w:val="20"/>
          <w:szCs w:val="20"/>
        </w:rPr>
        <w:t xml:space="preserve">lleged </w:t>
      </w:r>
      <w:r w:rsidRPr="00C837DD">
        <w:rPr>
          <w:sz w:val="20"/>
          <w:szCs w:val="20"/>
        </w:rPr>
        <w:t>that no</w:t>
      </w:r>
      <w:r w:rsidR="00666D49" w:rsidRPr="00C837DD">
        <w:rPr>
          <w:sz w:val="20"/>
          <w:szCs w:val="20"/>
        </w:rPr>
        <w:t>t</w:t>
      </w:r>
      <w:r w:rsidRPr="00C837DD">
        <w:rPr>
          <w:sz w:val="20"/>
          <w:szCs w:val="20"/>
        </w:rPr>
        <w:t xml:space="preserve"> all the evidence </w:t>
      </w:r>
      <w:r w:rsidR="00666D49" w:rsidRPr="00C837DD">
        <w:rPr>
          <w:sz w:val="20"/>
          <w:szCs w:val="20"/>
        </w:rPr>
        <w:t>was examined</w:t>
      </w:r>
      <w:r w:rsidR="00474275" w:rsidRPr="00C837DD">
        <w:rPr>
          <w:sz w:val="20"/>
          <w:szCs w:val="20"/>
        </w:rPr>
        <w:t xml:space="preserve"> -</w:t>
      </w:r>
      <w:r w:rsidRPr="00C837DD">
        <w:rPr>
          <w:sz w:val="20"/>
          <w:szCs w:val="20"/>
        </w:rPr>
        <w:t xml:space="preserve"> </w:t>
      </w:r>
      <w:r w:rsidR="005A41ED" w:rsidRPr="00C837DD">
        <w:rPr>
          <w:sz w:val="20"/>
          <w:szCs w:val="20"/>
        </w:rPr>
        <w:t xml:space="preserve">without any </w:t>
      </w:r>
      <w:r w:rsidRPr="00C837DD">
        <w:rPr>
          <w:sz w:val="20"/>
          <w:szCs w:val="20"/>
        </w:rPr>
        <w:t>justification</w:t>
      </w:r>
      <w:r w:rsidR="00474275" w:rsidRPr="00C837DD">
        <w:rPr>
          <w:sz w:val="20"/>
          <w:szCs w:val="20"/>
        </w:rPr>
        <w:t xml:space="preserve"> in this regard-</w:t>
      </w:r>
      <w:r w:rsidR="00666D49" w:rsidRPr="00C837DD">
        <w:rPr>
          <w:sz w:val="20"/>
          <w:szCs w:val="20"/>
        </w:rPr>
        <w:t xml:space="preserve"> in order to determine responsibility</w:t>
      </w:r>
      <w:r w:rsidR="005A41ED" w:rsidRPr="00C837DD">
        <w:rPr>
          <w:sz w:val="20"/>
          <w:szCs w:val="20"/>
        </w:rPr>
        <w:t xml:space="preserve">, and that </w:t>
      </w:r>
      <w:r w:rsidRPr="00C837DD">
        <w:rPr>
          <w:sz w:val="20"/>
          <w:szCs w:val="20"/>
        </w:rPr>
        <w:t xml:space="preserve">the investigation </w:t>
      </w:r>
      <w:r w:rsidR="005A41ED" w:rsidRPr="00C837DD">
        <w:rPr>
          <w:sz w:val="20"/>
          <w:szCs w:val="20"/>
        </w:rPr>
        <w:t xml:space="preserve">was </w:t>
      </w:r>
      <w:r w:rsidR="00474275" w:rsidRPr="00C837DD">
        <w:rPr>
          <w:sz w:val="20"/>
          <w:szCs w:val="20"/>
        </w:rPr>
        <w:t xml:space="preserve">closed </w:t>
      </w:r>
      <w:r w:rsidR="005A41ED" w:rsidRPr="00C837DD">
        <w:rPr>
          <w:sz w:val="20"/>
          <w:szCs w:val="20"/>
        </w:rPr>
        <w:t xml:space="preserve">through </w:t>
      </w:r>
      <w:r w:rsidRPr="00C837DD">
        <w:rPr>
          <w:sz w:val="20"/>
          <w:szCs w:val="20"/>
        </w:rPr>
        <w:t xml:space="preserve">lack of evidence. Thus, it concluded that the State failed in its duty to investigate with due diligence. </w:t>
      </w:r>
    </w:p>
    <w:p w14:paraId="7DDD73DC" w14:textId="77777777" w:rsidR="00F85D5F" w:rsidRPr="00C837DD" w:rsidRDefault="00F85D5F" w:rsidP="00F85D5F">
      <w:pPr>
        <w:pStyle w:val="Prrafodelista"/>
        <w:tabs>
          <w:tab w:val="left" w:pos="142"/>
        </w:tabs>
        <w:ind w:left="0"/>
        <w:rPr>
          <w:sz w:val="20"/>
          <w:szCs w:val="20"/>
        </w:rPr>
      </w:pPr>
    </w:p>
    <w:p w14:paraId="33B2B443" w14:textId="758E6B5F" w:rsidR="00F85D5F" w:rsidRPr="00C837DD" w:rsidRDefault="00474275" w:rsidP="00F85D5F">
      <w:pPr>
        <w:pStyle w:val="Prrafodelista"/>
        <w:numPr>
          <w:ilvl w:val="0"/>
          <w:numId w:val="6"/>
        </w:numPr>
        <w:tabs>
          <w:tab w:val="left" w:pos="142"/>
        </w:tabs>
        <w:ind w:left="0" w:firstLine="0"/>
        <w:rPr>
          <w:sz w:val="20"/>
          <w:szCs w:val="20"/>
        </w:rPr>
      </w:pPr>
      <w:r w:rsidRPr="00C837DD">
        <w:rPr>
          <w:sz w:val="20"/>
          <w:szCs w:val="20"/>
        </w:rPr>
        <w:t>In addition</w:t>
      </w:r>
      <w:r w:rsidR="00F85D5F" w:rsidRPr="00C837DD">
        <w:rPr>
          <w:sz w:val="20"/>
          <w:szCs w:val="20"/>
        </w:rPr>
        <w:t>, the Commission determined the separate violation of Article 7 of the Belém do Pará</w:t>
      </w:r>
      <w:r w:rsidRPr="00C837DD">
        <w:rPr>
          <w:sz w:val="20"/>
          <w:szCs w:val="20"/>
        </w:rPr>
        <w:t xml:space="preserve"> Convention</w:t>
      </w:r>
      <w:r w:rsidR="00F85D5F" w:rsidRPr="00C837DD">
        <w:rPr>
          <w:sz w:val="20"/>
          <w:szCs w:val="20"/>
        </w:rPr>
        <w:t xml:space="preserve">. It considered that the impunity of the then state deputy was an act of tolerance </w:t>
      </w:r>
      <w:r w:rsidRPr="00C837DD">
        <w:rPr>
          <w:sz w:val="20"/>
          <w:szCs w:val="20"/>
        </w:rPr>
        <w:t xml:space="preserve">on the part of </w:t>
      </w:r>
      <w:r w:rsidR="00F85D5F" w:rsidRPr="00C837DD">
        <w:rPr>
          <w:sz w:val="20"/>
          <w:szCs w:val="20"/>
        </w:rPr>
        <w:t xml:space="preserve">the State and </w:t>
      </w:r>
      <w:r w:rsidRPr="00C837DD">
        <w:rPr>
          <w:sz w:val="20"/>
          <w:szCs w:val="20"/>
        </w:rPr>
        <w:t xml:space="preserve">argued </w:t>
      </w:r>
      <w:r w:rsidR="00F85D5F" w:rsidRPr="00C837DD">
        <w:rPr>
          <w:sz w:val="20"/>
          <w:szCs w:val="20"/>
        </w:rPr>
        <w:t xml:space="preserve">that this was not reflected exclusively in this case, but </w:t>
      </w:r>
      <w:r w:rsidR="00C17107">
        <w:rPr>
          <w:sz w:val="20"/>
          <w:szCs w:val="20"/>
        </w:rPr>
        <w:t xml:space="preserve">rather </w:t>
      </w:r>
      <w:r w:rsidRPr="00C837DD">
        <w:rPr>
          <w:sz w:val="20"/>
          <w:szCs w:val="20"/>
        </w:rPr>
        <w:t xml:space="preserve">in a </w:t>
      </w:r>
      <w:r w:rsidR="00F85D5F" w:rsidRPr="00C837DD">
        <w:rPr>
          <w:sz w:val="20"/>
          <w:szCs w:val="20"/>
        </w:rPr>
        <w:t>systematic</w:t>
      </w:r>
      <w:r w:rsidRPr="00C837DD">
        <w:rPr>
          <w:sz w:val="20"/>
          <w:szCs w:val="20"/>
        </w:rPr>
        <w:t xml:space="preserve"> manner</w:t>
      </w:r>
      <w:r w:rsidR="00F85D5F" w:rsidRPr="00C837DD">
        <w:rPr>
          <w:sz w:val="20"/>
          <w:szCs w:val="20"/>
        </w:rPr>
        <w:t xml:space="preserve">. It added that “it is a tolerance of </w:t>
      </w:r>
      <w:r w:rsidRPr="00C837DD">
        <w:rPr>
          <w:sz w:val="20"/>
          <w:szCs w:val="20"/>
        </w:rPr>
        <w:t xml:space="preserve">the entire </w:t>
      </w:r>
      <w:r w:rsidR="00F85D5F" w:rsidRPr="00C837DD">
        <w:rPr>
          <w:sz w:val="20"/>
          <w:szCs w:val="20"/>
        </w:rPr>
        <w:t>system, which only perpetuates the r</w:t>
      </w:r>
      <w:r w:rsidR="005A41ED" w:rsidRPr="00C837DD">
        <w:rPr>
          <w:sz w:val="20"/>
          <w:szCs w:val="20"/>
        </w:rPr>
        <w:t xml:space="preserve">oots </w:t>
      </w:r>
      <w:r w:rsidR="00F85D5F" w:rsidRPr="00C837DD">
        <w:rPr>
          <w:sz w:val="20"/>
          <w:szCs w:val="20"/>
        </w:rPr>
        <w:t>and the psychological, social and historical factors that perpetuate and feed violence against women.”</w:t>
      </w:r>
      <w:r w:rsidR="00F85D5F" w:rsidRPr="00C837DD">
        <w:rPr>
          <w:rStyle w:val="Refdenotaalpie"/>
          <w:sz w:val="20"/>
          <w:szCs w:val="20"/>
        </w:rPr>
        <w:footnoteReference w:id="180"/>
      </w:r>
      <w:r w:rsidR="00F85D5F" w:rsidRPr="00C837DD">
        <w:rPr>
          <w:sz w:val="20"/>
          <w:szCs w:val="20"/>
        </w:rPr>
        <w:t xml:space="preserve"> It concluded that the State failed in its obligation to prevent, investigate and punish violence against women.</w:t>
      </w:r>
    </w:p>
    <w:p w14:paraId="69BA3332" w14:textId="77777777" w:rsidR="00F85D5F" w:rsidRPr="00C837DD" w:rsidRDefault="00F85D5F" w:rsidP="00F85D5F">
      <w:pPr>
        <w:pStyle w:val="Prrafodelista"/>
        <w:tabs>
          <w:tab w:val="left" w:pos="142"/>
        </w:tabs>
        <w:ind w:left="0"/>
        <w:rPr>
          <w:sz w:val="20"/>
          <w:szCs w:val="20"/>
        </w:rPr>
      </w:pPr>
    </w:p>
    <w:p w14:paraId="274B0299" w14:textId="76735C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representatives</w:t>
      </w:r>
      <w:r w:rsidRPr="00C837DD">
        <w:rPr>
          <w:sz w:val="20"/>
          <w:szCs w:val="20"/>
        </w:rPr>
        <w:t xml:space="preserve"> a</w:t>
      </w:r>
      <w:r w:rsidR="00587574" w:rsidRPr="00C837DD">
        <w:rPr>
          <w:sz w:val="20"/>
          <w:szCs w:val="20"/>
        </w:rPr>
        <w:t xml:space="preserve">lleged </w:t>
      </w:r>
      <w:r w:rsidRPr="00C837DD">
        <w:rPr>
          <w:sz w:val="20"/>
          <w:szCs w:val="20"/>
        </w:rPr>
        <w:t xml:space="preserve">that, after the </w:t>
      </w:r>
      <w:r w:rsidR="00587574" w:rsidRPr="00C837DD">
        <w:rPr>
          <w:sz w:val="20"/>
          <w:szCs w:val="20"/>
        </w:rPr>
        <w:t xml:space="preserve">recognition </w:t>
      </w:r>
      <w:r w:rsidRPr="00C837DD">
        <w:rPr>
          <w:sz w:val="20"/>
          <w:szCs w:val="20"/>
        </w:rPr>
        <w:t xml:space="preserve">of the Court’s contentious jurisdiction, the State carried out certain actions and omissions that violated the rights of </w:t>
      </w:r>
      <w:r w:rsidR="00B8009F" w:rsidRPr="00C837DD">
        <w:rPr>
          <w:sz w:val="20"/>
          <w:szCs w:val="20"/>
        </w:rPr>
        <w:t>Márcia</w:t>
      </w:r>
      <w:r w:rsidRPr="00C837DD">
        <w:rPr>
          <w:sz w:val="20"/>
          <w:szCs w:val="20"/>
        </w:rPr>
        <w:t xml:space="preserve"> Barbosa de Souza and her next of kin. They </w:t>
      </w:r>
      <w:r w:rsidR="00587574" w:rsidRPr="00C837DD">
        <w:rPr>
          <w:sz w:val="20"/>
          <w:szCs w:val="20"/>
        </w:rPr>
        <w:t xml:space="preserve">specified </w:t>
      </w:r>
      <w:r w:rsidRPr="00C837DD">
        <w:rPr>
          <w:sz w:val="20"/>
          <w:szCs w:val="20"/>
        </w:rPr>
        <w:t xml:space="preserve">that the State violated the rights to judicial guarantees and judicial protection by a) </w:t>
      </w:r>
      <w:r w:rsidR="00FF25D8" w:rsidRPr="00C837DD">
        <w:rPr>
          <w:sz w:val="20"/>
          <w:szCs w:val="20"/>
        </w:rPr>
        <w:t xml:space="preserve">preventing </w:t>
      </w:r>
      <w:r w:rsidRPr="00C837DD">
        <w:rPr>
          <w:sz w:val="20"/>
          <w:szCs w:val="20"/>
        </w:rPr>
        <w:t xml:space="preserve">the investigation of Mr. Pereira de Lima’s responsibility through the </w:t>
      </w:r>
      <w:r w:rsidR="00FF25D8" w:rsidRPr="00C837DD">
        <w:rPr>
          <w:sz w:val="20"/>
          <w:szCs w:val="20"/>
        </w:rPr>
        <w:t xml:space="preserve">mechanism </w:t>
      </w:r>
      <w:r w:rsidRPr="00C837DD">
        <w:rPr>
          <w:sz w:val="20"/>
          <w:szCs w:val="20"/>
        </w:rPr>
        <w:t xml:space="preserve">of parliamentary immunity, which resulted in a delay in the criminal proceedings, </w:t>
      </w:r>
      <w:r w:rsidR="005A41ED" w:rsidRPr="00C837DD">
        <w:rPr>
          <w:sz w:val="20"/>
          <w:szCs w:val="20"/>
        </w:rPr>
        <w:t xml:space="preserve">which meant that </w:t>
      </w:r>
      <w:r w:rsidRPr="00C837DD">
        <w:rPr>
          <w:sz w:val="20"/>
          <w:szCs w:val="20"/>
        </w:rPr>
        <w:t xml:space="preserve">the then deputy </w:t>
      </w:r>
      <w:r w:rsidR="005A41ED" w:rsidRPr="00C837DD">
        <w:rPr>
          <w:sz w:val="20"/>
          <w:szCs w:val="20"/>
        </w:rPr>
        <w:t xml:space="preserve">was never punished for </w:t>
      </w:r>
      <w:r w:rsidRPr="00C837DD">
        <w:rPr>
          <w:sz w:val="20"/>
          <w:szCs w:val="20"/>
        </w:rPr>
        <w:t xml:space="preserve">the facts; b) </w:t>
      </w:r>
      <w:r w:rsidR="00FF25D8" w:rsidRPr="00C837DD">
        <w:rPr>
          <w:sz w:val="20"/>
          <w:szCs w:val="20"/>
        </w:rPr>
        <w:t xml:space="preserve">failing to </w:t>
      </w:r>
      <w:r w:rsidRPr="00C837DD">
        <w:rPr>
          <w:sz w:val="20"/>
          <w:szCs w:val="20"/>
        </w:rPr>
        <w:t xml:space="preserve">investigate all the suspects, even though there were indications of their </w:t>
      </w:r>
      <w:r w:rsidR="00FF25D8" w:rsidRPr="00C837DD">
        <w:rPr>
          <w:sz w:val="20"/>
          <w:szCs w:val="20"/>
        </w:rPr>
        <w:t>involvement</w:t>
      </w:r>
      <w:r w:rsidRPr="00C837DD">
        <w:rPr>
          <w:sz w:val="20"/>
          <w:szCs w:val="20"/>
        </w:rPr>
        <w:t xml:space="preserve">; and c) </w:t>
      </w:r>
      <w:r w:rsidR="00532802" w:rsidRPr="00C837DD">
        <w:rPr>
          <w:sz w:val="20"/>
          <w:szCs w:val="20"/>
        </w:rPr>
        <w:t xml:space="preserve">unjustifiably </w:t>
      </w:r>
      <w:r w:rsidRPr="00C837DD">
        <w:rPr>
          <w:sz w:val="20"/>
          <w:szCs w:val="20"/>
        </w:rPr>
        <w:t>delay</w:t>
      </w:r>
      <w:r w:rsidR="00FF25D8" w:rsidRPr="00C837DD">
        <w:rPr>
          <w:sz w:val="20"/>
          <w:szCs w:val="20"/>
        </w:rPr>
        <w:t xml:space="preserve">ing </w:t>
      </w:r>
      <w:r w:rsidRPr="00C837DD">
        <w:rPr>
          <w:sz w:val="20"/>
          <w:szCs w:val="20"/>
        </w:rPr>
        <w:t xml:space="preserve">the </w:t>
      </w:r>
      <w:r w:rsidR="00FF25D8" w:rsidRPr="00C837DD">
        <w:rPr>
          <w:sz w:val="20"/>
          <w:szCs w:val="20"/>
        </w:rPr>
        <w:t xml:space="preserve">processing of the </w:t>
      </w:r>
      <w:r w:rsidRPr="00C837DD">
        <w:rPr>
          <w:sz w:val="20"/>
          <w:szCs w:val="20"/>
        </w:rPr>
        <w:t>investigation</w:t>
      </w:r>
      <w:r w:rsidR="00FF25D8" w:rsidRPr="00C837DD">
        <w:rPr>
          <w:sz w:val="20"/>
          <w:szCs w:val="20"/>
        </w:rPr>
        <w:t>s</w:t>
      </w:r>
      <w:r w:rsidRPr="00C837DD">
        <w:rPr>
          <w:sz w:val="20"/>
          <w:szCs w:val="20"/>
        </w:rPr>
        <w:t xml:space="preserve">. </w:t>
      </w:r>
      <w:r w:rsidR="005A41ED" w:rsidRPr="00C837DD">
        <w:rPr>
          <w:sz w:val="20"/>
          <w:szCs w:val="20"/>
        </w:rPr>
        <w:t xml:space="preserve">They also pointed out </w:t>
      </w:r>
      <w:r w:rsidRPr="00C837DD">
        <w:rPr>
          <w:sz w:val="20"/>
          <w:szCs w:val="20"/>
        </w:rPr>
        <w:t xml:space="preserve">that parliamentary immunity </w:t>
      </w:r>
      <w:r w:rsidR="00FF25D8" w:rsidRPr="00C837DD">
        <w:rPr>
          <w:sz w:val="20"/>
          <w:szCs w:val="20"/>
        </w:rPr>
        <w:t xml:space="preserve">in this case </w:t>
      </w:r>
      <w:r w:rsidRPr="00C837DD">
        <w:rPr>
          <w:sz w:val="20"/>
          <w:szCs w:val="20"/>
        </w:rPr>
        <w:t>did not respect the principles of reasonableness and proportionality and its application ended up violating the rights of access to justice and judicial guarantees of the alleged victims. They argued that, despite multiple indic</w:t>
      </w:r>
      <w:r w:rsidR="00532802" w:rsidRPr="00C837DD">
        <w:rPr>
          <w:sz w:val="20"/>
          <w:szCs w:val="20"/>
        </w:rPr>
        <w:t>ations</w:t>
      </w:r>
      <w:r w:rsidRPr="00C837DD">
        <w:rPr>
          <w:sz w:val="20"/>
          <w:szCs w:val="20"/>
        </w:rPr>
        <w:t xml:space="preserve"> of the involvement of the then deputy Aércio Pereira </w:t>
      </w:r>
      <w:r w:rsidR="00C17107" w:rsidRPr="00C837DD">
        <w:rPr>
          <w:sz w:val="20"/>
          <w:szCs w:val="20"/>
        </w:rPr>
        <w:t xml:space="preserve">de Lima </w:t>
      </w:r>
      <w:r w:rsidRPr="00C837DD">
        <w:rPr>
          <w:sz w:val="20"/>
          <w:szCs w:val="20"/>
        </w:rPr>
        <w:t xml:space="preserve">in the murder of </w:t>
      </w:r>
      <w:r w:rsidR="00B8009F" w:rsidRPr="00C837DD">
        <w:rPr>
          <w:sz w:val="20"/>
          <w:szCs w:val="20"/>
        </w:rPr>
        <w:t>Márcia</w:t>
      </w:r>
      <w:r w:rsidRPr="00C837DD">
        <w:rPr>
          <w:sz w:val="20"/>
          <w:szCs w:val="20"/>
        </w:rPr>
        <w:t xml:space="preserve"> Barbosa de Souza, and despite the absence of political motivation behind the accusation, parliamentary immunity was applied to acts of the utmost </w:t>
      </w:r>
      <w:r w:rsidR="00532802" w:rsidRPr="00C837DD">
        <w:rPr>
          <w:sz w:val="20"/>
          <w:szCs w:val="20"/>
        </w:rPr>
        <w:t>gravity</w:t>
      </w:r>
      <w:r w:rsidRPr="00C837DD">
        <w:rPr>
          <w:sz w:val="20"/>
          <w:szCs w:val="20"/>
        </w:rPr>
        <w:t>, without respecting due process and without providing grounds for th</w:t>
      </w:r>
      <w:r w:rsidR="00C17107">
        <w:rPr>
          <w:sz w:val="20"/>
          <w:szCs w:val="20"/>
        </w:rPr>
        <w:t>at</w:t>
      </w:r>
      <w:r w:rsidRPr="00C837DD">
        <w:rPr>
          <w:sz w:val="20"/>
          <w:szCs w:val="20"/>
        </w:rPr>
        <w:t xml:space="preserve"> decision. They emphasized that, taking into account that </w:t>
      </w:r>
      <w:r w:rsidR="00532802" w:rsidRPr="00C837DD">
        <w:rPr>
          <w:sz w:val="20"/>
          <w:szCs w:val="20"/>
        </w:rPr>
        <w:t>the crime in this case is femicide, no exclusion of responsibility should be applicable.</w:t>
      </w:r>
      <w:r w:rsidR="00C17107">
        <w:rPr>
          <w:sz w:val="20"/>
          <w:szCs w:val="20"/>
        </w:rPr>
        <w:t xml:space="preserve"> </w:t>
      </w:r>
      <w:r w:rsidR="005A41ED" w:rsidRPr="00C837DD">
        <w:rPr>
          <w:sz w:val="20"/>
          <w:szCs w:val="20"/>
        </w:rPr>
        <w:t xml:space="preserve">They </w:t>
      </w:r>
      <w:r w:rsidR="009513A3" w:rsidRPr="00C837DD">
        <w:rPr>
          <w:sz w:val="20"/>
          <w:szCs w:val="20"/>
        </w:rPr>
        <w:t xml:space="preserve">also pointed out that the procedure established in Brazilian law </w:t>
      </w:r>
      <w:r w:rsidR="00170DED">
        <w:rPr>
          <w:sz w:val="20"/>
          <w:szCs w:val="20"/>
        </w:rPr>
        <w:t xml:space="preserve">for authorizing </w:t>
      </w:r>
      <w:r w:rsidRPr="00C837DD">
        <w:rPr>
          <w:sz w:val="20"/>
          <w:szCs w:val="20"/>
        </w:rPr>
        <w:t>the prosecution of the then deputy</w:t>
      </w:r>
      <w:r w:rsidR="00170DED">
        <w:rPr>
          <w:sz w:val="20"/>
          <w:szCs w:val="20"/>
        </w:rPr>
        <w:t xml:space="preserve"> </w:t>
      </w:r>
      <w:r w:rsidR="00170DED" w:rsidRPr="00C837DD">
        <w:rPr>
          <w:sz w:val="20"/>
          <w:szCs w:val="20"/>
        </w:rPr>
        <w:t>was not respected</w:t>
      </w:r>
      <w:r w:rsidRPr="00C837DD">
        <w:rPr>
          <w:sz w:val="20"/>
          <w:szCs w:val="20"/>
        </w:rPr>
        <w:t>.</w:t>
      </w:r>
    </w:p>
    <w:p w14:paraId="03AF5D9C" w14:textId="77777777" w:rsidR="00F85D5F" w:rsidRPr="00C837DD" w:rsidRDefault="00F85D5F" w:rsidP="00F85D5F">
      <w:pPr>
        <w:pStyle w:val="Prrafodelista"/>
        <w:tabs>
          <w:tab w:val="left" w:pos="142"/>
        </w:tabs>
        <w:ind w:left="0"/>
        <w:rPr>
          <w:sz w:val="20"/>
          <w:szCs w:val="20"/>
        </w:rPr>
      </w:pPr>
    </w:p>
    <w:p w14:paraId="79A6DBB9" w14:textId="503CF52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representatives also alleged the violation of Article 7 of the Convention of Belém do Pará in relation to Articles 8 and 25 of the American Convention. In this regard, they argued that, </w:t>
      </w:r>
      <w:r w:rsidR="00515CE7" w:rsidRPr="00C837DD">
        <w:rPr>
          <w:sz w:val="20"/>
          <w:szCs w:val="20"/>
        </w:rPr>
        <w:t xml:space="preserve">taking into account </w:t>
      </w:r>
      <w:r w:rsidRPr="00C837DD">
        <w:rPr>
          <w:sz w:val="20"/>
          <w:szCs w:val="20"/>
        </w:rPr>
        <w:t xml:space="preserve">that the case </w:t>
      </w:r>
      <w:r w:rsidRPr="00C837DD">
        <w:rPr>
          <w:i/>
          <w:sz w:val="20"/>
          <w:szCs w:val="20"/>
        </w:rPr>
        <w:t>sub judice</w:t>
      </w:r>
      <w:r w:rsidRPr="00C837DD">
        <w:rPr>
          <w:sz w:val="20"/>
          <w:szCs w:val="20"/>
        </w:rPr>
        <w:t xml:space="preserve"> concerns the murder of a young woman </w:t>
      </w:r>
      <w:r w:rsidR="00170DED">
        <w:rPr>
          <w:sz w:val="20"/>
          <w:szCs w:val="20"/>
        </w:rPr>
        <w:t xml:space="preserve">and involves </w:t>
      </w:r>
      <w:r w:rsidRPr="00C837DD">
        <w:rPr>
          <w:sz w:val="20"/>
          <w:szCs w:val="20"/>
        </w:rPr>
        <w:t xml:space="preserve">the participation of a </w:t>
      </w:r>
      <w:r w:rsidR="00515CE7" w:rsidRPr="00C837DD">
        <w:rPr>
          <w:sz w:val="20"/>
          <w:szCs w:val="20"/>
        </w:rPr>
        <w:t xml:space="preserve">high-ranking </w:t>
      </w:r>
      <w:r w:rsidRPr="00C837DD">
        <w:rPr>
          <w:sz w:val="20"/>
          <w:szCs w:val="20"/>
        </w:rPr>
        <w:t>State official, the authorities should have acted with special diligence and that this duty was further reinforced by the special obligations deriv</w:t>
      </w:r>
      <w:r w:rsidR="00515CE7" w:rsidRPr="00C837DD">
        <w:rPr>
          <w:sz w:val="20"/>
          <w:szCs w:val="20"/>
        </w:rPr>
        <w:t xml:space="preserve">ing </w:t>
      </w:r>
      <w:r w:rsidRPr="00C837DD">
        <w:rPr>
          <w:sz w:val="20"/>
          <w:szCs w:val="20"/>
        </w:rPr>
        <w:t xml:space="preserve">from the Convention of Belém do Pará. </w:t>
      </w:r>
    </w:p>
    <w:p w14:paraId="11482EF0" w14:textId="77777777" w:rsidR="00F85D5F" w:rsidRPr="00C837DD" w:rsidRDefault="00F85D5F" w:rsidP="00F85D5F">
      <w:pPr>
        <w:pStyle w:val="Prrafodelista"/>
        <w:tabs>
          <w:tab w:val="left" w:pos="142"/>
        </w:tabs>
        <w:ind w:left="0"/>
        <w:rPr>
          <w:sz w:val="20"/>
          <w:szCs w:val="20"/>
        </w:rPr>
      </w:pPr>
    </w:p>
    <w:p w14:paraId="193D61DD" w14:textId="7E29E06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State</w:t>
      </w:r>
      <w:r w:rsidRPr="00C837DD">
        <w:rPr>
          <w:sz w:val="20"/>
          <w:szCs w:val="20"/>
        </w:rPr>
        <w:t xml:space="preserve"> denied any violation of Articles 8 and 25 of the American Convention and Article 7 of the Convention of Belém do Pará, </w:t>
      </w:r>
      <w:r w:rsidR="00515CE7" w:rsidRPr="00C837DD">
        <w:rPr>
          <w:sz w:val="20"/>
          <w:szCs w:val="20"/>
        </w:rPr>
        <w:t xml:space="preserve">since it </w:t>
      </w:r>
      <w:r w:rsidRPr="00C837DD">
        <w:rPr>
          <w:sz w:val="20"/>
          <w:szCs w:val="20"/>
        </w:rPr>
        <w:t>consider</w:t>
      </w:r>
      <w:r w:rsidR="00515CE7" w:rsidRPr="00C837DD">
        <w:rPr>
          <w:sz w:val="20"/>
          <w:szCs w:val="20"/>
        </w:rPr>
        <w:t>ed</w:t>
      </w:r>
      <w:r w:rsidRPr="00C837DD">
        <w:rPr>
          <w:sz w:val="20"/>
          <w:szCs w:val="20"/>
        </w:rPr>
        <w:t xml:space="preserve"> that it had provided adequate and effective remedies for the protection of the rights allegedly violated, </w:t>
      </w:r>
      <w:r w:rsidR="00170DED">
        <w:rPr>
          <w:sz w:val="20"/>
          <w:szCs w:val="20"/>
        </w:rPr>
        <w:t xml:space="preserve">regarding </w:t>
      </w:r>
      <w:r w:rsidRPr="00C837DD">
        <w:rPr>
          <w:sz w:val="20"/>
          <w:szCs w:val="20"/>
        </w:rPr>
        <w:t xml:space="preserve">which </w:t>
      </w:r>
      <w:r w:rsidR="00E44A8F" w:rsidRPr="00C837DD">
        <w:rPr>
          <w:sz w:val="20"/>
          <w:szCs w:val="20"/>
        </w:rPr>
        <w:t xml:space="preserve">the regular </w:t>
      </w:r>
      <w:r w:rsidR="00170DED">
        <w:rPr>
          <w:sz w:val="20"/>
          <w:szCs w:val="20"/>
        </w:rPr>
        <w:t xml:space="preserve">procedure </w:t>
      </w:r>
      <w:r w:rsidR="00E44A8F" w:rsidRPr="00C837DD">
        <w:rPr>
          <w:sz w:val="20"/>
          <w:szCs w:val="20"/>
        </w:rPr>
        <w:t>was followed in the domestic jurisdiction.</w:t>
      </w:r>
      <w:r w:rsidRPr="00C837DD">
        <w:rPr>
          <w:sz w:val="20"/>
          <w:szCs w:val="20"/>
        </w:rPr>
        <w:t xml:space="preserve"> </w:t>
      </w:r>
      <w:r w:rsidR="00E17E85" w:rsidRPr="00C837DD">
        <w:rPr>
          <w:sz w:val="20"/>
          <w:szCs w:val="20"/>
        </w:rPr>
        <w:t xml:space="preserve">It emphasized </w:t>
      </w:r>
      <w:r w:rsidRPr="00C837DD">
        <w:rPr>
          <w:sz w:val="20"/>
          <w:szCs w:val="20"/>
        </w:rPr>
        <w:t xml:space="preserve">that </w:t>
      </w:r>
      <w:r w:rsidR="00B170FD" w:rsidRPr="00C837DD">
        <w:rPr>
          <w:sz w:val="20"/>
          <w:szCs w:val="20"/>
        </w:rPr>
        <w:t>there were no State acts intended to prevent access to these remedies or any undue delay in their processing</w:t>
      </w:r>
      <w:r w:rsidRPr="00C837DD">
        <w:rPr>
          <w:sz w:val="20"/>
          <w:szCs w:val="20"/>
        </w:rPr>
        <w:t xml:space="preserve">. </w:t>
      </w:r>
      <w:r w:rsidRPr="00C837DD">
        <w:rPr>
          <w:sz w:val="20"/>
          <w:szCs w:val="20"/>
        </w:rPr>
        <w:lastRenderedPageBreak/>
        <w:t>It added that the police investigation was c</w:t>
      </w:r>
      <w:r w:rsidR="00B170FD" w:rsidRPr="00C837DD">
        <w:rPr>
          <w:sz w:val="20"/>
          <w:szCs w:val="20"/>
        </w:rPr>
        <w:t xml:space="preserve">arried out quickly </w:t>
      </w:r>
      <w:r w:rsidRPr="00C837DD">
        <w:rPr>
          <w:sz w:val="20"/>
          <w:szCs w:val="20"/>
        </w:rPr>
        <w:t>and eff</w:t>
      </w:r>
      <w:r w:rsidR="00B170FD" w:rsidRPr="00C837DD">
        <w:rPr>
          <w:sz w:val="20"/>
          <w:szCs w:val="20"/>
        </w:rPr>
        <w:t>iciently</w:t>
      </w:r>
      <w:r w:rsidRPr="00C837DD">
        <w:rPr>
          <w:sz w:val="20"/>
          <w:szCs w:val="20"/>
        </w:rPr>
        <w:t xml:space="preserve">, using legal means to determine the conduct of the suspects. </w:t>
      </w:r>
      <w:r w:rsidR="00170DED">
        <w:rPr>
          <w:sz w:val="20"/>
          <w:szCs w:val="20"/>
        </w:rPr>
        <w:t>The State</w:t>
      </w:r>
      <w:r w:rsidR="00E17E85" w:rsidRPr="00C837DD">
        <w:rPr>
          <w:sz w:val="20"/>
          <w:szCs w:val="20"/>
        </w:rPr>
        <w:t xml:space="preserve"> argued </w:t>
      </w:r>
      <w:r w:rsidRPr="00C837DD">
        <w:rPr>
          <w:sz w:val="20"/>
          <w:szCs w:val="20"/>
        </w:rPr>
        <w:t xml:space="preserve">that </w:t>
      </w:r>
      <w:r w:rsidR="00E17E85" w:rsidRPr="00C837DD">
        <w:rPr>
          <w:sz w:val="20"/>
          <w:szCs w:val="20"/>
        </w:rPr>
        <w:t xml:space="preserve">it </w:t>
      </w:r>
      <w:r w:rsidR="005137C6" w:rsidRPr="00C837DD">
        <w:rPr>
          <w:sz w:val="20"/>
          <w:szCs w:val="20"/>
        </w:rPr>
        <w:t xml:space="preserve">had </w:t>
      </w:r>
      <w:r w:rsidR="00E17E85" w:rsidRPr="00C837DD">
        <w:rPr>
          <w:sz w:val="20"/>
          <w:szCs w:val="20"/>
        </w:rPr>
        <w:t xml:space="preserve">offered </w:t>
      </w:r>
      <w:r w:rsidR="00494FA6" w:rsidRPr="00C837DD">
        <w:rPr>
          <w:sz w:val="20"/>
          <w:szCs w:val="20"/>
        </w:rPr>
        <w:t>a</w:t>
      </w:r>
      <w:r w:rsidR="005137C6" w:rsidRPr="00C837DD">
        <w:rPr>
          <w:sz w:val="20"/>
          <w:szCs w:val="20"/>
        </w:rPr>
        <w:t>n effective</w:t>
      </w:r>
      <w:r w:rsidR="00494FA6" w:rsidRPr="00C837DD">
        <w:rPr>
          <w:sz w:val="20"/>
          <w:szCs w:val="20"/>
        </w:rPr>
        <w:t xml:space="preserve"> judicial response to</w:t>
      </w:r>
      <w:r w:rsidRPr="00C837DD">
        <w:rPr>
          <w:sz w:val="20"/>
          <w:szCs w:val="20"/>
        </w:rPr>
        <w:t xml:space="preserve"> the facts consider</w:t>
      </w:r>
      <w:r w:rsidR="00494FA6" w:rsidRPr="00C837DD">
        <w:rPr>
          <w:sz w:val="20"/>
          <w:szCs w:val="20"/>
        </w:rPr>
        <w:t xml:space="preserve">ed </w:t>
      </w:r>
      <w:r w:rsidR="00B170FD" w:rsidRPr="00C837DD">
        <w:rPr>
          <w:sz w:val="20"/>
          <w:szCs w:val="20"/>
        </w:rPr>
        <w:t xml:space="preserve">to be </w:t>
      </w:r>
      <w:r w:rsidRPr="00C837DD">
        <w:rPr>
          <w:sz w:val="20"/>
          <w:szCs w:val="20"/>
        </w:rPr>
        <w:t>violat</w:t>
      </w:r>
      <w:r w:rsidR="00494FA6" w:rsidRPr="00C837DD">
        <w:rPr>
          <w:sz w:val="20"/>
          <w:szCs w:val="20"/>
        </w:rPr>
        <w:t xml:space="preserve">ions </w:t>
      </w:r>
      <w:r w:rsidRPr="00C837DD">
        <w:rPr>
          <w:sz w:val="20"/>
          <w:szCs w:val="20"/>
        </w:rPr>
        <w:t xml:space="preserve">of the rights of </w:t>
      </w:r>
      <w:r w:rsidR="00B8009F" w:rsidRPr="00C837DD">
        <w:rPr>
          <w:sz w:val="20"/>
          <w:szCs w:val="20"/>
        </w:rPr>
        <w:t>Márcia</w:t>
      </w:r>
      <w:r w:rsidRPr="00C837DD">
        <w:rPr>
          <w:sz w:val="20"/>
          <w:szCs w:val="20"/>
        </w:rPr>
        <w:t xml:space="preserve"> Barbosa</w:t>
      </w:r>
      <w:r w:rsidR="00B170FD" w:rsidRPr="00C837DD">
        <w:rPr>
          <w:sz w:val="20"/>
          <w:szCs w:val="20"/>
        </w:rPr>
        <w:t>’s next of kin</w:t>
      </w:r>
      <w:r w:rsidR="00170DED">
        <w:rPr>
          <w:sz w:val="20"/>
          <w:szCs w:val="20"/>
        </w:rPr>
        <w:t>,</w:t>
      </w:r>
      <w:r w:rsidRPr="00C837DD">
        <w:rPr>
          <w:sz w:val="20"/>
          <w:szCs w:val="20"/>
        </w:rPr>
        <w:t xml:space="preserve"> inasmuch as the then deputy Aércio Pereira de Lima was convicted in September 2007</w:t>
      </w:r>
      <w:r w:rsidR="00B170FD" w:rsidRPr="00C837DD">
        <w:rPr>
          <w:sz w:val="20"/>
          <w:szCs w:val="20"/>
        </w:rPr>
        <w:t xml:space="preserve">, but did not serve his sentence only </w:t>
      </w:r>
      <w:r w:rsidRPr="00C837DD">
        <w:rPr>
          <w:sz w:val="20"/>
          <w:szCs w:val="20"/>
        </w:rPr>
        <w:t xml:space="preserve">due to his death in February of 2008, which </w:t>
      </w:r>
      <w:r w:rsidR="000D6896" w:rsidRPr="00C837DD">
        <w:rPr>
          <w:sz w:val="20"/>
          <w:szCs w:val="20"/>
        </w:rPr>
        <w:t xml:space="preserve">was </w:t>
      </w:r>
      <w:r w:rsidRPr="00C837DD">
        <w:rPr>
          <w:sz w:val="20"/>
          <w:szCs w:val="20"/>
        </w:rPr>
        <w:t>a</w:t>
      </w:r>
      <w:r w:rsidR="001949B6" w:rsidRPr="00C837DD">
        <w:rPr>
          <w:sz w:val="20"/>
          <w:szCs w:val="20"/>
        </w:rPr>
        <w:t>n</w:t>
      </w:r>
      <w:r w:rsidRPr="00C837DD">
        <w:rPr>
          <w:sz w:val="20"/>
          <w:szCs w:val="20"/>
        </w:rPr>
        <w:t xml:space="preserve"> event </w:t>
      </w:r>
      <w:r w:rsidR="00B170FD" w:rsidRPr="00C837DD">
        <w:rPr>
          <w:sz w:val="20"/>
          <w:szCs w:val="20"/>
        </w:rPr>
        <w:t xml:space="preserve">beyond its </w:t>
      </w:r>
      <w:r w:rsidR="006671B1" w:rsidRPr="00C837DD">
        <w:rPr>
          <w:sz w:val="20"/>
          <w:szCs w:val="20"/>
        </w:rPr>
        <w:t>control</w:t>
      </w:r>
      <w:r w:rsidR="000D6896" w:rsidRPr="00C837DD">
        <w:rPr>
          <w:sz w:val="20"/>
          <w:szCs w:val="20"/>
        </w:rPr>
        <w:t xml:space="preserve">. </w:t>
      </w:r>
      <w:r w:rsidR="005137C6" w:rsidRPr="00C837DD">
        <w:rPr>
          <w:sz w:val="20"/>
          <w:szCs w:val="20"/>
        </w:rPr>
        <w:t>As for the other defendants</w:t>
      </w:r>
      <w:r w:rsidRPr="00C837DD">
        <w:rPr>
          <w:sz w:val="20"/>
          <w:szCs w:val="20"/>
        </w:rPr>
        <w:t xml:space="preserve">, </w:t>
      </w:r>
      <w:r w:rsidR="000D6896" w:rsidRPr="00C837DD">
        <w:rPr>
          <w:sz w:val="20"/>
          <w:szCs w:val="20"/>
        </w:rPr>
        <w:t>it a</w:t>
      </w:r>
      <w:r w:rsidR="005137C6" w:rsidRPr="00C837DD">
        <w:rPr>
          <w:sz w:val="20"/>
          <w:szCs w:val="20"/>
        </w:rPr>
        <w:t xml:space="preserve">lleged </w:t>
      </w:r>
      <w:r w:rsidRPr="00C837DD">
        <w:rPr>
          <w:sz w:val="20"/>
          <w:szCs w:val="20"/>
        </w:rPr>
        <w:t xml:space="preserve">that </w:t>
      </w:r>
      <w:r w:rsidR="005137C6" w:rsidRPr="00C837DD">
        <w:rPr>
          <w:sz w:val="20"/>
          <w:szCs w:val="20"/>
        </w:rPr>
        <w:t>there was a diligent investigation, but that the prosecutor in charge of the case understood that there was insufficient evidence of their participation</w:t>
      </w:r>
      <w:r w:rsidRPr="00C837DD">
        <w:rPr>
          <w:sz w:val="20"/>
          <w:szCs w:val="20"/>
        </w:rPr>
        <w:t xml:space="preserve">, </w:t>
      </w:r>
      <w:r w:rsidR="005137C6" w:rsidRPr="00C837DD">
        <w:rPr>
          <w:sz w:val="20"/>
          <w:szCs w:val="20"/>
        </w:rPr>
        <w:t>so he requested that the police investigation file be closed due to lack of evidence</w:t>
      </w:r>
      <w:r w:rsidRPr="00C837DD">
        <w:rPr>
          <w:sz w:val="20"/>
          <w:szCs w:val="20"/>
        </w:rPr>
        <w:t xml:space="preserve">. </w:t>
      </w:r>
      <w:r w:rsidR="00E17E85" w:rsidRPr="00C837DD">
        <w:rPr>
          <w:sz w:val="20"/>
          <w:szCs w:val="20"/>
        </w:rPr>
        <w:t xml:space="preserve">It affirmed </w:t>
      </w:r>
      <w:r w:rsidRPr="00C837DD">
        <w:rPr>
          <w:sz w:val="20"/>
          <w:szCs w:val="20"/>
        </w:rPr>
        <w:t xml:space="preserve">that </w:t>
      </w:r>
      <w:r w:rsidR="009718B9" w:rsidRPr="00C837DD">
        <w:rPr>
          <w:sz w:val="20"/>
          <w:szCs w:val="20"/>
        </w:rPr>
        <w:t xml:space="preserve">the mechanism of </w:t>
      </w:r>
      <w:r w:rsidRPr="00C837DD">
        <w:rPr>
          <w:sz w:val="20"/>
          <w:szCs w:val="20"/>
        </w:rPr>
        <w:t xml:space="preserve">parliamentary immunity </w:t>
      </w:r>
      <w:r w:rsidR="000D6896" w:rsidRPr="00C837DD">
        <w:rPr>
          <w:sz w:val="20"/>
          <w:szCs w:val="20"/>
        </w:rPr>
        <w:t xml:space="preserve">was not </w:t>
      </w:r>
      <w:r w:rsidR="00DF7273" w:rsidRPr="00C837DD">
        <w:rPr>
          <w:sz w:val="20"/>
          <w:szCs w:val="20"/>
        </w:rPr>
        <w:t xml:space="preserve">used </w:t>
      </w:r>
      <w:r w:rsidRPr="00C837DD">
        <w:rPr>
          <w:sz w:val="20"/>
          <w:szCs w:val="20"/>
        </w:rPr>
        <w:t xml:space="preserve">in order to </w:t>
      </w:r>
      <w:r w:rsidR="009718B9" w:rsidRPr="00C837DD">
        <w:rPr>
          <w:sz w:val="20"/>
          <w:szCs w:val="20"/>
        </w:rPr>
        <w:t xml:space="preserve">unreasonably </w:t>
      </w:r>
      <w:r w:rsidRPr="00C837DD">
        <w:rPr>
          <w:sz w:val="20"/>
          <w:szCs w:val="20"/>
        </w:rPr>
        <w:t>obstruct or delay the investigation. I</w:t>
      </w:r>
      <w:r w:rsidR="009718B9" w:rsidRPr="00C837DD">
        <w:rPr>
          <w:sz w:val="20"/>
          <w:szCs w:val="20"/>
        </w:rPr>
        <w:t>t i</w:t>
      </w:r>
      <w:r w:rsidRPr="00C837DD">
        <w:rPr>
          <w:sz w:val="20"/>
          <w:szCs w:val="20"/>
        </w:rPr>
        <w:t xml:space="preserve">ndicated that the </w:t>
      </w:r>
      <w:r w:rsidR="009718B9" w:rsidRPr="00C837DD">
        <w:rPr>
          <w:sz w:val="20"/>
          <w:szCs w:val="20"/>
        </w:rPr>
        <w:t xml:space="preserve">amendment of </w:t>
      </w:r>
      <w:r w:rsidRPr="00C837DD">
        <w:rPr>
          <w:sz w:val="20"/>
          <w:szCs w:val="20"/>
        </w:rPr>
        <w:t>the constitutional provision in 2001, related to parliame</w:t>
      </w:r>
      <w:r w:rsidR="00B47C3B" w:rsidRPr="00C837DD">
        <w:rPr>
          <w:sz w:val="20"/>
          <w:szCs w:val="20"/>
        </w:rPr>
        <w:t xml:space="preserve">ntary immunity, is </w:t>
      </w:r>
      <w:r w:rsidR="009718B9" w:rsidRPr="00C837DD">
        <w:rPr>
          <w:sz w:val="20"/>
          <w:szCs w:val="20"/>
        </w:rPr>
        <w:t xml:space="preserve">fully </w:t>
      </w:r>
      <w:r w:rsidRPr="00C837DD">
        <w:rPr>
          <w:sz w:val="20"/>
          <w:szCs w:val="20"/>
        </w:rPr>
        <w:t>cons</w:t>
      </w:r>
      <w:r w:rsidR="00B47C3B" w:rsidRPr="00C837DD">
        <w:rPr>
          <w:sz w:val="20"/>
          <w:szCs w:val="20"/>
        </w:rPr>
        <w:t xml:space="preserve">istent </w:t>
      </w:r>
      <w:r w:rsidRPr="00C837DD">
        <w:rPr>
          <w:sz w:val="20"/>
          <w:szCs w:val="20"/>
        </w:rPr>
        <w:t xml:space="preserve">with Article 2 of the American Convention and, therefore, the State adapted its domestic </w:t>
      </w:r>
      <w:r w:rsidR="00494FA6" w:rsidRPr="00C837DD">
        <w:rPr>
          <w:sz w:val="20"/>
          <w:szCs w:val="20"/>
        </w:rPr>
        <w:t>laws on this matter with</w:t>
      </w:r>
      <w:r w:rsidRPr="00C837DD">
        <w:rPr>
          <w:sz w:val="20"/>
          <w:szCs w:val="20"/>
        </w:rPr>
        <w:t xml:space="preserve">in a reasonable time. </w:t>
      </w:r>
      <w:r w:rsidR="000D6896" w:rsidRPr="00C837DD">
        <w:rPr>
          <w:sz w:val="20"/>
          <w:szCs w:val="20"/>
        </w:rPr>
        <w:t xml:space="preserve">It </w:t>
      </w:r>
      <w:r w:rsidR="00986E2C" w:rsidRPr="00C837DD">
        <w:rPr>
          <w:sz w:val="20"/>
          <w:szCs w:val="20"/>
        </w:rPr>
        <w:t xml:space="preserve">explained </w:t>
      </w:r>
      <w:r w:rsidRPr="00C837DD">
        <w:rPr>
          <w:sz w:val="20"/>
          <w:szCs w:val="20"/>
        </w:rPr>
        <w:t xml:space="preserve">that </w:t>
      </w:r>
      <w:r w:rsidR="009718B9" w:rsidRPr="00C837DD">
        <w:rPr>
          <w:sz w:val="20"/>
          <w:szCs w:val="20"/>
        </w:rPr>
        <w:t xml:space="preserve">procedural </w:t>
      </w:r>
      <w:r w:rsidR="003F18B3" w:rsidRPr="00C837DD">
        <w:rPr>
          <w:sz w:val="20"/>
          <w:szCs w:val="20"/>
        </w:rPr>
        <w:t xml:space="preserve">parliamentary </w:t>
      </w:r>
      <w:r w:rsidR="00B47C3B" w:rsidRPr="00C837DD">
        <w:rPr>
          <w:sz w:val="20"/>
          <w:szCs w:val="20"/>
        </w:rPr>
        <w:t xml:space="preserve">immunity merely </w:t>
      </w:r>
      <w:r w:rsidR="009718B9" w:rsidRPr="00C837DD">
        <w:rPr>
          <w:sz w:val="20"/>
          <w:szCs w:val="20"/>
        </w:rPr>
        <w:t xml:space="preserve">implies </w:t>
      </w:r>
      <w:r w:rsidRPr="00C837DD">
        <w:rPr>
          <w:sz w:val="20"/>
          <w:szCs w:val="20"/>
        </w:rPr>
        <w:t xml:space="preserve">the suspension of the determination of responsibility for </w:t>
      </w:r>
      <w:r w:rsidR="009718B9" w:rsidRPr="00C837DD">
        <w:rPr>
          <w:sz w:val="20"/>
          <w:szCs w:val="20"/>
        </w:rPr>
        <w:t xml:space="preserve">a </w:t>
      </w:r>
      <w:r w:rsidRPr="00C837DD">
        <w:rPr>
          <w:sz w:val="20"/>
          <w:szCs w:val="20"/>
        </w:rPr>
        <w:t>possible crime until the conclusion of the electoral mandate or the granting of authorization by the corresponding Parliamentary Chambe</w:t>
      </w:r>
      <w:r w:rsidR="001949B6" w:rsidRPr="00C837DD">
        <w:rPr>
          <w:sz w:val="20"/>
          <w:szCs w:val="20"/>
        </w:rPr>
        <w:t>r, and that, during that period</w:t>
      </w:r>
      <w:r w:rsidRPr="00C837DD">
        <w:rPr>
          <w:sz w:val="20"/>
          <w:szCs w:val="20"/>
        </w:rPr>
        <w:t xml:space="preserve">, the </w:t>
      </w:r>
      <w:r w:rsidR="00A776FA" w:rsidRPr="00C837DD">
        <w:rPr>
          <w:sz w:val="20"/>
          <w:szCs w:val="20"/>
        </w:rPr>
        <w:t xml:space="preserve">statute of limitations </w:t>
      </w:r>
      <w:r w:rsidR="001949B6" w:rsidRPr="00C837DD">
        <w:rPr>
          <w:sz w:val="20"/>
          <w:szCs w:val="20"/>
        </w:rPr>
        <w:t xml:space="preserve">of the </w:t>
      </w:r>
      <w:r w:rsidRPr="00C837DD">
        <w:rPr>
          <w:sz w:val="20"/>
          <w:szCs w:val="20"/>
        </w:rPr>
        <w:t>crime is also suspended.</w:t>
      </w:r>
      <w:r w:rsidRPr="00C837DD">
        <w:rPr>
          <w:b/>
          <w:sz w:val="20"/>
          <w:szCs w:val="20"/>
        </w:rPr>
        <w:t xml:space="preserve"> </w:t>
      </w:r>
      <w:r w:rsidR="00986E2C" w:rsidRPr="00C837DD">
        <w:rPr>
          <w:bCs/>
          <w:sz w:val="20"/>
          <w:szCs w:val="20"/>
        </w:rPr>
        <w:t>Regarding the matter of</w:t>
      </w:r>
      <w:r w:rsidR="00986E2C" w:rsidRPr="00C837DD">
        <w:rPr>
          <w:b/>
          <w:sz w:val="20"/>
          <w:szCs w:val="20"/>
        </w:rPr>
        <w:t xml:space="preserve"> </w:t>
      </w:r>
      <w:r w:rsidRPr="00C837DD">
        <w:rPr>
          <w:sz w:val="20"/>
          <w:szCs w:val="20"/>
        </w:rPr>
        <w:t>r</w:t>
      </w:r>
      <w:r w:rsidR="000D6896" w:rsidRPr="00C837DD">
        <w:rPr>
          <w:sz w:val="20"/>
          <w:szCs w:val="20"/>
        </w:rPr>
        <w:t xml:space="preserve">easonable time, </w:t>
      </w:r>
      <w:r w:rsidR="00986E2C" w:rsidRPr="00C837DD">
        <w:rPr>
          <w:sz w:val="20"/>
          <w:szCs w:val="20"/>
        </w:rPr>
        <w:t xml:space="preserve">it pointed out </w:t>
      </w:r>
      <w:r w:rsidR="000D6896" w:rsidRPr="00C837DD">
        <w:rPr>
          <w:sz w:val="20"/>
          <w:szCs w:val="20"/>
        </w:rPr>
        <w:t xml:space="preserve">that the judicial procedure for </w:t>
      </w:r>
      <w:r w:rsidR="00986E2C" w:rsidRPr="00C837DD">
        <w:rPr>
          <w:sz w:val="20"/>
          <w:szCs w:val="20"/>
        </w:rPr>
        <w:t xml:space="preserve">intentional </w:t>
      </w:r>
      <w:r w:rsidRPr="00C837DD">
        <w:rPr>
          <w:sz w:val="20"/>
          <w:szCs w:val="20"/>
        </w:rPr>
        <w:t>crimes against life is more complex</w:t>
      </w:r>
      <w:r w:rsidR="00170DED">
        <w:rPr>
          <w:sz w:val="20"/>
          <w:szCs w:val="20"/>
        </w:rPr>
        <w:t>.</w:t>
      </w:r>
      <w:r w:rsidRPr="00C837DD">
        <w:rPr>
          <w:sz w:val="20"/>
          <w:szCs w:val="20"/>
        </w:rPr>
        <w:t xml:space="preserve"> and therefore </w:t>
      </w:r>
      <w:r w:rsidR="00986E2C" w:rsidRPr="00C837DD">
        <w:rPr>
          <w:sz w:val="20"/>
          <w:szCs w:val="20"/>
        </w:rPr>
        <w:t xml:space="preserve">takes </w:t>
      </w:r>
      <w:r w:rsidRPr="00C837DD">
        <w:rPr>
          <w:sz w:val="20"/>
          <w:szCs w:val="20"/>
        </w:rPr>
        <w:t xml:space="preserve">a little longer. In this </w:t>
      </w:r>
      <w:r w:rsidR="00986E2C" w:rsidRPr="00C837DD">
        <w:rPr>
          <w:sz w:val="20"/>
          <w:szCs w:val="20"/>
        </w:rPr>
        <w:t>regard</w:t>
      </w:r>
      <w:r w:rsidRPr="00C837DD">
        <w:rPr>
          <w:sz w:val="20"/>
          <w:szCs w:val="20"/>
        </w:rPr>
        <w:t xml:space="preserve">, it argued that, in the present case, </w:t>
      </w:r>
      <w:r w:rsidR="00986E2C" w:rsidRPr="00C837DD">
        <w:rPr>
          <w:sz w:val="20"/>
          <w:szCs w:val="20"/>
        </w:rPr>
        <w:t xml:space="preserve">said </w:t>
      </w:r>
      <w:r w:rsidRPr="00C837DD">
        <w:rPr>
          <w:sz w:val="20"/>
          <w:szCs w:val="20"/>
        </w:rPr>
        <w:t xml:space="preserve">procedure was </w:t>
      </w:r>
      <w:r w:rsidR="000D6896" w:rsidRPr="00C837DD">
        <w:rPr>
          <w:sz w:val="20"/>
          <w:szCs w:val="20"/>
        </w:rPr>
        <w:t xml:space="preserve">duly </w:t>
      </w:r>
      <w:r w:rsidRPr="00C837DD">
        <w:rPr>
          <w:sz w:val="20"/>
          <w:szCs w:val="20"/>
        </w:rPr>
        <w:t xml:space="preserve">observed and </w:t>
      </w:r>
      <w:r w:rsidR="000102B4">
        <w:rPr>
          <w:sz w:val="20"/>
          <w:szCs w:val="20"/>
        </w:rPr>
        <w:t xml:space="preserve">that </w:t>
      </w:r>
      <w:r w:rsidRPr="00C837DD">
        <w:rPr>
          <w:sz w:val="20"/>
          <w:szCs w:val="20"/>
        </w:rPr>
        <w:t xml:space="preserve">all procedural guarantees </w:t>
      </w:r>
      <w:r w:rsidR="000D6896" w:rsidRPr="00C837DD">
        <w:rPr>
          <w:sz w:val="20"/>
          <w:szCs w:val="20"/>
        </w:rPr>
        <w:t xml:space="preserve">were </w:t>
      </w:r>
      <w:r w:rsidRPr="00C837DD">
        <w:rPr>
          <w:sz w:val="20"/>
          <w:szCs w:val="20"/>
        </w:rPr>
        <w:t>respected</w:t>
      </w:r>
      <w:r w:rsidR="000102B4">
        <w:rPr>
          <w:sz w:val="20"/>
          <w:szCs w:val="20"/>
        </w:rPr>
        <w:t>. Thus,</w:t>
      </w:r>
      <w:r w:rsidRPr="00C837DD">
        <w:rPr>
          <w:sz w:val="20"/>
          <w:szCs w:val="20"/>
        </w:rPr>
        <w:t xml:space="preserve"> the criminal action followed its regular course </w:t>
      </w:r>
      <w:r w:rsidR="00986E2C" w:rsidRPr="00C837DD">
        <w:rPr>
          <w:sz w:val="20"/>
          <w:szCs w:val="20"/>
        </w:rPr>
        <w:t>with</w:t>
      </w:r>
      <w:r w:rsidRPr="00C837DD">
        <w:rPr>
          <w:sz w:val="20"/>
          <w:szCs w:val="20"/>
        </w:rPr>
        <w:t xml:space="preserve">in a reasonable </w:t>
      </w:r>
      <w:r w:rsidR="00986E2C" w:rsidRPr="00C837DD">
        <w:rPr>
          <w:sz w:val="20"/>
          <w:szCs w:val="20"/>
        </w:rPr>
        <w:t>period</w:t>
      </w:r>
      <w:r w:rsidRPr="00C837DD">
        <w:rPr>
          <w:sz w:val="20"/>
          <w:szCs w:val="20"/>
        </w:rPr>
        <w:t>. It further argued that there is no information t</w:t>
      </w:r>
      <w:r w:rsidR="003F18B3" w:rsidRPr="00C837DD">
        <w:rPr>
          <w:sz w:val="20"/>
          <w:szCs w:val="20"/>
        </w:rPr>
        <w:t>o the effect t</w:t>
      </w:r>
      <w:r w:rsidRPr="00C837DD">
        <w:rPr>
          <w:sz w:val="20"/>
          <w:szCs w:val="20"/>
        </w:rPr>
        <w:t>hat the representatives or the alleged victims ha</w:t>
      </w:r>
      <w:r w:rsidR="003F18B3" w:rsidRPr="00C837DD">
        <w:rPr>
          <w:sz w:val="20"/>
          <w:szCs w:val="20"/>
        </w:rPr>
        <w:t>ve</w:t>
      </w:r>
      <w:r w:rsidR="000D6896" w:rsidRPr="00C837DD">
        <w:rPr>
          <w:sz w:val="20"/>
          <w:szCs w:val="20"/>
        </w:rPr>
        <w:t xml:space="preserve"> </w:t>
      </w:r>
      <w:r w:rsidRPr="00C837DD">
        <w:rPr>
          <w:sz w:val="20"/>
          <w:szCs w:val="20"/>
        </w:rPr>
        <w:t xml:space="preserve">questioned the </w:t>
      </w:r>
      <w:r w:rsidR="003F18B3" w:rsidRPr="00C837DD">
        <w:rPr>
          <w:sz w:val="20"/>
          <w:szCs w:val="20"/>
        </w:rPr>
        <w:t xml:space="preserve">legitimacy </w:t>
      </w:r>
      <w:r w:rsidR="000D6896" w:rsidRPr="00C837DD">
        <w:rPr>
          <w:sz w:val="20"/>
          <w:szCs w:val="20"/>
        </w:rPr>
        <w:t xml:space="preserve">of the </w:t>
      </w:r>
      <w:r w:rsidRPr="00C837DD">
        <w:rPr>
          <w:sz w:val="20"/>
          <w:szCs w:val="20"/>
        </w:rPr>
        <w:t xml:space="preserve">criminal proceedings before the </w:t>
      </w:r>
      <w:r w:rsidR="00B47C3B" w:rsidRPr="00C837DD">
        <w:rPr>
          <w:sz w:val="20"/>
          <w:szCs w:val="20"/>
        </w:rPr>
        <w:t xml:space="preserve">domestic </w:t>
      </w:r>
      <w:r w:rsidRPr="00C837DD">
        <w:rPr>
          <w:sz w:val="20"/>
          <w:szCs w:val="20"/>
        </w:rPr>
        <w:t xml:space="preserve">judicial </w:t>
      </w:r>
      <w:r w:rsidR="000D6896" w:rsidRPr="00C837DD">
        <w:rPr>
          <w:sz w:val="20"/>
          <w:szCs w:val="20"/>
        </w:rPr>
        <w:t xml:space="preserve">or administrative </w:t>
      </w:r>
      <w:r w:rsidR="00B47C3B" w:rsidRPr="00C837DD">
        <w:rPr>
          <w:sz w:val="20"/>
          <w:szCs w:val="20"/>
        </w:rPr>
        <w:t>courts</w:t>
      </w:r>
      <w:r w:rsidRPr="00C837DD">
        <w:rPr>
          <w:sz w:val="20"/>
          <w:szCs w:val="20"/>
        </w:rPr>
        <w:t>.</w:t>
      </w:r>
    </w:p>
    <w:p w14:paraId="62E0295C" w14:textId="77777777" w:rsidR="00F85D5F" w:rsidRPr="00C837DD" w:rsidRDefault="00F85D5F" w:rsidP="00F85D5F">
      <w:pPr>
        <w:pStyle w:val="Textoindependiente"/>
        <w:tabs>
          <w:tab w:val="left" w:pos="142"/>
        </w:tabs>
      </w:pPr>
    </w:p>
    <w:p w14:paraId="4C9F929A" w14:textId="77777777" w:rsidR="00F85D5F" w:rsidRPr="00C837DD" w:rsidRDefault="00F85D5F" w:rsidP="00F85D5F">
      <w:pPr>
        <w:pStyle w:val="Ttulo2"/>
        <w:numPr>
          <w:ilvl w:val="1"/>
          <w:numId w:val="22"/>
        </w:numPr>
        <w:ind w:left="1134" w:hanging="567"/>
        <w:rPr>
          <w:lang w:val="en-US"/>
        </w:rPr>
      </w:pPr>
      <w:bookmarkStart w:id="72" w:name="_bookmark109"/>
      <w:bookmarkStart w:id="73" w:name="_Toc85001886"/>
      <w:bookmarkEnd w:id="72"/>
      <w:r w:rsidRPr="00C837DD">
        <w:rPr>
          <w:lang w:val="en-US"/>
        </w:rPr>
        <w:t>Considerations of the Court</w:t>
      </w:r>
      <w:bookmarkEnd w:id="73"/>
    </w:p>
    <w:p w14:paraId="20C7F22B" w14:textId="77777777" w:rsidR="00F85D5F" w:rsidRPr="00C837DD" w:rsidRDefault="00F85D5F" w:rsidP="00F85D5F">
      <w:pPr>
        <w:pStyle w:val="Textoindependiente"/>
        <w:tabs>
          <w:tab w:val="left" w:pos="142"/>
        </w:tabs>
      </w:pPr>
    </w:p>
    <w:p w14:paraId="31A21564" w14:textId="7B1BED8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w:t>
      </w:r>
      <w:r w:rsidR="00B47C3B" w:rsidRPr="00C837DD">
        <w:rPr>
          <w:sz w:val="20"/>
          <w:szCs w:val="20"/>
        </w:rPr>
        <w:t xml:space="preserve">aking into </w:t>
      </w:r>
      <w:r w:rsidRPr="00C837DD">
        <w:rPr>
          <w:sz w:val="20"/>
          <w:szCs w:val="20"/>
        </w:rPr>
        <w:t>consideration the arguments presented by the parties and the Commissio</w:t>
      </w:r>
      <w:r w:rsidR="001949B6" w:rsidRPr="00C837DD">
        <w:rPr>
          <w:sz w:val="20"/>
          <w:szCs w:val="20"/>
        </w:rPr>
        <w:t xml:space="preserve">n, as well as the facts of the </w:t>
      </w:r>
      <w:r w:rsidRPr="00C837DD">
        <w:rPr>
          <w:sz w:val="20"/>
          <w:szCs w:val="20"/>
        </w:rPr>
        <w:t xml:space="preserve">case and the evidence in the </w:t>
      </w:r>
      <w:r w:rsidR="003F18B3" w:rsidRPr="00C837DD">
        <w:rPr>
          <w:sz w:val="20"/>
          <w:szCs w:val="20"/>
        </w:rPr>
        <w:t xml:space="preserve">case </w:t>
      </w:r>
      <w:r w:rsidRPr="00C837DD">
        <w:rPr>
          <w:sz w:val="20"/>
          <w:szCs w:val="20"/>
        </w:rPr>
        <w:t xml:space="preserve">file, the Court will now refer to: 1) the alleged </w:t>
      </w:r>
      <w:r w:rsidR="000102B4">
        <w:rPr>
          <w:sz w:val="20"/>
          <w:szCs w:val="20"/>
        </w:rPr>
        <w:t xml:space="preserve">wrongful </w:t>
      </w:r>
      <w:r w:rsidRPr="00C837DD">
        <w:rPr>
          <w:sz w:val="20"/>
          <w:szCs w:val="20"/>
        </w:rPr>
        <w:t>application of parliamentary immunity; 2) the alleged lack of due diligence in the investigation o</w:t>
      </w:r>
      <w:r w:rsidR="003F18B3" w:rsidRPr="00C837DD">
        <w:rPr>
          <w:sz w:val="20"/>
          <w:szCs w:val="20"/>
        </w:rPr>
        <w:t>f</w:t>
      </w:r>
      <w:r w:rsidRPr="00C837DD">
        <w:rPr>
          <w:sz w:val="20"/>
          <w:szCs w:val="20"/>
        </w:rPr>
        <w:t xml:space="preserve"> the other suspects; 3) the alleged violation of the guarantee </w:t>
      </w:r>
      <w:r w:rsidR="003F18B3" w:rsidRPr="00C837DD">
        <w:rPr>
          <w:sz w:val="20"/>
          <w:szCs w:val="20"/>
        </w:rPr>
        <w:t xml:space="preserve">of </w:t>
      </w:r>
      <w:r w:rsidRPr="00C837DD">
        <w:rPr>
          <w:sz w:val="20"/>
          <w:szCs w:val="20"/>
        </w:rPr>
        <w:t>reasonable time; 4) the alleged u</w:t>
      </w:r>
      <w:r w:rsidR="003F18B3" w:rsidRPr="00C837DD">
        <w:rPr>
          <w:sz w:val="20"/>
          <w:szCs w:val="20"/>
        </w:rPr>
        <w:t xml:space="preserve">se </w:t>
      </w:r>
      <w:r w:rsidRPr="00C837DD">
        <w:rPr>
          <w:sz w:val="20"/>
          <w:szCs w:val="20"/>
        </w:rPr>
        <w:t>of gender stereotypes in the investigations</w:t>
      </w:r>
      <w:r w:rsidR="0085522C" w:rsidRPr="00C837DD">
        <w:rPr>
          <w:sz w:val="20"/>
          <w:szCs w:val="20"/>
        </w:rPr>
        <w:t>;</w:t>
      </w:r>
      <w:r w:rsidRPr="00C837DD">
        <w:rPr>
          <w:sz w:val="20"/>
          <w:szCs w:val="20"/>
        </w:rPr>
        <w:t xml:space="preserve"> and 5) conclusion.</w:t>
      </w:r>
    </w:p>
    <w:p w14:paraId="321B78E4" w14:textId="77777777" w:rsidR="00F85D5F" w:rsidRPr="00C837DD" w:rsidRDefault="00F85D5F" w:rsidP="00F85D5F">
      <w:pPr>
        <w:pStyle w:val="Prrafodelista"/>
        <w:tabs>
          <w:tab w:val="left" w:pos="142"/>
        </w:tabs>
        <w:ind w:left="0"/>
        <w:rPr>
          <w:sz w:val="20"/>
          <w:szCs w:val="20"/>
        </w:rPr>
      </w:pPr>
    </w:p>
    <w:p w14:paraId="62F99B51" w14:textId="636DE805" w:rsidR="00F85D5F" w:rsidRPr="00C837DD" w:rsidRDefault="00F85D5F" w:rsidP="00F85D5F">
      <w:pPr>
        <w:pStyle w:val="Ttulo4"/>
        <w:numPr>
          <w:ilvl w:val="0"/>
          <w:numId w:val="31"/>
        </w:numPr>
        <w:ind w:left="1560" w:hanging="709"/>
        <w:rPr>
          <w:lang w:val="en-US"/>
        </w:rPr>
      </w:pPr>
      <w:bookmarkStart w:id="74" w:name="_Toc85001887"/>
      <w:r w:rsidRPr="00C837DD">
        <w:rPr>
          <w:lang w:val="en-US"/>
        </w:rPr>
        <w:t xml:space="preserve">The alleged </w:t>
      </w:r>
      <w:r w:rsidR="0085522C" w:rsidRPr="00C837DD">
        <w:rPr>
          <w:lang w:val="en-US"/>
        </w:rPr>
        <w:t xml:space="preserve">wrongful </w:t>
      </w:r>
      <w:r w:rsidRPr="00C837DD">
        <w:rPr>
          <w:lang w:val="en-US"/>
        </w:rPr>
        <w:t>application of parliamentary immunity</w:t>
      </w:r>
      <w:bookmarkEnd w:id="74"/>
    </w:p>
    <w:p w14:paraId="1CC86020" w14:textId="77777777" w:rsidR="00F85D5F" w:rsidRPr="00C837DD" w:rsidRDefault="00F85D5F" w:rsidP="00F85D5F">
      <w:pPr>
        <w:tabs>
          <w:tab w:val="left" w:pos="142"/>
        </w:tabs>
        <w:jc w:val="both"/>
        <w:rPr>
          <w:sz w:val="20"/>
          <w:szCs w:val="20"/>
        </w:rPr>
      </w:pPr>
    </w:p>
    <w:p w14:paraId="4E1C5C1A" w14:textId="7975260B"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Bearing in mind that this is the first time that this Court </w:t>
      </w:r>
      <w:r w:rsidR="0085522C" w:rsidRPr="00C837DD">
        <w:rPr>
          <w:sz w:val="20"/>
          <w:szCs w:val="20"/>
        </w:rPr>
        <w:t xml:space="preserve">will </w:t>
      </w:r>
      <w:r w:rsidRPr="00C837DD">
        <w:rPr>
          <w:sz w:val="20"/>
          <w:szCs w:val="20"/>
        </w:rPr>
        <w:t xml:space="preserve">analyze the application of parliamentary immunity </w:t>
      </w:r>
      <w:r w:rsidR="0085522C" w:rsidRPr="00C837DD">
        <w:rPr>
          <w:sz w:val="20"/>
          <w:szCs w:val="20"/>
        </w:rPr>
        <w:t>with</w:t>
      </w:r>
      <w:r w:rsidRPr="00C837DD">
        <w:rPr>
          <w:sz w:val="20"/>
          <w:szCs w:val="20"/>
        </w:rPr>
        <w:t xml:space="preserve">in the </w:t>
      </w:r>
      <w:r w:rsidR="0085522C" w:rsidRPr="00C837DD">
        <w:rPr>
          <w:sz w:val="20"/>
          <w:szCs w:val="20"/>
        </w:rPr>
        <w:t xml:space="preserve">framework </w:t>
      </w:r>
      <w:r w:rsidRPr="00C837DD">
        <w:rPr>
          <w:sz w:val="20"/>
          <w:szCs w:val="20"/>
        </w:rPr>
        <w:t xml:space="preserve">of the right of access to justice and the </w:t>
      </w:r>
      <w:r w:rsidR="00B47C3B" w:rsidRPr="00C837DD">
        <w:rPr>
          <w:sz w:val="20"/>
          <w:szCs w:val="20"/>
        </w:rPr>
        <w:t xml:space="preserve">reinforced </w:t>
      </w:r>
      <w:r w:rsidRPr="00C837DD">
        <w:rPr>
          <w:sz w:val="20"/>
          <w:szCs w:val="20"/>
        </w:rPr>
        <w:t xml:space="preserve">obligation </w:t>
      </w:r>
      <w:r w:rsidR="00B47C3B" w:rsidRPr="00C837DD">
        <w:rPr>
          <w:sz w:val="20"/>
          <w:szCs w:val="20"/>
        </w:rPr>
        <w:t xml:space="preserve">to </w:t>
      </w:r>
      <w:r w:rsidRPr="00C837DD">
        <w:rPr>
          <w:sz w:val="20"/>
          <w:szCs w:val="20"/>
        </w:rPr>
        <w:t xml:space="preserve">investigate with due diligence, </w:t>
      </w:r>
      <w:r w:rsidR="0085522C" w:rsidRPr="00C837DD">
        <w:rPr>
          <w:sz w:val="20"/>
          <w:szCs w:val="20"/>
        </w:rPr>
        <w:t>it is pertinent to make some general observations on the aforementioned mechanism and then examine its application in this specific case</w:t>
      </w:r>
      <w:r w:rsidRPr="00C837DD">
        <w:rPr>
          <w:sz w:val="20"/>
          <w:szCs w:val="20"/>
        </w:rPr>
        <w:t xml:space="preserve">. </w:t>
      </w:r>
    </w:p>
    <w:p w14:paraId="31063F4B" w14:textId="77777777" w:rsidR="00F85D5F" w:rsidRPr="00C837DD" w:rsidRDefault="00F85D5F" w:rsidP="00F85D5F">
      <w:pPr>
        <w:pStyle w:val="Prrafodelista"/>
        <w:tabs>
          <w:tab w:val="left" w:pos="142"/>
        </w:tabs>
        <w:ind w:left="0"/>
        <w:rPr>
          <w:sz w:val="20"/>
          <w:szCs w:val="20"/>
        </w:rPr>
      </w:pPr>
    </w:p>
    <w:p w14:paraId="57B6DEA9" w14:textId="1CE38393" w:rsidR="00F85D5F" w:rsidRPr="00C837DD" w:rsidRDefault="00F85D5F" w:rsidP="00F85D5F">
      <w:pPr>
        <w:pStyle w:val="Ttulo5"/>
        <w:numPr>
          <w:ilvl w:val="1"/>
          <w:numId w:val="3"/>
        </w:numPr>
        <w:ind w:left="1985"/>
        <w:rPr>
          <w:lang w:val="en-US"/>
        </w:rPr>
      </w:pPr>
      <w:bookmarkStart w:id="75" w:name="_Toc85001888"/>
      <w:r w:rsidRPr="00C837DD">
        <w:rPr>
          <w:rStyle w:val="Ttulo5Car"/>
          <w:lang w:val="en-US"/>
        </w:rPr>
        <w:t>Concept and r</w:t>
      </w:r>
      <w:r w:rsidR="003F1598" w:rsidRPr="00C837DD">
        <w:rPr>
          <w:rStyle w:val="Ttulo5Car"/>
          <w:lang w:val="en-US"/>
        </w:rPr>
        <w:t xml:space="preserve">egulation </w:t>
      </w:r>
      <w:r w:rsidRPr="00C837DD">
        <w:rPr>
          <w:rStyle w:val="Ttulo5Car"/>
          <w:lang w:val="en-US"/>
        </w:rPr>
        <w:t>of parliamentary immunity</w:t>
      </w:r>
      <w:bookmarkEnd w:id="75"/>
    </w:p>
    <w:p w14:paraId="1D88DF00" w14:textId="77777777" w:rsidR="00F85D5F" w:rsidRPr="00C837DD" w:rsidRDefault="00F85D5F" w:rsidP="00F85D5F">
      <w:pPr>
        <w:tabs>
          <w:tab w:val="left" w:pos="142"/>
        </w:tabs>
        <w:rPr>
          <w:i/>
          <w:sz w:val="20"/>
          <w:szCs w:val="20"/>
        </w:rPr>
      </w:pPr>
    </w:p>
    <w:p w14:paraId="26DFC22B" w14:textId="41BC619F" w:rsidR="00F85D5F" w:rsidRPr="00C837DD" w:rsidRDefault="00F85D5F" w:rsidP="00F85D5F">
      <w:pPr>
        <w:pStyle w:val="Prrafodelista"/>
        <w:numPr>
          <w:ilvl w:val="0"/>
          <w:numId w:val="6"/>
        </w:numPr>
        <w:tabs>
          <w:tab w:val="left" w:pos="851"/>
        </w:tabs>
        <w:ind w:left="0" w:firstLine="0"/>
        <w:rPr>
          <w:sz w:val="20"/>
          <w:szCs w:val="20"/>
        </w:rPr>
      </w:pPr>
      <w:r w:rsidRPr="00C837DD">
        <w:rPr>
          <w:sz w:val="20"/>
          <w:szCs w:val="20"/>
        </w:rPr>
        <w:t>Parliamentary immunity is a</w:t>
      </w:r>
      <w:r w:rsidR="000102B4">
        <w:rPr>
          <w:sz w:val="20"/>
          <w:szCs w:val="20"/>
        </w:rPr>
        <w:t xml:space="preserve"> mechanism </w:t>
      </w:r>
      <w:r w:rsidR="003F1598" w:rsidRPr="00C837DD">
        <w:rPr>
          <w:sz w:val="20"/>
          <w:szCs w:val="20"/>
        </w:rPr>
        <w:t xml:space="preserve">designed to </w:t>
      </w:r>
      <w:r w:rsidRPr="00C837DD">
        <w:rPr>
          <w:sz w:val="20"/>
          <w:szCs w:val="20"/>
        </w:rPr>
        <w:t xml:space="preserve">guarantee </w:t>
      </w:r>
      <w:r w:rsidR="003F1598" w:rsidRPr="00C837DD">
        <w:rPr>
          <w:sz w:val="20"/>
          <w:szCs w:val="20"/>
        </w:rPr>
        <w:t>the</w:t>
      </w:r>
      <w:r w:rsidRPr="00C837DD">
        <w:rPr>
          <w:sz w:val="20"/>
          <w:szCs w:val="20"/>
        </w:rPr>
        <w:t xml:space="preserve"> independence of </w:t>
      </w:r>
      <w:r w:rsidRPr="00C837DD">
        <w:rPr>
          <w:sz w:val="20"/>
          <w:szCs w:val="20"/>
        </w:rPr>
        <w:lastRenderedPageBreak/>
        <w:t xml:space="preserve">the legislative </w:t>
      </w:r>
      <w:r w:rsidR="003F1598" w:rsidRPr="00C837DD">
        <w:rPr>
          <w:sz w:val="20"/>
          <w:szCs w:val="20"/>
        </w:rPr>
        <w:t>body as a whole</w:t>
      </w:r>
      <w:r w:rsidRPr="00C837DD">
        <w:rPr>
          <w:rStyle w:val="Refdenotaalpie"/>
          <w:sz w:val="20"/>
          <w:szCs w:val="20"/>
        </w:rPr>
        <w:footnoteReference w:id="181"/>
      </w:r>
      <w:r w:rsidRPr="00C837DD">
        <w:rPr>
          <w:sz w:val="20"/>
          <w:szCs w:val="20"/>
        </w:rPr>
        <w:t xml:space="preserve"> and of its members</w:t>
      </w:r>
      <w:r w:rsidR="000D6896" w:rsidRPr="00C837DD">
        <w:rPr>
          <w:sz w:val="20"/>
          <w:szCs w:val="20"/>
        </w:rPr>
        <w:t>,</w:t>
      </w:r>
      <w:r w:rsidRPr="00C837DD">
        <w:rPr>
          <w:sz w:val="20"/>
          <w:szCs w:val="20"/>
          <w:vertAlign w:val="superscript"/>
        </w:rPr>
        <w:footnoteReference w:id="182"/>
      </w:r>
      <w:r w:rsidRPr="00C837DD">
        <w:rPr>
          <w:sz w:val="20"/>
          <w:szCs w:val="20"/>
        </w:rPr>
        <w:t xml:space="preserve"> and cannot be conceived as the personal privilege of a parliamentarian. </w:t>
      </w:r>
      <w:r w:rsidR="000D6896" w:rsidRPr="00C837DD">
        <w:rPr>
          <w:sz w:val="20"/>
          <w:szCs w:val="20"/>
        </w:rPr>
        <w:t>To th</w:t>
      </w:r>
      <w:r w:rsidR="003F1598" w:rsidRPr="00C837DD">
        <w:rPr>
          <w:sz w:val="20"/>
          <w:szCs w:val="20"/>
        </w:rPr>
        <w:t>is</w:t>
      </w:r>
      <w:r w:rsidR="000D6896" w:rsidRPr="00C837DD">
        <w:rPr>
          <w:sz w:val="20"/>
          <w:szCs w:val="20"/>
        </w:rPr>
        <w:t xml:space="preserve"> extent</w:t>
      </w:r>
      <w:r w:rsidRPr="00C837DD">
        <w:rPr>
          <w:sz w:val="20"/>
          <w:szCs w:val="20"/>
        </w:rPr>
        <w:t xml:space="preserve">, </w:t>
      </w:r>
      <w:r w:rsidR="000D6896" w:rsidRPr="00C837DD">
        <w:rPr>
          <w:sz w:val="20"/>
          <w:szCs w:val="20"/>
        </w:rPr>
        <w:t xml:space="preserve">it would fulfil </w:t>
      </w:r>
      <w:r w:rsidRPr="00C837DD">
        <w:rPr>
          <w:sz w:val="20"/>
          <w:szCs w:val="20"/>
        </w:rPr>
        <w:t>the rol</w:t>
      </w:r>
      <w:r w:rsidR="00524727" w:rsidRPr="00C837DD">
        <w:rPr>
          <w:sz w:val="20"/>
          <w:szCs w:val="20"/>
        </w:rPr>
        <w:t>e</w:t>
      </w:r>
      <w:r w:rsidRPr="00C837DD">
        <w:rPr>
          <w:sz w:val="20"/>
          <w:szCs w:val="20"/>
        </w:rPr>
        <w:t xml:space="preserve"> of </w:t>
      </w:r>
      <w:r w:rsidR="003F1598" w:rsidRPr="00C837DD">
        <w:rPr>
          <w:sz w:val="20"/>
          <w:szCs w:val="20"/>
        </w:rPr>
        <w:t xml:space="preserve">an </w:t>
      </w:r>
      <w:r w:rsidRPr="00C837DD">
        <w:rPr>
          <w:sz w:val="20"/>
          <w:szCs w:val="20"/>
        </w:rPr>
        <w:t>institutional guarantee of democracy</w:t>
      </w:r>
      <w:r w:rsidR="000D6896" w:rsidRPr="00C837DD">
        <w:rPr>
          <w:sz w:val="20"/>
          <w:szCs w:val="20"/>
        </w:rPr>
        <w:t>.</w:t>
      </w:r>
      <w:r w:rsidRPr="00C837DD">
        <w:rPr>
          <w:rStyle w:val="Refdenotaalpie"/>
          <w:sz w:val="20"/>
          <w:szCs w:val="20"/>
        </w:rPr>
        <w:footnoteReference w:id="183"/>
      </w:r>
      <w:r w:rsidRPr="00C837DD">
        <w:rPr>
          <w:sz w:val="20"/>
          <w:szCs w:val="20"/>
        </w:rPr>
        <w:t xml:space="preserve"> </w:t>
      </w:r>
      <w:r w:rsidR="003F1598" w:rsidRPr="00C837DD">
        <w:rPr>
          <w:sz w:val="20"/>
          <w:szCs w:val="20"/>
        </w:rPr>
        <w:t>However</w:t>
      </w:r>
      <w:r w:rsidRPr="00C837DD">
        <w:rPr>
          <w:sz w:val="20"/>
          <w:szCs w:val="20"/>
        </w:rPr>
        <w:t>, under no circumstance</w:t>
      </w:r>
      <w:r w:rsidR="003F1598" w:rsidRPr="00C837DD">
        <w:rPr>
          <w:sz w:val="20"/>
          <w:szCs w:val="20"/>
        </w:rPr>
        <w:t xml:space="preserve">s </w:t>
      </w:r>
      <w:r w:rsidRPr="00C837DD">
        <w:rPr>
          <w:sz w:val="20"/>
          <w:szCs w:val="20"/>
        </w:rPr>
        <w:t>can parliamentary immunity be</w:t>
      </w:r>
      <w:r w:rsidR="003F1598" w:rsidRPr="00C837DD">
        <w:rPr>
          <w:sz w:val="20"/>
          <w:szCs w:val="20"/>
        </w:rPr>
        <w:t xml:space="preserve"> transformed into </w:t>
      </w:r>
      <w:r w:rsidRPr="00C837DD">
        <w:rPr>
          <w:sz w:val="20"/>
          <w:szCs w:val="20"/>
        </w:rPr>
        <w:t xml:space="preserve">a mechanism </w:t>
      </w:r>
      <w:r w:rsidR="000102B4">
        <w:rPr>
          <w:sz w:val="20"/>
          <w:szCs w:val="20"/>
        </w:rPr>
        <w:t xml:space="preserve">for </w:t>
      </w:r>
      <w:r w:rsidRPr="00C837DD">
        <w:rPr>
          <w:sz w:val="20"/>
          <w:szCs w:val="20"/>
        </w:rPr>
        <w:t>impunity</w:t>
      </w:r>
      <w:r w:rsidR="003B5356" w:rsidRPr="00C837DD">
        <w:rPr>
          <w:sz w:val="20"/>
          <w:szCs w:val="20"/>
        </w:rPr>
        <w:t xml:space="preserve">; if this were to occur, it </w:t>
      </w:r>
      <w:r w:rsidRPr="00C837DD">
        <w:rPr>
          <w:sz w:val="20"/>
          <w:szCs w:val="20"/>
        </w:rPr>
        <w:t xml:space="preserve">would erode the rule of law, would </w:t>
      </w:r>
      <w:r w:rsidR="003B5356" w:rsidRPr="00C837DD">
        <w:rPr>
          <w:sz w:val="20"/>
          <w:szCs w:val="20"/>
        </w:rPr>
        <w:t xml:space="preserve">contravene </w:t>
      </w:r>
      <w:r w:rsidRPr="00C837DD">
        <w:rPr>
          <w:sz w:val="20"/>
          <w:szCs w:val="20"/>
        </w:rPr>
        <w:t xml:space="preserve">the principle of equality before the law and would </w:t>
      </w:r>
      <w:r w:rsidR="003B5356" w:rsidRPr="00C837DD">
        <w:rPr>
          <w:sz w:val="20"/>
          <w:szCs w:val="20"/>
        </w:rPr>
        <w:t xml:space="preserve">make </w:t>
      </w:r>
      <w:r w:rsidRPr="00C837DD">
        <w:rPr>
          <w:sz w:val="20"/>
          <w:szCs w:val="20"/>
        </w:rPr>
        <w:t xml:space="preserve">access to justice </w:t>
      </w:r>
      <w:r w:rsidR="003B5356" w:rsidRPr="00C837DD">
        <w:rPr>
          <w:sz w:val="20"/>
          <w:szCs w:val="20"/>
        </w:rPr>
        <w:t xml:space="preserve">illusory for those </w:t>
      </w:r>
      <w:r w:rsidRPr="00C837DD">
        <w:rPr>
          <w:sz w:val="20"/>
          <w:szCs w:val="20"/>
        </w:rPr>
        <w:t>affected.</w:t>
      </w:r>
      <w:r w:rsidRPr="00C837DD">
        <w:rPr>
          <w:rStyle w:val="Refdenotaalpie"/>
          <w:sz w:val="20"/>
          <w:szCs w:val="20"/>
        </w:rPr>
        <w:footnoteReference w:id="184"/>
      </w:r>
    </w:p>
    <w:p w14:paraId="7128A3D1" w14:textId="77777777" w:rsidR="00F85D5F" w:rsidRPr="00C837DD" w:rsidRDefault="00F85D5F" w:rsidP="00F85D5F">
      <w:pPr>
        <w:pStyle w:val="Prrafodelista"/>
        <w:tabs>
          <w:tab w:val="left" w:pos="142"/>
        </w:tabs>
        <w:ind w:left="0"/>
        <w:rPr>
          <w:b/>
          <w:sz w:val="20"/>
          <w:szCs w:val="20"/>
        </w:rPr>
      </w:pPr>
    </w:p>
    <w:p w14:paraId="3F216B9B" w14:textId="54C7A87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In Brazil, as mentioned previously (</w:t>
      </w:r>
      <w:r w:rsidRPr="00C837DD">
        <w:rPr>
          <w:i/>
          <w:sz w:val="20"/>
          <w:szCs w:val="20"/>
        </w:rPr>
        <w:t>supra</w:t>
      </w:r>
      <w:r w:rsidR="001949B6" w:rsidRPr="00C837DD">
        <w:rPr>
          <w:sz w:val="20"/>
          <w:szCs w:val="20"/>
        </w:rPr>
        <w:t xml:space="preserve"> paras. 58 to</w:t>
      </w:r>
      <w:r w:rsidRPr="00C837DD">
        <w:rPr>
          <w:sz w:val="20"/>
          <w:szCs w:val="20"/>
        </w:rPr>
        <w:t xml:space="preserve"> 64), at the time of the facts, the Constitution established that “deputies and senators are inviolable on account of th</w:t>
      </w:r>
      <w:r w:rsidR="00524727" w:rsidRPr="00C837DD">
        <w:rPr>
          <w:sz w:val="20"/>
          <w:szCs w:val="20"/>
        </w:rPr>
        <w:t xml:space="preserve">eir </w:t>
      </w:r>
      <w:r w:rsidRPr="00C837DD">
        <w:rPr>
          <w:sz w:val="20"/>
          <w:szCs w:val="20"/>
        </w:rPr>
        <w:t>opinions</w:t>
      </w:r>
      <w:r w:rsidR="001949B6" w:rsidRPr="00C837DD">
        <w:rPr>
          <w:sz w:val="20"/>
          <w:szCs w:val="20"/>
        </w:rPr>
        <w:t>, words and votes</w:t>
      </w:r>
      <w:r w:rsidR="003B5356" w:rsidRPr="00C837DD">
        <w:rPr>
          <w:sz w:val="20"/>
          <w:szCs w:val="20"/>
        </w:rPr>
        <w:t>,</w:t>
      </w:r>
      <w:r w:rsidR="001949B6" w:rsidRPr="00C837DD">
        <w:rPr>
          <w:sz w:val="20"/>
          <w:szCs w:val="20"/>
        </w:rPr>
        <w:t xml:space="preserve">” and that </w:t>
      </w:r>
      <w:r w:rsidR="003B5356" w:rsidRPr="00C837DD">
        <w:rPr>
          <w:sz w:val="20"/>
          <w:szCs w:val="20"/>
        </w:rPr>
        <w:t xml:space="preserve">from the </w:t>
      </w:r>
      <w:r w:rsidR="00F83E72" w:rsidRPr="00C837DD">
        <w:rPr>
          <w:sz w:val="20"/>
          <w:szCs w:val="20"/>
        </w:rPr>
        <w:t xml:space="preserve">“date of </w:t>
      </w:r>
      <w:r w:rsidR="003B5356" w:rsidRPr="00C837DD">
        <w:rPr>
          <w:sz w:val="20"/>
          <w:szCs w:val="20"/>
        </w:rPr>
        <w:t xml:space="preserve">issuance </w:t>
      </w:r>
      <w:r w:rsidR="00524727" w:rsidRPr="00C837DD">
        <w:rPr>
          <w:sz w:val="20"/>
          <w:szCs w:val="20"/>
        </w:rPr>
        <w:t xml:space="preserve">of </w:t>
      </w:r>
      <w:r w:rsidR="00F83E72" w:rsidRPr="00C837DD">
        <w:rPr>
          <w:sz w:val="20"/>
          <w:szCs w:val="20"/>
          <w:shd w:val="clear" w:color="auto" w:fill="FFFFFF"/>
        </w:rPr>
        <w:t>their certificate of electoral victory</w:t>
      </w:r>
      <w:r w:rsidRPr="00C837DD">
        <w:rPr>
          <w:sz w:val="20"/>
          <w:szCs w:val="20"/>
        </w:rPr>
        <w:t xml:space="preserve">, </w:t>
      </w:r>
      <w:r w:rsidR="00F83E72" w:rsidRPr="00C837DD">
        <w:rPr>
          <w:sz w:val="20"/>
          <w:szCs w:val="20"/>
          <w:shd w:val="clear" w:color="auto" w:fill="FFFFFF"/>
        </w:rPr>
        <w:t xml:space="preserve">members of the National Congress may not be arrested, except in </w:t>
      </w:r>
      <w:r w:rsidR="00F83E72" w:rsidRPr="00C837DD">
        <w:rPr>
          <w:i/>
          <w:sz w:val="20"/>
          <w:szCs w:val="20"/>
          <w:shd w:val="clear" w:color="auto" w:fill="FFFFFF"/>
        </w:rPr>
        <w:t>flagrante delicto</w:t>
      </w:r>
      <w:r w:rsidR="00F83E72" w:rsidRPr="00C837DD">
        <w:rPr>
          <w:sz w:val="20"/>
          <w:szCs w:val="20"/>
          <w:shd w:val="clear" w:color="auto" w:fill="FFFFFF"/>
        </w:rPr>
        <w:t xml:space="preserve"> of an unbailable crime, nor may they be criminally prosecuted without prior authorization by the respective Chamber</w:t>
      </w:r>
      <w:r w:rsidRPr="00C837DD">
        <w:rPr>
          <w:sz w:val="20"/>
          <w:szCs w:val="20"/>
        </w:rPr>
        <w:t>.”</w:t>
      </w:r>
      <w:r w:rsidRPr="00C837DD">
        <w:rPr>
          <w:rStyle w:val="Refdenotaalpie"/>
          <w:sz w:val="20"/>
          <w:szCs w:val="20"/>
        </w:rPr>
        <w:footnoteReference w:id="185"/>
      </w:r>
      <w:r w:rsidRPr="00C837DD">
        <w:rPr>
          <w:sz w:val="20"/>
          <w:szCs w:val="20"/>
        </w:rPr>
        <w:t xml:space="preserve"> According to Article 27, paragraph 1 of </w:t>
      </w:r>
      <w:r w:rsidR="006C75B4" w:rsidRPr="00C837DD">
        <w:rPr>
          <w:sz w:val="20"/>
          <w:szCs w:val="20"/>
        </w:rPr>
        <w:t xml:space="preserve">the </w:t>
      </w:r>
      <w:r w:rsidRPr="00C837DD">
        <w:rPr>
          <w:sz w:val="20"/>
          <w:szCs w:val="20"/>
        </w:rPr>
        <w:t>Constitution</w:t>
      </w:r>
      <w:r w:rsidR="009F1D78" w:rsidRPr="00C837DD">
        <w:rPr>
          <w:sz w:val="20"/>
          <w:szCs w:val="20"/>
        </w:rPr>
        <w:t>,</w:t>
      </w:r>
      <w:r w:rsidRPr="00C837DD">
        <w:rPr>
          <w:rStyle w:val="Refdenotaalpie"/>
          <w:sz w:val="20"/>
          <w:szCs w:val="20"/>
        </w:rPr>
        <w:footnoteReference w:id="186"/>
      </w:r>
      <w:r w:rsidRPr="00C837DD">
        <w:rPr>
          <w:sz w:val="20"/>
          <w:szCs w:val="20"/>
        </w:rPr>
        <w:t xml:space="preserve"> the provision re</w:t>
      </w:r>
      <w:r w:rsidR="006C75B4" w:rsidRPr="00C837DD">
        <w:rPr>
          <w:sz w:val="20"/>
          <w:szCs w:val="20"/>
        </w:rPr>
        <w:t xml:space="preserve">garding </w:t>
      </w:r>
      <w:r w:rsidRPr="00C837DD">
        <w:rPr>
          <w:sz w:val="20"/>
          <w:szCs w:val="20"/>
        </w:rPr>
        <w:t xml:space="preserve">parliamentary immunity also </w:t>
      </w:r>
      <w:r w:rsidR="00524727" w:rsidRPr="00C837DD">
        <w:rPr>
          <w:sz w:val="20"/>
          <w:szCs w:val="20"/>
        </w:rPr>
        <w:t>applie</w:t>
      </w:r>
      <w:r w:rsidR="000102B4">
        <w:rPr>
          <w:sz w:val="20"/>
          <w:szCs w:val="20"/>
        </w:rPr>
        <w:t>d</w:t>
      </w:r>
      <w:r w:rsidR="00524727" w:rsidRPr="00C837DD">
        <w:rPr>
          <w:sz w:val="20"/>
          <w:szCs w:val="20"/>
        </w:rPr>
        <w:t xml:space="preserve"> to </w:t>
      </w:r>
      <w:r w:rsidRPr="00C837DD">
        <w:rPr>
          <w:sz w:val="20"/>
          <w:szCs w:val="20"/>
        </w:rPr>
        <w:t xml:space="preserve">state deputies. </w:t>
      </w:r>
      <w:r w:rsidR="00912F18" w:rsidRPr="00C837DD">
        <w:rPr>
          <w:sz w:val="20"/>
          <w:szCs w:val="20"/>
        </w:rPr>
        <w:t>Likewise</w:t>
      </w:r>
      <w:r w:rsidR="00524727" w:rsidRPr="00C837DD">
        <w:rPr>
          <w:sz w:val="20"/>
          <w:szCs w:val="20"/>
        </w:rPr>
        <w:t>, the Constitution of the s</w:t>
      </w:r>
      <w:r w:rsidRPr="00C837DD">
        <w:rPr>
          <w:sz w:val="20"/>
          <w:szCs w:val="20"/>
        </w:rPr>
        <w:t>tate of Paraíba cont</w:t>
      </w:r>
      <w:r w:rsidR="00524727" w:rsidRPr="00C837DD">
        <w:rPr>
          <w:sz w:val="20"/>
          <w:szCs w:val="20"/>
        </w:rPr>
        <w:t xml:space="preserve">ained an identical </w:t>
      </w:r>
      <w:r w:rsidR="00912F18" w:rsidRPr="00C837DD">
        <w:rPr>
          <w:sz w:val="20"/>
          <w:szCs w:val="20"/>
        </w:rPr>
        <w:t>rule</w:t>
      </w:r>
      <w:r w:rsidR="00524727" w:rsidRPr="00C837DD">
        <w:rPr>
          <w:sz w:val="20"/>
          <w:szCs w:val="20"/>
        </w:rPr>
        <w:t>.</w:t>
      </w:r>
      <w:r w:rsidRPr="00C837DD">
        <w:rPr>
          <w:rStyle w:val="Refdenotaalpie"/>
          <w:sz w:val="20"/>
          <w:szCs w:val="20"/>
        </w:rPr>
        <w:footnoteReference w:id="187"/>
      </w:r>
      <w:r w:rsidRPr="00C837DD">
        <w:rPr>
          <w:sz w:val="20"/>
          <w:szCs w:val="20"/>
        </w:rPr>
        <w:t xml:space="preserve"> </w:t>
      </w:r>
      <w:r w:rsidR="00912F18" w:rsidRPr="00C837DD">
        <w:rPr>
          <w:sz w:val="20"/>
          <w:szCs w:val="20"/>
        </w:rPr>
        <w:t>Currently, since the approval of Constitutional Amendment 35/2001</w:t>
      </w:r>
      <w:r w:rsidR="00524727" w:rsidRPr="00C837DD">
        <w:rPr>
          <w:sz w:val="20"/>
          <w:szCs w:val="20"/>
        </w:rPr>
        <w:t>,</w:t>
      </w:r>
      <w:r w:rsidRPr="00C837DD">
        <w:rPr>
          <w:rStyle w:val="Refdenotaalpie"/>
          <w:sz w:val="20"/>
          <w:szCs w:val="20"/>
        </w:rPr>
        <w:footnoteReference w:id="188"/>
      </w:r>
      <w:r w:rsidR="00C3601B" w:rsidRPr="00C837DD">
        <w:rPr>
          <w:sz w:val="20"/>
          <w:szCs w:val="20"/>
        </w:rPr>
        <w:t xml:space="preserve"> </w:t>
      </w:r>
      <w:r w:rsidR="004A10C1" w:rsidRPr="00C837DD">
        <w:rPr>
          <w:sz w:val="20"/>
          <w:szCs w:val="20"/>
        </w:rPr>
        <w:t xml:space="preserve">prior </w:t>
      </w:r>
      <w:r w:rsidR="00C3601B" w:rsidRPr="00C837DD">
        <w:rPr>
          <w:sz w:val="20"/>
          <w:szCs w:val="20"/>
        </w:rPr>
        <w:t xml:space="preserve">authorization </w:t>
      </w:r>
      <w:r w:rsidR="009A258B" w:rsidRPr="00C837DD">
        <w:rPr>
          <w:sz w:val="20"/>
          <w:szCs w:val="20"/>
        </w:rPr>
        <w:t xml:space="preserve">from the </w:t>
      </w:r>
      <w:r w:rsidR="000102B4">
        <w:rPr>
          <w:sz w:val="20"/>
          <w:szCs w:val="20"/>
        </w:rPr>
        <w:t>l</w:t>
      </w:r>
      <w:r w:rsidRPr="00C837DD">
        <w:rPr>
          <w:sz w:val="20"/>
          <w:szCs w:val="20"/>
        </w:rPr>
        <w:t>egislat</w:t>
      </w:r>
      <w:r w:rsidR="009A258B" w:rsidRPr="00C837DD">
        <w:rPr>
          <w:sz w:val="20"/>
          <w:szCs w:val="20"/>
        </w:rPr>
        <w:t xml:space="preserve">ure </w:t>
      </w:r>
      <w:r w:rsidR="00912F18" w:rsidRPr="00C837DD">
        <w:rPr>
          <w:sz w:val="20"/>
          <w:szCs w:val="20"/>
        </w:rPr>
        <w:t xml:space="preserve">is not required </w:t>
      </w:r>
      <w:r w:rsidR="00524727" w:rsidRPr="00C837DD">
        <w:rPr>
          <w:sz w:val="20"/>
          <w:szCs w:val="20"/>
        </w:rPr>
        <w:t xml:space="preserve">to </w:t>
      </w:r>
      <w:r w:rsidRPr="00C837DD">
        <w:rPr>
          <w:sz w:val="20"/>
          <w:szCs w:val="20"/>
        </w:rPr>
        <w:t xml:space="preserve">criminally </w:t>
      </w:r>
      <w:r w:rsidR="00524727" w:rsidRPr="00C837DD">
        <w:rPr>
          <w:sz w:val="20"/>
          <w:szCs w:val="20"/>
        </w:rPr>
        <w:t xml:space="preserve">prosecute a </w:t>
      </w:r>
      <w:r w:rsidRPr="00C837DD">
        <w:rPr>
          <w:sz w:val="20"/>
          <w:szCs w:val="20"/>
        </w:rPr>
        <w:t>parl</w:t>
      </w:r>
      <w:r w:rsidR="00524727" w:rsidRPr="00C837DD">
        <w:rPr>
          <w:sz w:val="20"/>
          <w:szCs w:val="20"/>
        </w:rPr>
        <w:t>iamentarian</w:t>
      </w:r>
      <w:r w:rsidR="00912F18" w:rsidRPr="00C837DD">
        <w:rPr>
          <w:sz w:val="20"/>
          <w:szCs w:val="20"/>
        </w:rPr>
        <w:t>; rather,</w:t>
      </w:r>
      <w:r w:rsidRPr="00C837DD">
        <w:rPr>
          <w:sz w:val="20"/>
          <w:szCs w:val="20"/>
        </w:rPr>
        <w:t xml:space="preserve"> </w:t>
      </w:r>
      <w:r w:rsidR="00524727" w:rsidRPr="00C837DD">
        <w:rPr>
          <w:sz w:val="20"/>
          <w:szCs w:val="20"/>
        </w:rPr>
        <w:t xml:space="preserve">the National Congress, and also </w:t>
      </w:r>
      <w:r w:rsidRPr="00C837DD">
        <w:rPr>
          <w:sz w:val="20"/>
          <w:szCs w:val="20"/>
        </w:rPr>
        <w:t xml:space="preserve">the </w:t>
      </w:r>
      <w:r w:rsidR="00524727" w:rsidRPr="00C837DD">
        <w:rPr>
          <w:sz w:val="20"/>
          <w:szCs w:val="20"/>
        </w:rPr>
        <w:t xml:space="preserve">state </w:t>
      </w:r>
      <w:r w:rsidRPr="00C837DD">
        <w:rPr>
          <w:sz w:val="20"/>
          <w:szCs w:val="20"/>
        </w:rPr>
        <w:t>legislat</w:t>
      </w:r>
      <w:r w:rsidR="00912F18" w:rsidRPr="00C837DD">
        <w:rPr>
          <w:sz w:val="20"/>
          <w:szCs w:val="20"/>
        </w:rPr>
        <w:t xml:space="preserve">ive assemblies, </w:t>
      </w:r>
      <w:r w:rsidR="0054320F">
        <w:rPr>
          <w:sz w:val="20"/>
          <w:szCs w:val="20"/>
        </w:rPr>
        <w:t xml:space="preserve">have </w:t>
      </w:r>
      <w:r w:rsidR="00524727" w:rsidRPr="00C837DD">
        <w:rPr>
          <w:sz w:val="20"/>
          <w:szCs w:val="20"/>
        </w:rPr>
        <w:t xml:space="preserve">the prerogative </w:t>
      </w:r>
      <w:r w:rsidR="00912F18" w:rsidRPr="00C837DD">
        <w:rPr>
          <w:sz w:val="20"/>
          <w:szCs w:val="20"/>
        </w:rPr>
        <w:t>to</w:t>
      </w:r>
      <w:r w:rsidR="00524727" w:rsidRPr="00C837DD">
        <w:rPr>
          <w:sz w:val="20"/>
          <w:szCs w:val="20"/>
        </w:rPr>
        <w:t xml:space="preserve"> suspend</w:t>
      </w:r>
      <w:r w:rsidRPr="00C837DD">
        <w:rPr>
          <w:sz w:val="20"/>
          <w:szCs w:val="20"/>
        </w:rPr>
        <w:t xml:space="preserve"> criminal proceedings initiated against </w:t>
      </w:r>
      <w:r w:rsidR="00524727" w:rsidRPr="00C837DD">
        <w:rPr>
          <w:sz w:val="20"/>
          <w:szCs w:val="20"/>
        </w:rPr>
        <w:t xml:space="preserve">one of </w:t>
      </w:r>
      <w:r w:rsidR="00912F18" w:rsidRPr="00C837DD">
        <w:rPr>
          <w:sz w:val="20"/>
          <w:szCs w:val="20"/>
        </w:rPr>
        <w:t>their</w:t>
      </w:r>
      <w:r w:rsidR="00524727" w:rsidRPr="00C837DD">
        <w:rPr>
          <w:sz w:val="20"/>
          <w:szCs w:val="20"/>
        </w:rPr>
        <w:t xml:space="preserve"> </w:t>
      </w:r>
      <w:r w:rsidRPr="00C837DD">
        <w:rPr>
          <w:sz w:val="20"/>
          <w:szCs w:val="20"/>
        </w:rPr>
        <w:t>members.</w:t>
      </w:r>
    </w:p>
    <w:p w14:paraId="0029FBB2" w14:textId="77777777" w:rsidR="00F85D5F" w:rsidRPr="00C837DD" w:rsidRDefault="00F85D5F" w:rsidP="00F85D5F">
      <w:pPr>
        <w:pStyle w:val="Prrafodelista"/>
        <w:tabs>
          <w:tab w:val="left" w:pos="142"/>
        </w:tabs>
        <w:ind w:left="0"/>
        <w:rPr>
          <w:sz w:val="20"/>
          <w:szCs w:val="20"/>
        </w:rPr>
      </w:pPr>
    </w:p>
    <w:p w14:paraId="65A97BBB" w14:textId="57B5F256" w:rsidR="00F85D5F" w:rsidRPr="00C837DD" w:rsidRDefault="001769A9" w:rsidP="00F85D5F">
      <w:pPr>
        <w:pStyle w:val="Prrafodelista"/>
        <w:numPr>
          <w:ilvl w:val="0"/>
          <w:numId w:val="6"/>
        </w:numPr>
        <w:tabs>
          <w:tab w:val="left" w:pos="142"/>
        </w:tabs>
        <w:ind w:left="0" w:firstLine="0"/>
        <w:rPr>
          <w:sz w:val="20"/>
          <w:szCs w:val="20"/>
        </w:rPr>
      </w:pPr>
      <w:r w:rsidRPr="00C837DD">
        <w:rPr>
          <w:sz w:val="20"/>
          <w:szCs w:val="20"/>
        </w:rPr>
        <w:lastRenderedPageBreak/>
        <w:t>As is the case in several countries, parliamentary immunity</w:t>
      </w:r>
      <w:r w:rsidR="00F85D5F" w:rsidRPr="00C837DD">
        <w:rPr>
          <w:sz w:val="20"/>
          <w:szCs w:val="20"/>
        </w:rPr>
        <w:t xml:space="preserve"> </w:t>
      </w:r>
      <w:r w:rsidR="00933B75" w:rsidRPr="00C837DD">
        <w:rPr>
          <w:sz w:val="20"/>
          <w:szCs w:val="20"/>
        </w:rPr>
        <w:t xml:space="preserve">guaranteed by the Brazilian Constitution </w:t>
      </w:r>
      <w:r w:rsidR="00C51835" w:rsidRPr="00C837DD">
        <w:rPr>
          <w:sz w:val="20"/>
          <w:szCs w:val="20"/>
        </w:rPr>
        <w:t xml:space="preserve">is divided into two </w:t>
      </w:r>
      <w:r w:rsidRPr="00C837DD">
        <w:rPr>
          <w:sz w:val="20"/>
          <w:szCs w:val="20"/>
        </w:rPr>
        <w:t>categories</w:t>
      </w:r>
      <w:r w:rsidR="00F85D5F" w:rsidRPr="00C837DD">
        <w:rPr>
          <w:sz w:val="20"/>
          <w:szCs w:val="20"/>
        </w:rPr>
        <w:t>: (i) material or “no</w:t>
      </w:r>
      <w:r w:rsidR="00347ECD" w:rsidRPr="00C837DD">
        <w:rPr>
          <w:sz w:val="20"/>
          <w:szCs w:val="20"/>
        </w:rPr>
        <w:t>n-liability”</w:t>
      </w:r>
      <w:r w:rsidR="009A258B" w:rsidRPr="00C837DD">
        <w:rPr>
          <w:sz w:val="20"/>
          <w:szCs w:val="20"/>
        </w:rPr>
        <w:t xml:space="preserve"> </w:t>
      </w:r>
      <w:r w:rsidR="00933B75" w:rsidRPr="00C837DD">
        <w:rPr>
          <w:sz w:val="20"/>
          <w:szCs w:val="20"/>
        </w:rPr>
        <w:t xml:space="preserve">immunity, which </w:t>
      </w:r>
      <w:r w:rsidR="004B2092" w:rsidRPr="00C837DD">
        <w:rPr>
          <w:sz w:val="20"/>
          <w:szCs w:val="20"/>
        </w:rPr>
        <w:t>mean</w:t>
      </w:r>
      <w:r w:rsidR="00933B75" w:rsidRPr="00C837DD">
        <w:rPr>
          <w:sz w:val="20"/>
          <w:szCs w:val="20"/>
        </w:rPr>
        <w:t>s</w:t>
      </w:r>
      <w:r w:rsidR="004B2092" w:rsidRPr="00C837DD">
        <w:rPr>
          <w:sz w:val="20"/>
          <w:szCs w:val="20"/>
        </w:rPr>
        <w:t xml:space="preserve"> exemption from liability of the parliamentarian for his </w:t>
      </w:r>
      <w:r w:rsidR="00933B75" w:rsidRPr="00C837DD">
        <w:rPr>
          <w:sz w:val="20"/>
          <w:szCs w:val="20"/>
        </w:rPr>
        <w:t xml:space="preserve">or her ideas, </w:t>
      </w:r>
      <w:r w:rsidR="004B2092" w:rsidRPr="00C837DD">
        <w:rPr>
          <w:sz w:val="20"/>
          <w:szCs w:val="20"/>
        </w:rPr>
        <w:t>votes</w:t>
      </w:r>
      <w:r w:rsidR="00933B75" w:rsidRPr="00C837DD">
        <w:rPr>
          <w:sz w:val="20"/>
          <w:szCs w:val="20"/>
        </w:rPr>
        <w:t xml:space="preserve"> and</w:t>
      </w:r>
      <w:r w:rsidR="004B2092" w:rsidRPr="00C837DD">
        <w:rPr>
          <w:sz w:val="20"/>
          <w:szCs w:val="20"/>
        </w:rPr>
        <w:t xml:space="preserve"> opinions </w:t>
      </w:r>
      <w:r w:rsidR="00933B75" w:rsidRPr="00C837DD">
        <w:rPr>
          <w:sz w:val="20"/>
          <w:szCs w:val="20"/>
        </w:rPr>
        <w:t xml:space="preserve">expressed in the exercise </w:t>
      </w:r>
      <w:r w:rsidR="004B2092" w:rsidRPr="00C837DD">
        <w:rPr>
          <w:sz w:val="20"/>
          <w:szCs w:val="20"/>
        </w:rPr>
        <w:t xml:space="preserve">of </w:t>
      </w:r>
      <w:r w:rsidR="00933B75" w:rsidRPr="00C837DD">
        <w:rPr>
          <w:sz w:val="20"/>
          <w:szCs w:val="20"/>
        </w:rPr>
        <w:t xml:space="preserve">the </w:t>
      </w:r>
      <w:r w:rsidR="004B2092" w:rsidRPr="00C837DD">
        <w:rPr>
          <w:sz w:val="20"/>
          <w:szCs w:val="20"/>
        </w:rPr>
        <w:t>office</w:t>
      </w:r>
      <w:r w:rsidR="00ED1A94" w:rsidRPr="00C837DD">
        <w:rPr>
          <w:sz w:val="20"/>
          <w:szCs w:val="20"/>
        </w:rPr>
        <w:t xml:space="preserve">, </w:t>
      </w:r>
      <w:r w:rsidR="004A10C1" w:rsidRPr="00C837DD">
        <w:rPr>
          <w:sz w:val="20"/>
          <w:szCs w:val="20"/>
        </w:rPr>
        <w:t xml:space="preserve">even </w:t>
      </w:r>
      <w:r w:rsidR="004B2092" w:rsidRPr="00C837DD">
        <w:rPr>
          <w:sz w:val="20"/>
          <w:szCs w:val="20"/>
        </w:rPr>
        <w:t xml:space="preserve">when </w:t>
      </w:r>
      <w:r w:rsidR="004A10C1" w:rsidRPr="00C837DD">
        <w:rPr>
          <w:sz w:val="20"/>
          <w:szCs w:val="20"/>
        </w:rPr>
        <w:t xml:space="preserve">they </w:t>
      </w:r>
      <w:r w:rsidR="004B2092" w:rsidRPr="00C837DD">
        <w:rPr>
          <w:sz w:val="20"/>
          <w:szCs w:val="20"/>
        </w:rPr>
        <w:t xml:space="preserve">may </w:t>
      </w:r>
      <w:r w:rsidR="00ED1A94" w:rsidRPr="00C837DD">
        <w:rPr>
          <w:sz w:val="20"/>
          <w:szCs w:val="20"/>
        </w:rPr>
        <w:t>potent</w:t>
      </w:r>
      <w:r w:rsidR="00F85D5F" w:rsidRPr="00C837DD">
        <w:rPr>
          <w:sz w:val="20"/>
          <w:szCs w:val="20"/>
        </w:rPr>
        <w:t xml:space="preserve">ially </w:t>
      </w:r>
      <w:r w:rsidR="004B2092" w:rsidRPr="00C837DD">
        <w:rPr>
          <w:sz w:val="20"/>
          <w:szCs w:val="20"/>
        </w:rPr>
        <w:t xml:space="preserve">harm </w:t>
      </w:r>
      <w:r w:rsidR="00D30C6A" w:rsidRPr="00C837DD">
        <w:rPr>
          <w:sz w:val="20"/>
          <w:szCs w:val="20"/>
        </w:rPr>
        <w:t xml:space="preserve">the </w:t>
      </w:r>
      <w:r w:rsidR="00F85D5F" w:rsidRPr="00C837DD">
        <w:rPr>
          <w:sz w:val="20"/>
          <w:szCs w:val="20"/>
        </w:rPr>
        <w:t>rights of t</w:t>
      </w:r>
      <w:r w:rsidR="00A776FA" w:rsidRPr="00C837DD">
        <w:rPr>
          <w:sz w:val="20"/>
          <w:szCs w:val="20"/>
        </w:rPr>
        <w:t>hird parties</w:t>
      </w:r>
      <w:r w:rsidR="004B2092" w:rsidRPr="00C837DD">
        <w:rPr>
          <w:sz w:val="20"/>
          <w:szCs w:val="20"/>
        </w:rPr>
        <w:t xml:space="preserve">, and (ii) </w:t>
      </w:r>
      <w:r w:rsidR="00F85D5F" w:rsidRPr="00C837DD">
        <w:rPr>
          <w:sz w:val="20"/>
          <w:szCs w:val="20"/>
        </w:rPr>
        <w:t xml:space="preserve">formal or </w:t>
      </w:r>
      <w:r w:rsidR="00C51835" w:rsidRPr="00C837DD">
        <w:rPr>
          <w:sz w:val="20"/>
          <w:szCs w:val="20"/>
        </w:rPr>
        <w:t>procedural immunity</w:t>
      </w:r>
      <w:r w:rsidR="004B2092" w:rsidRPr="00C837DD">
        <w:rPr>
          <w:sz w:val="20"/>
          <w:szCs w:val="20"/>
        </w:rPr>
        <w:t xml:space="preserve"> (“inviolability”), </w:t>
      </w:r>
      <w:r w:rsidR="00933B75" w:rsidRPr="00C837DD">
        <w:rPr>
          <w:sz w:val="20"/>
          <w:szCs w:val="20"/>
        </w:rPr>
        <w:t xml:space="preserve">which prevents, to a greater or lesser extent, </w:t>
      </w:r>
      <w:r w:rsidR="00E903E9" w:rsidRPr="00C837DD">
        <w:rPr>
          <w:sz w:val="20"/>
          <w:szCs w:val="20"/>
        </w:rPr>
        <w:t xml:space="preserve">the preventive </w:t>
      </w:r>
      <w:r w:rsidR="004B2092" w:rsidRPr="00C837DD">
        <w:rPr>
          <w:sz w:val="20"/>
          <w:szCs w:val="20"/>
        </w:rPr>
        <w:t xml:space="preserve">arrest </w:t>
      </w:r>
      <w:r w:rsidR="00E903E9" w:rsidRPr="00C837DD">
        <w:rPr>
          <w:sz w:val="20"/>
          <w:szCs w:val="20"/>
        </w:rPr>
        <w:t xml:space="preserve">of </w:t>
      </w:r>
      <w:r w:rsidR="00342E8B">
        <w:rPr>
          <w:sz w:val="20"/>
          <w:szCs w:val="20"/>
        </w:rPr>
        <w:t>a</w:t>
      </w:r>
      <w:r w:rsidR="00E903E9" w:rsidRPr="00C837DD">
        <w:rPr>
          <w:sz w:val="20"/>
          <w:szCs w:val="20"/>
        </w:rPr>
        <w:t xml:space="preserve"> parliamentarian and may </w:t>
      </w:r>
      <w:r w:rsidR="00F85D5F" w:rsidRPr="00C837DD">
        <w:rPr>
          <w:sz w:val="20"/>
          <w:szCs w:val="20"/>
        </w:rPr>
        <w:t>condi</w:t>
      </w:r>
      <w:r w:rsidR="004A10C1" w:rsidRPr="00C837DD">
        <w:rPr>
          <w:sz w:val="20"/>
          <w:szCs w:val="20"/>
        </w:rPr>
        <w:t xml:space="preserve">tion </w:t>
      </w:r>
      <w:r w:rsidR="00F85D5F" w:rsidRPr="00C837DD">
        <w:rPr>
          <w:sz w:val="20"/>
          <w:szCs w:val="20"/>
        </w:rPr>
        <w:t>the in</w:t>
      </w:r>
      <w:r w:rsidR="00A776FA" w:rsidRPr="00C837DD">
        <w:rPr>
          <w:sz w:val="20"/>
          <w:szCs w:val="20"/>
        </w:rPr>
        <w:t xml:space="preserve">itiation </w:t>
      </w:r>
      <w:r w:rsidR="00F85D5F" w:rsidRPr="00C837DD">
        <w:rPr>
          <w:sz w:val="20"/>
          <w:szCs w:val="20"/>
        </w:rPr>
        <w:t xml:space="preserve">or </w:t>
      </w:r>
      <w:r w:rsidR="00A776FA" w:rsidRPr="00C837DD">
        <w:rPr>
          <w:sz w:val="20"/>
          <w:szCs w:val="20"/>
        </w:rPr>
        <w:t xml:space="preserve">continuation </w:t>
      </w:r>
      <w:r w:rsidR="00F85D5F" w:rsidRPr="00C837DD">
        <w:rPr>
          <w:sz w:val="20"/>
          <w:szCs w:val="20"/>
        </w:rPr>
        <w:t xml:space="preserve">of </w:t>
      </w:r>
      <w:r w:rsidR="00C3601B" w:rsidRPr="00C837DD">
        <w:rPr>
          <w:sz w:val="20"/>
          <w:szCs w:val="20"/>
        </w:rPr>
        <w:t>criminal proceedings</w:t>
      </w:r>
      <w:r w:rsidR="00E903E9" w:rsidRPr="00C837DD">
        <w:rPr>
          <w:sz w:val="20"/>
          <w:szCs w:val="20"/>
        </w:rPr>
        <w:t xml:space="preserve"> against him or her</w:t>
      </w:r>
      <w:r w:rsidR="00C3601B" w:rsidRPr="00C837DD">
        <w:rPr>
          <w:sz w:val="20"/>
          <w:szCs w:val="20"/>
        </w:rPr>
        <w:t>, without the consent of the chamber to which they belong</w:t>
      </w:r>
      <w:r w:rsidR="00D30C6A" w:rsidRPr="00C837DD">
        <w:rPr>
          <w:sz w:val="20"/>
          <w:szCs w:val="20"/>
        </w:rPr>
        <w:t>.</w:t>
      </w:r>
      <w:r w:rsidR="00F85D5F" w:rsidRPr="00C837DD">
        <w:rPr>
          <w:rStyle w:val="Refdenotaalpie"/>
          <w:sz w:val="20"/>
          <w:szCs w:val="20"/>
        </w:rPr>
        <w:footnoteReference w:id="189"/>
      </w:r>
      <w:r w:rsidR="00F85D5F" w:rsidRPr="00C837DD">
        <w:rPr>
          <w:sz w:val="20"/>
          <w:szCs w:val="20"/>
        </w:rPr>
        <w:t xml:space="preserve"> </w:t>
      </w:r>
    </w:p>
    <w:p w14:paraId="31FCAB3F" w14:textId="77777777" w:rsidR="00F85D5F" w:rsidRPr="00C837DD" w:rsidRDefault="00F85D5F" w:rsidP="00F85D5F">
      <w:pPr>
        <w:pStyle w:val="Prrafodelista"/>
        <w:tabs>
          <w:tab w:val="left" w:pos="142"/>
        </w:tabs>
        <w:ind w:left="0"/>
        <w:rPr>
          <w:sz w:val="20"/>
          <w:szCs w:val="20"/>
        </w:rPr>
      </w:pPr>
    </w:p>
    <w:p w14:paraId="454270D8" w14:textId="65B0429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w:t>
      </w:r>
      <w:r w:rsidR="00147ECD" w:rsidRPr="00C837DD">
        <w:rPr>
          <w:sz w:val="20"/>
          <w:szCs w:val="20"/>
        </w:rPr>
        <w:t xml:space="preserve">notes </w:t>
      </w:r>
      <w:r w:rsidRPr="00C837DD">
        <w:rPr>
          <w:sz w:val="20"/>
          <w:szCs w:val="20"/>
        </w:rPr>
        <w:t xml:space="preserve">that the </w:t>
      </w:r>
      <w:r w:rsidR="00147ECD" w:rsidRPr="00C837DD">
        <w:rPr>
          <w:sz w:val="20"/>
          <w:szCs w:val="20"/>
        </w:rPr>
        <w:t xml:space="preserve">present </w:t>
      </w:r>
      <w:r w:rsidRPr="00C837DD">
        <w:rPr>
          <w:sz w:val="20"/>
          <w:szCs w:val="20"/>
        </w:rPr>
        <w:t xml:space="preserve">case </w:t>
      </w:r>
      <w:r w:rsidR="00C51835" w:rsidRPr="00C837DD">
        <w:rPr>
          <w:sz w:val="20"/>
          <w:szCs w:val="20"/>
        </w:rPr>
        <w:t xml:space="preserve">concerns </w:t>
      </w:r>
      <w:r w:rsidR="00147ECD" w:rsidRPr="00C837DD">
        <w:rPr>
          <w:sz w:val="20"/>
          <w:szCs w:val="20"/>
        </w:rPr>
        <w:t xml:space="preserve">only </w:t>
      </w:r>
      <w:r w:rsidR="00C51835" w:rsidRPr="00C837DD">
        <w:rPr>
          <w:sz w:val="20"/>
          <w:szCs w:val="20"/>
        </w:rPr>
        <w:t xml:space="preserve">formal or procedural </w:t>
      </w:r>
      <w:r w:rsidRPr="00C837DD">
        <w:rPr>
          <w:sz w:val="20"/>
          <w:szCs w:val="20"/>
        </w:rPr>
        <w:t xml:space="preserve">parliamentary immunity, </w:t>
      </w:r>
      <w:r w:rsidR="00C51835" w:rsidRPr="00C837DD">
        <w:rPr>
          <w:sz w:val="20"/>
          <w:szCs w:val="20"/>
        </w:rPr>
        <w:t xml:space="preserve">given </w:t>
      </w:r>
      <w:r w:rsidRPr="00C837DD">
        <w:rPr>
          <w:sz w:val="20"/>
          <w:szCs w:val="20"/>
        </w:rPr>
        <w:t xml:space="preserve">that the </w:t>
      </w:r>
      <w:r w:rsidR="00147ECD" w:rsidRPr="00C837DD">
        <w:rPr>
          <w:sz w:val="20"/>
          <w:szCs w:val="20"/>
        </w:rPr>
        <w:t xml:space="preserve">initiation </w:t>
      </w:r>
      <w:r w:rsidR="00A776FA" w:rsidRPr="00C837DD">
        <w:rPr>
          <w:sz w:val="20"/>
          <w:szCs w:val="20"/>
        </w:rPr>
        <w:t xml:space="preserve">of </w:t>
      </w:r>
      <w:r w:rsidR="00147ECD" w:rsidRPr="00C837DD">
        <w:rPr>
          <w:sz w:val="20"/>
          <w:szCs w:val="20"/>
        </w:rPr>
        <w:t>c</w:t>
      </w:r>
      <w:r w:rsidRPr="00C837DD">
        <w:rPr>
          <w:sz w:val="20"/>
          <w:szCs w:val="20"/>
        </w:rPr>
        <w:t xml:space="preserve">riminal proceedings against the then </w:t>
      </w:r>
      <w:r w:rsidR="00D30C6A" w:rsidRPr="00C837DD">
        <w:rPr>
          <w:sz w:val="20"/>
          <w:szCs w:val="20"/>
        </w:rPr>
        <w:t xml:space="preserve">state </w:t>
      </w:r>
      <w:r w:rsidRPr="00C837DD">
        <w:rPr>
          <w:sz w:val="20"/>
          <w:szCs w:val="20"/>
        </w:rPr>
        <w:t xml:space="preserve">deputy Aércio Pereira de Lima, </w:t>
      </w:r>
      <w:r w:rsidR="00A776FA" w:rsidRPr="00C837DD">
        <w:rPr>
          <w:sz w:val="20"/>
          <w:szCs w:val="20"/>
        </w:rPr>
        <w:t>accused o</w:t>
      </w:r>
      <w:r w:rsidR="00D30C6A" w:rsidRPr="00C837DD">
        <w:rPr>
          <w:sz w:val="20"/>
          <w:szCs w:val="20"/>
        </w:rPr>
        <w:t xml:space="preserve">f the </w:t>
      </w:r>
      <w:r w:rsidR="00147ECD" w:rsidRPr="00C837DD">
        <w:rPr>
          <w:sz w:val="20"/>
          <w:szCs w:val="20"/>
        </w:rPr>
        <w:t xml:space="preserve">murder </w:t>
      </w:r>
      <w:r w:rsidRPr="00C837DD">
        <w:rPr>
          <w:sz w:val="20"/>
          <w:szCs w:val="20"/>
        </w:rPr>
        <w:t xml:space="preserve">of </w:t>
      </w:r>
      <w:r w:rsidR="00B8009F" w:rsidRPr="00C837DD">
        <w:rPr>
          <w:sz w:val="20"/>
          <w:szCs w:val="20"/>
        </w:rPr>
        <w:t>Márcia</w:t>
      </w:r>
      <w:r w:rsidRPr="00C837DD">
        <w:rPr>
          <w:sz w:val="20"/>
          <w:szCs w:val="20"/>
        </w:rPr>
        <w:t xml:space="preserve"> Barbosa de Souza, </w:t>
      </w:r>
      <w:r w:rsidR="00A776FA" w:rsidRPr="00C837DD">
        <w:rPr>
          <w:sz w:val="20"/>
          <w:szCs w:val="20"/>
        </w:rPr>
        <w:t xml:space="preserve">was </w:t>
      </w:r>
      <w:r w:rsidR="00147ECD" w:rsidRPr="00C837DD">
        <w:rPr>
          <w:sz w:val="20"/>
          <w:szCs w:val="20"/>
        </w:rPr>
        <w:t xml:space="preserve">postponed due to </w:t>
      </w:r>
      <w:r w:rsidR="00A776FA" w:rsidRPr="00C837DD">
        <w:rPr>
          <w:sz w:val="20"/>
          <w:szCs w:val="20"/>
        </w:rPr>
        <w:t xml:space="preserve">the application of </w:t>
      </w:r>
      <w:r w:rsidRPr="00C837DD">
        <w:rPr>
          <w:sz w:val="20"/>
          <w:szCs w:val="20"/>
        </w:rPr>
        <w:t>parliamentary immunity by the Legislative Assembly o</w:t>
      </w:r>
      <w:r w:rsidR="00A776FA" w:rsidRPr="00C837DD">
        <w:rPr>
          <w:sz w:val="20"/>
          <w:szCs w:val="20"/>
        </w:rPr>
        <w:t xml:space="preserve">f the </w:t>
      </w:r>
      <w:r w:rsidR="00147ECD" w:rsidRPr="00C837DD">
        <w:rPr>
          <w:sz w:val="20"/>
          <w:szCs w:val="20"/>
        </w:rPr>
        <w:t>s</w:t>
      </w:r>
      <w:r w:rsidRPr="00C837DD">
        <w:rPr>
          <w:sz w:val="20"/>
          <w:szCs w:val="20"/>
        </w:rPr>
        <w:t xml:space="preserve">tate of Paraíba, </w:t>
      </w:r>
      <w:r w:rsidR="00147ECD" w:rsidRPr="00C837DD">
        <w:rPr>
          <w:sz w:val="20"/>
          <w:szCs w:val="20"/>
        </w:rPr>
        <w:t>in accordance with the constitutional regime in force at the time</w:t>
      </w:r>
      <w:r w:rsidRPr="00C837DD">
        <w:rPr>
          <w:sz w:val="20"/>
          <w:szCs w:val="20"/>
        </w:rPr>
        <w:t xml:space="preserve">. </w:t>
      </w:r>
      <w:r w:rsidR="00C51835" w:rsidRPr="00C837DD">
        <w:rPr>
          <w:sz w:val="20"/>
          <w:szCs w:val="20"/>
        </w:rPr>
        <w:t>Therefore</w:t>
      </w:r>
      <w:r w:rsidRPr="00C837DD">
        <w:rPr>
          <w:sz w:val="20"/>
          <w:szCs w:val="20"/>
        </w:rPr>
        <w:t xml:space="preserve">, the </w:t>
      </w:r>
      <w:r w:rsidR="00147ECD" w:rsidRPr="00C837DD">
        <w:rPr>
          <w:sz w:val="20"/>
          <w:szCs w:val="20"/>
        </w:rPr>
        <w:t xml:space="preserve">Court’s </w:t>
      </w:r>
      <w:r w:rsidRPr="00C837DD">
        <w:rPr>
          <w:sz w:val="20"/>
          <w:szCs w:val="20"/>
        </w:rPr>
        <w:t>analysis of the application of parliamentary immunity in th</w:t>
      </w:r>
      <w:r w:rsidR="00E829BE">
        <w:rPr>
          <w:sz w:val="20"/>
          <w:szCs w:val="20"/>
        </w:rPr>
        <w:t>is</w:t>
      </w:r>
      <w:r w:rsidRPr="00C837DD">
        <w:rPr>
          <w:sz w:val="20"/>
          <w:szCs w:val="20"/>
        </w:rPr>
        <w:t xml:space="preserve"> case </w:t>
      </w:r>
      <w:r w:rsidR="00EB47C6" w:rsidRPr="00C837DD">
        <w:rPr>
          <w:sz w:val="20"/>
          <w:szCs w:val="20"/>
        </w:rPr>
        <w:t xml:space="preserve">will focus on this type of </w:t>
      </w:r>
      <w:r w:rsidRPr="00C837DD">
        <w:rPr>
          <w:sz w:val="20"/>
          <w:szCs w:val="20"/>
        </w:rPr>
        <w:t xml:space="preserve">immunity. </w:t>
      </w:r>
    </w:p>
    <w:p w14:paraId="20EFE9F5" w14:textId="77777777" w:rsidR="00F85D5F" w:rsidRPr="00C837DD" w:rsidRDefault="00F85D5F" w:rsidP="00F85D5F">
      <w:pPr>
        <w:pStyle w:val="Prrafodelista"/>
        <w:tabs>
          <w:tab w:val="left" w:pos="142"/>
        </w:tabs>
        <w:ind w:left="0"/>
        <w:rPr>
          <w:sz w:val="20"/>
          <w:szCs w:val="20"/>
        </w:rPr>
      </w:pPr>
    </w:p>
    <w:p w14:paraId="2EEF2D87" w14:textId="475D2973"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w:t>
      </w:r>
      <w:r w:rsidR="000D4257" w:rsidRPr="00C837DD">
        <w:rPr>
          <w:sz w:val="20"/>
          <w:szCs w:val="20"/>
        </w:rPr>
        <w:t xml:space="preserve">various </w:t>
      </w:r>
      <w:r w:rsidRPr="00C837DD">
        <w:rPr>
          <w:sz w:val="20"/>
          <w:szCs w:val="20"/>
        </w:rPr>
        <w:t xml:space="preserve">countries of the </w:t>
      </w:r>
      <w:r w:rsidR="00C51835" w:rsidRPr="00C837DD">
        <w:rPr>
          <w:sz w:val="20"/>
          <w:szCs w:val="20"/>
        </w:rPr>
        <w:t>region</w:t>
      </w:r>
      <w:r w:rsidRPr="00C837DD">
        <w:rPr>
          <w:sz w:val="20"/>
          <w:szCs w:val="20"/>
        </w:rPr>
        <w:t xml:space="preserve">, as well as in </w:t>
      </w:r>
      <w:r w:rsidR="000D4257" w:rsidRPr="00C837DD">
        <w:rPr>
          <w:sz w:val="20"/>
          <w:szCs w:val="20"/>
        </w:rPr>
        <w:t xml:space="preserve">most </w:t>
      </w:r>
      <w:r w:rsidR="00C51835" w:rsidRPr="00C837DD">
        <w:rPr>
          <w:sz w:val="20"/>
          <w:szCs w:val="20"/>
        </w:rPr>
        <w:t xml:space="preserve">European </w:t>
      </w:r>
      <w:r w:rsidRPr="00C837DD">
        <w:rPr>
          <w:sz w:val="20"/>
          <w:szCs w:val="20"/>
        </w:rPr>
        <w:t xml:space="preserve">constitutional and </w:t>
      </w:r>
      <w:r w:rsidR="00C51835" w:rsidRPr="00C837DD">
        <w:rPr>
          <w:sz w:val="20"/>
          <w:szCs w:val="20"/>
        </w:rPr>
        <w:t>parliamentary systems</w:t>
      </w:r>
      <w:r w:rsidRPr="00C837DD">
        <w:rPr>
          <w:sz w:val="20"/>
          <w:szCs w:val="20"/>
        </w:rPr>
        <w:t>,</w:t>
      </w:r>
      <w:r w:rsidR="000D4257" w:rsidRPr="00C837DD">
        <w:rPr>
          <w:sz w:val="20"/>
          <w:szCs w:val="20"/>
        </w:rPr>
        <w:t xml:space="preserve"> </w:t>
      </w:r>
      <w:r w:rsidRPr="00C837DD">
        <w:rPr>
          <w:sz w:val="20"/>
          <w:szCs w:val="20"/>
        </w:rPr>
        <w:t xml:space="preserve">members of the </w:t>
      </w:r>
      <w:r w:rsidR="00C51835" w:rsidRPr="00C837DD">
        <w:rPr>
          <w:sz w:val="20"/>
          <w:szCs w:val="20"/>
        </w:rPr>
        <w:t>respective</w:t>
      </w:r>
      <w:r w:rsidRPr="00C837DD">
        <w:rPr>
          <w:sz w:val="20"/>
          <w:szCs w:val="20"/>
        </w:rPr>
        <w:t xml:space="preserve"> </w:t>
      </w:r>
      <w:r w:rsidR="00C51835" w:rsidRPr="00C837DD">
        <w:rPr>
          <w:sz w:val="20"/>
          <w:szCs w:val="20"/>
        </w:rPr>
        <w:t xml:space="preserve">legislative bodies </w:t>
      </w:r>
      <w:r w:rsidR="00E829BE">
        <w:rPr>
          <w:sz w:val="20"/>
          <w:szCs w:val="20"/>
        </w:rPr>
        <w:t xml:space="preserve">enjoy </w:t>
      </w:r>
      <w:r w:rsidR="00C51835" w:rsidRPr="00C837DD">
        <w:rPr>
          <w:sz w:val="20"/>
          <w:szCs w:val="20"/>
        </w:rPr>
        <w:t xml:space="preserve">different </w:t>
      </w:r>
      <w:r w:rsidRPr="00C837DD">
        <w:rPr>
          <w:sz w:val="20"/>
          <w:szCs w:val="20"/>
        </w:rPr>
        <w:t xml:space="preserve">levels of protection against </w:t>
      </w:r>
      <w:r w:rsidR="00246E10" w:rsidRPr="00C837DD">
        <w:rPr>
          <w:sz w:val="20"/>
          <w:szCs w:val="20"/>
        </w:rPr>
        <w:t xml:space="preserve">legal proceedings </w:t>
      </w:r>
      <w:r w:rsidRPr="00C837DD">
        <w:rPr>
          <w:sz w:val="20"/>
          <w:szCs w:val="20"/>
        </w:rPr>
        <w:t xml:space="preserve">during </w:t>
      </w:r>
      <w:r w:rsidR="00C51835" w:rsidRPr="00C837DD">
        <w:rPr>
          <w:sz w:val="20"/>
          <w:szCs w:val="20"/>
        </w:rPr>
        <w:t xml:space="preserve">their </w:t>
      </w:r>
      <w:r w:rsidR="00246E10" w:rsidRPr="00C837DD">
        <w:rPr>
          <w:sz w:val="20"/>
          <w:szCs w:val="20"/>
        </w:rPr>
        <w:t>term of office</w:t>
      </w:r>
      <w:r w:rsidR="00C51835" w:rsidRPr="00C837DD">
        <w:rPr>
          <w:sz w:val="20"/>
          <w:szCs w:val="20"/>
        </w:rPr>
        <w:t>.</w:t>
      </w:r>
      <w:r w:rsidRPr="00C837DD">
        <w:rPr>
          <w:rStyle w:val="Refdenotaalpie"/>
          <w:sz w:val="20"/>
          <w:szCs w:val="20"/>
        </w:rPr>
        <w:footnoteReference w:id="190"/>
      </w:r>
    </w:p>
    <w:p w14:paraId="28B25F7F" w14:textId="77777777" w:rsidR="00F85D5F" w:rsidRPr="00C837DD" w:rsidRDefault="00F85D5F" w:rsidP="00F85D5F">
      <w:pPr>
        <w:pStyle w:val="Prrafodelista"/>
        <w:tabs>
          <w:tab w:val="left" w:pos="142"/>
        </w:tabs>
        <w:ind w:left="0"/>
        <w:rPr>
          <w:sz w:val="20"/>
          <w:szCs w:val="20"/>
        </w:rPr>
      </w:pPr>
    </w:p>
    <w:p w14:paraId="5E06619A" w14:textId="6EC51163" w:rsidR="00F85D5F" w:rsidRPr="00C837DD" w:rsidRDefault="00E42F87" w:rsidP="00F85D5F">
      <w:pPr>
        <w:numPr>
          <w:ilvl w:val="0"/>
          <w:numId w:val="6"/>
        </w:numPr>
        <w:tabs>
          <w:tab w:val="left" w:pos="142"/>
        </w:tabs>
        <w:ind w:left="0" w:firstLine="0"/>
        <w:jc w:val="both"/>
        <w:rPr>
          <w:rFonts w:cs="Arial"/>
          <w:sz w:val="20"/>
          <w:szCs w:val="20"/>
          <w:shd w:val="clear" w:color="auto" w:fill="FFFFFF"/>
        </w:rPr>
      </w:pPr>
      <w:r w:rsidRPr="00C837DD">
        <w:rPr>
          <w:sz w:val="20"/>
          <w:szCs w:val="20"/>
        </w:rPr>
        <w:t>Regarding the regulation of parliamentary immunity in the States Parties to the Convention</w:t>
      </w:r>
      <w:r w:rsidR="00F85D5F" w:rsidRPr="00C837DD">
        <w:rPr>
          <w:sz w:val="20"/>
          <w:szCs w:val="20"/>
        </w:rPr>
        <w:t xml:space="preserve">, the </w:t>
      </w:r>
      <w:r w:rsidR="00585C1E" w:rsidRPr="00C837DD">
        <w:rPr>
          <w:sz w:val="20"/>
          <w:szCs w:val="20"/>
        </w:rPr>
        <w:t xml:space="preserve">expert witness </w:t>
      </w:r>
      <w:r w:rsidR="00F85D5F" w:rsidRPr="00C837DD">
        <w:rPr>
          <w:sz w:val="20"/>
          <w:szCs w:val="20"/>
        </w:rPr>
        <w:t xml:space="preserve">Javier García </w:t>
      </w:r>
      <w:r w:rsidRPr="00C837DD">
        <w:rPr>
          <w:sz w:val="20"/>
          <w:szCs w:val="20"/>
        </w:rPr>
        <w:t xml:space="preserve">pointed out </w:t>
      </w:r>
      <w:r w:rsidR="00F85D5F" w:rsidRPr="00C837DD">
        <w:rPr>
          <w:sz w:val="20"/>
          <w:szCs w:val="20"/>
        </w:rPr>
        <w:t>that m</w:t>
      </w:r>
      <w:r w:rsidR="00C51835" w:rsidRPr="00C837DD">
        <w:rPr>
          <w:sz w:val="20"/>
          <w:szCs w:val="20"/>
        </w:rPr>
        <w:t xml:space="preserve">any </w:t>
      </w:r>
      <w:r w:rsidR="00F85D5F" w:rsidRPr="00C837DD">
        <w:rPr>
          <w:sz w:val="20"/>
          <w:szCs w:val="20"/>
        </w:rPr>
        <w:t xml:space="preserve">countries </w:t>
      </w:r>
      <w:r w:rsidR="00C51835" w:rsidRPr="00C837DD">
        <w:rPr>
          <w:sz w:val="20"/>
          <w:szCs w:val="20"/>
        </w:rPr>
        <w:t xml:space="preserve">have </w:t>
      </w:r>
      <w:r w:rsidRPr="00C837DD">
        <w:rPr>
          <w:sz w:val="20"/>
          <w:szCs w:val="20"/>
        </w:rPr>
        <w:t xml:space="preserve">different </w:t>
      </w:r>
      <w:r w:rsidR="00C51835" w:rsidRPr="00C837DD">
        <w:rPr>
          <w:sz w:val="20"/>
          <w:szCs w:val="20"/>
        </w:rPr>
        <w:t>fo</w:t>
      </w:r>
      <w:r w:rsidR="00F85D5F" w:rsidRPr="00C837DD">
        <w:rPr>
          <w:sz w:val="20"/>
          <w:szCs w:val="20"/>
        </w:rPr>
        <w:t xml:space="preserve">rmulas </w:t>
      </w:r>
      <w:r w:rsidRPr="00C837DD">
        <w:rPr>
          <w:sz w:val="20"/>
          <w:szCs w:val="20"/>
        </w:rPr>
        <w:t xml:space="preserve">for </w:t>
      </w:r>
      <w:r w:rsidR="00F85D5F" w:rsidRPr="00C837DD">
        <w:rPr>
          <w:sz w:val="20"/>
          <w:szCs w:val="20"/>
        </w:rPr>
        <w:t xml:space="preserve">material </w:t>
      </w:r>
      <w:r w:rsidR="00A776FA" w:rsidRPr="00C837DD">
        <w:rPr>
          <w:sz w:val="20"/>
          <w:szCs w:val="20"/>
        </w:rPr>
        <w:t xml:space="preserve">immunity </w:t>
      </w:r>
      <w:r w:rsidR="00F85D5F" w:rsidRPr="00C837DD">
        <w:rPr>
          <w:sz w:val="20"/>
          <w:szCs w:val="20"/>
        </w:rPr>
        <w:t xml:space="preserve">and </w:t>
      </w:r>
      <w:r w:rsidR="00A776FA" w:rsidRPr="00C837DD">
        <w:rPr>
          <w:sz w:val="20"/>
          <w:szCs w:val="20"/>
        </w:rPr>
        <w:t xml:space="preserve">several others have </w:t>
      </w:r>
      <w:r w:rsidR="00F85D5F" w:rsidRPr="00C837DD">
        <w:rPr>
          <w:sz w:val="20"/>
          <w:szCs w:val="20"/>
        </w:rPr>
        <w:t>dif</w:t>
      </w:r>
      <w:r w:rsidR="00C51835" w:rsidRPr="00C837DD">
        <w:rPr>
          <w:sz w:val="20"/>
          <w:szCs w:val="20"/>
        </w:rPr>
        <w:t>f</w:t>
      </w:r>
      <w:r w:rsidR="00F85D5F" w:rsidRPr="00C837DD">
        <w:rPr>
          <w:sz w:val="20"/>
          <w:szCs w:val="20"/>
        </w:rPr>
        <w:t>erent</w:t>
      </w:r>
      <w:r w:rsidR="00C51835" w:rsidRPr="00C837DD">
        <w:rPr>
          <w:sz w:val="20"/>
          <w:szCs w:val="20"/>
        </w:rPr>
        <w:t xml:space="preserve"> </w:t>
      </w:r>
      <w:r w:rsidR="00F85D5F" w:rsidRPr="00C837DD">
        <w:rPr>
          <w:sz w:val="20"/>
          <w:szCs w:val="20"/>
        </w:rPr>
        <w:t xml:space="preserve">mechanisms </w:t>
      </w:r>
      <w:r w:rsidRPr="00C837DD">
        <w:rPr>
          <w:sz w:val="20"/>
          <w:szCs w:val="20"/>
        </w:rPr>
        <w:t xml:space="preserve">for </w:t>
      </w:r>
      <w:r w:rsidR="00997A03" w:rsidRPr="00C837DD">
        <w:rPr>
          <w:sz w:val="20"/>
          <w:szCs w:val="20"/>
        </w:rPr>
        <w:t>procedural immunity</w:t>
      </w:r>
      <w:r w:rsidR="00F85D5F" w:rsidRPr="00C837DD">
        <w:rPr>
          <w:sz w:val="20"/>
          <w:szCs w:val="20"/>
        </w:rPr>
        <w:t xml:space="preserve">, especially in </w:t>
      </w:r>
      <w:r w:rsidR="00A776FA" w:rsidRPr="00C837DD">
        <w:rPr>
          <w:sz w:val="20"/>
          <w:szCs w:val="20"/>
        </w:rPr>
        <w:t xml:space="preserve">relation to </w:t>
      </w:r>
      <w:r w:rsidR="00C51835" w:rsidRPr="00C837DD">
        <w:rPr>
          <w:sz w:val="20"/>
          <w:szCs w:val="20"/>
        </w:rPr>
        <w:t>the pos</w:t>
      </w:r>
      <w:r w:rsidR="00EB47C6" w:rsidRPr="00C837DD">
        <w:rPr>
          <w:sz w:val="20"/>
          <w:szCs w:val="20"/>
        </w:rPr>
        <w:t>s</w:t>
      </w:r>
      <w:r w:rsidR="00C51835" w:rsidRPr="00C837DD">
        <w:rPr>
          <w:sz w:val="20"/>
          <w:szCs w:val="20"/>
        </w:rPr>
        <w:t>ib</w:t>
      </w:r>
      <w:r w:rsidRPr="00C837DD">
        <w:rPr>
          <w:sz w:val="20"/>
          <w:szCs w:val="20"/>
        </w:rPr>
        <w:t xml:space="preserve">le </w:t>
      </w:r>
      <w:r w:rsidR="00C51835" w:rsidRPr="00C837DD">
        <w:rPr>
          <w:sz w:val="20"/>
          <w:szCs w:val="20"/>
        </w:rPr>
        <w:t>arrest</w:t>
      </w:r>
      <w:r w:rsidRPr="00C837DD">
        <w:rPr>
          <w:sz w:val="20"/>
          <w:szCs w:val="20"/>
        </w:rPr>
        <w:t xml:space="preserve"> of</w:t>
      </w:r>
      <w:r w:rsidR="00F85D5F" w:rsidRPr="00C837DD">
        <w:rPr>
          <w:sz w:val="20"/>
          <w:szCs w:val="20"/>
        </w:rPr>
        <w:t xml:space="preserve"> a congres</w:t>
      </w:r>
      <w:r w:rsidR="00A776FA" w:rsidRPr="00C837DD">
        <w:rPr>
          <w:sz w:val="20"/>
          <w:szCs w:val="20"/>
        </w:rPr>
        <w:t>sman.</w:t>
      </w:r>
      <w:r w:rsidR="00F85D5F" w:rsidRPr="00C837DD">
        <w:rPr>
          <w:rStyle w:val="Refdenotaalpie"/>
          <w:rFonts w:cs="Arial"/>
          <w:sz w:val="20"/>
          <w:szCs w:val="20"/>
          <w:shd w:val="clear" w:color="auto" w:fill="FFFFFF"/>
        </w:rPr>
        <w:footnoteReference w:id="191"/>
      </w:r>
    </w:p>
    <w:p w14:paraId="35DB4250" w14:textId="77777777" w:rsidR="00F85D5F" w:rsidRPr="00C837DD" w:rsidRDefault="00F85D5F" w:rsidP="00F85D5F">
      <w:pPr>
        <w:pStyle w:val="Prrafodelista"/>
        <w:tabs>
          <w:tab w:val="left" w:pos="142"/>
        </w:tabs>
        <w:ind w:left="0"/>
        <w:rPr>
          <w:sz w:val="20"/>
          <w:szCs w:val="20"/>
        </w:rPr>
      </w:pPr>
    </w:p>
    <w:p w14:paraId="378BCA15" w14:textId="26A1CE7F" w:rsidR="00F85D5F" w:rsidRPr="00C837DD" w:rsidRDefault="000E582B" w:rsidP="00F85D5F">
      <w:pPr>
        <w:pStyle w:val="Prrafodelista"/>
        <w:numPr>
          <w:ilvl w:val="0"/>
          <w:numId w:val="6"/>
        </w:numPr>
        <w:tabs>
          <w:tab w:val="left" w:pos="142"/>
        </w:tabs>
        <w:ind w:left="0" w:firstLine="0"/>
        <w:rPr>
          <w:rFonts w:cs="Arial"/>
          <w:sz w:val="20"/>
          <w:szCs w:val="20"/>
          <w:shd w:val="clear" w:color="auto" w:fill="FFFFFF"/>
        </w:rPr>
      </w:pPr>
      <w:r w:rsidRPr="00C837DD">
        <w:rPr>
          <w:rFonts w:cs="Arial"/>
          <w:sz w:val="20"/>
          <w:szCs w:val="20"/>
          <w:shd w:val="clear" w:color="auto" w:fill="FFFFFF"/>
        </w:rPr>
        <w:t>I</w:t>
      </w:r>
      <w:r w:rsidR="00C51835" w:rsidRPr="00C837DD">
        <w:rPr>
          <w:rFonts w:cs="Arial"/>
          <w:sz w:val="20"/>
          <w:szCs w:val="20"/>
          <w:shd w:val="clear" w:color="auto" w:fill="FFFFFF"/>
        </w:rPr>
        <w:t xml:space="preserve">n examining </w:t>
      </w:r>
      <w:r w:rsidR="00F85D5F" w:rsidRPr="00C837DD">
        <w:rPr>
          <w:rFonts w:cs="Arial"/>
          <w:sz w:val="20"/>
          <w:szCs w:val="20"/>
          <w:shd w:val="clear" w:color="auto" w:fill="FFFFFF"/>
        </w:rPr>
        <w:t xml:space="preserve">the </w:t>
      </w:r>
      <w:r w:rsidR="00C51835" w:rsidRPr="00C837DD">
        <w:rPr>
          <w:rFonts w:cs="Arial"/>
          <w:sz w:val="20"/>
          <w:szCs w:val="20"/>
          <w:shd w:val="clear" w:color="auto" w:fill="FFFFFF"/>
        </w:rPr>
        <w:t xml:space="preserve">legal system </w:t>
      </w:r>
      <w:r w:rsidR="00F85D5F" w:rsidRPr="00C837DD">
        <w:rPr>
          <w:rFonts w:cs="Arial"/>
          <w:sz w:val="20"/>
          <w:szCs w:val="20"/>
          <w:shd w:val="clear" w:color="auto" w:fill="FFFFFF"/>
        </w:rPr>
        <w:t>of some States Part</w:t>
      </w:r>
      <w:r w:rsidR="00C51835" w:rsidRPr="00C837DD">
        <w:rPr>
          <w:rFonts w:cs="Arial"/>
          <w:sz w:val="20"/>
          <w:szCs w:val="20"/>
          <w:shd w:val="clear" w:color="auto" w:fill="FFFFFF"/>
        </w:rPr>
        <w:t xml:space="preserve">ies to </w:t>
      </w:r>
      <w:r w:rsidR="00F85D5F" w:rsidRPr="00C837DD">
        <w:rPr>
          <w:rFonts w:cs="Arial"/>
          <w:sz w:val="20"/>
          <w:szCs w:val="20"/>
          <w:shd w:val="clear" w:color="auto" w:fill="FFFFFF"/>
        </w:rPr>
        <w:t xml:space="preserve">the Convention </w:t>
      </w:r>
      <w:r w:rsidR="00997A03" w:rsidRPr="00C837DD">
        <w:rPr>
          <w:rFonts w:cs="Arial"/>
          <w:sz w:val="20"/>
          <w:szCs w:val="20"/>
          <w:shd w:val="clear" w:color="auto" w:fill="FFFFFF"/>
        </w:rPr>
        <w:t xml:space="preserve">with respect to </w:t>
      </w:r>
      <w:r w:rsidR="00F85D5F" w:rsidRPr="00C837DD">
        <w:rPr>
          <w:rFonts w:cs="Arial"/>
          <w:sz w:val="20"/>
          <w:szCs w:val="20"/>
          <w:shd w:val="clear" w:color="auto" w:fill="FFFFFF"/>
        </w:rPr>
        <w:t xml:space="preserve">parliamentary immunity, the Court </w:t>
      </w:r>
      <w:r w:rsidR="00E829BE">
        <w:rPr>
          <w:rFonts w:cs="Arial"/>
          <w:sz w:val="20"/>
          <w:szCs w:val="20"/>
          <w:shd w:val="clear" w:color="auto" w:fill="FFFFFF"/>
        </w:rPr>
        <w:t xml:space="preserve">has </w:t>
      </w:r>
      <w:r w:rsidR="00C51835" w:rsidRPr="00C837DD">
        <w:rPr>
          <w:rFonts w:cs="Arial"/>
          <w:sz w:val="20"/>
          <w:szCs w:val="20"/>
          <w:shd w:val="clear" w:color="auto" w:fill="FFFFFF"/>
        </w:rPr>
        <w:t xml:space="preserve">found </w:t>
      </w:r>
      <w:r w:rsidR="00D30C6A" w:rsidRPr="00C837DD">
        <w:rPr>
          <w:rFonts w:cs="Arial"/>
          <w:sz w:val="20"/>
          <w:szCs w:val="20"/>
          <w:shd w:val="clear" w:color="auto" w:fill="FFFFFF"/>
        </w:rPr>
        <w:t>that</w:t>
      </w:r>
      <w:r w:rsidR="00F85D5F" w:rsidRPr="00C837DD">
        <w:rPr>
          <w:rFonts w:cs="Arial"/>
          <w:sz w:val="20"/>
          <w:szCs w:val="20"/>
          <w:shd w:val="clear" w:color="auto" w:fill="FFFFFF"/>
        </w:rPr>
        <w:t xml:space="preserve"> the Constitution</w:t>
      </w:r>
      <w:r w:rsidR="00D30C6A" w:rsidRPr="00C837DD">
        <w:rPr>
          <w:rFonts w:cs="Arial"/>
          <w:sz w:val="20"/>
          <w:szCs w:val="20"/>
          <w:shd w:val="clear" w:color="auto" w:fill="FFFFFF"/>
        </w:rPr>
        <w:t xml:space="preserve"> of Argentina</w:t>
      </w:r>
      <w:r w:rsidR="00F85D5F" w:rsidRPr="00C837DD">
        <w:rPr>
          <w:rStyle w:val="Refdenotaalpie"/>
          <w:rFonts w:cs="Arial"/>
          <w:sz w:val="20"/>
          <w:szCs w:val="20"/>
          <w:shd w:val="clear" w:color="auto" w:fill="FFFFFF"/>
        </w:rPr>
        <w:footnoteReference w:id="192"/>
      </w:r>
      <w:r w:rsidR="00F85D5F" w:rsidRPr="00C837DD">
        <w:rPr>
          <w:rFonts w:cs="Arial"/>
          <w:sz w:val="20"/>
          <w:szCs w:val="20"/>
          <w:shd w:val="clear" w:color="auto" w:fill="FFFFFF"/>
        </w:rPr>
        <w:t xml:space="preserve"> </w:t>
      </w:r>
      <w:r w:rsidR="00C51835" w:rsidRPr="00C837DD">
        <w:rPr>
          <w:rFonts w:cs="Arial"/>
          <w:sz w:val="20"/>
          <w:szCs w:val="20"/>
          <w:shd w:val="clear" w:color="auto" w:fill="FFFFFF"/>
        </w:rPr>
        <w:t xml:space="preserve">recognizes </w:t>
      </w:r>
      <w:r w:rsidR="00F85D5F" w:rsidRPr="00C837DD">
        <w:rPr>
          <w:rFonts w:cs="Arial"/>
          <w:sz w:val="20"/>
          <w:szCs w:val="20"/>
          <w:shd w:val="clear" w:color="auto" w:fill="FFFFFF"/>
        </w:rPr>
        <w:t>“immunity of opini</w:t>
      </w:r>
      <w:r w:rsidR="00C51835" w:rsidRPr="00C837DD">
        <w:rPr>
          <w:rFonts w:cs="Arial"/>
          <w:sz w:val="20"/>
          <w:szCs w:val="20"/>
          <w:shd w:val="clear" w:color="auto" w:fill="FFFFFF"/>
        </w:rPr>
        <w:t xml:space="preserve">on” and “immunity </w:t>
      </w:r>
      <w:r w:rsidR="002023F1" w:rsidRPr="00C837DD">
        <w:rPr>
          <w:rFonts w:cs="Arial"/>
          <w:sz w:val="20"/>
          <w:szCs w:val="20"/>
          <w:shd w:val="clear" w:color="auto" w:fill="FFFFFF"/>
        </w:rPr>
        <w:t>from</w:t>
      </w:r>
      <w:r w:rsidR="00C51835" w:rsidRPr="00C837DD">
        <w:rPr>
          <w:rFonts w:cs="Arial"/>
          <w:sz w:val="20"/>
          <w:szCs w:val="20"/>
          <w:shd w:val="clear" w:color="auto" w:fill="FFFFFF"/>
        </w:rPr>
        <w:t xml:space="preserve"> arrest</w:t>
      </w:r>
      <w:r w:rsidR="00347219" w:rsidRPr="00C837DD">
        <w:rPr>
          <w:rFonts w:cs="Arial"/>
          <w:sz w:val="20"/>
          <w:szCs w:val="20"/>
          <w:shd w:val="clear" w:color="auto" w:fill="FFFFFF"/>
        </w:rPr>
        <w:t>.</w:t>
      </w:r>
      <w:r w:rsidR="00F85D5F" w:rsidRPr="00C837DD">
        <w:rPr>
          <w:rFonts w:cs="Arial"/>
          <w:sz w:val="20"/>
          <w:szCs w:val="20"/>
          <w:shd w:val="clear" w:color="auto" w:fill="FFFFFF"/>
        </w:rPr>
        <w:t>”</w:t>
      </w:r>
      <w:r w:rsidR="00F85D5F" w:rsidRPr="00C837DD">
        <w:rPr>
          <w:rStyle w:val="Refdenotaalpie"/>
          <w:rFonts w:cs="Arial"/>
          <w:sz w:val="20"/>
          <w:szCs w:val="20"/>
          <w:shd w:val="clear" w:color="auto" w:fill="FFFFFF"/>
        </w:rPr>
        <w:footnoteReference w:id="193"/>
      </w:r>
      <w:r w:rsidR="00F85D5F" w:rsidRPr="00C837DD">
        <w:rPr>
          <w:rFonts w:cs="Arial"/>
          <w:sz w:val="20"/>
          <w:szCs w:val="20"/>
          <w:shd w:val="clear" w:color="auto" w:fill="FFFFFF"/>
        </w:rPr>
        <w:t xml:space="preserve"> </w:t>
      </w:r>
      <w:r w:rsidR="002023F1" w:rsidRPr="00C837DD">
        <w:rPr>
          <w:rFonts w:cs="Arial"/>
          <w:sz w:val="20"/>
          <w:szCs w:val="20"/>
          <w:shd w:val="clear" w:color="auto" w:fill="FFFFFF"/>
        </w:rPr>
        <w:t>Similarly, t</w:t>
      </w:r>
      <w:r w:rsidR="00255C3C" w:rsidRPr="00C837DD">
        <w:rPr>
          <w:rFonts w:cs="Arial"/>
          <w:sz w:val="20"/>
          <w:szCs w:val="20"/>
          <w:shd w:val="clear" w:color="auto" w:fill="FFFFFF"/>
        </w:rPr>
        <w:t>he Constitution of Costa Rica</w:t>
      </w:r>
      <w:r w:rsidR="00F85D5F" w:rsidRPr="00C837DD">
        <w:rPr>
          <w:rFonts w:cs="Arial"/>
          <w:sz w:val="20"/>
          <w:szCs w:val="20"/>
          <w:shd w:val="clear" w:color="auto" w:fill="FFFFFF"/>
        </w:rPr>
        <w:t xml:space="preserve"> </w:t>
      </w:r>
      <w:r w:rsidR="00255C3C" w:rsidRPr="00C837DD">
        <w:rPr>
          <w:rFonts w:cs="Arial"/>
          <w:sz w:val="20"/>
          <w:szCs w:val="20"/>
          <w:shd w:val="clear" w:color="auto" w:fill="FFFFFF"/>
        </w:rPr>
        <w:t>recognizes parliamentary immunity in paragraph 110,</w:t>
      </w:r>
      <w:r w:rsidR="00F85D5F" w:rsidRPr="00C837DD">
        <w:rPr>
          <w:rStyle w:val="Refdenotaalpie"/>
          <w:rFonts w:cs="Arial"/>
          <w:sz w:val="20"/>
          <w:szCs w:val="20"/>
          <w:shd w:val="clear" w:color="auto" w:fill="FFFFFF"/>
        </w:rPr>
        <w:footnoteReference w:id="194"/>
      </w:r>
      <w:r w:rsidR="00F85D5F" w:rsidRPr="00C837DD">
        <w:rPr>
          <w:rFonts w:cs="Arial"/>
          <w:sz w:val="20"/>
          <w:szCs w:val="20"/>
          <w:shd w:val="clear" w:color="auto" w:fill="FFFFFF"/>
        </w:rPr>
        <w:t xml:space="preserve"> which </w:t>
      </w:r>
      <w:r w:rsidR="00255C3C" w:rsidRPr="00C837DD">
        <w:rPr>
          <w:rFonts w:cs="Arial"/>
          <w:sz w:val="20"/>
          <w:szCs w:val="20"/>
          <w:shd w:val="clear" w:color="auto" w:fill="FFFFFF"/>
        </w:rPr>
        <w:t xml:space="preserve">exempts deputies from liability for </w:t>
      </w:r>
      <w:r w:rsidR="00347219" w:rsidRPr="00C837DD">
        <w:rPr>
          <w:rFonts w:cs="Arial"/>
          <w:sz w:val="20"/>
          <w:szCs w:val="20"/>
          <w:shd w:val="clear" w:color="auto" w:fill="FFFFFF"/>
        </w:rPr>
        <w:t>opinion</w:t>
      </w:r>
      <w:r w:rsidR="00F85D5F" w:rsidRPr="00C837DD">
        <w:rPr>
          <w:rFonts w:cs="Arial"/>
          <w:sz w:val="20"/>
          <w:szCs w:val="20"/>
          <w:shd w:val="clear" w:color="auto" w:fill="FFFFFF"/>
        </w:rPr>
        <w:t xml:space="preserve">s </w:t>
      </w:r>
      <w:r w:rsidR="00347219" w:rsidRPr="00C837DD">
        <w:rPr>
          <w:rFonts w:cs="Arial"/>
          <w:sz w:val="20"/>
          <w:szCs w:val="20"/>
          <w:shd w:val="clear" w:color="auto" w:fill="FFFFFF"/>
        </w:rPr>
        <w:t xml:space="preserve">expressed </w:t>
      </w:r>
      <w:r w:rsidR="00F85D5F" w:rsidRPr="00C837DD">
        <w:rPr>
          <w:rFonts w:cs="Arial"/>
          <w:sz w:val="20"/>
          <w:szCs w:val="20"/>
          <w:shd w:val="clear" w:color="auto" w:fill="FFFFFF"/>
        </w:rPr>
        <w:t xml:space="preserve">in the Assembly and </w:t>
      </w:r>
      <w:r w:rsidR="00255C3C" w:rsidRPr="00C837DD">
        <w:rPr>
          <w:rFonts w:cs="Arial"/>
          <w:sz w:val="20"/>
          <w:szCs w:val="20"/>
          <w:shd w:val="clear" w:color="auto" w:fill="FFFFFF"/>
        </w:rPr>
        <w:t xml:space="preserve">prohibits their </w:t>
      </w:r>
      <w:r w:rsidR="002023F1" w:rsidRPr="00C837DD">
        <w:rPr>
          <w:rFonts w:cs="Arial"/>
          <w:sz w:val="20"/>
          <w:szCs w:val="20"/>
          <w:shd w:val="clear" w:color="auto" w:fill="FFFFFF"/>
        </w:rPr>
        <w:t>deprivation of liberty</w:t>
      </w:r>
      <w:r w:rsidR="00F85D5F" w:rsidRPr="00C837DD">
        <w:rPr>
          <w:rFonts w:cs="Arial"/>
          <w:sz w:val="20"/>
          <w:szCs w:val="20"/>
          <w:shd w:val="clear" w:color="auto" w:fill="FFFFFF"/>
        </w:rPr>
        <w:t xml:space="preserve">, except in </w:t>
      </w:r>
      <w:r w:rsidR="002023F1" w:rsidRPr="00C837DD">
        <w:rPr>
          <w:rFonts w:cs="Arial"/>
          <w:sz w:val="20"/>
          <w:szCs w:val="20"/>
          <w:shd w:val="clear" w:color="auto" w:fill="FFFFFF"/>
        </w:rPr>
        <w:lastRenderedPageBreak/>
        <w:t xml:space="preserve">certain </w:t>
      </w:r>
      <w:r w:rsidR="00F85D5F" w:rsidRPr="00C837DD">
        <w:rPr>
          <w:rFonts w:cs="Arial"/>
          <w:sz w:val="20"/>
          <w:szCs w:val="20"/>
          <w:shd w:val="clear" w:color="auto" w:fill="FFFFFF"/>
        </w:rPr>
        <w:t>cases</w:t>
      </w:r>
      <w:r w:rsidR="00EB47C6" w:rsidRPr="00C837DD">
        <w:rPr>
          <w:rFonts w:cs="Arial"/>
          <w:sz w:val="20"/>
          <w:szCs w:val="20"/>
          <w:shd w:val="clear" w:color="auto" w:fill="FFFFFF"/>
        </w:rPr>
        <w:t>.</w:t>
      </w:r>
      <w:r w:rsidR="00F85D5F" w:rsidRPr="00C837DD">
        <w:rPr>
          <w:rStyle w:val="Refdenotaalpie"/>
          <w:rFonts w:cs="Arial"/>
          <w:sz w:val="20"/>
          <w:szCs w:val="20"/>
          <w:shd w:val="clear" w:color="auto" w:fill="FFFFFF"/>
        </w:rPr>
        <w:footnoteReference w:id="195"/>
      </w:r>
      <w:r w:rsidR="00EB47C6" w:rsidRPr="00C837DD">
        <w:rPr>
          <w:rFonts w:cs="Arial"/>
          <w:sz w:val="20"/>
          <w:szCs w:val="20"/>
          <w:shd w:val="clear" w:color="auto" w:fill="FFFFFF"/>
        </w:rPr>
        <w:t xml:space="preserve"> In Me</w:t>
      </w:r>
      <w:r w:rsidR="00F85D5F" w:rsidRPr="00C837DD">
        <w:rPr>
          <w:rFonts w:cs="Arial"/>
          <w:sz w:val="20"/>
          <w:szCs w:val="20"/>
          <w:shd w:val="clear" w:color="auto" w:fill="FFFFFF"/>
        </w:rPr>
        <w:t xml:space="preserve">xico, parliamentary immunity </w:t>
      </w:r>
      <w:r w:rsidR="00EB47C6" w:rsidRPr="00C837DD">
        <w:rPr>
          <w:rFonts w:cs="Arial"/>
          <w:sz w:val="20"/>
          <w:szCs w:val="20"/>
          <w:shd w:val="clear" w:color="auto" w:fill="FFFFFF"/>
        </w:rPr>
        <w:t xml:space="preserve">is </w:t>
      </w:r>
      <w:r w:rsidR="00E829BE">
        <w:rPr>
          <w:rFonts w:cs="Arial"/>
          <w:sz w:val="20"/>
          <w:szCs w:val="20"/>
          <w:shd w:val="clear" w:color="auto" w:fill="FFFFFF"/>
        </w:rPr>
        <w:t xml:space="preserve">protected </w:t>
      </w:r>
      <w:r w:rsidR="00877FA4" w:rsidRPr="00C837DD">
        <w:rPr>
          <w:rFonts w:cs="Arial"/>
          <w:sz w:val="20"/>
          <w:szCs w:val="20"/>
          <w:shd w:val="clear" w:color="auto" w:fill="FFFFFF"/>
        </w:rPr>
        <w:t xml:space="preserve">mainly </w:t>
      </w:r>
      <w:r w:rsidR="00F85D5F" w:rsidRPr="00C837DD">
        <w:rPr>
          <w:rFonts w:cs="Arial"/>
          <w:sz w:val="20"/>
          <w:szCs w:val="20"/>
          <w:shd w:val="clear" w:color="auto" w:fill="FFFFFF"/>
        </w:rPr>
        <w:t xml:space="preserve">in the </w:t>
      </w:r>
      <w:r w:rsidR="00F85D5F" w:rsidRPr="00C837DD">
        <w:rPr>
          <w:rFonts w:eastAsia="Times New Roman" w:cs="Times New Roman"/>
          <w:bCs/>
          <w:sz w:val="20"/>
          <w:szCs w:val="20"/>
          <w:lang w:eastAsia="es-CR"/>
        </w:rPr>
        <w:t>Constitution</w:t>
      </w:r>
      <w:r w:rsidR="008C0E6C" w:rsidRPr="00C837DD">
        <w:rPr>
          <w:rFonts w:eastAsia="Times New Roman" w:cs="Times New Roman"/>
          <w:bCs/>
          <w:sz w:val="20"/>
          <w:szCs w:val="20"/>
          <w:lang w:eastAsia="es-CR"/>
        </w:rPr>
        <w:t>,</w:t>
      </w:r>
      <w:r w:rsidR="00F85D5F" w:rsidRPr="00C837DD">
        <w:rPr>
          <w:rStyle w:val="Refdenotaalpie"/>
          <w:rFonts w:eastAsia="Times New Roman" w:cs="Times New Roman"/>
          <w:bCs/>
          <w:sz w:val="20"/>
          <w:szCs w:val="20"/>
          <w:lang w:eastAsia="es-CR"/>
        </w:rPr>
        <w:footnoteReference w:id="196"/>
      </w:r>
      <w:r w:rsidR="008C0E6C" w:rsidRPr="00C837DD">
        <w:rPr>
          <w:rFonts w:eastAsia="Times New Roman" w:cs="Times New Roman"/>
          <w:bCs/>
          <w:sz w:val="20"/>
          <w:szCs w:val="20"/>
          <w:lang w:eastAsia="es-CR"/>
        </w:rPr>
        <w:t xml:space="preserve"> in the Orga</w:t>
      </w:r>
      <w:r w:rsidR="00F85D5F" w:rsidRPr="00C837DD">
        <w:rPr>
          <w:rFonts w:eastAsia="Times New Roman" w:cs="Times New Roman"/>
          <w:bCs/>
          <w:sz w:val="20"/>
          <w:szCs w:val="20"/>
          <w:lang w:eastAsia="es-CR"/>
        </w:rPr>
        <w:t>nic</w:t>
      </w:r>
      <w:r w:rsidR="008C0E6C" w:rsidRPr="00C837DD">
        <w:rPr>
          <w:rFonts w:eastAsia="Times New Roman" w:cs="Times New Roman"/>
          <w:bCs/>
          <w:sz w:val="20"/>
          <w:szCs w:val="20"/>
          <w:lang w:eastAsia="es-CR"/>
        </w:rPr>
        <w:t xml:space="preserve"> Law of </w:t>
      </w:r>
      <w:r w:rsidR="00877FA4" w:rsidRPr="00C837DD">
        <w:rPr>
          <w:rFonts w:eastAsia="Times New Roman" w:cs="Times New Roman"/>
          <w:bCs/>
          <w:sz w:val="20"/>
          <w:szCs w:val="20"/>
          <w:lang w:eastAsia="es-CR"/>
        </w:rPr>
        <w:t xml:space="preserve">the General </w:t>
      </w:r>
      <w:r w:rsidR="008C0E6C" w:rsidRPr="00C837DD">
        <w:rPr>
          <w:rFonts w:eastAsia="Times New Roman" w:cs="Times New Roman"/>
          <w:bCs/>
          <w:sz w:val="20"/>
          <w:szCs w:val="20"/>
          <w:lang w:eastAsia="es-CR"/>
        </w:rPr>
        <w:t>Congress</w:t>
      </w:r>
      <w:r w:rsidR="00F85D5F" w:rsidRPr="00C837DD">
        <w:rPr>
          <w:rStyle w:val="Refdenotaalpie"/>
          <w:rFonts w:eastAsia="Times New Roman" w:cs="Times New Roman"/>
          <w:bCs/>
          <w:sz w:val="20"/>
          <w:szCs w:val="20"/>
          <w:lang w:eastAsia="es-CR"/>
        </w:rPr>
        <w:footnoteReference w:id="197"/>
      </w:r>
      <w:r w:rsidR="00F85D5F" w:rsidRPr="00C837DD">
        <w:rPr>
          <w:rFonts w:eastAsia="Times New Roman" w:cs="Times New Roman"/>
          <w:bCs/>
          <w:sz w:val="20"/>
          <w:szCs w:val="20"/>
          <w:lang w:eastAsia="es-CR"/>
        </w:rPr>
        <w:t xml:space="preserve"> and in the Rules </w:t>
      </w:r>
      <w:r w:rsidR="00255C3C" w:rsidRPr="00C837DD">
        <w:rPr>
          <w:rFonts w:eastAsia="Times New Roman" w:cs="Times New Roman"/>
          <w:bCs/>
          <w:sz w:val="20"/>
          <w:szCs w:val="20"/>
          <w:lang w:eastAsia="es-CR"/>
        </w:rPr>
        <w:t xml:space="preserve">of </w:t>
      </w:r>
      <w:r w:rsidR="00877FA4" w:rsidRPr="00C837DD">
        <w:rPr>
          <w:rFonts w:eastAsia="Times New Roman" w:cs="Times New Roman"/>
          <w:bCs/>
          <w:sz w:val="20"/>
          <w:szCs w:val="20"/>
          <w:lang w:eastAsia="es-CR"/>
        </w:rPr>
        <w:t xml:space="preserve">Procedure of </w:t>
      </w:r>
      <w:r w:rsidR="00255C3C" w:rsidRPr="00C837DD">
        <w:rPr>
          <w:rFonts w:eastAsia="Times New Roman" w:cs="Times New Roman"/>
          <w:bCs/>
          <w:sz w:val="20"/>
          <w:szCs w:val="20"/>
          <w:lang w:eastAsia="es-CR"/>
        </w:rPr>
        <w:t xml:space="preserve">the </w:t>
      </w:r>
      <w:r w:rsidR="00347219" w:rsidRPr="00C837DD">
        <w:rPr>
          <w:rFonts w:eastAsia="Times New Roman" w:cs="Times New Roman"/>
          <w:bCs/>
          <w:sz w:val="20"/>
          <w:szCs w:val="20"/>
          <w:lang w:eastAsia="es-CR"/>
        </w:rPr>
        <w:t>Senate</w:t>
      </w:r>
      <w:r w:rsidR="00255C3C" w:rsidRPr="00C837DD">
        <w:rPr>
          <w:rFonts w:eastAsia="Times New Roman" w:cs="Times New Roman"/>
          <w:bCs/>
          <w:sz w:val="20"/>
          <w:szCs w:val="20"/>
          <w:lang w:eastAsia="es-CR"/>
        </w:rPr>
        <w:t>.</w:t>
      </w:r>
      <w:r w:rsidR="00F85D5F" w:rsidRPr="00C837DD">
        <w:rPr>
          <w:rStyle w:val="Refdenotaalpie"/>
          <w:rFonts w:eastAsia="Times New Roman" w:cs="Times New Roman"/>
          <w:bCs/>
          <w:sz w:val="20"/>
          <w:szCs w:val="20"/>
          <w:lang w:eastAsia="es-CR"/>
        </w:rPr>
        <w:footnoteReference w:id="198"/>
      </w:r>
      <w:r w:rsidR="00347219" w:rsidRPr="00C837DD">
        <w:rPr>
          <w:rFonts w:eastAsia="Times New Roman" w:cs="Times New Roman"/>
          <w:bCs/>
          <w:sz w:val="20"/>
          <w:szCs w:val="20"/>
          <w:lang w:eastAsia="es-CR"/>
        </w:rPr>
        <w:t xml:space="preserve"> T</w:t>
      </w:r>
      <w:r w:rsidR="00F85D5F" w:rsidRPr="00C837DD">
        <w:rPr>
          <w:rFonts w:eastAsia="Times New Roman" w:cs="Times New Roman"/>
          <w:bCs/>
          <w:sz w:val="20"/>
          <w:szCs w:val="20"/>
          <w:lang w:eastAsia="es-CR"/>
        </w:rPr>
        <w:t>h</w:t>
      </w:r>
      <w:r w:rsidR="00347219" w:rsidRPr="00C837DD">
        <w:rPr>
          <w:rFonts w:eastAsia="Times New Roman" w:cs="Times New Roman"/>
          <w:bCs/>
          <w:sz w:val="20"/>
          <w:szCs w:val="20"/>
          <w:lang w:eastAsia="es-CR"/>
        </w:rPr>
        <w:t>e Mexican</w:t>
      </w:r>
      <w:r w:rsidR="00F85D5F" w:rsidRPr="00C837DD">
        <w:rPr>
          <w:rFonts w:eastAsia="Times New Roman" w:cs="Times New Roman"/>
          <w:bCs/>
          <w:sz w:val="20"/>
          <w:szCs w:val="20"/>
          <w:lang w:eastAsia="es-CR"/>
        </w:rPr>
        <w:t xml:space="preserve"> </w:t>
      </w:r>
      <w:r w:rsidR="00347219" w:rsidRPr="00C837DD">
        <w:rPr>
          <w:rFonts w:eastAsia="Times New Roman" w:cs="Times New Roman"/>
          <w:bCs/>
          <w:sz w:val="20"/>
          <w:szCs w:val="20"/>
          <w:lang w:eastAsia="es-CR"/>
        </w:rPr>
        <w:t xml:space="preserve">legal system </w:t>
      </w:r>
      <w:r w:rsidR="00D61837" w:rsidRPr="00C837DD">
        <w:rPr>
          <w:rFonts w:eastAsia="Times New Roman" w:cs="Times New Roman"/>
          <w:bCs/>
          <w:sz w:val="20"/>
          <w:szCs w:val="20"/>
          <w:lang w:eastAsia="es-CR"/>
        </w:rPr>
        <w:t xml:space="preserve">provides for </w:t>
      </w:r>
      <w:r w:rsidR="008C0E6C" w:rsidRPr="00C837DD">
        <w:rPr>
          <w:rFonts w:eastAsia="Times New Roman" w:cs="Times New Roman"/>
          <w:bCs/>
          <w:sz w:val="20"/>
          <w:szCs w:val="20"/>
          <w:lang w:eastAsia="es-CR"/>
        </w:rPr>
        <w:t xml:space="preserve">the inviolability of </w:t>
      </w:r>
      <w:r w:rsidR="00F85D5F" w:rsidRPr="00C837DD">
        <w:rPr>
          <w:rFonts w:eastAsia="Times New Roman" w:cs="Times New Roman"/>
          <w:bCs/>
          <w:sz w:val="20"/>
          <w:szCs w:val="20"/>
          <w:lang w:eastAsia="es-CR"/>
        </w:rPr>
        <w:t xml:space="preserve">deputies and </w:t>
      </w:r>
      <w:r w:rsidR="00D61837" w:rsidRPr="00C837DD">
        <w:rPr>
          <w:rFonts w:eastAsia="Times New Roman" w:cs="Times New Roman"/>
          <w:bCs/>
          <w:sz w:val="20"/>
          <w:szCs w:val="20"/>
          <w:lang w:eastAsia="es-CR"/>
        </w:rPr>
        <w:t>s</w:t>
      </w:r>
      <w:r w:rsidR="00347219" w:rsidRPr="00C837DD">
        <w:rPr>
          <w:rFonts w:eastAsia="Times New Roman" w:cs="Times New Roman"/>
          <w:bCs/>
          <w:sz w:val="20"/>
          <w:szCs w:val="20"/>
          <w:lang w:eastAsia="es-CR"/>
        </w:rPr>
        <w:t>enators for their opinion</w:t>
      </w:r>
      <w:r w:rsidR="00F85D5F" w:rsidRPr="00C837DD">
        <w:rPr>
          <w:rFonts w:eastAsia="Times New Roman" w:cs="Times New Roman"/>
          <w:bCs/>
          <w:sz w:val="20"/>
          <w:szCs w:val="20"/>
          <w:lang w:eastAsia="es-CR"/>
        </w:rPr>
        <w:t xml:space="preserve">s in </w:t>
      </w:r>
      <w:r w:rsidR="00F85D5F" w:rsidRPr="00C837DD">
        <w:rPr>
          <w:sz w:val="20"/>
          <w:szCs w:val="20"/>
        </w:rPr>
        <w:t xml:space="preserve">the </w:t>
      </w:r>
      <w:r w:rsidR="00347219" w:rsidRPr="00C837DD">
        <w:rPr>
          <w:sz w:val="20"/>
          <w:szCs w:val="20"/>
        </w:rPr>
        <w:t xml:space="preserve">performance </w:t>
      </w:r>
      <w:r w:rsidR="00F85D5F" w:rsidRPr="00C837DD">
        <w:rPr>
          <w:sz w:val="20"/>
          <w:szCs w:val="20"/>
        </w:rPr>
        <w:t xml:space="preserve">of </w:t>
      </w:r>
      <w:r w:rsidR="00255C3C" w:rsidRPr="00C837DD">
        <w:rPr>
          <w:sz w:val="20"/>
          <w:szCs w:val="20"/>
        </w:rPr>
        <w:t xml:space="preserve">their </w:t>
      </w:r>
      <w:r w:rsidR="00D61837" w:rsidRPr="00C837DD">
        <w:rPr>
          <w:sz w:val="20"/>
          <w:szCs w:val="20"/>
        </w:rPr>
        <w:t>duties</w:t>
      </w:r>
      <w:r w:rsidR="00255C3C" w:rsidRPr="00C837DD">
        <w:rPr>
          <w:sz w:val="20"/>
          <w:szCs w:val="20"/>
        </w:rPr>
        <w:t>,</w:t>
      </w:r>
      <w:r w:rsidR="00F85D5F" w:rsidRPr="00C837DD">
        <w:rPr>
          <w:rStyle w:val="Refdenotaalpie"/>
          <w:sz w:val="20"/>
          <w:szCs w:val="20"/>
        </w:rPr>
        <w:footnoteReference w:id="199"/>
      </w:r>
      <w:r w:rsidR="00F85D5F" w:rsidRPr="00C837DD">
        <w:rPr>
          <w:sz w:val="20"/>
          <w:szCs w:val="20"/>
        </w:rPr>
        <w:t xml:space="preserve"> as well as </w:t>
      </w:r>
      <w:r w:rsidR="00255C3C" w:rsidRPr="00C837DD">
        <w:rPr>
          <w:sz w:val="20"/>
          <w:szCs w:val="20"/>
        </w:rPr>
        <w:t xml:space="preserve">formal </w:t>
      </w:r>
      <w:r w:rsidR="00F85D5F" w:rsidRPr="00C837DD">
        <w:rPr>
          <w:sz w:val="20"/>
          <w:szCs w:val="20"/>
        </w:rPr>
        <w:t>immunity</w:t>
      </w:r>
      <w:r w:rsidR="003E0D55" w:rsidRPr="00C837DD">
        <w:rPr>
          <w:sz w:val="20"/>
          <w:szCs w:val="20"/>
        </w:rPr>
        <w:t xml:space="preserve">, </w:t>
      </w:r>
      <w:r w:rsidR="00255C3C" w:rsidRPr="00C837DD">
        <w:rPr>
          <w:sz w:val="20"/>
          <w:szCs w:val="20"/>
        </w:rPr>
        <w:t xml:space="preserve">both </w:t>
      </w:r>
      <w:r w:rsidR="003E0D55" w:rsidRPr="00C837DD">
        <w:rPr>
          <w:sz w:val="20"/>
          <w:szCs w:val="20"/>
        </w:rPr>
        <w:t xml:space="preserve">in relation </w:t>
      </w:r>
      <w:r w:rsidR="008C0E6C" w:rsidRPr="00C837DD">
        <w:rPr>
          <w:sz w:val="20"/>
          <w:szCs w:val="20"/>
        </w:rPr>
        <w:t xml:space="preserve">to </w:t>
      </w:r>
      <w:r w:rsidR="00D61837" w:rsidRPr="00C837DD">
        <w:rPr>
          <w:sz w:val="20"/>
          <w:szCs w:val="20"/>
        </w:rPr>
        <w:t>imprisonment and criminal prosecution</w:t>
      </w:r>
      <w:r w:rsidR="00877FA4" w:rsidRPr="00C837DD">
        <w:rPr>
          <w:sz w:val="20"/>
          <w:szCs w:val="20"/>
        </w:rPr>
        <w:t xml:space="preserve"> of parliamentarians</w:t>
      </w:r>
      <w:r w:rsidR="00347219" w:rsidRPr="00C837DD">
        <w:rPr>
          <w:sz w:val="20"/>
          <w:szCs w:val="20"/>
        </w:rPr>
        <w:t>.</w:t>
      </w:r>
      <w:r w:rsidR="00F85D5F" w:rsidRPr="00C837DD">
        <w:rPr>
          <w:rStyle w:val="Refdenotaalpie"/>
          <w:sz w:val="20"/>
          <w:szCs w:val="20"/>
        </w:rPr>
        <w:footnoteReference w:id="200"/>
      </w:r>
      <w:r w:rsidR="00F85D5F" w:rsidRPr="00C837DD">
        <w:rPr>
          <w:sz w:val="20"/>
          <w:szCs w:val="20"/>
        </w:rPr>
        <w:t xml:space="preserve"> </w:t>
      </w:r>
      <w:r w:rsidR="00347219" w:rsidRPr="00C837DD">
        <w:rPr>
          <w:sz w:val="20"/>
          <w:szCs w:val="20"/>
        </w:rPr>
        <w:t>Similarly</w:t>
      </w:r>
      <w:r w:rsidR="00F85D5F" w:rsidRPr="00C837DD">
        <w:rPr>
          <w:sz w:val="20"/>
          <w:szCs w:val="20"/>
        </w:rPr>
        <w:t xml:space="preserve">, the Constitution of the Republic of Guatemala </w:t>
      </w:r>
      <w:r w:rsidR="00D61837" w:rsidRPr="00C837DD">
        <w:rPr>
          <w:sz w:val="20"/>
          <w:szCs w:val="20"/>
        </w:rPr>
        <w:t xml:space="preserve">enshrines the </w:t>
      </w:r>
      <w:r w:rsidR="00F85D5F" w:rsidRPr="00C837DD">
        <w:rPr>
          <w:sz w:val="20"/>
          <w:szCs w:val="20"/>
        </w:rPr>
        <w:t xml:space="preserve">prerogatives </w:t>
      </w:r>
      <w:r w:rsidR="000C0A25" w:rsidRPr="00C837DD">
        <w:rPr>
          <w:sz w:val="20"/>
          <w:szCs w:val="20"/>
        </w:rPr>
        <w:t xml:space="preserve">related to </w:t>
      </w:r>
      <w:r w:rsidR="00347219" w:rsidRPr="00C837DD">
        <w:rPr>
          <w:sz w:val="20"/>
          <w:szCs w:val="20"/>
        </w:rPr>
        <w:t>parliamentary immunity.</w:t>
      </w:r>
      <w:r w:rsidR="00F85D5F" w:rsidRPr="00C837DD">
        <w:rPr>
          <w:rStyle w:val="Refdenotaalpie"/>
          <w:sz w:val="20"/>
          <w:szCs w:val="20"/>
        </w:rPr>
        <w:footnoteReference w:id="201"/>
      </w:r>
      <w:r w:rsidR="00F85D5F" w:rsidRPr="00C837DD">
        <w:rPr>
          <w:sz w:val="20"/>
          <w:szCs w:val="20"/>
        </w:rPr>
        <w:t xml:space="preserve"> </w:t>
      </w:r>
      <w:r w:rsidR="00D61837" w:rsidRPr="00C837DD">
        <w:rPr>
          <w:sz w:val="20"/>
          <w:szCs w:val="20"/>
        </w:rPr>
        <w:t xml:space="preserve">In Uruguay, </w:t>
      </w:r>
      <w:r w:rsidR="00F85D5F" w:rsidRPr="00C837DD">
        <w:rPr>
          <w:sz w:val="20"/>
          <w:szCs w:val="20"/>
        </w:rPr>
        <w:t>parliamentary immunity i</w:t>
      </w:r>
      <w:r w:rsidR="00D61837" w:rsidRPr="00C837DD">
        <w:rPr>
          <w:sz w:val="20"/>
          <w:szCs w:val="20"/>
        </w:rPr>
        <w:t>s regulated</w:t>
      </w:r>
      <w:r w:rsidR="007F645D" w:rsidRPr="00C837DD">
        <w:rPr>
          <w:sz w:val="20"/>
          <w:szCs w:val="20"/>
        </w:rPr>
        <w:t xml:space="preserve"> in a similar way</w:t>
      </w:r>
      <w:r w:rsidR="00347219" w:rsidRPr="00C837DD">
        <w:rPr>
          <w:sz w:val="20"/>
          <w:szCs w:val="20"/>
        </w:rPr>
        <w:t>.</w:t>
      </w:r>
      <w:r w:rsidR="00F85D5F" w:rsidRPr="00C837DD">
        <w:rPr>
          <w:rStyle w:val="Refdenotaalpie"/>
          <w:sz w:val="20"/>
          <w:szCs w:val="20"/>
        </w:rPr>
        <w:footnoteReference w:id="202"/>
      </w:r>
      <w:r w:rsidR="00F85D5F" w:rsidRPr="00C837DD">
        <w:rPr>
          <w:sz w:val="20"/>
          <w:szCs w:val="20"/>
        </w:rPr>
        <w:t xml:space="preserve"> </w:t>
      </w:r>
      <w:r w:rsidR="002D499E" w:rsidRPr="00C837DD">
        <w:rPr>
          <w:sz w:val="20"/>
          <w:szCs w:val="20"/>
        </w:rPr>
        <w:t xml:space="preserve">However, </w:t>
      </w:r>
      <w:r w:rsidR="00F85D5F" w:rsidRPr="00C837DD">
        <w:rPr>
          <w:sz w:val="20"/>
          <w:szCs w:val="20"/>
        </w:rPr>
        <w:t xml:space="preserve">Chile </w:t>
      </w:r>
      <w:r w:rsidR="002D499E" w:rsidRPr="00C837DD">
        <w:rPr>
          <w:sz w:val="20"/>
          <w:szCs w:val="20"/>
        </w:rPr>
        <w:t xml:space="preserve">has slightly different regulations </w:t>
      </w:r>
      <w:r w:rsidR="007F645D" w:rsidRPr="00C837DD">
        <w:rPr>
          <w:sz w:val="20"/>
          <w:szCs w:val="20"/>
        </w:rPr>
        <w:t xml:space="preserve">regarding </w:t>
      </w:r>
      <w:r w:rsidR="004E3CC1" w:rsidRPr="00C837DD">
        <w:rPr>
          <w:sz w:val="20"/>
          <w:szCs w:val="20"/>
        </w:rPr>
        <w:t xml:space="preserve">formal </w:t>
      </w:r>
      <w:r w:rsidR="00F85D5F" w:rsidRPr="00C837DD">
        <w:rPr>
          <w:sz w:val="20"/>
          <w:szCs w:val="20"/>
        </w:rPr>
        <w:t xml:space="preserve">immunity, </w:t>
      </w:r>
      <w:r w:rsidR="00255C3C" w:rsidRPr="00C837DD">
        <w:rPr>
          <w:sz w:val="20"/>
          <w:szCs w:val="20"/>
        </w:rPr>
        <w:t xml:space="preserve">since </w:t>
      </w:r>
      <w:r w:rsidR="00F85D5F" w:rsidRPr="00C837DD">
        <w:rPr>
          <w:sz w:val="20"/>
          <w:szCs w:val="20"/>
        </w:rPr>
        <w:t>the Court of A</w:t>
      </w:r>
      <w:r w:rsidR="000C0A25" w:rsidRPr="00C837DD">
        <w:rPr>
          <w:sz w:val="20"/>
          <w:szCs w:val="20"/>
        </w:rPr>
        <w:t>ppeal</w:t>
      </w:r>
      <w:r w:rsidR="007F645D" w:rsidRPr="00C837DD">
        <w:rPr>
          <w:sz w:val="20"/>
          <w:szCs w:val="20"/>
        </w:rPr>
        <w:t>s</w:t>
      </w:r>
      <w:r w:rsidR="000C0A25" w:rsidRPr="00C837DD">
        <w:rPr>
          <w:sz w:val="20"/>
          <w:szCs w:val="20"/>
        </w:rPr>
        <w:t xml:space="preserve"> </w:t>
      </w:r>
      <w:r w:rsidR="00F85D5F" w:rsidRPr="00C837DD">
        <w:rPr>
          <w:sz w:val="20"/>
          <w:szCs w:val="20"/>
        </w:rPr>
        <w:t xml:space="preserve">is the </w:t>
      </w:r>
      <w:r w:rsidR="007F645D" w:rsidRPr="00C837DD">
        <w:rPr>
          <w:sz w:val="20"/>
          <w:szCs w:val="20"/>
        </w:rPr>
        <w:t xml:space="preserve">body in </w:t>
      </w:r>
      <w:r w:rsidR="007F645D" w:rsidRPr="00C837DD">
        <w:rPr>
          <w:sz w:val="20"/>
          <w:szCs w:val="20"/>
        </w:rPr>
        <w:lastRenderedPageBreak/>
        <w:t xml:space="preserve">charge of </w:t>
      </w:r>
      <w:r w:rsidR="00F85D5F" w:rsidRPr="00C837DD">
        <w:rPr>
          <w:sz w:val="20"/>
          <w:szCs w:val="20"/>
        </w:rPr>
        <w:t>authoriz</w:t>
      </w:r>
      <w:r w:rsidR="000724F8" w:rsidRPr="00C837DD">
        <w:rPr>
          <w:sz w:val="20"/>
          <w:szCs w:val="20"/>
        </w:rPr>
        <w:t xml:space="preserve">ing </w:t>
      </w:r>
      <w:r w:rsidR="00F85D5F" w:rsidRPr="00C837DD">
        <w:rPr>
          <w:sz w:val="20"/>
          <w:szCs w:val="20"/>
        </w:rPr>
        <w:t xml:space="preserve">the </w:t>
      </w:r>
      <w:r w:rsidR="007F645D" w:rsidRPr="00C837DD">
        <w:rPr>
          <w:sz w:val="20"/>
          <w:szCs w:val="20"/>
        </w:rPr>
        <w:t xml:space="preserve">prosecution </w:t>
      </w:r>
      <w:r w:rsidR="000724F8" w:rsidRPr="00C837DD">
        <w:rPr>
          <w:sz w:val="20"/>
          <w:szCs w:val="20"/>
        </w:rPr>
        <w:t xml:space="preserve">of a </w:t>
      </w:r>
      <w:r w:rsidR="00C51835" w:rsidRPr="00C837DD">
        <w:rPr>
          <w:sz w:val="20"/>
          <w:szCs w:val="20"/>
        </w:rPr>
        <w:t>parliamentarian</w:t>
      </w:r>
      <w:r w:rsidR="004E3CC1" w:rsidRPr="00C837DD">
        <w:rPr>
          <w:sz w:val="20"/>
          <w:szCs w:val="20"/>
        </w:rPr>
        <w:t>.</w:t>
      </w:r>
      <w:r w:rsidR="00F85D5F" w:rsidRPr="00C837DD">
        <w:rPr>
          <w:rStyle w:val="Refdenotaalpie"/>
          <w:sz w:val="20"/>
          <w:szCs w:val="20"/>
        </w:rPr>
        <w:footnoteReference w:id="203"/>
      </w:r>
      <w:r w:rsidR="00F85D5F" w:rsidRPr="00C837DD">
        <w:rPr>
          <w:sz w:val="20"/>
          <w:szCs w:val="20"/>
        </w:rPr>
        <w:t xml:space="preserve"> </w:t>
      </w:r>
      <w:r w:rsidR="00627A7F" w:rsidRPr="00C837DD">
        <w:rPr>
          <w:sz w:val="20"/>
          <w:szCs w:val="20"/>
        </w:rPr>
        <w:t>By contrast</w:t>
      </w:r>
      <w:r w:rsidR="00F85D5F" w:rsidRPr="00C837DD">
        <w:rPr>
          <w:rFonts w:cs="Arial"/>
          <w:sz w:val="20"/>
          <w:szCs w:val="20"/>
          <w:shd w:val="clear" w:color="auto" w:fill="FFFFFF"/>
        </w:rPr>
        <w:t>, Bolivia</w:t>
      </w:r>
      <w:r w:rsidR="00F85D5F" w:rsidRPr="00C837DD">
        <w:rPr>
          <w:rStyle w:val="Refdenotaalpie"/>
          <w:sz w:val="20"/>
          <w:szCs w:val="20"/>
        </w:rPr>
        <w:footnoteReference w:id="204"/>
      </w:r>
      <w:r w:rsidR="00627A7F" w:rsidRPr="00C837DD">
        <w:rPr>
          <w:rFonts w:cs="Arial"/>
          <w:sz w:val="20"/>
          <w:szCs w:val="20"/>
          <w:shd w:val="clear" w:color="auto" w:fill="FFFFFF"/>
        </w:rPr>
        <w:t xml:space="preserve"> prohibits</w:t>
      </w:r>
      <w:r w:rsidR="000724F8" w:rsidRPr="00C837DD">
        <w:rPr>
          <w:rFonts w:cs="Arial"/>
          <w:sz w:val="20"/>
          <w:szCs w:val="20"/>
          <w:shd w:val="clear" w:color="auto" w:fill="FFFFFF"/>
        </w:rPr>
        <w:t xml:space="preserve"> the </w:t>
      </w:r>
      <w:r w:rsidR="00E829BE">
        <w:rPr>
          <w:rFonts w:cs="Arial"/>
          <w:sz w:val="20"/>
          <w:szCs w:val="20"/>
          <w:shd w:val="clear" w:color="auto" w:fill="FFFFFF"/>
        </w:rPr>
        <w:t xml:space="preserve">application </w:t>
      </w:r>
      <w:r w:rsidR="000724F8" w:rsidRPr="00C837DD">
        <w:rPr>
          <w:rFonts w:cs="Arial"/>
          <w:sz w:val="20"/>
          <w:szCs w:val="20"/>
          <w:shd w:val="clear" w:color="auto" w:fill="FFFFFF"/>
        </w:rPr>
        <w:t xml:space="preserve">of </w:t>
      </w:r>
      <w:r w:rsidR="002C0242" w:rsidRPr="00C837DD">
        <w:rPr>
          <w:rFonts w:cs="Arial"/>
          <w:sz w:val="20"/>
          <w:szCs w:val="20"/>
          <w:shd w:val="clear" w:color="auto" w:fill="FFFFFF"/>
        </w:rPr>
        <w:t>procedural immunity</w:t>
      </w:r>
      <w:r w:rsidR="00F85D5F" w:rsidRPr="00C837DD">
        <w:rPr>
          <w:rFonts w:cs="Arial"/>
          <w:sz w:val="20"/>
          <w:szCs w:val="20"/>
          <w:shd w:val="clear" w:color="auto" w:fill="FFFFFF"/>
        </w:rPr>
        <w:t xml:space="preserve"> </w:t>
      </w:r>
      <w:r w:rsidR="00E829BE">
        <w:rPr>
          <w:rFonts w:cs="Arial"/>
          <w:sz w:val="20"/>
          <w:szCs w:val="20"/>
          <w:shd w:val="clear" w:color="auto" w:fill="FFFFFF"/>
        </w:rPr>
        <w:t xml:space="preserve">to </w:t>
      </w:r>
      <w:r w:rsidR="00F85D5F" w:rsidRPr="00C837DD">
        <w:rPr>
          <w:rFonts w:cs="Arial"/>
          <w:sz w:val="20"/>
          <w:szCs w:val="20"/>
          <w:shd w:val="clear" w:color="auto" w:fill="FFFFFF"/>
        </w:rPr>
        <w:t xml:space="preserve">members </w:t>
      </w:r>
      <w:r w:rsidR="00617566" w:rsidRPr="00C837DD">
        <w:rPr>
          <w:rFonts w:cs="Arial"/>
          <w:sz w:val="20"/>
          <w:szCs w:val="20"/>
          <w:shd w:val="clear" w:color="auto" w:fill="FFFFFF"/>
        </w:rPr>
        <w:t xml:space="preserve">of the </w:t>
      </w:r>
      <w:r w:rsidR="00F85D5F" w:rsidRPr="00C837DD">
        <w:rPr>
          <w:rFonts w:cs="Arial"/>
          <w:sz w:val="20"/>
          <w:szCs w:val="20"/>
          <w:shd w:val="clear" w:color="auto" w:fill="FFFFFF"/>
        </w:rPr>
        <w:t>L</w:t>
      </w:r>
      <w:r w:rsidR="004E3CC1" w:rsidRPr="00C837DD">
        <w:rPr>
          <w:rFonts w:cs="Arial"/>
          <w:sz w:val="20"/>
          <w:szCs w:val="20"/>
          <w:shd w:val="clear" w:color="auto" w:fill="FFFFFF"/>
        </w:rPr>
        <w:t>egislative</w:t>
      </w:r>
      <w:r w:rsidR="002C0242" w:rsidRPr="00C837DD">
        <w:rPr>
          <w:rFonts w:cs="Arial"/>
          <w:sz w:val="20"/>
          <w:szCs w:val="20"/>
          <w:shd w:val="clear" w:color="auto" w:fill="FFFFFF"/>
        </w:rPr>
        <w:t xml:space="preserve"> Branch, </w:t>
      </w:r>
      <w:r w:rsidR="00B37689" w:rsidRPr="00C837DD">
        <w:rPr>
          <w:rFonts w:cs="Arial"/>
          <w:sz w:val="20"/>
          <w:szCs w:val="20"/>
          <w:shd w:val="clear" w:color="auto" w:fill="FFFFFF"/>
        </w:rPr>
        <w:t>al</w:t>
      </w:r>
      <w:r w:rsidR="002C0242" w:rsidRPr="00C837DD">
        <w:rPr>
          <w:rFonts w:cs="Arial"/>
          <w:sz w:val="20"/>
          <w:szCs w:val="20"/>
          <w:shd w:val="clear" w:color="auto" w:fill="FFFFFF"/>
        </w:rPr>
        <w:t>t</w:t>
      </w:r>
      <w:r w:rsidR="00617566" w:rsidRPr="00C837DD">
        <w:rPr>
          <w:rFonts w:cs="Arial"/>
          <w:sz w:val="20"/>
          <w:szCs w:val="20"/>
          <w:shd w:val="clear" w:color="auto" w:fill="FFFFFF"/>
        </w:rPr>
        <w:t xml:space="preserve">hough it </w:t>
      </w:r>
      <w:r w:rsidR="00F85D5F" w:rsidRPr="00C837DD">
        <w:rPr>
          <w:rFonts w:cs="Arial"/>
          <w:sz w:val="20"/>
          <w:szCs w:val="20"/>
          <w:shd w:val="clear" w:color="auto" w:fill="FFFFFF"/>
        </w:rPr>
        <w:t>g</w:t>
      </w:r>
      <w:r w:rsidR="002C0242" w:rsidRPr="00C837DD">
        <w:rPr>
          <w:rFonts w:cs="Arial"/>
          <w:sz w:val="20"/>
          <w:szCs w:val="20"/>
          <w:shd w:val="clear" w:color="auto" w:fill="FFFFFF"/>
        </w:rPr>
        <w:t>u</w:t>
      </w:r>
      <w:r w:rsidR="00F85D5F" w:rsidRPr="00C837DD">
        <w:rPr>
          <w:rFonts w:cs="Arial"/>
          <w:sz w:val="20"/>
          <w:szCs w:val="20"/>
          <w:shd w:val="clear" w:color="auto" w:fill="FFFFFF"/>
        </w:rPr>
        <w:t>arant</w:t>
      </w:r>
      <w:r w:rsidR="002C0242" w:rsidRPr="00C837DD">
        <w:rPr>
          <w:rFonts w:cs="Arial"/>
          <w:sz w:val="20"/>
          <w:szCs w:val="20"/>
          <w:shd w:val="clear" w:color="auto" w:fill="FFFFFF"/>
        </w:rPr>
        <w:t xml:space="preserve">ees their </w:t>
      </w:r>
      <w:r w:rsidR="00F85D5F" w:rsidRPr="00C837DD">
        <w:rPr>
          <w:rFonts w:cs="Arial"/>
          <w:sz w:val="20"/>
          <w:szCs w:val="20"/>
          <w:shd w:val="clear" w:color="auto" w:fill="FFFFFF"/>
        </w:rPr>
        <w:t xml:space="preserve">inviolability, </w:t>
      </w:r>
      <w:r w:rsidR="000724F8" w:rsidRPr="00C837DD">
        <w:rPr>
          <w:rFonts w:cs="Arial"/>
          <w:sz w:val="20"/>
          <w:szCs w:val="20"/>
          <w:shd w:val="clear" w:color="auto" w:fill="FFFFFF"/>
        </w:rPr>
        <w:t xml:space="preserve">while </w:t>
      </w:r>
      <w:r w:rsidR="00F85D5F" w:rsidRPr="00C837DD">
        <w:rPr>
          <w:rFonts w:cs="Arial"/>
          <w:sz w:val="20"/>
          <w:szCs w:val="20"/>
          <w:shd w:val="clear" w:color="auto" w:fill="FFFFFF"/>
        </w:rPr>
        <w:t xml:space="preserve">Colombia </w:t>
      </w:r>
      <w:r w:rsidR="002C0242" w:rsidRPr="00C837DD">
        <w:rPr>
          <w:rFonts w:cs="Arial"/>
          <w:sz w:val="20"/>
          <w:szCs w:val="20"/>
          <w:shd w:val="clear" w:color="auto" w:fill="FFFFFF"/>
        </w:rPr>
        <w:t xml:space="preserve">does not </w:t>
      </w:r>
      <w:r w:rsidR="00F85D5F" w:rsidRPr="00C837DD">
        <w:rPr>
          <w:rFonts w:cs="Arial"/>
          <w:sz w:val="20"/>
          <w:szCs w:val="20"/>
          <w:shd w:val="clear" w:color="auto" w:fill="FFFFFF"/>
        </w:rPr>
        <w:t>contempla</w:t>
      </w:r>
      <w:r w:rsidR="002C0242" w:rsidRPr="00C837DD">
        <w:rPr>
          <w:rFonts w:cs="Arial"/>
          <w:sz w:val="20"/>
          <w:szCs w:val="20"/>
          <w:shd w:val="clear" w:color="auto" w:fill="FFFFFF"/>
        </w:rPr>
        <w:t>te</w:t>
      </w:r>
      <w:r w:rsidR="00F85D5F" w:rsidRPr="00C837DD">
        <w:rPr>
          <w:rFonts w:cs="Arial"/>
          <w:sz w:val="20"/>
          <w:szCs w:val="20"/>
          <w:shd w:val="clear" w:color="auto" w:fill="FFFFFF"/>
        </w:rPr>
        <w:t xml:space="preserve"> </w:t>
      </w:r>
      <w:r w:rsidR="00B37689" w:rsidRPr="00C837DD">
        <w:rPr>
          <w:rFonts w:cs="Arial"/>
          <w:sz w:val="20"/>
          <w:szCs w:val="20"/>
          <w:shd w:val="clear" w:color="auto" w:fill="FFFFFF"/>
        </w:rPr>
        <w:t xml:space="preserve">normative </w:t>
      </w:r>
      <w:r w:rsidR="00F85D5F" w:rsidRPr="00C837DD">
        <w:rPr>
          <w:rFonts w:cs="Arial"/>
          <w:sz w:val="20"/>
          <w:szCs w:val="20"/>
          <w:shd w:val="clear" w:color="auto" w:fill="FFFFFF"/>
        </w:rPr>
        <w:t xml:space="preserve">provisions </w:t>
      </w:r>
      <w:r w:rsidR="007F645D" w:rsidRPr="00C837DD">
        <w:rPr>
          <w:rFonts w:cs="Arial"/>
          <w:sz w:val="20"/>
          <w:szCs w:val="20"/>
          <w:shd w:val="clear" w:color="auto" w:fill="FFFFFF"/>
        </w:rPr>
        <w:t xml:space="preserve">alluding </w:t>
      </w:r>
      <w:r w:rsidR="00617566" w:rsidRPr="00C837DD">
        <w:rPr>
          <w:rFonts w:cs="Arial"/>
          <w:sz w:val="20"/>
          <w:szCs w:val="20"/>
          <w:shd w:val="clear" w:color="auto" w:fill="FFFFFF"/>
        </w:rPr>
        <w:t xml:space="preserve">to </w:t>
      </w:r>
      <w:r w:rsidR="00F85D5F" w:rsidRPr="00C837DD">
        <w:rPr>
          <w:rFonts w:cs="Arial"/>
          <w:sz w:val="20"/>
          <w:szCs w:val="20"/>
          <w:shd w:val="clear" w:color="auto" w:fill="FFFFFF"/>
        </w:rPr>
        <w:t xml:space="preserve">parliamentary immunity, </w:t>
      </w:r>
      <w:r w:rsidR="000724F8" w:rsidRPr="00C837DD">
        <w:rPr>
          <w:rFonts w:cs="Arial"/>
          <w:sz w:val="20"/>
          <w:szCs w:val="20"/>
          <w:shd w:val="clear" w:color="auto" w:fill="FFFFFF"/>
        </w:rPr>
        <w:t xml:space="preserve">but only </w:t>
      </w:r>
      <w:r w:rsidR="00F85D5F" w:rsidRPr="00C837DD">
        <w:rPr>
          <w:rFonts w:cs="Arial"/>
          <w:sz w:val="20"/>
          <w:szCs w:val="20"/>
          <w:shd w:val="clear" w:color="auto" w:fill="FFFFFF"/>
        </w:rPr>
        <w:t xml:space="preserve">in relation to the prerogative of </w:t>
      </w:r>
      <w:r w:rsidR="00B37689" w:rsidRPr="00C837DD">
        <w:rPr>
          <w:rFonts w:cs="Arial"/>
          <w:sz w:val="20"/>
          <w:szCs w:val="20"/>
          <w:shd w:val="clear" w:color="auto" w:fill="FFFFFF"/>
        </w:rPr>
        <w:t>privilege</w:t>
      </w:r>
      <w:r w:rsidR="00617566" w:rsidRPr="00C837DD">
        <w:rPr>
          <w:rFonts w:cs="Arial"/>
          <w:sz w:val="20"/>
          <w:szCs w:val="20"/>
          <w:shd w:val="clear" w:color="auto" w:fill="FFFFFF"/>
        </w:rPr>
        <w:t>.</w:t>
      </w:r>
      <w:r w:rsidR="00F85D5F" w:rsidRPr="00C837DD">
        <w:rPr>
          <w:rStyle w:val="Refdenotaalpie"/>
          <w:rFonts w:cs="Arial"/>
          <w:sz w:val="20"/>
          <w:szCs w:val="20"/>
          <w:shd w:val="clear" w:color="auto" w:fill="FFFFFF"/>
        </w:rPr>
        <w:footnoteReference w:id="205"/>
      </w:r>
      <w:r w:rsidR="00F85D5F" w:rsidRPr="00C837DD">
        <w:rPr>
          <w:rFonts w:cs="Arial"/>
          <w:sz w:val="20"/>
          <w:szCs w:val="20"/>
          <w:shd w:val="clear" w:color="auto" w:fill="FFFFFF"/>
        </w:rPr>
        <w:t xml:space="preserve"> </w:t>
      </w:r>
    </w:p>
    <w:p w14:paraId="08D46B5D" w14:textId="77777777" w:rsidR="00F85D5F" w:rsidRPr="00C837DD" w:rsidRDefault="00F85D5F" w:rsidP="00F85D5F">
      <w:pPr>
        <w:pStyle w:val="Prrafodelista"/>
        <w:tabs>
          <w:tab w:val="left" w:pos="142"/>
        </w:tabs>
        <w:ind w:left="0"/>
        <w:rPr>
          <w:sz w:val="20"/>
          <w:szCs w:val="20"/>
        </w:rPr>
      </w:pPr>
    </w:p>
    <w:p w14:paraId="58277932" w14:textId="6B2DFE5E" w:rsidR="00F85D5F" w:rsidRPr="00C837DD" w:rsidRDefault="000724F8" w:rsidP="00F85D5F">
      <w:pPr>
        <w:pStyle w:val="Ttulo5"/>
        <w:numPr>
          <w:ilvl w:val="1"/>
          <w:numId w:val="30"/>
        </w:numPr>
        <w:ind w:left="1985" w:hanging="425"/>
        <w:rPr>
          <w:lang w:val="en-US"/>
        </w:rPr>
      </w:pPr>
      <w:bookmarkStart w:id="76" w:name="_Toc85001889"/>
      <w:r w:rsidRPr="00C837DD">
        <w:rPr>
          <w:rStyle w:val="Ttulo5Car"/>
          <w:i/>
          <w:lang w:val="en-US"/>
        </w:rPr>
        <w:t xml:space="preserve">The application </w:t>
      </w:r>
      <w:r w:rsidR="00F85D5F" w:rsidRPr="00C837DD">
        <w:rPr>
          <w:rStyle w:val="Ttulo5Car"/>
          <w:i/>
          <w:lang w:val="en-US"/>
        </w:rPr>
        <w:t xml:space="preserve">of parliamentary </w:t>
      </w:r>
      <w:r w:rsidRPr="00C837DD">
        <w:rPr>
          <w:rStyle w:val="Ttulo5Car"/>
          <w:i/>
          <w:lang w:val="en-US"/>
        </w:rPr>
        <w:t xml:space="preserve">procedural </w:t>
      </w:r>
      <w:r w:rsidR="00102554" w:rsidRPr="00C837DD">
        <w:rPr>
          <w:rStyle w:val="Ttulo5Car"/>
          <w:i/>
          <w:lang w:val="en-US"/>
        </w:rPr>
        <w:t>immunity</w:t>
      </w:r>
      <w:r w:rsidR="00F85D5F" w:rsidRPr="00C837DD">
        <w:rPr>
          <w:rStyle w:val="Ttulo5Car"/>
          <w:lang w:val="en-US"/>
        </w:rPr>
        <w:t xml:space="preserve"> </w:t>
      </w:r>
      <w:r w:rsidR="00617566" w:rsidRPr="00C837DD">
        <w:rPr>
          <w:lang w:val="en-US"/>
        </w:rPr>
        <w:t xml:space="preserve">in relation </w:t>
      </w:r>
      <w:r w:rsidR="00F85D5F" w:rsidRPr="00C837DD">
        <w:rPr>
          <w:lang w:val="en-US"/>
        </w:rPr>
        <w:t>to</w:t>
      </w:r>
      <w:r w:rsidR="00617566" w:rsidRPr="00C837DD">
        <w:rPr>
          <w:lang w:val="en-US"/>
        </w:rPr>
        <w:t xml:space="preserve"> the</w:t>
      </w:r>
      <w:r w:rsidR="00F85D5F" w:rsidRPr="00C837DD">
        <w:rPr>
          <w:lang w:val="en-US"/>
        </w:rPr>
        <w:t xml:space="preserve"> criminal proceedings </w:t>
      </w:r>
      <w:r w:rsidR="00617566" w:rsidRPr="00C837DD">
        <w:rPr>
          <w:lang w:val="en-US"/>
        </w:rPr>
        <w:t xml:space="preserve">for </w:t>
      </w:r>
      <w:r w:rsidR="00F85D5F" w:rsidRPr="00C837DD">
        <w:rPr>
          <w:lang w:val="en-US"/>
        </w:rPr>
        <w:t xml:space="preserve">the homicide of </w:t>
      </w:r>
      <w:r w:rsidR="00B8009F" w:rsidRPr="00C837DD">
        <w:rPr>
          <w:lang w:val="en-US"/>
        </w:rPr>
        <w:t>Márcia</w:t>
      </w:r>
      <w:r w:rsidR="00F85D5F" w:rsidRPr="00C837DD">
        <w:rPr>
          <w:lang w:val="en-US"/>
        </w:rPr>
        <w:t xml:space="preserve"> Barbosa de Souza</w:t>
      </w:r>
      <w:bookmarkEnd w:id="76"/>
    </w:p>
    <w:p w14:paraId="7D6145A8" w14:textId="77777777" w:rsidR="00F85D5F" w:rsidRPr="00C837DD" w:rsidRDefault="00F85D5F" w:rsidP="00F85D5F">
      <w:pPr>
        <w:pStyle w:val="Prrafodelista"/>
        <w:tabs>
          <w:tab w:val="left" w:pos="142"/>
        </w:tabs>
        <w:ind w:left="0"/>
        <w:rPr>
          <w:sz w:val="20"/>
          <w:szCs w:val="20"/>
        </w:rPr>
      </w:pPr>
    </w:p>
    <w:p w14:paraId="17BA3DB6" w14:textId="57323AA7" w:rsidR="00F85D5F" w:rsidRPr="00C837DD" w:rsidRDefault="00F85D5F" w:rsidP="00A90F1D">
      <w:pPr>
        <w:pStyle w:val="Prrafodelista"/>
        <w:numPr>
          <w:ilvl w:val="0"/>
          <w:numId w:val="6"/>
        </w:numPr>
        <w:ind w:left="0" w:firstLine="0"/>
        <w:rPr>
          <w:sz w:val="20"/>
          <w:szCs w:val="20"/>
        </w:rPr>
      </w:pPr>
      <w:r w:rsidRPr="00C837DD">
        <w:rPr>
          <w:sz w:val="20"/>
          <w:szCs w:val="20"/>
        </w:rPr>
        <w:t xml:space="preserve">The Court considers that the </w:t>
      </w:r>
      <w:r w:rsidR="001F1401" w:rsidRPr="00C837DD">
        <w:rPr>
          <w:sz w:val="20"/>
          <w:szCs w:val="20"/>
        </w:rPr>
        <w:t>a</w:t>
      </w:r>
      <w:r w:rsidRPr="00C837DD">
        <w:rPr>
          <w:sz w:val="20"/>
          <w:szCs w:val="20"/>
        </w:rPr>
        <w:t xml:space="preserve">pplication of parliamentary immunity </w:t>
      </w:r>
      <w:r w:rsidR="002E22E5" w:rsidRPr="00C837DD">
        <w:rPr>
          <w:sz w:val="20"/>
          <w:szCs w:val="20"/>
        </w:rPr>
        <w:t xml:space="preserve">can </w:t>
      </w:r>
      <w:r w:rsidR="00627A7F" w:rsidRPr="00C837DD">
        <w:rPr>
          <w:sz w:val="20"/>
          <w:szCs w:val="20"/>
        </w:rPr>
        <w:t xml:space="preserve">only be </w:t>
      </w:r>
      <w:r w:rsidR="0020052C" w:rsidRPr="00C837DD">
        <w:rPr>
          <w:sz w:val="20"/>
          <w:szCs w:val="20"/>
        </w:rPr>
        <w:t xml:space="preserve">analyzed </w:t>
      </w:r>
      <w:r w:rsidR="00627A7F" w:rsidRPr="00C837DD">
        <w:rPr>
          <w:sz w:val="20"/>
          <w:szCs w:val="20"/>
        </w:rPr>
        <w:t xml:space="preserve">in relation to a specific </w:t>
      </w:r>
      <w:r w:rsidRPr="00C837DD">
        <w:rPr>
          <w:sz w:val="20"/>
          <w:szCs w:val="20"/>
        </w:rPr>
        <w:t>case</w:t>
      </w:r>
      <w:r w:rsidR="001F1401" w:rsidRPr="00C837DD">
        <w:rPr>
          <w:sz w:val="20"/>
          <w:szCs w:val="20"/>
        </w:rPr>
        <w:t xml:space="preserve"> </w:t>
      </w:r>
      <w:r w:rsidR="008808D0">
        <w:rPr>
          <w:sz w:val="20"/>
          <w:szCs w:val="20"/>
        </w:rPr>
        <w:t xml:space="preserve">in order to prevent </w:t>
      </w:r>
      <w:r w:rsidR="001F1401" w:rsidRPr="00C837DD">
        <w:rPr>
          <w:sz w:val="20"/>
          <w:szCs w:val="20"/>
        </w:rPr>
        <w:t xml:space="preserve">the adoption of an arbitrary </w:t>
      </w:r>
      <w:r w:rsidR="002E22E5" w:rsidRPr="00C837DD">
        <w:rPr>
          <w:sz w:val="20"/>
          <w:szCs w:val="20"/>
        </w:rPr>
        <w:t>decision by the respective legislative body, in such a way that it favors impunity. The legislative chamber must</w:t>
      </w:r>
      <w:r w:rsidR="001F1401" w:rsidRPr="00C837DD">
        <w:rPr>
          <w:sz w:val="20"/>
          <w:szCs w:val="20"/>
        </w:rPr>
        <w:t>,</w:t>
      </w:r>
      <w:r w:rsidR="002E22E5" w:rsidRPr="00C837DD">
        <w:rPr>
          <w:sz w:val="20"/>
          <w:szCs w:val="20"/>
        </w:rPr>
        <w:t xml:space="preserve"> therefore</w:t>
      </w:r>
      <w:r w:rsidR="001F1401" w:rsidRPr="00C837DD">
        <w:rPr>
          <w:sz w:val="20"/>
          <w:szCs w:val="20"/>
        </w:rPr>
        <w:t>,</w:t>
      </w:r>
      <w:r w:rsidR="002E22E5" w:rsidRPr="00C837DD">
        <w:rPr>
          <w:sz w:val="20"/>
          <w:szCs w:val="20"/>
        </w:rPr>
        <w:t xml:space="preserve"> focus on examining whether there are clear elements of arbitrariness in the exercise of the criminal action directed against a parliamentarian that may compromise the </w:t>
      </w:r>
      <w:r w:rsidR="008808D0">
        <w:rPr>
          <w:sz w:val="20"/>
          <w:szCs w:val="20"/>
        </w:rPr>
        <w:t xml:space="preserve">legislator’s </w:t>
      </w:r>
      <w:r w:rsidR="002E22E5" w:rsidRPr="00C837DD">
        <w:rPr>
          <w:sz w:val="20"/>
          <w:szCs w:val="20"/>
        </w:rPr>
        <w:t>autonomy. To this end,</w:t>
      </w:r>
      <w:r w:rsidRPr="00C837DD">
        <w:rPr>
          <w:sz w:val="20"/>
          <w:szCs w:val="20"/>
        </w:rPr>
        <w:t xml:space="preserve"> i</w:t>
      </w:r>
      <w:r w:rsidR="006A58E0" w:rsidRPr="00C837DD">
        <w:rPr>
          <w:sz w:val="20"/>
          <w:szCs w:val="20"/>
        </w:rPr>
        <w:t>t i</w:t>
      </w:r>
      <w:r w:rsidRPr="00C837DD">
        <w:rPr>
          <w:sz w:val="20"/>
          <w:szCs w:val="20"/>
        </w:rPr>
        <w:t xml:space="preserve">s necessary </w:t>
      </w:r>
      <w:r w:rsidR="006A58E0" w:rsidRPr="00C837DD">
        <w:rPr>
          <w:sz w:val="20"/>
          <w:szCs w:val="20"/>
        </w:rPr>
        <w:t xml:space="preserve">to </w:t>
      </w:r>
      <w:r w:rsidR="002E22E5" w:rsidRPr="00C837DD">
        <w:rPr>
          <w:sz w:val="20"/>
          <w:szCs w:val="20"/>
        </w:rPr>
        <w:t xml:space="preserve">carefully weigh </w:t>
      </w:r>
      <w:r w:rsidRPr="00C837DD">
        <w:rPr>
          <w:sz w:val="20"/>
          <w:szCs w:val="20"/>
        </w:rPr>
        <w:t xml:space="preserve">the guarantee </w:t>
      </w:r>
      <w:r w:rsidR="00C23D92" w:rsidRPr="00C837DD">
        <w:rPr>
          <w:sz w:val="20"/>
          <w:szCs w:val="20"/>
        </w:rPr>
        <w:t xml:space="preserve">of </w:t>
      </w:r>
      <w:r w:rsidR="002E22E5" w:rsidRPr="00C837DD">
        <w:rPr>
          <w:sz w:val="20"/>
          <w:szCs w:val="20"/>
        </w:rPr>
        <w:t xml:space="preserve">the </w:t>
      </w:r>
      <w:r w:rsidRPr="00C837DD">
        <w:rPr>
          <w:sz w:val="20"/>
          <w:szCs w:val="20"/>
        </w:rPr>
        <w:t xml:space="preserve">exercise </w:t>
      </w:r>
      <w:r w:rsidR="006A58E0" w:rsidRPr="00C837DD">
        <w:rPr>
          <w:sz w:val="20"/>
          <w:szCs w:val="20"/>
        </w:rPr>
        <w:t xml:space="preserve">of the </w:t>
      </w:r>
      <w:r w:rsidR="009366E5" w:rsidRPr="00C837DD">
        <w:rPr>
          <w:sz w:val="20"/>
          <w:szCs w:val="20"/>
        </w:rPr>
        <w:t>mandate</w:t>
      </w:r>
      <w:r w:rsidRPr="00C837DD">
        <w:rPr>
          <w:sz w:val="20"/>
          <w:szCs w:val="20"/>
        </w:rPr>
        <w:t xml:space="preserve"> </w:t>
      </w:r>
      <w:r w:rsidR="00627A7F" w:rsidRPr="00C837DD">
        <w:rPr>
          <w:sz w:val="20"/>
          <w:szCs w:val="20"/>
        </w:rPr>
        <w:t xml:space="preserve">for </w:t>
      </w:r>
      <w:r w:rsidRPr="00C837DD">
        <w:rPr>
          <w:sz w:val="20"/>
          <w:szCs w:val="20"/>
        </w:rPr>
        <w:t xml:space="preserve">which the </w:t>
      </w:r>
      <w:r w:rsidR="002E22E5" w:rsidRPr="00C837DD">
        <w:rPr>
          <w:sz w:val="20"/>
          <w:szCs w:val="20"/>
        </w:rPr>
        <w:t xml:space="preserve">parliamentarian </w:t>
      </w:r>
      <w:r w:rsidR="00627A7F" w:rsidRPr="00C837DD">
        <w:rPr>
          <w:sz w:val="20"/>
          <w:szCs w:val="20"/>
        </w:rPr>
        <w:t>was democratically elected</w:t>
      </w:r>
      <w:r w:rsidRPr="00C837DD">
        <w:rPr>
          <w:sz w:val="20"/>
          <w:szCs w:val="20"/>
        </w:rPr>
        <w:t xml:space="preserve">, </w:t>
      </w:r>
      <w:r w:rsidR="00627A7F" w:rsidRPr="00C837DD">
        <w:rPr>
          <w:sz w:val="20"/>
          <w:szCs w:val="20"/>
        </w:rPr>
        <w:t>on the one hand</w:t>
      </w:r>
      <w:r w:rsidRPr="00C837DD">
        <w:rPr>
          <w:sz w:val="20"/>
          <w:szCs w:val="20"/>
        </w:rPr>
        <w:t xml:space="preserve">, and the right of access to justice, </w:t>
      </w:r>
      <w:r w:rsidR="00627A7F" w:rsidRPr="00C837DD">
        <w:rPr>
          <w:sz w:val="20"/>
          <w:szCs w:val="20"/>
        </w:rPr>
        <w:t>on the other</w:t>
      </w:r>
      <w:r w:rsidRPr="00C837DD">
        <w:rPr>
          <w:sz w:val="20"/>
          <w:szCs w:val="20"/>
        </w:rPr>
        <w:t>.</w:t>
      </w:r>
    </w:p>
    <w:p w14:paraId="5EDE365F" w14:textId="77777777" w:rsidR="00F85D5F" w:rsidRPr="00C837DD" w:rsidRDefault="00F85D5F" w:rsidP="00F85D5F">
      <w:pPr>
        <w:pStyle w:val="Prrafodelista"/>
        <w:tabs>
          <w:tab w:val="left" w:pos="142"/>
        </w:tabs>
        <w:ind w:left="0"/>
        <w:rPr>
          <w:sz w:val="20"/>
          <w:szCs w:val="20"/>
        </w:rPr>
      </w:pPr>
    </w:p>
    <w:p w14:paraId="0DD8D0C0" w14:textId="77777777" w:rsidR="00F85D5F" w:rsidRPr="00C837DD" w:rsidRDefault="002E22E5" w:rsidP="00F85D5F">
      <w:pPr>
        <w:pStyle w:val="Prrafodelista"/>
        <w:numPr>
          <w:ilvl w:val="0"/>
          <w:numId w:val="6"/>
        </w:numPr>
        <w:ind w:left="0" w:firstLine="0"/>
        <w:rPr>
          <w:sz w:val="20"/>
          <w:szCs w:val="20"/>
        </w:rPr>
      </w:pPr>
      <w:r w:rsidRPr="00C837DD">
        <w:rPr>
          <w:sz w:val="20"/>
          <w:szCs w:val="20"/>
        </w:rPr>
        <w:t xml:space="preserve">However, </w:t>
      </w:r>
      <w:r w:rsidR="00102554" w:rsidRPr="00C837DD">
        <w:rPr>
          <w:sz w:val="20"/>
          <w:szCs w:val="20"/>
        </w:rPr>
        <w:t xml:space="preserve">in light of </w:t>
      </w:r>
      <w:r w:rsidR="00F85D5F" w:rsidRPr="00C837DD">
        <w:rPr>
          <w:sz w:val="20"/>
          <w:szCs w:val="20"/>
        </w:rPr>
        <w:t xml:space="preserve">the </w:t>
      </w:r>
      <w:r w:rsidR="00102554" w:rsidRPr="00C837DD">
        <w:rPr>
          <w:sz w:val="20"/>
          <w:szCs w:val="20"/>
        </w:rPr>
        <w:t>purpose</w:t>
      </w:r>
      <w:r w:rsidR="006A58E0" w:rsidRPr="00C837DD">
        <w:rPr>
          <w:sz w:val="20"/>
          <w:szCs w:val="20"/>
        </w:rPr>
        <w:t xml:space="preserve"> of procedural </w:t>
      </w:r>
      <w:r w:rsidR="00102554" w:rsidRPr="00C837DD">
        <w:rPr>
          <w:sz w:val="20"/>
          <w:szCs w:val="20"/>
        </w:rPr>
        <w:t>immunity</w:t>
      </w:r>
      <w:r w:rsidR="00617566" w:rsidRPr="00C837DD">
        <w:rPr>
          <w:sz w:val="20"/>
          <w:szCs w:val="20"/>
        </w:rPr>
        <w:t xml:space="preserve">- </w:t>
      </w:r>
      <w:r w:rsidR="00F85D5F" w:rsidRPr="00C837DD">
        <w:rPr>
          <w:sz w:val="20"/>
          <w:szCs w:val="20"/>
        </w:rPr>
        <w:t xml:space="preserve">the preservation </w:t>
      </w:r>
      <w:r w:rsidR="00102554" w:rsidRPr="00C837DD">
        <w:rPr>
          <w:sz w:val="20"/>
          <w:szCs w:val="20"/>
        </w:rPr>
        <w:t>of parliamentary order</w:t>
      </w:r>
      <w:r w:rsidR="00617566" w:rsidRPr="00C837DD">
        <w:rPr>
          <w:sz w:val="20"/>
          <w:szCs w:val="20"/>
        </w:rPr>
        <w:t xml:space="preserve"> -</w:t>
      </w:r>
      <w:r w:rsidR="006A58E0" w:rsidRPr="00C837DD">
        <w:rPr>
          <w:sz w:val="20"/>
          <w:szCs w:val="20"/>
        </w:rPr>
        <w:t xml:space="preserve"> the exam</w:t>
      </w:r>
      <w:r w:rsidRPr="00C837DD">
        <w:rPr>
          <w:sz w:val="20"/>
          <w:szCs w:val="20"/>
        </w:rPr>
        <w:t>ination</w:t>
      </w:r>
      <w:r w:rsidR="00F85D5F" w:rsidRPr="00C837DD">
        <w:rPr>
          <w:sz w:val="20"/>
          <w:szCs w:val="20"/>
        </w:rPr>
        <w:t xml:space="preserve"> </w:t>
      </w:r>
      <w:r w:rsidR="006A58E0" w:rsidRPr="00C837DD">
        <w:rPr>
          <w:sz w:val="20"/>
          <w:szCs w:val="20"/>
        </w:rPr>
        <w:t xml:space="preserve">of </w:t>
      </w:r>
      <w:r w:rsidR="00F85D5F" w:rsidRPr="00C837DD">
        <w:rPr>
          <w:i/>
          <w:iCs/>
          <w:sz w:val="20"/>
          <w:szCs w:val="20"/>
        </w:rPr>
        <w:t>fumus persecutionis</w:t>
      </w:r>
      <w:r w:rsidR="00F85D5F" w:rsidRPr="00C837DD">
        <w:rPr>
          <w:iCs/>
          <w:sz w:val="20"/>
          <w:szCs w:val="20"/>
        </w:rPr>
        <w:t xml:space="preserve"> </w:t>
      </w:r>
      <w:r w:rsidRPr="00C837DD">
        <w:rPr>
          <w:iCs/>
          <w:sz w:val="20"/>
          <w:szCs w:val="20"/>
        </w:rPr>
        <w:t>pre</w:t>
      </w:r>
      <w:r w:rsidR="00F85D5F" w:rsidRPr="00C837DD">
        <w:rPr>
          <w:iCs/>
          <w:sz w:val="20"/>
          <w:szCs w:val="20"/>
        </w:rPr>
        <w:t>sup</w:t>
      </w:r>
      <w:r w:rsidR="002C0242" w:rsidRPr="00C837DD">
        <w:rPr>
          <w:iCs/>
          <w:sz w:val="20"/>
          <w:szCs w:val="20"/>
        </w:rPr>
        <w:t xml:space="preserve">poses </w:t>
      </w:r>
      <w:r w:rsidR="00F85D5F" w:rsidRPr="00C837DD">
        <w:rPr>
          <w:iCs/>
          <w:sz w:val="20"/>
          <w:szCs w:val="20"/>
        </w:rPr>
        <w:t>a</w:t>
      </w:r>
      <w:r w:rsidR="00617566" w:rsidRPr="00C837DD">
        <w:rPr>
          <w:iCs/>
          <w:sz w:val="20"/>
          <w:szCs w:val="20"/>
        </w:rPr>
        <w:t xml:space="preserve">n assessment </w:t>
      </w:r>
      <w:r w:rsidR="00F85D5F" w:rsidRPr="00C837DD">
        <w:rPr>
          <w:iCs/>
          <w:sz w:val="20"/>
          <w:szCs w:val="20"/>
        </w:rPr>
        <w:t xml:space="preserve">of the </w:t>
      </w:r>
      <w:r w:rsidR="00617566" w:rsidRPr="00C837DD">
        <w:rPr>
          <w:iCs/>
          <w:sz w:val="20"/>
          <w:szCs w:val="20"/>
        </w:rPr>
        <w:t>seriousness</w:t>
      </w:r>
      <w:r w:rsidRPr="00C837DD">
        <w:rPr>
          <w:sz w:val="20"/>
          <w:szCs w:val="20"/>
        </w:rPr>
        <w:t xml:space="preserve">, nature and </w:t>
      </w:r>
      <w:r w:rsidR="00F85D5F" w:rsidRPr="00C837DD">
        <w:rPr>
          <w:sz w:val="20"/>
          <w:szCs w:val="20"/>
        </w:rPr>
        <w:t xml:space="preserve">circumstances of the </w:t>
      </w:r>
      <w:r w:rsidRPr="00C837DD">
        <w:rPr>
          <w:sz w:val="20"/>
          <w:szCs w:val="20"/>
        </w:rPr>
        <w:t xml:space="preserve">alleged </w:t>
      </w:r>
      <w:r w:rsidR="00F85D5F" w:rsidRPr="00C837DD">
        <w:rPr>
          <w:sz w:val="20"/>
          <w:szCs w:val="20"/>
        </w:rPr>
        <w:t>facts</w:t>
      </w:r>
      <w:r w:rsidR="004E3CC1" w:rsidRPr="00C837DD">
        <w:rPr>
          <w:sz w:val="20"/>
          <w:szCs w:val="20"/>
        </w:rPr>
        <w:t xml:space="preserve">, </w:t>
      </w:r>
      <w:r w:rsidR="00617566" w:rsidRPr="00C837DD">
        <w:rPr>
          <w:sz w:val="20"/>
          <w:szCs w:val="20"/>
        </w:rPr>
        <w:t xml:space="preserve">since the response </w:t>
      </w:r>
      <w:r w:rsidR="004E3CC1" w:rsidRPr="00C837DD">
        <w:rPr>
          <w:sz w:val="20"/>
          <w:szCs w:val="20"/>
        </w:rPr>
        <w:t>to</w:t>
      </w:r>
      <w:r w:rsidR="00F85D5F" w:rsidRPr="00C837DD">
        <w:rPr>
          <w:sz w:val="20"/>
          <w:szCs w:val="20"/>
        </w:rPr>
        <w:t xml:space="preserve"> a request </w:t>
      </w:r>
      <w:r w:rsidRPr="00C837DD">
        <w:rPr>
          <w:sz w:val="20"/>
          <w:szCs w:val="20"/>
        </w:rPr>
        <w:t xml:space="preserve">for a waiver </w:t>
      </w:r>
      <w:r w:rsidR="00102554" w:rsidRPr="00C837DD">
        <w:rPr>
          <w:sz w:val="20"/>
          <w:szCs w:val="20"/>
        </w:rPr>
        <w:t xml:space="preserve">of </w:t>
      </w:r>
      <w:r w:rsidR="00F85D5F" w:rsidRPr="00C837DD">
        <w:rPr>
          <w:sz w:val="20"/>
          <w:szCs w:val="20"/>
        </w:rPr>
        <w:t xml:space="preserve">parliamentary immunity </w:t>
      </w:r>
      <w:r w:rsidRPr="00C837DD">
        <w:rPr>
          <w:sz w:val="20"/>
          <w:szCs w:val="20"/>
        </w:rPr>
        <w:t xml:space="preserve">cannot </w:t>
      </w:r>
      <w:r w:rsidR="00F85D5F" w:rsidRPr="00C837DD">
        <w:rPr>
          <w:sz w:val="20"/>
          <w:szCs w:val="20"/>
        </w:rPr>
        <w:t>deriv</w:t>
      </w:r>
      <w:r w:rsidRPr="00C837DD">
        <w:rPr>
          <w:sz w:val="20"/>
          <w:szCs w:val="20"/>
        </w:rPr>
        <w:t>e</w:t>
      </w:r>
      <w:r w:rsidR="00102554" w:rsidRPr="00C837DD">
        <w:rPr>
          <w:sz w:val="20"/>
          <w:szCs w:val="20"/>
        </w:rPr>
        <w:t xml:space="preserve"> from a</w:t>
      </w:r>
      <w:r w:rsidR="00617566" w:rsidRPr="00C837DD">
        <w:rPr>
          <w:sz w:val="20"/>
          <w:szCs w:val="20"/>
        </w:rPr>
        <w:t>n</w:t>
      </w:r>
      <w:r w:rsidR="00102554" w:rsidRPr="00C837DD">
        <w:rPr>
          <w:sz w:val="20"/>
          <w:szCs w:val="20"/>
        </w:rPr>
        <w:t xml:space="preserve"> arbitrary</w:t>
      </w:r>
      <w:r w:rsidR="00F85D5F" w:rsidRPr="00C837DD">
        <w:rPr>
          <w:sz w:val="20"/>
          <w:szCs w:val="20"/>
        </w:rPr>
        <w:t xml:space="preserve"> </w:t>
      </w:r>
      <w:r w:rsidR="00617566" w:rsidRPr="00C837DD">
        <w:rPr>
          <w:sz w:val="20"/>
          <w:szCs w:val="20"/>
        </w:rPr>
        <w:t xml:space="preserve">action </w:t>
      </w:r>
      <w:r w:rsidRPr="00C837DD">
        <w:rPr>
          <w:sz w:val="20"/>
          <w:szCs w:val="20"/>
        </w:rPr>
        <w:t>of the legislative c</w:t>
      </w:r>
      <w:r w:rsidR="00F85D5F" w:rsidRPr="00C837DD">
        <w:rPr>
          <w:sz w:val="20"/>
          <w:szCs w:val="20"/>
        </w:rPr>
        <w:t xml:space="preserve">hamber, </w:t>
      </w:r>
      <w:r w:rsidRPr="00C837DD">
        <w:rPr>
          <w:sz w:val="20"/>
          <w:szCs w:val="20"/>
        </w:rPr>
        <w:t xml:space="preserve">which </w:t>
      </w:r>
      <w:r w:rsidR="004E3CC1" w:rsidRPr="00C837DD">
        <w:rPr>
          <w:sz w:val="20"/>
          <w:szCs w:val="20"/>
        </w:rPr>
        <w:t>ignore</w:t>
      </w:r>
      <w:r w:rsidRPr="00C837DD">
        <w:rPr>
          <w:sz w:val="20"/>
          <w:szCs w:val="20"/>
        </w:rPr>
        <w:t>s</w:t>
      </w:r>
      <w:r w:rsidR="004E3CC1" w:rsidRPr="00C837DD">
        <w:rPr>
          <w:sz w:val="20"/>
          <w:szCs w:val="20"/>
        </w:rPr>
        <w:t xml:space="preserve"> the nature of the </w:t>
      </w:r>
      <w:r w:rsidRPr="00C837DD">
        <w:rPr>
          <w:sz w:val="20"/>
          <w:szCs w:val="20"/>
        </w:rPr>
        <w:t xml:space="preserve">conflict </w:t>
      </w:r>
      <w:r w:rsidR="00F85D5F" w:rsidRPr="00C837DD">
        <w:rPr>
          <w:sz w:val="20"/>
          <w:szCs w:val="20"/>
        </w:rPr>
        <w:t>and the ne</w:t>
      </w:r>
      <w:r w:rsidRPr="00C837DD">
        <w:rPr>
          <w:sz w:val="20"/>
          <w:szCs w:val="20"/>
        </w:rPr>
        <w:t>ed to protect</w:t>
      </w:r>
      <w:r w:rsidR="00102554" w:rsidRPr="00C837DD">
        <w:rPr>
          <w:sz w:val="20"/>
          <w:szCs w:val="20"/>
        </w:rPr>
        <w:t xml:space="preserve"> the interest</w:t>
      </w:r>
      <w:r w:rsidR="00F85D5F" w:rsidRPr="00C837DD">
        <w:rPr>
          <w:sz w:val="20"/>
          <w:szCs w:val="20"/>
        </w:rPr>
        <w:t xml:space="preserve">s and rights </w:t>
      </w:r>
      <w:r w:rsidR="00102554" w:rsidRPr="00C837DD">
        <w:rPr>
          <w:sz w:val="20"/>
          <w:szCs w:val="20"/>
        </w:rPr>
        <w:t>at stake.</w:t>
      </w:r>
      <w:r w:rsidR="00F85D5F" w:rsidRPr="00C837DD">
        <w:rPr>
          <w:rStyle w:val="Refdenotaalpie"/>
          <w:sz w:val="20"/>
          <w:szCs w:val="20"/>
        </w:rPr>
        <w:footnoteReference w:id="206"/>
      </w:r>
      <w:r w:rsidR="00F85D5F" w:rsidRPr="00C837DD">
        <w:rPr>
          <w:sz w:val="20"/>
          <w:szCs w:val="20"/>
        </w:rPr>
        <w:t xml:space="preserve"> </w:t>
      </w:r>
    </w:p>
    <w:p w14:paraId="51CD215A" w14:textId="77777777" w:rsidR="00F85D5F" w:rsidRPr="00C837DD" w:rsidRDefault="00F85D5F" w:rsidP="00F85D5F">
      <w:pPr>
        <w:pStyle w:val="Prrafodelista"/>
        <w:tabs>
          <w:tab w:val="left" w:pos="142"/>
        </w:tabs>
        <w:ind w:left="0"/>
        <w:rPr>
          <w:sz w:val="20"/>
          <w:szCs w:val="20"/>
        </w:rPr>
      </w:pPr>
    </w:p>
    <w:p w14:paraId="45855E19" w14:textId="41E6300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recalls that the </w:t>
      </w:r>
      <w:r w:rsidR="008D3919" w:rsidRPr="00C837DD">
        <w:rPr>
          <w:sz w:val="20"/>
          <w:szCs w:val="20"/>
        </w:rPr>
        <w:t>duty to</w:t>
      </w:r>
      <w:r w:rsidR="00126E25" w:rsidRPr="00C837DD">
        <w:rPr>
          <w:sz w:val="20"/>
          <w:szCs w:val="20"/>
        </w:rPr>
        <w:t xml:space="preserve"> </w:t>
      </w:r>
      <w:r w:rsidR="00A90F1D" w:rsidRPr="00C837DD">
        <w:rPr>
          <w:sz w:val="20"/>
          <w:szCs w:val="20"/>
        </w:rPr>
        <w:t xml:space="preserve">state reasons </w:t>
      </w:r>
      <w:r w:rsidR="00126E25" w:rsidRPr="00C837DD">
        <w:rPr>
          <w:sz w:val="20"/>
          <w:szCs w:val="20"/>
        </w:rPr>
        <w:t>is</w:t>
      </w:r>
      <w:r w:rsidR="00A90F1D" w:rsidRPr="00C837DD">
        <w:rPr>
          <w:sz w:val="20"/>
          <w:szCs w:val="20"/>
        </w:rPr>
        <w:t xml:space="preserve"> required of </w:t>
      </w:r>
      <w:r w:rsidRPr="00C837DD">
        <w:rPr>
          <w:sz w:val="20"/>
          <w:szCs w:val="20"/>
        </w:rPr>
        <w:t xml:space="preserve">any </w:t>
      </w:r>
      <w:r w:rsidR="008D3919" w:rsidRPr="00C837DD">
        <w:rPr>
          <w:sz w:val="20"/>
          <w:szCs w:val="20"/>
        </w:rPr>
        <w:t xml:space="preserve">public </w:t>
      </w:r>
      <w:r w:rsidRPr="00C837DD">
        <w:rPr>
          <w:sz w:val="20"/>
          <w:szCs w:val="20"/>
        </w:rPr>
        <w:t>authori</w:t>
      </w:r>
      <w:r w:rsidR="008D3919" w:rsidRPr="00C837DD">
        <w:rPr>
          <w:sz w:val="20"/>
          <w:szCs w:val="20"/>
        </w:rPr>
        <w:t>ty</w:t>
      </w:r>
      <w:r w:rsidRPr="00C837DD">
        <w:rPr>
          <w:sz w:val="20"/>
          <w:szCs w:val="20"/>
        </w:rPr>
        <w:t xml:space="preserve">, </w:t>
      </w:r>
      <w:r w:rsidR="00A90F1D" w:rsidRPr="00C837DD">
        <w:rPr>
          <w:sz w:val="20"/>
          <w:szCs w:val="20"/>
        </w:rPr>
        <w:lastRenderedPageBreak/>
        <w:t xml:space="preserve">whether </w:t>
      </w:r>
      <w:r w:rsidR="00102554" w:rsidRPr="00C837DD">
        <w:rPr>
          <w:sz w:val="20"/>
          <w:szCs w:val="20"/>
        </w:rPr>
        <w:t>administrative</w:t>
      </w:r>
      <w:r w:rsidRPr="00C837DD">
        <w:rPr>
          <w:sz w:val="20"/>
          <w:szCs w:val="20"/>
        </w:rPr>
        <w:t xml:space="preserve">, </w:t>
      </w:r>
      <w:r w:rsidR="00102554" w:rsidRPr="00C837DD">
        <w:rPr>
          <w:sz w:val="20"/>
          <w:szCs w:val="20"/>
        </w:rPr>
        <w:t>legislative</w:t>
      </w:r>
      <w:r w:rsidRPr="00C837DD">
        <w:rPr>
          <w:sz w:val="20"/>
          <w:szCs w:val="20"/>
        </w:rPr>
        <w:t xml:space="preserve"> or judicial, </w:t>
      </w:r>
      <w:r w:rsidR="008D3919" w:rsidRPr="00C837DD">
        <w:rPr>
          <w:sz w:val="20"/>
          <w:szCs w:val="20"/>
        </w:rPr>
        <w:t xml:space="preserve">whose </w:t>
      </w:r>
      <w:r w:rsidRPr="00C837DD">
        <w:rPr>
          <w:sz w:val="20"/>
          <w:szCs w:val="20"/>
        </w:rPr>
        <w:t xml:space="preserve">decisions </w:t>
      </w:r>
      <w:r w:rsidR="00A90F1D" w:rsidRPr="00C837DD">
        <w:rPr>
          <w:sz w:val="20"/>
          <w:szCs w:val="20"/>
        </w:rPr>
        <w:t xml:space="preserve">may </w:t>
      </w:r>
      <w:r w:rsidR="00102554" w:rsidRPr="00C837DD">
        <w:rPr>
          <w:sz w:val="20"/>
          <w:szCs w:val="20"/>
        </w:rPr>
        <w:t xml:space="preserve">affect </w:t>
      </w:r>
      <w:r w:rsidRPr="00C837DD">
        <w:rPr>
          <w:sz w:val="20"/>
          <w:szCs w:val="20"/>
        </w:rPr>
        <w:t xml:space="preserve">the rights of </w:t>
      </w:r>
      <w:r w:rsidR="00A90F1D" w:rsidRPr="00C837DD">
        <w:rPr>
          <w:sz w:val="20"/>
          <w:szCs w:val="20"/>
        </w:rPr>
        <w:t>individuals</w:t>
      </w:r>
      <w:r w:rsidR="00126E25" w:rsidRPr="00C837DD">
        <w:rPr>
          <w:sz w:val="20"/>
          <w:szCs w:val="20"/>
        </w:rPr>
        <w:t xml:space="preserve">, </w:t>
      </w:r>
      <w:r w:rsidR="00A90F1D" w:rsidRPr="00C837DD">
        <w:rPr>
          <w:sz w:val="20"/>
          <w:szCs w:val="20"/>
        </w:rPr>
        <w:t xml:space="preserve">and that such </w:t>
      </w:r>
      <w:r w:rsidRPr="00C837DD">
        <w:rPr>
          <w:sz w:val="20"/>
          <w:szCs w:val="20"/>
        </w:rPr>
        <w:t xml:space="preserve">decisions </w:t>
      </w:r>
      <w:r w:rsidR="00A90F1D" w:rsidRPr="00C837DD">
        <w:rPr>
          <w:sz w:val="20"/>
          <w:szCs w:val="20"/>
        </w:rPr>
        <w:t xml:space="preserve">must be adopted </w:t>
      </w:r>
      <w:r w:rsidRPr="00C837DD">
        <w:rPr>
          <w:sz w:val="20"/>
          <w:szCs w:val="20"/>
        </w:rPr>
        <w:t xml:space="preserve">with </w:t>
      </w:r>
      <w:r w:rsidR="008D3919" w:rsidRPr="00C837DD">
        <w:rPr>
          <w:sz w:val="20"/>
          <w:szCs w:val="20"/>
        </w:rPr>
        <w:t>full respect for</w:t>
      </w:r>
      <w:r w:rsidRPr="00C837DD">
        <w:rPr>
          <w:sz w:val="20"/>
          <w:szCs w:val="20"/>
        </w:rPr>
        <w:t xml:space="preserve"> the guarantees </w:t>
      </w:r>
      <w:r w:rsidR="008D3919" w:rsidRPr="00C837DD">
        <w:rPr>
          <w:sz w:val="20"/>
          <w:szCs w:val="20"/>
        </w:rPr>
        <w:t xml:space="preserve">of </w:t>
      </w:r>
      <w:r w:rsidR="00102554" w:rsidRPr="00C837DD">
        <w:rPr>
          <w:sz w:val="20"/>
          <w:szCs w:val="20"/>
        </w:rPr>
        <w:t>due process</w:t>
      </w:r>
      <w:r w:rsidR="00D36A2B" w:rsidRPr="00C837DD">
        <w:rPr>
          <w:sz w:val="20"/>
          <w:szCs w:val="20"/>
        </w:rPr>
        <w:t xml:space="preserve"> of law</w:t>
      </w:r>
      <w:r w:rsidR="00102554" w:rsidRPr="00C837DD">
        <w:rPr>
          <w:sz w:val="20"/>
          <w:szCs w:val="20"/>
        </w:rPr>
        <w:t>.</w:t>
      </w:r>
      <w:r w:rsidRPr="00C837DD">
        <w:rPr>
          <w:sz w:val="20"/>
          <w:szCs w:val="20"/>
          <w:vertAlign w:val="superscript"/>
        </w:rPr>
        <w:footnoteReference w:id="207"/>
      </w:r>
      <w:r w:rsidRPr="00C837DD">
        <w:rPr>
          <w:sz w:val="20"/>
          <w:szCs w:val="20"/>
        </w:rPr>
        <w:t xml:space="preserve"> </w:t>
      </w:r>
      <w:r w:rsidR="00A90F1D" w:rsidRPr="00C837DD">
        <w:rPr>
          <w:sz w:val="20"/>
          <w:szCs w:val="20"/>
        </w:rPr>
        <w:t>In this regard</w:t>
      </w:r>
      <w:r w:rsidRPr="00C837DD">
        <w:rPr>
          <w:sz w:val="20"/>
          <w:szCs w:val="20"/>
        </w:rPr>
        <w:t xml:space="preserve">, Article 8 of the Convention </w:t>
      </w:r>
      <w:r w:rsidR="009A0F09" w:rsidRPr="00C837DD">
        <w:rPr>
          <w:sz w:val="20"/>
          <w:szCs w:val="20"/>
        </w:rPr>
        <w:t xml:space="preserve">enshrines </w:t>
      </w:r>
      <w:r w:rsidRPr="00C837DD">
        <w:rPr>
          <w:sz w:val="20"/>
          <w:szCs w:val="20"/>
        </w:rPr>
        <w:t xml:space="preserve">the guidelines </w:t>
      </w:r>
      <w:r w:rsidR="00A90F1D" w:rsidRPr="00C837DD">
        <w:rPr>
          <w:sz w:val="20"/>
          <w:szCs w:val="20"/>
        </w:rPr>
        <w:t xml:space="preserve">of </w:t>
      </w:r>
      <w:r w:rsidRPr="00C837DD">
        <w:rPr>
          <w:sz w:val="20"/>
          <w:szCs w:val="20"/>
        </w:rPr>
        <w:t>d</w:t>
      </w:r>
      <w:r w:rsidR="00102554" w:rsidRPr="00C837DD">
        <w:rPr>
          <w:sz w:val="20"/>
          <w:szCs w:val="20"/>
        </w:rPr>
        <w:t>ue process</w:t>
      </w:r>
      <w:r w:rsidR="00A90F1D" w:rsidRPr="00C837DD">
        <w:rPr>
          <w:sz w:val="20"/>
          <w:szCs w:val="20"/>
        </w:rPr>
        <w:t xml:space="preserve"> of law</w:t>
      </w:r>
      <w:r w:rsidRPr="00C837DD">
        <w:rPr>
          <w:sz w:val="20"/>
          <w:szCs w:val="20"/>
        </w:rPr>
        <w:t xml:space="preserve">, which </w:t>
      </w:r>
      <w:r w:rsidR="00617566" w:rsidRPr="00C837DD">
        <w:rPr>
          <w:sz w:val="20"/>
          <w:szCs w:val="20"/>
        </w:rPr>
        <w:t xml:space="preserve">consists of </w:t>
      </w:r>
      <w:r w:rsidRPr="00C837DD">
        <w:rPr>
          <w:sz w:val="20"/>
          <w:szCs w:val="20"/>
        </w:rPr>
        <w:t xml:space="preserve">a </w:t>
      </w:r>
      <w:r w:rsidR="00126E25" w:rsidRPr="00C837DD">
        <w:rPr>
          <w:sz w:val="20"/>
          <w:szCs w:val="20"/>
        </w:rPr>
        <w:t xml:space="preserve">set of requirements </w:t>
      </w:r>
      <w:r w:rsidRPr="00C837DD">
        <w:rPr>
          <w:sz w:val="20"/>
          <w:szCs w:val="20"/>
        </w:rPr>
        <w:t xml:space="preserve">that </w:t>
      </w:r>
      <w:r w:rsidR="00617566" w:rsidRPr="00C837DD">
        <w:rPr>
          <w:sz w:val="20"/>
          <w:szCs w:val="20"/>
        </w:rPr>
        <w:t xml:space="preserve">must be observed </w:t>
      </w:r>
      <w:r w:rsidRPr="00C837DD">
        <w:rPr>
          <w:sz w:val="20"/>
          <w:szCs w:val="20"/>
        </w:rPr>
        <w:t xml:space="preserve">in the </w:t>
      </w:r>
      <w:r w:rsidR="00C51835" w:rsidRPr="00C837DD">
        <w:rPr>
          <w:sz w:val="20"/>
          <w:szCs w:val="20"/>
        </w:rPr>
        <w:t>procedural</w:t>
      </w:r>
      <w:r w:rsidR="001E3A7D" w:rsidRPr="00C837DD">
        <w:rPr>
          <w:sz w:val="20"/>
          <w:szCs w:val="20"/>
        </w:rPr>
        <w:t xml:space="preserve"> </w:t>
      </w:r>
      <w:r w:rsidR="00CB2AF9" w:rsidRPr="00C837DD">
        <w:rPr>
          <w:sz w:val="20"/>
          <w:szCs w:val="20"/>
        </w:rPr>
        <w:t>instances</w:t>
      </w:r>
      <w:r w:rsidRPr="00C837DD">
        <w:rPr>
          <w:sz w:val="20"/>
          <w:szCs w:val="20"/>
        </w:rPr>
        <w:t xml:space="preserve">, </w:t>
      </w:r>
      <w:r w:rsidR="00126E25" w:rsidRPr="00C837DD">
        <w:rPr>
          <w:sz w:val="20"/>
          <w:szCs w:val="20"/>
        </w:rPr>
        <w:t xml:space="preserve">so </w:t>
      </w:r>
      <w:r w:rsidR="008D3919" w:rsidRPr="00C837DD">
        <w:rPr>
          <w:sz w:val="20"/>
          <w:szCs w:val="20"/>
        </w:rPr>
        <w:t xml:space="preserve">that </w:t>
      </w:r>
      <w:r w:rsidR="001E3A7D" w:rsidRPr="00C837DD">
        <w:rPr>
          <w:sz w:val="20"/>
          <w:szCs w:val="20"/>
        </w:rPr>
        <w:t xml:space="preserve">individuals </w:t>
      </w:r>
      <w:r w:rsidR="008D3919" w:rsidRPr="00C837DD">
        <w:rPr>
          <w:sz w:val="20"/>
          <w:szCs w:val="20"/>
        </w:rPr>
        <w:t xml:space="preserve">are in a position to </w:t>
      </w:r>
      <w:r w:rsidR="00126E25" w:rsidRPr="00C837DD">
        <w:rPr>
          <w:sz w:val="20"/>
          <w:szCs w:val="20"/>
        </w:rPr>
        <w:t xml:space="preserve">adequately </w:t>
      </w:r>
      <w:r w:rsidR="008D3919" w:rsidRPr="00C837DD">
        <w:rPr>
          <w:sz w:val="20"/>
          <w:szCs w:val="20"/>
        </w:rPr>
        <w:t>defend</w:t>
      </w:r>
      <w:r w:rsidRPr="00C837DD">
        <w:rPr>
          <w:sz w:val="20"/>
          <w:szCs w:val="20"/>
        </w:rPr>
        <w:t xml:space="preserve"> </w:t>
      </w:r>
      <w:r w:rsidR="00126E25" w:rsidRPr="00C837DD">
        <w:rPr>
          <w:sz w:val="20"/>
          <w:szCs w:val="20"/>
        </w:rPr>
        <w:t xml:space="preserve">their </w:t>
      </w:r>
      <w:r w:rsidR="00617566" w:rsidRPr="00C837DD">
        <w:rPr>
          <w:sz w:val="20"/>
          <w:szCs w:val="20"/>
        </w:rPr>
        <w:t xml:space="preserve">rights </w:t>
      </w:r>
      <w:r w:rsidR="009A0F09" w:rsidRPr="00C837DD">
        <w:rPr>
          <w:sz w:val="20"/>
          <w:szCs w:val="20"/>
        </w:rPr>
        <w:t xml:space="preserve">before </w:t>
      </w:r>
      <w:r w:rsidR="00617566" w:rsidRPr="00C837DD">
        <w:rPr>
          <w:sz w:val="20"/>
          <w:szCs w:val="20"/>
        </w:rPr>
        <w:t xml:space="preserve">any type of act by the </w:t>
      </w:r>
      <w:r w:rsidRPr="00C837DD">
        <w:rPr>
          <w:sz w:val="20"/>
          <w:szCs w:val="20"/>
        </w:rPr>
        <w:t xml:space="preserve">State that </w:t>
      </w:r>
      <w:r w:rsidR="00126E25" w:rsidRPr="00C837DD">
        <w:rPr>
          <w:sz w:val="20"/>
          <w:szCs w:val="20"/>
        </w:rPr>
        <w:t>could affect them.</w:t>
      </w:r>
      <w:r w:rsidRPr="00C837DD">
        <w:rPr>
          <w:sz w:val="20"/>
          <w:szCs w:val="20"/>
          <w:vertAlign w:val="superscript"/>
        </w:rPr>
        <w:footnoteReference w:id="208"/>
      </w:r>
      <w:r w:rsidRPr="00C837DD">
        <w:rPr>
          <w:sz w:val="20"/>
          <w:szCs w:val="20"/>
        </w:rPr>
        <w:t xml:space="preserve"> </w:t>
      </w:r>
    </w:p>
    <w:p w14:paraId="2877CE35" w14:textId="77777777" w:rsidR="00F85D5F" w:rsidRPr="00C837DD" w:rsidRDefault="00F85D5F" w:rsidP="00F85D5F">
      <w:pPr>
        <w:pStyle w:val="Prrafodelista"/>
        <w:rPr>
          <w:sz w:val="20"/>
          <w:szCs w:val="20"/>
        </w:rPr>
      </w:pPr>
    </w:p>
    <w:p w14:paraId="172E9B07" w14:textId="36B3D69F"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w:t>
      </w:r>
      <w:r w:rsidR="008808D0">
        <w:rPr>
          <w:sz w:val="20"/>
          <w:szCs w:val="20"/>
        </w:rPr>
        <w:t>us</w:t>
      </w:r>
      <w:r w:rsidRPr="00C837DD">
        <w:rPr>
          <w:sz w:val="20"/>
          <w:szCs w:val="20"/>
        </w:rPr>
        <w:t xml:space="preserve">, </w:t>
      </w:r>
      <w:r w:rsidR="00CB2AF9" w:rsidRPr="00C837DD">
        <w:rPr>
          <w:sz w:val="20"/>
          <w:szCs w:val="20"/>
        </w:rPr>
        <w:t xml:space="preserve">in order </w:t>
      </w:r>
      <w:r w:rsidR="00617566" w:rsidRPr="00C837DD">
        <w:rPr>
          <w:sz w:val="20"/>
          <w:szCs w:val="20"/>
        </w:rPr>
        <w:t xml:space="preserve">to </w:t>
      </w:r>
      <w:r w:rsidR="00CB2AF9" w:rsidRPr="00C837DD">
        <w:rPr>
          <w:sz w:val="20"/>
          <w:szCs w:val="20"/>
        </w:rPr>
        <w:t xml:space="preserve">avoid </w:t>
      </w:r>
      <w:r w:rsidRPr="00C837DD">
        <w:rPr>
          <w:sz w:val="20"/>
          <w:szCs w:val="20"/>
        </w:rPr>
        <w:t>a</w:t>
      </w:r>
      <w:r w:rsidR="00617566" w:rsidRPr="00C837DD">
        <w:rPr>
          <w:sz w:val="20"/>
          <w:szCs w:val="20"/>
        </w:rPr>
        <w:t>n</w:t>
      </w:r>
      <w:r w:rsidRPr="00C837DD">
        <w:rPr>
          <w:sz w:val="20"/>
          <w:szCs w:val="20"/>
        </w:rPr>
        <w:t xml:space="preserve"> </w:t>
      </w:r>
      <w:r w:rsidR="00A831CC" w:rsidRPr="00C837DD">
        <w:rPr>
          <w:sz w:val="20"/>
          <w:szCs w:val="20"/>
        </w:rPr>
        <w:t>arbitrary</w:t>
      </w:r>
      <w:r w:rsidR="00617566" w:rsidRPr="00C837DD">
        <w:rPr>
          <w:sz w:val="20"/>
          <w:szCs w:val="20"/>
        </w:rPr>
        <w:t xml:space="preserve"> decision</w:t>
      </w:r>
      <w:r w:rsidRPr="00C837DD">
        <w:rPr>
          <w:sz w:val="20"/>
          <w:szCs w:val="20"/>
        </w:rPr>
        <w:t xml:space="preserve">, the Court considers that the </w:t>
      </w:r>
      <w:r w:rsidR="00102554" w:rsidRPr="00C837DD">
        <w:rPr>
          <w:sz w:val="20"/>
          <w:szCs w:val="20"/>
        </w:rPr>
        <w:t>legislative body</w:t>
      </w:r>
      <w:r w:rsidRPr="00C837DD">
        <w:rPr>
          <w:sz w:val="20"/>
          <w:szCs w:val="20"/>
        </w:rPr>
        <w:t xml:space="preserve"> </w:t>
      </w:r>
      <w:r w:rsidR="00617566" w:rsidRPr="00C837DD">
        <w:rPr>
          <w:sz w:val="20"/>
          <w:szCs w:val="20"/>
        </w:rPr>
        <w:t xml:space="preserve">must </w:t>
      </w:r>
      <w:r w:rsidR="00CB2AF9" w:rsidRPr="00C837DD">
        <w:rPr>
          <w:sz w:val="20"/>
          <w:szCs w:val="20"/>
        </w:rPr>
        <w:t xml:space="preserve">give reasons for </w:t>
      </w:r>
      <w:r w:rsidR="00617566" w:rsidRPr="00C837DD">
        <w:rPr>
          <w:sz w:val="20"/>
          <w:szCs w:val="20"/>
        </w:rPr>
        <w:t xml:space="preserve">its </w:t>
      </w:r>
      <w:r w:rsidRPr="00C837DD">
        <w:rPr>
          <w:sz w:val="20"/>
          <w:szCs w:val="20"/>
        </w:rPr>
        <w:t>decisio</w:t>
      </w:r>
      <w:r w:rsidR="00102554" w:rsidRPr="00C837DD">
        <w:rPr>
          <w:sz w:val="20"/>
          <w:szCs w:val="20"/>
        </w:rPr>
        <w:t xml:space="preserve">n </w:t>
      </w:r>
      <w:r w:rsidR="00CB2AF9" w:rsidRPr="00C837DD">
        <w:rPr>
          <w:sz w:val="20"/>
          <w:szCs w:val="20"/>
        </w:rPr>
        <w:t xml:space="preserve">on whether or not </w:t>
      </w:r>
      <w:r w:rsidR="004E3CC1" w:rsidRPr="00C837DD">
        <w:rPr>
          <w:sz w:val="20"/>
          <w:szCs w:val="20"/>
        </w:rPr>
        <w:t xml:space="preserve">to lift </w:t>
      </w:r>
      <w:r w:rsidR="00617566" w:rsidRPr="00C837DD">
        <w:rPr>
          <w:sz w:val="20"/>
          <w:szCs w:val="20"/>
        </w:rPr>
        <w:t xml:space="preserve">procedural </w:t>
      </w:r>
      <w:r w:rsidR="00102554" w:rsidRPr="00C837DD">
        <w:rPr>
          <w:sz w:val="20"/>
          <w:szCs w:val="20"/>
        </w:rPr>
        <w:t>immunity</w:t>
      </w:r>
      <w:r w:rsidR="00CB2AF9" w:rsidRPr="00C837DD">
        <w:rPr>
          <w:sz w:val="20"/>
          <w:szCs w:val="20"/>
        </w:rPr>
        <w:t>. This</w:t>
      </w:r>
      <w:r w:rsidR="00EB1469">
        <w:rPr>
          <w:sz w:val="20"/>
          <w:szCs w:val="20"/>
        </w:rPr>
        <w:t xml:space="preserve"> is so</w:t>
      </w:r>
      <w:r w:rsidR="00CB2AF9" w:rsidRPr="00C837DD">
        <w:rPr>
          <w:sz w:val="20"/>
          <w:szCs w:val="20"/>
        </w:rPr>
        <w:t xml:space="preserve">, because the </w:t>
      </w:r>
      <w:r w:rsidR="00617566" w:rsidRPr="00C837DD">
        <w:rPr>
          <w:sz w:val="20"/>
          <w:szCs w:val="20"/>
        </w:rPr>
        <w:t>decision</w:t>
      </w:r>
      <w:r w:rsidRPr="00C837DD">
        <w:rPr>
          <w:sz w:val="20"/>
          <w:szCs w:val="20"/>
        </w:rPr>
        <w:t xml:space="preserve"> </w:t>
      </w:r>
      <w:r w:rsidR="004E3CC1" w:rsidRPr="00C837DD">
        <w:rPr>
          <w:sz w:val="20"/>
          <w:szCs w:val="20"/>
        </w:rPr>
        <w:t xml:space="preserve">will </w:t>
      </w:r>
      <w:r w:rsidRPr="00C837DD">
        <w:rPr>
          <w:sz w:val="20"/>
          <w:szCs w:val="20"/>
        </w:rPr>
        <w:t>necessar</w:t>
      </w:r>
      <w:r w:rsidR="004E3CC1" w:rsidRPr="00C837DD">
        <w:rPr>
          <w:sz w:val="20"/>
          <w:szCs w:val="20"/>
        </w:rPr>
        <w:t xml:space="preserve">ily </w:t>
      </w:r>
      <w:r w:rsidR="00CB2AF9" w:rsidRPr="00C837DD">
        <w:rPr>
          <w:sz w:val="20"/>
          <w:szCs w:val="20"/>
        </w:rPr>
        <w:t xml:space="preserve">impact </w:t>
      </w:r>
      <w:r w:rsidR="00126E25" w:rsidRPr="00C837DD">
        <w:rPr>
          <w:sz w:val="20"/>
          <w:szCs w:val="20"/>
        </w:rPr>
        <w:t xml:space="preserve">both </w:t>
      </w:r>
      <w:r w:rsidRPr="00C837DD">
        <w:rPr>
          <w:sz w:val="20"/>
          <w:szCs w:val="20"/>
        </w:rPr>
        <w:t xml:space="preserve">the rights </w:t>
      </w:r>
      <w:r w:rsidR="004E3CC1" w:rsidRPr="00C837DD">
        <w:rPr>
          <w:sz w:val="20"/>
          <w:szCs w:val="20"/>
        </w:rPr>
        <w:t xml:space="preserve">of the </w:t>
      </w:r>
      <w:r w:rsidR="00CB2AF9" w:rsidRPr="00C837DD">
        <w:rPr>
          <w:sz w:val="20"/>
          <w:szCs w:val="20"/>
        </w:rPr>
        <w:t xml:space="preserve">parliamentarian </w:t>
      </w:r>
      <w:r w:rsidR="004E3CC1" w:rsidRPr="00C837DD">
        <w:rPr>
          <w:sz w:val="20"/>
          <w:szCs w:val="20"/>
        </w:rPr>
        <w:t xml:space="preserve">in </w:t>
      </w:r>
      <w:r w:rsidR="003F32F1" w:rsidRPr="00C837DD">
        <w:rPr>
          <w:sz w:val="20"/>
          <w:szCs w:val="20"/>
        </w:rPr>
        <w:t xml:space="preserve">relation to </w:t>
      </w:r>
      <w:r w:rsidRPr="00C837DD">
        <w:rPr>
          <w:sz w:val="20"/>
          <w:szCs w:val="20"/>
        </w:rPr>
        <w:t xml:space="preserve">the exercise of </w:t>
      </w:r>
      <w:r w:rsidR="004E3CC1" w:rsidRPr="00C837DD">
        <w:rPr>
          <w:sz w:val="20"/>
          <w:szCs w:val="20"/>
        </w:rPr>
        <w:t xml:space="preserve">his </w:t>
      </w:r>
      <w:r w:rsidRPr="00C837DD">
        <w:rPr>
          <w:sz w:val="20"/>
          <w:szCs w:val="20"/>
        </w:rPr>
        <w:t>fun</w:t>
      </w:r>
      <w:r w:rsidR="004E3CC1" w:rsidRPr="00C837DD">
        <w:rPr>
          <w:sz w:val="20"/>
          <w:szCs w:val="20"/>
        </w:rPr>
        <w:t>c</w:t>
      </w:r>
      <w:r w:rsidRPr="00C837DD">
        <w:rPr>
          <w:sz w:val="20"/>
          <w:szCs w:val="20"/>
        </w:rPr>
        <w:t xml:space="preserve">tions, </w:t>
      </w:r>
      <w:r w:rsidR="004E3CC1" w:rsidRPr="00C837DD">
        <w:rPr>
          <w:sz w:val="20"/>
          <w:szCs w:val="20"/>
        </w:rPr>
        <w:t>a</w:t>
      </w:r>
      <w:r w:rsidR="00CB2AF9" w:rsidRPr="00C837DD">
        <w:rPr>
          <w:sz w:val="20"/>
          <w:szCs w:val="20"/>
        </w:rPr>
        <w:t xml:space="preserve">s well as </w:t>
      </w:r>
      <w:r w:rsidRPr="00C837DD">
        <w:rPr>
          <w:sz w:val="20"/>
          <w:szCs w:val="20"/>
        </w:rPr>
        <w:t xml:space="preserve">the right of access to justice of the victims of the </w:t>
      </w:r>
      <w:r w:rsidR="00617566" w:rsidRPr="00C837DD">
        <w:rPr>
          <w:sz w:val="20"/>
          <w:szCs w:val="20"/>
        </w:rPr>
        <w:t xml:space="preserve">alleged </w:t>
      </w:r>
      <w:r w:rsidR="00CB2AF9" w:rsidRPr="00C837DD">
        <w:rPr>
          <w:sz w:val="20"/>
          <w:szCs w:val="20"/>
        </w:rPr>
        <w:t xml:space="preserve">criminal offenses </w:t>
      </w:r>
      <w:r w:rsidR="00BF3049" w:rsidRPr="00C837DD">
        <w:rPr>
          <w:sz w:val="20"/>
          <w:szCs w:val="20"/>
        </w:rPr>
        <w:t xml:space="preserve">attributed to </w:t>
      </w:r>
      <w:r w:rsidRPr="00C837DD">
        <w:rPr>
          <w:sz w:val="20"/>
          <w:szCs w:val="20"/>
        </w:rPr>
        <w:t xml:space="preserve">this same </w:t>
      </w:r>
      <w:r w:rsidR="00C51835" w:rsidRPr="00C837DD">
        <w:rPr>
          <w:sz w:val="20"/>
          <w:szCs w:val="20"/>
        </w:rPr>
        <w:t>parliamentarian</w:t>
      </w:r>
      <w:r w:rsidRPr="00C837DD">
        <w:rPr>
          <w:sz w:val="20"/>
          <w:szCs w:val="20"/>
        </w:rPr>
        <w:t xml:space="preserve">. </w:t>
      </w:r>
      <w:r w:rsidR="00126E25" w:rsidRPr="00C837DD">
        <w:rPr>
          <w:sz w:val="20"/>
          <w:szCs w:val="20"/>
        </w:rPr>
        <w:t>Obviously</w:t>
      </w:r>
      <w:r w:rsidRPr="00C837DD">
        <w:rPr>
          <w:sz w:val="20"/>
          <w:szCs w:val="20"/>
        </w:rPr>
        <w:t xml:space="preserve">, </w:t>
      </w:r>
      <w:r w:rsidR="00CB2AF9" w:rsidRPr="00C837DD">
        <w:rPr>
          <w:sz w:val="20"/>
          <w:szCs w:val="20"/>
        </w:rPr>
        <w:t xml:space="preserve">since it is </w:t>
      </w:r>
      <w:r w:rsidRPr="00C837DD">
        <w:rPr>
          <w:sz w:val="20"/>
          <w:szCs w:val="20"/>
        </w:rPr>
        <w:t xml:space="preserve">a </w:t>
      </w:r>
      <w:r w:rsidR="00102554" w:rsidRPr="00C837DD">
        <w:rPr>
          <w:sz w:val="20"/>
          <w:szCs w:val="20"/>
        </w:rPr>
        <w:t>legislative body</w:t>
      </w:r>
      <w:r w:rsidRPr="00C837DD">
        <w:rPr>
          <w:sz w:val="20"/>
          <w:szCs w:val="20"/>
        </w:rPr>
        <w:t xml:space="preserve">, </w:t>
      </w:r>
      <w:r w:rsidR="00BF3049" w:rsidRPr="00C837DD">
        <w:rPr>
          <w:sz w:val="20"/>
          <w:szCs w:val="20"/>
        </w:rPr>
        <w:t xml:space="preserve">it cannot be required to </w:t>
      </w:r>
      <w:r w:rsidR="00CB2AF9" w:rsidRPr="00C837DD">
        <w:rPr>
          <w:sz w:val="20"/>
          <w:szCs w:val="20"/>
        </w:rPr>
        <w:t xml:space="preserve">provide the grounds for a </w:t>
      </w:r>
      <w:r w:rsidR="00BF3049" w:rsidRPr="00C837DD">
        <w:rPr>
          <w:sz w:val="20"/>
          <w:szCs w:val="20"/>
        </w:rPr>
        <w:t xml:space="preserve">judicial </w:t>
      </w:r>
      <w:r w:rsidRPr="00C837DD">
        <w:rPr>
          <w:sz w:val="20"/>
          <w:szCs w:val="20"/>
        </w:rPr>
        <w:t xml:space="preserve">decision. </w:t>
      </w:r>
      <w:r w:rsidR="00350726" w:rsidRPr="00C837DD">
        <w:rPr>
          <w:sz w:val="20"/>
          <w:szCs w:val="20"/>
        </w:rPr>
        <w:t>As</w:t>
      </w:r>
      <w:r w:rsidR="00126E25" w:rsidRPr="00C837DD">
        <w:rPr>
          <w:sz w:val="20"/>
          <w:szCs w:val="20"/>
        </w:rPr>
        <w:t xml:space="preserve"> observed </w:t>
      </w:r>
      <w:r w:rsidRPr="00C837DD">
        <w:rPr>
          <w:sz w:val="20"/>
          <w:szCs w:val="20"/>
        </w:rPr>
        <w:t>in Brazil and other States Part</w:t>
      </w:r>
      <w:r w:rsidR="00102554" w:rsidRPr="00C837DD">
        <w:rPr>
          <w:sz w:val="20"/>
          <w:szCs w:val="20"/>
        </w:rPr>
        <w:t xml:space="preserve">ies to </w:t>
      </w:r>
      <w:r w:rsidRPr="00C837DD">
        <w:rPr>
          <w:sz w:val="20"/>
          <w:szCs w:val="20"/>
        </w:rPr>
        <w:t xml:space="preserve">the Convention, the </w:t>
      </w:r>
      <w:r w:rsidR="00BF3049" w:rsidRPr="00C837DD">
        <w:rPr>
          <w:sz w:val="20"/>
          <w:szCs w:val="20"/>
        </w:rPr>
        <w:t xml:space="preserve">final </w:t>
      </w:r>
      <w:r w:rsidRPr="00C837DD">
        <w:rPr>
          <w:sz w:val="20"/>
          <w:szCs w:val="20"/>
        </w:rPr>
        <w:t xml:space="preserve">decision </w:t>
      </w:r>
      <w:r w:rsidR="00350726" w:rsidRPr="00C837DD">
        <w:rPr>
          <w:sz w:val="20"/>
          <w:szCs w:val="20"/>
        </w:rPr>
        <w:t xml:space="preserve">of the legislative chamber involves </w:t>
      </w:r>
      <w:r w:rsidR="00EB1469">
        <w:rPr>
          <w:sz w:val="20"/>
          <w:szCs w:val="20"/>
        </w:rPr>
        <w:t>a</w:t>
      </w:r>
      <w:r w:rsidR="00350726" w:rsidRPr="00C837DD">
        <w:rPr>
          <w:sz w:val="20"/>
          <w:szCs w:val="20"/>
        </w:rPr>
        <w:t xml:space="preserve"> vote on </w:t>
      </w:r>
      <w:r w:rsidRPr="00C837DD">
        <w:rPr>
          <w:sz w:val="20"/>
          <w:szCs w:val="20"/>
        </w:rPr>
        <w:t xml:space="preserve">a </w:t>
      </w:r>
      <w:r w:rsidR="00126E25" w:rsidRPr="00C837DD">
        <w:rPr>
          <w:sz w:val="20"/>
          <w:szCs w:val="20"/>
        </w:rPr>
        <w:t xml:space="preserve">written </w:t>
      </w:r>
      <w:r w:rsidRPr="00C837DD">
        <w:rPr>
          <w:sz w:val="20"/>
          <w:szCs w:val="20"/>
        </w:rPr>
        <w:t xml:space="preserve">opinion or report of a </w:t>
      </w:r>
      <w:r w:rsidR="00126E25" w:rsidRPr="00C837DD">
        <w:rPr>
          <w:sz w:val="20"/>
          <w:szCs w:val="20"/>
        </w:rPr>
        <w:t xml:space="preserve">technical </w:t>
      </w:r>
      <w:r w:rsidRPr="00C837DD">
        <w:rPr>
          <w:sz w:val="20"/>
          <w:szCs w:val="20"/>
        </w:rPr>
        <w:t>co</w:t>
      </w:r>
      <w:r w:rsidR="00126E25" w:rsidRPr="00C837DD">
        <w:rPr>
          <w:sz w:val="20"/>
          <w:szCs w:val="20"/>
        </w:rPr>
        <w:t>m</w:t>
      </w:r>
      <w:r w:rsidRPr="00C837DD">
        <w:rPr>
          <w:sz w:val="20"/>
          <w:szCs w:val="20"/>
        </w:rPr>
        <w:t>mi</w:t>
      </w:r>
      <w:r w:rsidR="00350726" w:rsidRPr="00C837DD">
        <w:rPr>
          <w:sz w:val="20"/>
          <w:szCs w:val="20"/>
        </w:rPr>
        <w:t xml:space="preserve">ttee </w:t>
      </w:r>
      <w:r w:rsidR="00126E25" w:rsidRPr="00C837DD">
        <w:rPr>
          <w:sz w:val="20"/>
          <w:szCs w:val="20"/>
        </w:rPr>
        <w:t xml:space="preserve">of </w:t>
      </w:r>
      <w:r w:rsidR="00350726" w:rsidRPr="00C837DD">
        <w:rPr>
          <w:sz w:val="20"/>
          <w:szCs w:val="20"/>
        </w:rPr>
        <w:t>that c</w:t>
      </w:r>
      <w:r w:rsidRPr="00C837DD">
        <w:rPr>
          <w:sz w:val="20"/>
          <w:szCs w:val="20"/>
        </w:rPr>
        <w:t xml:space="preserve">hamber on the request </w:t>
      </w:r>
      <w:r w:rsidR="003F32F1" w:rsidRPr="00C837DD">
        <w:rPr>
          <w:sz w:val="20"/>
          <w:szCs w:val="20"/>
        </w:rPr>
        <w:t xml:space="preserve">for a waiver of </w:t>
      </w:r>
      <w:r w:rsidRPr="00C837DD">
        <w:rPr>
          <w:sz w:val="20"/>
          <w:szCs w:val="20"/>
        </w:rPr>
        <w:t xml:space="preserve">parliamentary immunity. </w:t>
      </w:r>
      <w:r w:rsidR="00126E25" w:rsidRPr="00C837DD">
        <w:rPr>
          <w:sz w:val="20"/>
          <w:szCs w:val="20"/>
        </w:rPr>
        <w:t>Consequently</w:t>
      </w:r>
      <w:r w:rsidRPr="00C837DD">
        <w:rPr>
          <w:sz w:val="20"/>
          <w:szCs w:val="20"/>
        </w:rPr>
        <w:t xml:space="preserve">, the </w:t>
      </w:r>
      <w:r w:rsidR="00126E25" w:rsidRPr="00C837DD">
        <w:rPr>
          <w:sz w:val="20"/>
          <w:szCs w:val="20"/>
        </w:rPr>
        <w:t xml:space="preserve">technical </w:t>
      </w:r>
      <w:r w:rsidRPr="00C837DD">
        <w:rPr>
          <w:sz w:val="20"/>
          <w:szCs w:val="20"/>
        </w:rPr>
        <w:t xml:space="preserve">report </w:t>
      </w:r>
      <w:r w:rsidR="00350726" w:rsidRPr="00C837DD">
        <w:rPr>
          <w:sz w:val="20"/>
          <w:szCs w:val="20"/>
        </w:rPr>
        <w:t xml:space="preserve">must </w:t>
      </w:r>
      <w:r w:rsidR="00126E25" w:rsidRPr="00C837DD">
        <w:rPr>
          <w:sz w:val="20"/>
          <w:szCs w:val="20"/>
        </w:rPr>
        <w:t xml:space="preserve">contain the </w:t>
      </w:r>
      <w:r w:rsidR="00350726" w:rsidRPr="00C837DD">
        <w:rPr>
          <w:sz w:val="20"/>
          <w:szCs w:val="20"/>
        </w:rPr>
        <w:t xml:space="preserve">reasons </w:t>
      </w:r>
      <w:r w:rsidR="00126E25" w:rsidRPr="00C837DD">
        <w:rPr>
          <w:sz w:val="20"/>
          <w:szCs w:val="20"/>
        </w:rPr>
        <w:t>for the decision adopted.</w:t>
      </w:r>
      <w:r w:rsidRPr="00C837DD">
        <w:rPr>
          <w:rStyle w:val="Refdenotaalpie"/>
          <w:sz w:val="20"/>
          <w:szCs w:val="20"/>
        </w:rPr>
        <w:footnoteReference w:id="209"/>
      </w:r>
      <w:r w:rsidRPr="00C837DD">
        <w:rPr>
          <w:sz w:val="20"/>
          <w:szCs w:val="20"/>
        </w:rPr>
        <w:t xml:space="preserve"> </w:t>
      </w:r>
    </w:p>
    <w:p w14:paraId="71FE11DD" w14:textId="77777777" w:rsidR="00F85D5F" w:rsidRPr="00C837DD" w:rsidRDefault="00F85D5F" w:rsidP="00F85D5F">
      <w:pPr>
        <w:tabs>
          <w:tab w:val="left" w:pos="142"/>
        </w:tabs>
        <w:rPr>
          <w:sz w:val="20"/>
          <w:szCs w:val="20"/>
        </w:rPr>
      </w:pPr>
    </w:p>
    <w:p w14:paraId="3B003F93" w14:textId="1B85D871" w:rsidR="00F85D5F" w:rsidRPr="00C837DD" w:rsidRDefault="00BF3049" w:rsidP="00587574">
      <w:pPr>
        <w:pStyle w:val="Prrafodelista"/>
        <w:numPr>
          <w:ilvl w:val="0"/>
          <w:numId w:val="6"/>
        </w:numPr>
        <w:tabs>
          <w:tab w:val="left" w:pos="142"/>
        </w:tabs>
        <w:ind w:left="0" w:firstLine="0"/>
        <w:rPr>
          <w:sz w:val="20"/>
          <w:szCs w:val="20"/>
        </w:rPr>
      </w:pPr>
      <w:r w:rsidRPr="00C837DD">
        <w:rPr>
          <w:sz w:val="20"/>
          <w:szCs w:val="20"/>
        </w:rPr>
        <w:t>In view of the foregoing</w:t>
      </w:r>
      <w:r w:rsidR="00F85D5F" w:rsidRPr="00C837DD">
        <w:rPr>
          <w:sz w:val="20"/>
          <w:szCs w:val="20"/>
        </w:rPr>
        <w:t xml:space="preserve">, the Court considers that the decision on the application or </w:t>
      </w:r>
      <w:r w:rsidR="00EB1469">
        <w:rPr>
          <w:sz w:val="20"/>
          <w:szCs w:val="20"/>
        </w:rPr>
        <w:t xml:space="preserve">waiver </w:t>
      </w:r>
      <w:r w:rsidR="00F85D5F" w:rsidRPr="00C837DD">
        <w:rPr>
          <w:sz w:val="20"/>
          <w:szCs w:val="20"/>
        </w:rPr>
        <w:t xml:space="preserve">of parliamentary </w:t>
      </w:r>
      <w:r w:rsidR="00F0692A" w:rsidRPr="00C837DD">
        <w:rPr>
          <w:sz w:val="20"/>
          <w:szCs w:val="20"/>
        </w:rPr>
        <w:t xml:space="preserve">procedural </w:t>
      </w:r>
      <w:r w:rsidR="00102554" w:rsidRPr="00C837DD">
        <w:rPr>
          <w:sz w:val="20"/>
          <w:szCs w:val="20"/>
        </w:rPr>
        <w:t xml:space="preserve">immunity by the </w:t>
      </w:r>
      <w:r w:rsidR="00C51835" w:rsidRPr="00C837DD">
        <w:rPr>
          <w:sz w:val="20"/>
          <w:szCs w:val="20"/>
        </w:rPr>
        <w:t>parliamentar</w:t>
      </w:r>
      <w:r w:rsidR="00102554" w:rsidRPr="00C837DD">
        <w:rPr>
          <w:sz w:val="20"/>
          <w:szCs w:val="20"/>
        </w:rPr>
        <w:t>y body</w:t>
      </w:r>
      <w:r w:rsidR="00F85D5F" w:rsidRPr="00C837DD">
        <w:rPr>
          <w:sz w:val="20"/>
          <w:szCs w:val="20"/>
        </w:rPr>
        <w:t>, in a</w:t>
      </w:r>
      <w:r w:rsidRPr="00C837DD">
        <w:rPr>
          <w:sz w:val="20"/>
          <w:szCs w:val="20"/>
        </w:rPr>
        <w:t xml:space="preserve"> specific</w:t>
      </w:r>
      <w:r w:rsidR="00F85D5F" w:rsidRPr="00C837DD">
        <w:rPr>
          <w:sz w:val="20"/>
          <w:szCs w:val="20"/>
        </w:rPr>
        <w:t xml:space="preserve"> case, </w:t>
      </w:r>
      <w:r w:rsidR="00F0692A" w:rsidRPr="00C837DD">
        <w:rPr>
          <w:sz w:val="20"/>
          <w:szCs w:val="20"/>
        </w:rPr>
        <w:t>must</w:t>
      </w:r>
      <w:r w:rsidR="00F85D5F" w:rsidRPr="00C837DD">
        <w:rPr>
          <w:sz w:val="20"/>
          <w:szCs w:val="20"/>
        </w:rPr>
        <w:t xml:space="preserve">: i) </w:t>
      </w:r>
      <w:r w:rsidR="00126E25" w:rsidRPr="00C837DD">
        <w:rPr>
          <w:sz w:val="20"/>
          <w:szCs w:val="20"/>
        </w:rPr>
        <w:t xml:space="preserve">follow </w:t>
      </w:r>
      <w:r w:rsidR="00F85D5F" w:rsidRPr="00C837DD">
        <w:rPr>
          <w:sz w:val="20"/>
          <w:szCs w:val="20"/>
        </w:rPr>
        <w:t>a</w:t>
      </w:r>
      <w:r w:rsidR="008D0EA4" w:rsidRPr="00C837DD">
        <w:rPr>
          <w:sz w:val="20"/>
          <w:szCs w:val="20"/>
        </w:rPr>
        <w:t>n expeditious</w:t>
      </w:r>
      <w:r w:rsidR="003F32F1" w:rsidRPr="00C837DD">
        <w:rPr>
          <w:sz w:val="20"/>
          <w:szCs w:val="20"/>
        </w:rPr>
        <w:t xml:space="preserve"> </w:t>
      </w:r>
      <w:r w:rsidRPr="00C837DD">
        <w:rPr>
          <w:sz w:val="20"/>
          <w:szCs w:val="20"/>
        </w:rPr>
        <w:t>pro</w:t>
      </w:r>
      <w:r w:rsidR="00FD4B42" w:rsidRPr="00C837DD">
        <w:rPr>
          <w:sz w:val="20"/>
          <w:szCs w:val="20"/>
        </w:rPr>
        <w:t>cedure</w:t>
      </w:r>
      <w:r w:rsidR="00F85D5F" w:rsidRPr="00C837DD">
        <w:rPr>
          <w:sz w:val="20"/>
          <w:szCs w:val="20"/>
        </w:rPr>
        <w:t>, p</w:t>
      </w:r>
      <w:r w:rsidR="00126E25" w:rsidRPr="00C837DD">
        <w:rPr>
          <w:sz w:val="20"/>
          <w:szCs w:val="20"/>
        </w:rPr>
        <w:t>r</w:t>
      </w:r>
      <w:r w:rsidRPr="00C837DD">
        <w:rPr>
          <w:sz w:val="20"/>
          <w:szCs w:val="20"/>
        </w:rPr>
        <w:t xml:space="preserve">ovided for </w:t>
      </w:r>
      <w:r w:rsidR="00B05916" w:rsidRPr="00C837DD">
        <w:rPr>
          <w:sz w:val="20"/>
          <w:szCs w:val="20"/>
        </w:rPr>
        <w:t>by</w:t>
      </w:r>
      <w:r w:rsidR="00126E25" w:rsidRPr="00C837DD">
        <w:rPr>
          <w:sz w:val="20"/>
          <w:szCs w:val="20"/>
        </w:rPr>
        <w:t xml:space="preserve"> law or in the r</w:t>
      </w:r>
      <w:r w:rsidR="00F85D5F" w:rsidRPr="00C837DD">
        <w:rPr>
          <w:sz w:val="20"/>
          <w:szCs w:val="20"/>
        </w:rPr>
        <w:t xml:space="preserve">ules </w:t>
      </w:r>
      <w:r w:rsidR="00126E25" w:rsidRPr="00C837DD">
        <w:rPr>
          <w:sz w:val="20"/>
          <w:szCs w:val="20"/>
        </w:rPr>
        <w:t xml:space="preserve">of </w:t>
      </w:r>
      <w:r w:rsidR="00B05916" w:rsidRPr="00C837DD">
        <w:rPr>
          <w:sz w:val="20"/>
          <w:szCs w:val="20"/>
        </w:rPr>
        <w:t xml:space="preserve">procedure of </w:t>
      </w:r>
      <w:r w:rsidR="00126E25" w:rsidRPr="00C837DD">
        <w:rPr>
          <w:sz w:val="20"/>
          <w:szCs w:val="20"/>
        </w:rPr>
        <w:t xml:space="preserve">the </w:t>
      </w:r>
      <w:r w:rsidR="00102554" w:rsidRPr="00C837DD">
        <w:rPr>
          <w:sz w:val="20"/>
          <w:szCs w:val="20"/>
        </w:rPr>
        <w:t xml:space="preserve">legislative body, </w:t>
      </w:r>
      <w:r w:rsidR="00EB1469">
        <w:rPr>
          <w:sz w:val="20"/>
          <w:szCs w:val="20"/>
        </w:rPr>
        <w:t xml:space="preserve">with </w:t>
      </w:r>
      <w:r w:rsidR="00F85D5F" w:rsidRPr="00C837DD">
        <w:rPr>
          <w:sz w:val="20"/>
          <w:szCs w:val="20"/>
        </w:rPr>
        <w:t>cl</w:t>
      </w:r>
      <w:r w:rsidR="00102554" w:rsidRPr="00C837DD">
        <w:rPr>
          <w:sz w:val="20"/>
          <w:szCs w:val="20"/>
        </w:rPr>
        <w:t xml:space="preserve">ear rules </w:t>
      </w:r>
      <w:r w:rsidR="00F85D5F" w:rsidRPr="00C837DD">
        <w:rPr>
          <w:sz w:val="20"/>
          <w:szCs w:val="20"/>
        </w:rPr>
        <w:t>and respe</w:t>
      </w:r>
      <w:r w:rsidR="00102554" w:rsidRPr="00C837DD">
        <w:rPr>
          <w:sz w:val="20"/>
          <w:szCs w:val="20"/>
        </w:rPr>
        <w:t>ct</w:t>
      </w:r>
      <w:r w:rsidR="00EB1469">
        <w:rPr>
          <w:sz w:val="20"/>
          <w:szCs w:val="20"/>
        </w:rPr>
        <w:t>ing</w:t>
      </w:r>
      <w:r w:rsidR="00B05916" w:rsidRPr="00C837DD">
        <w:rPr>
          <w:sz w:val="20"/>
          <w:szCs w:val="20"/>
        </w:rPr>
        <w:t xml:space="preserve"> </w:t>
      </w:r>
      <w:r w:rsidR="00F85D5F" w:rsidRPr="00C837DD">
        <w:rPr>
          <w:sz w:val="20"/>
          <w:szCs w:val="20"/>
        </w:rPr>
        <w:t xml:space="preserve">the guarantees </w:t>
      </w:r>
      <w:r w:rsidR="00102554" w:rsidRPr="00C837DD">
        <w:rPr>
          <w:sz w:val="20"/>
          <w:szCs w:val="20"/>
        </w:rPr>
        <w:t>of due process</w:t>
      </w:r>
      <w:r w:rsidR="00F85D5F" w:rsidRPr="00C837DD">
        <w:rPr>
          <w:sz w:val="20"/>
          <w:szCs w:val="20"/>
        </w:rPr>
        <w:t xml:space="preserve">; ii) </w:t>
      </w:r>
      <w:r w:rsidR="00B05916" w:rsidRPr="00C837DD">
        <w:rPr>
          <w:sz w:val="20"/>
          <w:szCs w:val="20"/>
        </w:rPr>
        <w:t xml:space="preserve">include </w:t>
      </w:r>
      <w:r w:rsidR="00F85D5F" w:rsidRPr="00C837DD">
        <w:rPr>
          <w:sz w:val="20"/>
          <w:szCs w:val="20"/>
        </w:rPr>
        <w:t xml:space="preserve">a </w:t>
      </w:r>
      <w:r w:rsidR="00126E25" w:rsidRPr="00C837DD">
        <w:rPr>
          <w:sz w:val="20"/>
          <w:szCs w:val="20"/>
        </w:rPr>
        <w:t>strict</w:t>
      </w:r>
      <w:r w:rsidR="00F85D5F" w:rsidRPr="00C837DD">
        <w:rPr>
          <w:sz w:val="20"/>
          <w:szCs w:val="20"/>
        </w:rPr>
        <w:t xml:space="preserve"> proportionali</w:t>
      </w:r>
      <w:r w:rsidR="00102554" w:rsidRPr="00C837DD">
        <w:rPr>
          <w:sz w:val="20"/>
          <w:szCs w:val="20"/>
        </w:rPr>
        <w:t>ty</w:t>
      </w:r>
      <w:r w:rsidR="00A0706C" w:rsidRPr="00C837DD">
        <w:rPr>
          <w:sz w:val="20"/>
          <w:szCs w:val="20"/>
        </w:rPr>
        <w:t xml:space="preserve"> test</w:t>
      </w:r>
      <w:r w:rsidR="00F85D5F" w:rsidRPr="00C837DD">
        <w:rPr>
          <w:sz w:val="20"/>
          <w:szCs w:val="20"/>
        </w:rPr>
        <w:t xml:space="preserve">, </w:t>
      </w:r>
      <w:r w:rsidR="00A0706C" w:rsidRPr="00C837DD">
        <w:rPr>
          <w:sz w:val="20"/>
          <w:szCs w:val="20"/>
        </w:rPr>
        <w:t>whereby the accusation made against the parliamentarian must be analyzed tak</w:t>
      </w:r>
      <w:r w:rsidR="00EB1469">
        <w:rPr>
          <w:sz w:val="20"/>
          <w:szCs w:val="20"/>
        </w:rPr>
        <w:t>ing</w:t>
      </w:r>
      <w:r w:rsidR="00A0706C" w:rsidRPr="00C837DD">
        <w:rPr>
          <w:sz w:val="20"/>
          <w:szCs w:val="20"/>
        </w:rPr>
        <w:t xml:space="preserve"> into account the impact on the right of access to justice of the persons who may be affected and the consequences of preventing the prosecution of a criminal act</w:t>
      </w:r>
      <w:r w:rsidR="00F85D5F" w:rsidRPr="00C837DD">
        <w:rPr>
          <w:sz w:val="20"/>
          <w:szCs w:val="20"/>
        </w:rPr>
        <w:t xml:space="preserve">, and iii) </w:t>
      </w:r>
      <w:r w:rsidR="00A0706C" w:rsidRPr="00C837DD">
        <w:rPr>
          <w:sz w:val="20"/>
          <w:szCs w:val="20"/>
        </w:rPr>
        <w:t xml:space="preserve">be substantiated </w:t>
      </w:r>
      <w:r w:rsidR="008D0EA4" w:rsidRPr="00C837DD">
        <w:rPr>
          <w:sz w:val="20"/>
          <w:szCs w:val="20"/>
        </w:rPr>
        <w:t xml:space="preserve">and have </w:t>
      </w:r>
      <w:r w:rsidR="00A0706C" w:rsidRPr="00C837DD">
        <w:rPr>
          <w:sz w:val="20"/>
          <w:szCs w:val="20"/>
        </w:rPr>
        <w:t xml:space="preserve">reasons </w:t>
      </w:r>
      <w:r w:rsidR="001E3A7D" w:rsidRPr="00C837DD">
        <w:rPr>
          <w:sz w:val="20"/>
          <w:szCs w:val="20"/>
        </w:rPr>
        <w:t>linked to</w:t>
      </w:r>
      <w:r w:rsidR="00F85D5F" w:rsidRPr="00C837DD">
        <w:rPr>
          <w:sz w:val="20"/>
          <w:szCs w:val="20"/>
        </w:rPr>
        <w:t xml:space="preserve"> the identification and justification of the existence or no</w:t>
      </w:r>
      <w:r w:rsidRPr="00C837DD">
        <w:rPr>
          <w:sz w:val="20"/>
          <w:szCs w:val="20"/>
        </w:rPr>
        <w:t>t</w:t>
      </w:r>
      <w:r w:rsidR="00F85D5F" w:rsidRPr="00C837DD">
        <w:rPr>
          <w:sz w:val="20"/>
          <w:szCs w:val="20"/>
        </w:rPr>
        <w:t xml:space="preserve"> of a </w:t>
      </w:r>
      <w:r w:rsidR="00F85D5F" w:rsidRPr="00C837DD">
        <w:rPr>
          <w:i/>
          <w:sz w:val="20"/>
          <w:szCs w:val="20"/>
        </w:rPr>
        <w:t>fumus persecutionis</w:t>
      </w:r>
      <w:r w:rsidR="00F85D5F" w:rsidRPr="00C837DD">
        <w:rPr>
          <w:sz w:val="20"/>
          <w:szCs w:val="20"/>
        </w:rPr>
        <w:t xml:space="preserve"> in the exercise of the </w:t>
      </w:r>
      <w:r w:rsidRPr="00C837DD">
        <w:rPr>
          <w:sz w:val="20"/>
          <w:szCs w:val="20"/>
        </w:rPr>
        <w:t xml:space="preserve">criminal </w:t>
      </w:r>
      <w:r w:rsidR="00F85D5F" w:rsidRPr="00C837DD">
        <w:rPr>
          <w:sz w:val="20"/>
          <w:szCs w:val="20"/>
        </w:rPr>
        <w:t xml:space="preserve">action </w:t>
      </w:r>
      <w:r w:rsidR="00A0706C" w:rsidRPr="00C837DD">
        <w:rPr>
          <w:sz w:val="20"/>
          <w:szCs w:val="20"/>
        </w:rPr>
        <w:t xml:space="preserve">directed </w:t>
      </w:r>
      <w:r w:rsidR="00F85D5F" w:rsidRPr="00C837DD">
        <w:rPr>
          <w:sz w:val="20"/>
          <w:szCs w:val="20"/>
        </w:rPr>
        <w:t xml:space="preserve">against the </w:t>
      </w:r>
      <w:r w:rsidR="00C51835" w:rsidRPr="00C837DD">
        <w:rPr>
          <w:sz w:val="20"/>
          <w:szCs w:val="20"/>
        </w:rPr>
        <w:t>parliamentarian</w:t>
      </w:r>
      <w:r w:rsidR="00F85D5F" w:rsidRPr="00C837DD">
        <w:rPr>
          <w:sz w:val="20"/>
          <w:szCs w:val="20"/>
        </w:rPr>
        <w:t>.</w:t>
      </w:r>
    </w:p>
    <w:p w14:paraId="1393C0A6" w14:textId="77777777" w:rsidR="00F85D5F" w:rsidRPr="00C837DD" w:rsidRDefault="00F85D5F" w:rsidP="00F85D5F">
      <w:pPr>
        <w:pStyle w:val="Prrafodelista"/>
        <w:tabs>
          <w:tab w:val="left" w:pos="142"/>
        </w:tabs>
        <w:ind w:left="0"/>
        <w:rPr>
          <w:sz w:val="20"/>
          <w:szCs w:val="20"/>
        </w:rPr>
      </w:pPr>
    </w:p>
    <w:p w14:paraId="26525668" w14:textId="54695F6C"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the </w:t>
      </w:r>
      <w:r w:rsidR="00A0706C" w:rsidRPr="00C837DD">
        <w:rPr>
          <w:sz w:val="20"/>
          <w:szCs w:val="20"/>
        </w:rPr>
        <w:t xml:space="preserve">instant </w:t>
      </w:r>
      <w:r w:rsidRPr="00C837DD">
        <w:rPr>
          <w:sz w:val="20"/>
          <w:szCs w:val="20"/>
        </w:rPr>
        <w:t>case</w:t>
      </w:r>
      <w:r w:rsidR="002C0242" w:rsidRPr="00C837DD">
        <w:rPr>
          <w:sz w:val="20"/>
          <w:szCs w:val="20"/>
        </w:rPr>
        <w:t xml:space="preserve">, </w:t>
      </w:r>
      <w:r w:rsidR="00A0706C" w:rsidRPr="00C837DD">
        <w:rPr>
          <w:sz w:val="20"/>
          <w:szCs w:val="20"/>
        </w:rPr>
        <w:t xml:space="preserve">according to the </w:t>
      </w:r>
      <w:r w:rsidRPr="00C837DD">
        <w:rPr>
          <w:sz w:val="20"/>
          <w:szCs w:val="20"/>
        </w:rPr>
        <w:t>Brazil</w:t>
      </w:r>
      <w:r w:rsidR="00102554" w:rsidRPr="00C837DD">
        <w:rPr>
          <w:sz w:val="20"/>
          <w:szCs w:val="20"/>
        </w:rPr>
        <w:t>ian</w:t>
      </w:r>
      <w:r w:rsidR="002C0242" w:rsidRPr="00C837DD">
        <w:rPr>
          <w:sz w:val="20"/>
          <w:szCs w:val="20"/>
        </w:rPr>
        <w:t xml:space="preserve"> </w:t>
      </w:r>
      <w:r w:rsidR="001E3A7D" w:rsidRPr="00C837DD">
        <w:rPr>
          <w:sz w:val="20"/>
          <w:szCs w:val="20"/>
        </w:rPr>
        <w:t xml:space="preserve">legislation </w:t>
      </w:r>
      <w:r w:rsidR="00126E25" w:rsidRPr="00C837DD">
        <w:rPr>
          <w:sz w:val="20"/>
          <w:szCs w:val="20"/>
        </w:rPr>
        <w:t xml:space="preserve">in force at the time of the </w:t>
      </w:r>
      <w:r w:rsidR="00A0706C" w:rsidRPr="00C837DD">
        <w:rPr>
          <w:sz w:val="20"/>
          <w:szCs w:val="20"/>
        </w:rPr>
        <w:t xml:space="preserve">facts </w:t>
      </w:r>
      <w:r w:rsidR="00126E25" w:rsidRPr="00C837DD">
        <w:rPr>
          <w:sz w:val="20"/>
          <w:szCs w:val="20"/>
        </w:rPr>
        <w:t>of th</w:t>
      </w:r>
      <w:r w:rsidR="008D0EA4" w:rsidRPr="00C837DD">
        <w:rPr>
          <w:sz w:val="20"/>
          <w:szCs w:val="20"/>
        </w:rPr>
        <w:t>e</w:t>
      </w:r>
      <w:r w:rsidRPr="00C837DD">
        <w:rPr>
          <w:sz w:val="20"/>
          <w:szCs w:val="20"/>
        </w:rPr>
        <w:t xml:space="preserve"> case, </w:t>
      </w:r>
      <w:r w:rsidR="00A0706C" w:rsidRPr="00C837DD">
        <w:rPr>
          <w:sz w:val="20"/>
          <w:szCs w:val="20"/>
        </w:rPr>
        <w:t xml:space="preserve">in order </w:t>
      </w:r>
      <w:r w:rsidR="001E3A7D" w:rsidRPr="00C837DD">
        <w:rPr>
          <w:sz w:val="20"/>
          <w:szCs w:val="20"/>
        </w:rPr>
        <w:t xml:space="preserve">for </w:t>
      </w:r>
      <w:r w:rsidRPr="00C837DD">
        <w:rPr>
          <w:sz w:val="20"/>
          <w:szCs w:val="20"/>
        </w:rPr>
        <w:t xml:space="preserve">a federal or </w:t>
      </w:r>
      <w:r w:rsidR="00126E25" w:rsidRPr="00C837DD">
        <w:rPr>
          <w:sz w:val="20"/>
          <w:szCs w:val="20"/>
        </w:rPr>
        <w:t>state</w:t>
      </w:r>
      <w:r w:rsidR="001E3A7D" w:rsidRPr="00C837DD">
        <w:rPr>
          <w:sz w:val="20"/>
          <w:szCs w:val="20"/>
        </w:rPr>
        <w:t xml:space="preserve"> </w:t>
      </w:r>
      <w:r w:rsidR="00A0706C" w:rsidRPr="00C837DD">
        <w:rPr>
          <w:sz w:val="20"/>
          <w:szCs w:val="20"/>
        </w:rPr>
        <w:t xml:space="preserve">parliamentarian </w:t>
      </w:r>
      <w:r w:rsidR="001E3A7D" w:rsidRPr="00C837DD">
        <w:rPr>
          <w:sz w:val="20"/>
          <w:szCs w:val="20"/>
        </w:rPr>
        <w:t xml:space="preserve">to be </w:t>
      </w:r>
      <w:r w:rsidRPr="00C837DD">
        <w:rPr>
          <w:sz w:val="20"/>
          <w:szCs w:val="20"/>
        </w:rPr>
        <w:t>criminally</w:t>
      </w:r>
      <w:r w:rsidR="001E3A7D" w:rsidRPr="00C837DD">
        <w:rPr>
          <w:sz w:val="20"/>
          <w:szCs w:val="20"/>
        </w:rPr>
        <w:t xml:space="preserve"> prosecuted</w:t>
      </w:r>
      <w:r w:rsidRPr="00C837DD">
        <w:rPr>
          <w:sz w:val="20"/>
          <w:szCs w:val="20"/>
        </w:rPr>
        <w:t xml:space="preserve">, </w:t>
      </w:r>
      <w:r w:rsidR="00A0706C" w:rsidRPr="00C837DD">
        <w:rPr>
          <w:sz w:val="20"/>
          <w:szCs w:val="20"/>
        </w:rPr>
        <w:t>prior authorization was required from the legislative c</w:t>
      </w:r>
      <w:r w:rsidR="006A58E0" w:rsidRPr="00C837DD">
        <w:rPr>
          <w:sz w:val="20"/>
          <w:szCs w:val="20"/>
        </w:rPr>
        <w:t>hamber to</w:t>
      </w:r>
      <w:r w:rsidRPr="00C837DD">
        <w:rPr>
          <w:sz w:val="20"/>
          <w:szCs w:val="20"/>
        </w:rPr>
        <w:t xml:space="preserve"> which </w:t>
      </w:r>
      <w:r w:rsidR="006A58E0" w:rsidRPr="00C837DD">
        <w:rPr>
          <w:sz w:val="20"/>
          <w:szCs w:val="20"/>
        </w:rPr>
        <w:t xml:space="preserve">he </w:t>
      </w:r>
      <w:r w:rsidR="00A0706C" w:rsidRPr="00C837DD">
        <w:rPr>
          <w:sz w:val="20"/>
          <w:szCs w:val="20"/>
        </w:rPr>
        <w:t xml:space="preserve">or she </w:t>
      </w:r>
      <w:r w:rsidR="006A58E0" w:rsidRPr="00C837DD">
        <w:rPr>
          <w:sz w:val="20"/>
          <w:szCs w:val="20"/>
        </w:rPr>
        <w:t xml:space="preserve">belonged </w:t>
      </w:r>
      <w:r w:rsidRPr="00C837DD">
        <w:rPr>
          <w:sz w:val="20"/>
          <w:szCs w:val="20"/>
        </w:rPr>
        <w:t>(</w:t>
      </w:r>
      <w:r w:rsidRPr="00C837DD">
        <w:rPr>
          <w:i/>
          <w:sz w:val="20"/>
          <w:szCs w:val="20"/>
        </w:rPr>
        <w:t>supra</w:t>
      </w:r>
      <w:r w:rsidRPr="00C837DD">
        <w:rPr>
          <w:sz w:val="20"/>
          <w:szCs w:val="20"/>
        </w:rPr>
        <w:t xml:space="preserve"> para. 58). Therefore, the authorization </w:t>
      </w:r>
      <w:r w:rsidR="006A58E0" w:rsidRPr="00C837DD">
        <w:rPr>
          <w:sz w:val="20"/>
          <w:szCs w:val="20"/>
        </w:rPr>
        <w:t xml:space="preserve">of the </w:t>
      </w:r>
      <w:r w:rsidR="00BF6F80" w:rsidRPr="00C837DD">
        <w:rPr>
          <w:sz w:val="20"/>
          <w:szCs w:val="20"/>
        </w:rPr>
        <w:t xml:space="preserve">corresponding </w:t>
      </w:r>
      <w:r w:rsidR="006A58E0" w:rsidRPr="00C837DD">
        <w:rPr>
          <w:sz w:val="20"/>
          <w:szCs w:val="20"/>
        </w:rPr>
        <w:t xml:space="preserve">parliamentary body </w:t>
      </w:r>
      <w:r w:rsidR="00BF6F80" w:rsidRPr="00C837DD">
        <w:rPr>
          <w:sz w:val="20"/>
          <w:szCs w:val="20"/>
        </w:rPr>
        <w:t xml:space="preserve">was </w:t>
      </w:r>
      <w:r w:rsidR="006A58E0" w:rsidRPr="00C837DD">
        <w:rPr>
          <w:sz w:val="20"/>
          <w:szCs w:val="20"/>
        </w:rPr>
        <w:t xml:space="preserve">a </w:t>
      </w:r>
      <w:r w:rsidR="00BF6F80" w:rsidRPr="00C837DD">
        <w:rPr>
          <w:sz w:val="20"/>
          <w:szCs w:val="20"/>
        </w:rPr>
        <w:t xml:space="preserve">pre-requisite for any criminal </w:t>
      </w:r>
      <w:r w:rsidRPr="00C837DD">
        <w:rPr>
          <w:sz w:val="20"/>
          <w:szCs w:val="20"/>
        </w:rPr>
        <w:t xml:space="preserve">action </w:t>
      </w:r>
      <w:r w:rsidR="006717F9" w:rsidRPr="00C837DD">
        <w:rPr>
          <w:sz w:val="20"/>
          <w:szCs w:val="20"/>
        </w:rPr>
        <w:t xml:space="preserve">to </w:t>
      </w:r>
      <w:r w:rsidR="00BF6F80" w:rsidRPr="00C837DD">
        <w:rPr>
          <w:sz w:val="20"/>
          <w:szCs w:val="20"/>
        </w:rPr>
        <w:t>b</w:t>
      </w:r>
      <w:r w:rsidR="006717F9" w:rsidRPr="00C837DD">
        <w:rPr>
          <w:sz w:val="20"/>
          <w:szCs w:val="20"/>
        </w:rPr>
        <w:t>e</w:t>
      </w:r>
      <w:r w:rsidR="00BF6F80" w:rsidRPr="00C837DD">
        <w:rPr>
          <w:sz w:val="20"/>
          <w:szCs w:val="20"/>
        </w:rPr>
        <w:t xml:space="preserve"> brought </w:t>
      </w:r>
      <w:r w:rsidRPr="00C837DD">
        <w:rPr>
          <w:sz w:val="20"/>
          <w:szCs w:val="20"/>
        </w:rPr>
        <w:t xml:space="preserve">against </w:t>
      </w:r>
      <w:r w:rsidR="00126E25" w:rsidRPr="00C837DD">
        <w:rPr>
          <w:sz w:val="20"/>
          <w:szCs w:val="20"/>
        </w:rPr>
        <w:t xml:space="preserve">one of its </w:t>
      </w:r>
      <w:r w:rsidRPr="00C837DD">
        <w:rPr>
          <w:sz w:val="20"/>
          <w:szCs w:val="20"/>
        </w:rPr>
        <w:t>members.</w:t>
      </w:r>
    </w:p>
    <w:p w14:paraId="3FC98CCD" w14:textId="77777777" w:rsidR="00F85D5F" w:rsidRPr="00C837DD" w:rsidRDefault="00F85D5F" w:rsidP="00F85D5F">
      <w:pPr>
        <w:pStyle w:val="Prrafodelista"/>
        <w:tabs>
          <w:tab w:val="left" w:pos="142"/>
        </w:tabs>
        <w:ind w:left="0"/>
        <w:rPr>
          <w:sz w:val="20"/>
          <w:szCs w:val="20"/>
        </w:rPr>
      </w:pPr>
    </w:p>
    <w:p w14:paraId="322B7714" w14:textId="207030E0" w:rsidR="00F85D5F" w:rsidRPr="00C837DD" w:rsidRDefault="006A58E0" w:rsidP="00F85D5F">
      <w:pPr>
        <w:pStyle w:val="Prrafodelista"/>
        <w:numPr>
          <w:ilvl w:val="0"/>
          <w:numId w:val="6"/>
        </w:numPr>
        <w:tabs>
          <w:tab w:val="left" w:pos="142"/>
        </w:tabs>
        <w:ind w:left="0" w:firstLine="0"/>
        <w:rPr>
          <w:sz w:val="20"/>
          <w:szCs w:val="20"/>
        </w:rPr>
      </w:pPr>
      <w:r w:rsidRPr="00C837DD">
        <w:rPr>
          <w:sz w:val="20"/>
          <w:szCs w:val="20"/>
        </w:rPr>
        <w:t>In this regard</w:t>
      </w:r>
      <w:r w:rsidR="00F85D5F" w:rsidRPr="00C837DD">
        <w:rPr>
          <w:sz w:val="20"/>
          <w:szCs w:val="20"/>
        </w:rPr>
        <w:t xml:space="preserve">, the Court </w:t>
      </w:r>
      <w:r w:rsidRPr="00C837DD">
        <w:rPr>
          <w:sz w:val="20"/>
          <w:szCs w:val="20"/>
        </w:rPr>
        <w:t xml:space="preserve">agrees with the view expressed </w:t>
      </w:r>
      <w:r w:rsidR="00F85D5F" w:rsidRPr="00C837DD">
        <w:rPr>
          <w:sz w:val="20"/>
          <w:szCs w:val="20"/>
        </w:rPr>
        <w:t xml:space="preserve">by the </w:t>
      </w:r>
      <w:r w:rsidR="00627A7F" w:rsidRPr="00C837DD">
        <w:rPr>
          <w:sz w:val="20"/>
          <w:szCs w:val="20"/>
        </w:rPr>
        <w:t xml:space="preserve">expert witnesses </w:t>
      </w:r>
      <w:r w:rsidR="00F85D5F" w:rsidRPr="00C837DD">
        <w:rPr>
          <w:sz w:val="20"/>
          <w:szCs w:val="20"/>
        </w:rPr>
        <w:t xml:space="preserve">in this </w:t>
      </w:r>
      <w:r w:rsidR="006717F9" w:rsidRPr="00C837DD">
        <w:rPr>
          <w:sz w:val="20"/>
          <w:szCs w:val="20"/>
        </w:rPr>
        <w:t>case</w:t>
      </w:r>
      <w:r w:rsidRPr="00C837DD">
        <w:rPr>
          <w:sz w:val="20"/>
          <w:szCs w:val="20"/>
        </w:rPr>
        <w:t xml:space="preserve"> </w:t>
      </w:r>
      <w:r w:rsidR="00F85D5F" w:rsidRPr="00C837DD">
        <w:rPr>
          <w:sz w:val="20"/>
          <w:szCs w:val="20"/>
        </w:rPr>
        <w:t xml:space="preserve">that the </w:t>
      </w:r>
      <w:r w:rsidR="008D3919" w:rsidRPr="00C837DD">
        <w:rPr>
          <w:sz w:val="20"/>
          <w:szCs w:val="20"/>
        </w:rPr>
        <w:t xml:space="preserve">legal framework at the time </w:t>
      </w:r>
      <w:r w:rsidR="00F85D5F" w:rsidRPr="00C837DD">
        <w:rPr>
          <w:sz w:val="20"/>
          <w:szCs w:val="20"/>
        </w:rPr>
        <w:t xml:space="preserve">of the </w:t>
      </w:r>
      <w:r w:rsidR="006717F9" w:rsidRPr="00C837DD">
        <w:rPr>
          <w:sz w:val="20"/>
          <w:szCs w:val="20"/>
        </w:rPr>
        <w:t xml:space="preserve">facts </w:t>
      </w:r>
      <w:r w:rsidR="00627A7F" w:rsidRPr="00C837DD">
        <w:rPr>
          <w:sz w:val="20"/>
          <w:szCs w:val="20"/>
        </w:rPr>
        <w:t xml:space="preserve">made </w:t>
      </w:r>
      <w:r w:rsidR="00F85D5F" w:rsidRPr="00C837DD">
        <w:rPr>
          <w:sz w:val="20"/>
          <w:szCs w:val="20"/>
        </w:rPr>
        <w:t>the po</w:t>
      </w:r>
      <w:r w:rsidR="00627A7F" w:rsidRPr="00C837DD">
        <w:rPr>
          <w:sz w:val="20"/>
          <w:szCs w:val="20"/>
        </w:rPr>
        <w:t>s</w:t>
      </w:r>
      <w:r w:rsidR="00F85D5F" w:rsidRPr="00C837DD">
        <w:rPr>
          <w:sz w:val="20"/>
          <w:szCs w:val="20"/>
        </w:rPr>
        <w:t>sibility of l</w:t>
      </w:r>
      <w:r w:rsidR="00627A7F" w:rsidRPr="00C837DD">
        <w:rPr>
          <w:sz w:val="20"/>
          <w:szCs w:val="20"/>
        </w:rPr>
        <w:t xml:space="preserve">ifting </w:t>
      </w:r>
      <w:r w:rsidR="00F85D5F" w:rsidRPr="00C837DD">
        <w:rPr>
          <w:sz w:val="20"/>
          <w:szCs w:val="20"/>
        </w:rPr>
        <w:t>parliamentar</w:t>
      </w:r>
      <w:r w:rsidR="00627A7F" w:rsidRPr="00C837DD">
        <w:rPr>
          <w:sz w:val="20"/>
          <w:szCs w:val="20"/>
        </w:rPr>
        <w:t xml:space="preserve">y immunity </w:t>
      </w:r>
      <w:r w:rsidRPr="00C837DD">
        <w:rPr>
          <w:sz w:val="20"/>
          <w:szCs w:val="20"/>
        </w:rPr>
        <w:t xml:space="preserve">illusory </w:t>
      </w:r>
      <w:r w:rsidR="00627A7F" w:rsidRPr="00C837DD">
        <w:rPr>
          <w:sz w:val="20"/>
          <w:szCs w:val="20"/>
        </w:rPr>
        <w:t xml:space="preserve">and </w:t>
      </w:r>
      <w:r w:rsidR="006717F9" w:rsidRPr="00C837DD">
        <w:rPr>
          <w:sz w:val="20"/>
          <w:szCs w:val="20"/>
        </w:rPr>
        <w:t xml:space="preserve">allowed for </w:t>
      </w:r>
      <w:r w:rsidR="00A831CC" w:rsidRPr="00C837DD">
        <w:rPr>
          <w:sz w:val="20"/>
          <w:szCs w:val="20"/>
        </w:rPr>
        <w:t>arbitrary</w:t>
      </w:r>
      <w:r w:rsidR="00F85D5F" w:rsidRPr="00C837DD">
        <w:rPr>
          <w:sz w:val="20"/>
          <w:szCs w:val="20"/>
        </w:rPr>
        <w:t xml:space="preserve"> and </w:t>
      </w:r>
      <w:r w:rsidR="006717F9" w:rsidRPr="00C837DD">
        <w:rPr>
          <w:sz w:val="20"/>
          <w:szCs w:val="20"/>
        </w:rPr>
        <w:t xml:space="preserve">corporatist </w:t>
      </w:r>
      <w:r w:rsidR="008D3919" w:rsidRPr="00C837DD">
        <w:rPr>
          <w:sz w:val="20"/>
          <w:szCs w:val="20"/>
        </w:rPr>
        <w:t xml:space="preserve">decisions </w:t>
      </w:r>
      <w:r w:rsidR="00F85D5F" w:rsidRPr="00C837DD">
        <w:rPr>
          <w:sz w:val="20"/>
          <w:szCs w:val="20"/>
        </w:rPr>
        <w:t xml:space="preserve">by </w:t>
      </w:r>
      <w:r w:rsidR="008D3919" w:rsidRPr="00C837DD">
        <w:rPr>
          <w:sz w:val="20"/>
          <w:szCs w:val="20"/>
        </w:rPr>
        <w:t xml:space="preserve">the </w:t>
      </w:r>
      <w:r w:rsidR="00102554" w:rsidRPr="00C837DD">
        <w:rPr>
          <w:sz w:val="20"/>
          <w:szCs w:val="20"/>
        </w:rPr>
        <w:t>legislative body</w:t>
      </w:r>
      <w:r w:rsidR="00627A7F" w:rsidRPr="00C837DD">
        <w:rPr>
          <w:sz w:val="20"/>
          <w:szCs w:val="20"/>
        </w:rPr>
        <w:t>.</w:t>
      </w:r>
      <w:r w:rsidR="00F85D5F" w:rsidRPr="00C837DD">
        <w:rPr>
          <w:rStyle w:val="Refdenotaalpie"/>
          <w:sz w:val="20"/>
          <w:szCs w:val="20"/>
        </w:rPr>
        <w:footnoteReference w:id="210"/>
      </w:r>
      <w:r w:rsidR="00F85D5F" w:rsidRPr="00C837DD">
        <w:rPr>
          <w:sz w:val="20"/>
          <w:szCs w:val="20"/>
        </w:rPr>
        <w:t xml:space="preserve"> </w:t>
      </w:r>
      <w:r w:rsidR="00627A7F" w:rsidRPr="00C837DD">
        <w:rPr>
          <w:sz w:val="20"/>
          <w:szCs w:val="20"/>
        </w:rPr>
        <w:t xml:space="preserve">According to </w:t>
      </w:r>
      <w:r w:rsidR="00F85D5F" w:rsidRPr="00C837DD">
        <w:rPr>
          <w:sz w:val="20"/>
          <w:szCs w:val="20"/>
          <w:lang w:eastAsia="es-ES"/>
        </w:rPr>
        <w:t xml:space="preserve">the </w:t>
      </w:r>
      <w:r w:rsidR="003665CF" w:rsidRPr="00C837DD">
        <w:rPr>
          <w:sz w:val="20"/>
          <w:szCs w:val="20"/>
          <w:lang w:eastAsia="es-ES"/>
        </w:rPr>
        <w:t>expert</w:t>
      </w:r>
      <w:r w:rsidR="00F85D5F" w:rsidRPr="00C837DD">
        <w:rPr>
          <w:sz w:val="20"/>
          <w:szCs w:val="20"/>
          <w:lang w:eastAsia="es-ES"/>
        </w:rPr>
        <w:t xml:space="preserve"> Melina Fachin, parliamentary immunity </w:t>
      </w:r>
      <w:r w:rsidR="001E3A7D" w:rsidRPr="00C837DD">
        <w:rPr>
          <w:sz w:val="20"/>
          <w:szCs w:val="20"/>
          <w:lang w:eastAsia="es-ES"/>
        </w:rPr>
        <w:t xml:space="preserve">as it </w:t>
      </w:r>
      <w:r w:rsidR="00102554" w:rsidRPr="00C837DD">
        <w:rPr>
          <w:sz w:val="20"/>
          <w:szCs w:val="20"/>
          <w:lang w:eastAsia="es-ES"/>
        </w:rPr>
        <w:t xml:space="preserve">was </w:t>
      </w:r>
      <w:r w:rsidR="00102554" w:rsidRPr="00C837DD">
        <w:rPr>
          <w:sz w:val="20"/>
          <w:szCs w:val="20"/>
          <w:lang w:eastAsia="es-ES"/>
        </w:rPr>
        <w:lastRenderedPageBreak/>
        <w:t xml:space="preserve">regulated at </w:t>
      </w:r>
      <w:r w:rsidR="008D0EA4" w:rsidRPr="00C837DD">
        <w:rPr>
          <w:sz w:val="20"/>
          <w:szCs w:val="20"/>
          <w:lang w:eastAsia="es-ES"/>
        </w:rPr>
        <w:t xml:space="preserve">the </w:t>
      </w:r>
      <w:r w:rsidR="00F85D5F" w:rsidRPr="00C837DD">
        <w:rPr>
          <w:sz w:val="20"/>
          <w:szCs w:val="20"/>
          <w:lang w:eastAsia="es-ES"/>
        </w:rPr>
        <w:t xml:space="preserve">federal </w:t>
      </w:r>
      <w:r w:rsidR="00102554" w:rsidRPr="00C837DD">
        <w:rPr>
          <w:sz w:val="20"/>
          <w:szCs w:val="20"/>
          <w:lang w:eastAsia="es-ES"/>
        </w:rPr>
        <w:t xml:space="preserve">level </w:t>
      </w:r>
      <w:r w:rsidR="001E3A7D" w:rsidRPr="00C837DD">
        <w:rPr>
          <w:sz w:val="20"/>
          <w:szCs w:val="20"/>
          <w:lang w:eastAsia="es-ES"/>
        </w:rPr>
        <w:t>and in the s</w:t>
      </w:r>
      <w:r w:rsidR="00F85D5F" w:rsidRPr="00C837DD">
        <w:rPr>
          <w:sz w:val="20"/>
          <w:szCs w:val="20"/>
          <w:lang w:eastAsia="es-ES"/>
        </w:rPr>
        <w:t xml:space="preserve">tate of Paraíba, </w:t>
      </w:r>
      <w:r w:rsidR="001E3A7D" w:rsidRPr="00C837DD">
        <w:rPr>
          <w:sz w:val="20"/>
          <w:szCs w:val="20"/>
          <w:lang w:eastAsia="es-ES"/>
        </w:rPr>
        <w:t xml:space="preserve">prior to </w:t>
      </w:r>
      <w:r w:rsidR="00F85D5F" w:rsidRPr="00C837DD">
        <w:rPr>
          <w:sz w:val="20"/>
          <w:szCs w:val="20"/>
          <w:lang w:eastAsia="es-ES"/>
        </w:rPr>
        <w:t>EC 35/2001, “impli</w:t>
      </w:r>
      <w:r w:rsidR="00102554" w:rsidRPr="00C837DD">
        <w:rPr>
          <w:sz w:val="20"/>
          <w:szCs w:val="20"/>
          <w:lang w:eastAsia="es-ES"/>
        </w:rPr>
        <w:t xml:space="preserve">ed </w:t>
      </w:r>
      <w:r w:rsidR="00F85D5F" w:rsidRPr="00C837DD">
        <w:rPr>
          <w:sz w:val="20"/>
          <w:szCs w:val="20"/>
          <w:lang w:eastAsia="es-ES"/>
        </w:rPr>
        <w:t>impunity</w:t>
      </w:r>
      <w:r w:rsidR="008D3919" w:rsidRPr="00C837DD">
        <w:rPr>
          <w:sz w:val="20"/>
          <w:szCs w:val="20"/>
          <w:lang w:eastAsia="es-ES"/>
        </w:rPr>
        <w:t>.</w:t>
      </w:r>
      <w:r w:rsidR="00F85D5F" w:rsidRPr="00C837DD">
        <w:rPr>
          <w:sz w:val="20"/>
          <w:szCs w:val="20"/>
          <w:lang w:eastAsia="es-ES"/>
        </w:rPr>
        <w:t>”</w:t>
      </w:r>
      <w:r w:rsidR="00F85D5F" w:rsidRPr="00C837DD">
        <w:rPr>
          <w:sz w:val="20"/>
          <w:szCs w:val="20"/>
          <w:vertAlign w:val="superscript"/>
          <w:lang w:eastAsia="es-ES"/>
        </w:rPr>
        <w:footnoteReference w:id="211"/>
      </w:r>
      <w:r w:rsidR="00F85D5F" w:rsidRPr="00C837DD">
        <w:rPr>
          <w:sz w:val="20"/>
          <w:szCs w:val="20"/>
          <w:lang w:eastAsia="es-ES"/>
        </w:rPr>
        <w:t xml:space="preserve"> </w:t>
      </w:r>
      <w:r w:rsidR="00AE052C">
        <w:rPr>
          <w:sz w:val="20"/>
          <w:szCs w:val="20"/>
          <w:lang w:eastAsia="es-ES"/>
        </w:rPr>
        <w:t>S</w:t>
      </w:r>
      <w:r w:rsidR="006717F9" w:rsidRPr="00C837DD">
        <w:rPr>
          <w:sz w:val="20"/>
          <w:szCs w:val="20"/>
          <w:lang w:eastAsia="es-ES"/>
        </w:rPr>
        <w:t>imilar</w:t>
      </w:r>
      <w:r w:rsidR="00AE052C">
        <w:rPr>
          <w:sz w:val="20"/>
          <w:szCs w:val="20"/>
          <w:lang w:eastAsia="es-ES"/>
        </w:rPr>
        <w:t>ly,</w:t>
      </w:r>
      <w:r w:rsidR="006717F9" w:rsidRPr="00C837DD">
        <w:rPr>
          <w:sz w:val="20"/>
          <w:szCs w:val="20"/>
          <w:lang w:eastAsia="es-ES"/>
        </w:rPr>
        <w:t xml:space="preserve"> </w:t>
      </w:r>
      <w:r w:rsidR="00F85D5F" w:rsidRPr="00C837DD">
        <w:rPr>
          <w:sz w:val="20"/>
          <w:szCs w:val="20"/>
          <w:lang w:eastAsia="es-ES"/>
        </w:rPr>
        <w:t xml:space="preserve">the </w:t>
      </w:r>
      <w:r w:rsidR="008D3919" w:rsidRPr="00C837DD">
        <w:rPr>
          <w:sz w:val="20"/>
          <w:szCs w:val="20"/>
          <w:lang w:eastAsia="es-ES"/>
        </w:rPr>
        <w:t xml:space="preserve">expert witness </w:t>
      </w:r>
      <w:r w:rsidR="00F85D5F" w:rsidRPr="00C837DD">
        <w:rPr>
          <w:sz w:val="20"/>
          <w:szCs w:val="20"/>
          <w:lang w:eastAsia="es-ES"/>
        </w:rPr>
        <w:t xml:space="preserve">Edvaldo Fernandes da Silva </w:t>
      </w:r>
      <w:r w:rsidR="008D3919" w:rsidRPr="00C837DD">
        <w:rPr>
          <w:sz w:val="20"/>
          <w:szCs w:val="20"/>
          <w:lang w:eastAsia="es-ES"/>
        </w:rPr>
        <w:t xml:space="preserve">stated </w:t>
      </w:r>
      <w:r w:rsidR="00F85D5F" w:rsidRPr="00C837DD">
        <w:rPr>
          <w:sz w:val="20"/>
          <w:szCs w:val="20"/>
          <w:lang w:eastAsia="es-ES"/>
        </w:rPr>
        <w:t>that</w:t>
      </w:r>
      <w:r w:rsidR="0097795A" w:rsidRPr="00C837DD">
        <w:rPr>
          <w:sz w:val="20"/>
          <w:szCs w:val="20"/>
          <w:lang w:eastAsia="es-ES"/>
        </w:rPr>
        <w:t>,</w:t>
      </w:r>
      <w:r w:rsidR="00F85D5F" w:rsidRPr="00C837DD">
        <w:rPr>
          <w:sz w:val="20"/>
          <w:szCs w:val="20"/>
          <w:lang w:eastAsia="es-ES"/>
        </w:rPr>
        <w:t xml:space="preserve"> “</w:t>
      </w:r>
      <w:r w:rsidR="006717F9" w:rsidRPr="00C837DD">
        <w:rPr>
          <w:sz w:val="20"/>
          <w:szCs w:val="20"/>
          <w:lang w:eastAsia="es-ES"/>
        </w:rPr>
        <w:t xml:space="preserve">the </w:t>
      </w:r>
      <w:r w:rsidR="00F85D5F" w:rsidRPr="00C837DD">
        <w:rPr>
          <w:sz w:val="20"/>
          <w:szCs w:val="20"/>
          <w:lang w:eastAsia="es-ES"/>
        </w:rPr>
        <w:t>parliamentary immunity d</w:t>
      </w:r>
      <w:r w:rsidR="00102554" w:rsidRPr="00C837DD">
        <w:rPr>
          <w:sz w:val="20"/>
          <w:szCs w:val="20"/>
          <w:lang w:eastAsia="es-ES"/>
        </w:rPr>
        <w:t xml:space="preserve">esigned </w:t>
      </w:r>
      <w:r w:rsidR="00F85D5F" w:rsidRPr="00C837DD">
        <w:rPr>
          <w:sz w:val="20"/>
          <w:szCs w:val="20"/>
          <w:lang w:eastAsia="es-ES"/>
        </w:rPr>
        <w:t xml:space="preserve">in the </w:t>
      </w:r>
      <w:r w:rsidR="006717F9" w:rsidRPr="00C837DD">
        <w:rPr>
          <w:sz w:val="20"/>
          <w:szCs w:val="20"/>
          <w:lang w:eastAsia="es-ES"/>
        </w:rPr>
        <w:t xml:space="preserve">1988 </w:t>
      </w:r>
      <w:r w:rsidR="00F85D5F" w:rsidRPr="00C837DD">
        <w:rPr>
          <w:sz w:val="20"/>
          <w:szCs w:val="20"/>
          <w:lang w:eastAsia="es-ES"/>
        </w:rPr>
        <w:t xml:space="preserve">Constitution </w:t>
      </w:r>
      <w:r w:rsidR="008D3919" w:rsidRPr="00C837DD">
        <w:rPr>
          <w:sz w:val="20"/>
          <w:szCs w:val="20"/>
          <w:lang w:eastAsia="es-ES"/>
        </w:rPr>
        <w:t xml:space="preserve">needed </w:t>
      </w:r>
      <w:r w:rsidR="008743EC" w:rsidRPr="00C837DD">
        <w:rPr>
          <w:sz w:val="20"/>
          <w:szCs w:val="20"/>
          <w:lang w:eastAsia="es-ES"/>
        </w:rPr>
        <w:t xml:space="preserve">to be </w:t>
      </w:r>
      <w:r w:rsidR="008D3919" w:rsidRPr="00C837DD">
        <w:rPr>
          <w:sz w:val="20"/>
          <w:szCs w:val="20"/>
          <w:lang w:eastAsia="es-ES"/>
        </w:rPr>
        <w:t>reform</w:t>
      </w:r>
      <w:r w:rsidR="008743EC" w:rsidRPr="00C837DD">
        <w:rPr>
          <w:sz w:val="20"/>
          <w:szCs w:val="20"/>
          <w:lang w:eastAsia="es-ES"/>
        </w:rPr>
        <w:t>ed</w:t>
      </w:r>
      <w:r w:rsidR="008D3919" w:rsidRPr="00C837DD">
        <w:rPr>
          <w:sz w:val="20"/>
          <w:szCs w:val="20"/>
          <w:lang w:eastAsia="es-ES"/>
        </w:rPr>
        <w:t>,”</w:t>
      </w:r>
      <w:r w:rsidR="00F85D5F" w:rsidRPr="00C837DD">
        <w:rPr>
          <w:sz w:val="20"/>
          <w:szCs w:val="20"/>
          <w:lang w:eastAsia="es-ES"/>
        </w:rPr>
        <w:t xml:space="preserve"> </w:t>
      </w:r>
      <w:r w:rsidR="008D3919" w:rsidRPr="00C837DD">
        <w:rPr>
          <w:sz w:val="20"/>
          <w:szCs w:val="20"/>
          <w:lang w:eastAsia="es-ES"/>
        </w:rPr>
        <w:t xml:space="preserve">since it </w:t>
      </w:r>
      <w:r w:rsidR="00790F96" w:rsidRPr="00C837DD">
        <w:rPr>
          <w:sz w:val="20"/>
          <w:szCs w:val="20"/>
          <w:lang w:eastAsia="es-ES"/>
        </w:rPr>
        <w:t xml:space="preserve">entailed </w:t>
      </w:r>
      <w:r w:rsidR="00F85D5F" w:rsidRPr="00C837DD">
        <w:rPr>
          <w:sz w:val="20"/>
          <w:szCs w:val="20"/>
          <w:lang w:eastAsia="es-ES"/>
        </w:rPr>
        <w:t>ri</w:t>
      </w:r>
      <w:r w:rsidR="00102554" w:rsidRPr="00C837DD">
        <w:rPr>
          <w:sz w:val="20"/>
          <w:szCs w:val="20"/>
          <w:lang w:eastAsia="es-ES"/>
        </w:rPr>
        <w:t xml:space="preserve">sks </w:t>
      </w:r>
      <w:r w:rsidR="00F85D5F" w:rsidRPr="00C837DD">
        <w:rPr>
          <w:sz w:val="20"/>
          <w:szCs w:val="20"/>
          <w:lang w:eastAsia="es-ES"/>
        </w:rPr>
        <w:t>of impunity</w:t>
      </w:r>
      <w:r w:rsidR="00790F96" w:rsidRPr="00C837DD">
        <w:rPr>
          <w:sz w:val="20"/>
          <w:szCs w:val="20"/>
          <w:lang w:eastAsia="es-ES"/>
        </w:rPr>
        <w:t>.</w:t>
      </w:r>
      <w:r w:rsidR="00F85D5F" w:rsidRPr="00C837DD">
        <w:rPr>
          <w:sz w:val="20"/>
          <w:szCs w:val="20"/>
          <w:vertAlign w:val="superscript"/>
          <w:lang w:eastAsia="es-ES"/>
        </w:rPr>
        <w:footnoteReference w:id="212"/>
      </w:r>
      <w:r w:rsidR="00F85D5F" w:rsidRPr="00C837DD">
        <w:rPr>
          <w:sz w:val="20"/>
          <w:szCs w:val="20"/>
          <w:lang w:eastAsia="es-ES"/>
        </w:rPr>
        <w:t xml:space="preserve"> </w:t>
      </w:r>
      <w:r w:rsidR="00AE052C">
        <w:rPr>
          <w:sz w:val="20"/>
          <w:szCs w:val="20"/>
          <w:lang w:eastAsia="es-ES"/>
        </w:rPr>
        <w:t>Moreover</w:t>
      </w:r>
      <w:r w:rsidR="00F85D5F" w:rsidRPr="00C837DD">
        <w:rPr>
          <w:sz w:val="20"/>
          <w:szCs w:val="20"/>
          <w:lang w:eastAsia="es-ES"/>
        </w:rPr>
        <w:t xml:space="preserve">, Brazil </w:t>
      </w:r>
      <w:r w:rsidR="00126E25" w:rsidRPr="00C837DD">
        <w:rPr>
          <w:sz w:val="20"/>
          <w:szCs w:val="20"/>
          <w:lang w:eastAsia="es-ES"/>
        </w:rPr>
        <w:t xml:space="preserve">did not </w:t>
      </w:r>
      <w:r w:rsidR="00790F96" w:rsidRPr="00C837DD">
        <w:rPr>
          <w:sz w:val="20"/>
          <w:szCs w:val="20"/>
          <w:lang w:eastAsia="es-ES"/>
        </w:rPr>
        <w:t xml:space="preserve">dispute </w:t>
      </w:r>
      <w:r w:rsidR="00F85D5F" w:rsidRPr="00C837DD">
        <w:rPr>
          <w:sz w:val="20"/>
          <w:szCs w:val="20"/>
        </w:rPr>
        <w:t xml:space="preserve">the </w:t>
      </w:r>
      <w:r w:rsidR="00790F96" w:rsidRPr="00C837DD">
        <w:rPr>
          <w:sz w:val="20"/>
          <w:szCs w:val="20"/>
        </w:rPr>
        <w:t xml:space="preserve">assertion </w:t>
      </w:r>
      <w:r w:rsidR="00F85D5F" w:rsidRPr="00C837DD">
        <w:rPr>
          <w:sz w:val="20"/>
          <w:szCs w:val="20"/>
        </w:rPr>
        <w:t xml:space="preserve">of the Commission and the representatives that the </w:t>
      </w:r>
      <w:r w:rsidR="00790F96" w:rsidRPr="00C837DD">
        <w:rPr>
          <w:sz w:val="20"/>
          <w:szCs w:val="20"/>
        </w:rPr>
        <w:t xml:space="preserve">federal </w:t>
      </w:r>
      <w:r w:rsidR="00F85D5F" w:rsidRPr="00C837DD">
        <w:rPr>
          <w:sz w:val="20"/>
          <w:szCs w:val="20"/>
        </w:rPr>
        <w:t xml:space="preserve">constitutional </w:t>
      </w:r>
      <w:r w:rsidR="00790F96" w:rsidRPr="00C837DD">
        <w:rPr>
          <w:sz w:val="20"/>
          <w:szCs w:val="20"/>
        </w:rPr>
        <w:t xml:space="preserve">provision in force </w:t>
      </w:r>
      <w:r w:rsidR="00F85D5F" w:rsidRPr="00C837DD">
        <w:rPr>
          <w:sz w:val="20"/>
          <w:szCs w:val="20"/>
        </w:rPr>
        <w:t>a</w:t>
      </w:r>
      <w:r w:rsidR="008D3919" w:rsidRPr="00C837DD">
        <w:rPr>
          <w:sz w:val="20"/>
          <w:szCs w:val="20"/>
        </w:rPr>
        <w:t xml:space="preserve">t the time </w:t>
      </w:r>
      <w:r w:rsidR="00F85D5F" w:rsidRPr="00C837DD">
        <w:rPr>
          <w:sz w:val="20"/>
          <w:szCs w:val="20"/>
        </w:rPr>
        <w:t xml:space="preserve">of the facts, which </w:t>
      </w:r>
      <w:r w:rsidR="00790F96" w:rsidRPr="00C837DD">
        <w:rPr>
          <w:sz w:val="20"/>
          <w:szCs w:val="20"/>
        </w:rPr>
        <w:t xml:space="preserve">was reflected </w:t>
      </w:r>
      <w:r w:rsidR="00F85D5F" w:rsidRPr="00C837DD">
        <w:rPr>
          <w:sz w:val="20"/>
          <w:szCs w:val="20"/>
        </w:rPr>
        <w:t xml:space="preserve">in the Constitution of Paraíba, </w:t>
      </w:r>
      <w:r w:rsidR="00790F96" w:rsidRPr="00C837DD">
        <w:rPr>
          <w:sz w:val="20"/>
          <w:szCs w:val="20"/>
        </w:rPr>
        <w:t xml:space="preserve">was inadequate </w:t>
      </w:r>
      <w:r w:rsidR="00F85D5F" w:rsidRPr="00C837DD">
        <w:rPr>
          <w:sz w:val="20"/>
          <w:szCs w:val="20"/>
        </w:rPr>
        <w:t>and</w:t>
      </w:r>
      <w:r w:rsidR="006717F9" w:rsidRPr="00C837DD">
        <w:rPr>
          <w:sz w:val="20"/>
          <w:szCs w:val="20"/>
        </w:rPr>
        <w:t xml:space="preserve"> would have hindered </w:t>
      </w:r>
      <w:r w:rsidR="008D3919" w:rsidRPr="00C837DD">
        <w:rPr>
          <w:sz w:val="20"/>
          <w:szCs w:val="20"/>
        </w:rPr>
        <w:t xml:space="preserve">the progress </w:t>
      </w:r>
      <w:r w:rsidR="00F85D5F" w:rsidRPr="00C837DD">
        <w:rPr>
          <w:sz w:val="20"/>
          <w:szCs w:val="20"/>
        </w:rPr>
        <w:t xml:space="preserve">of the investigations </w:t>
      </w:r>
      <w:r w:rsidR="006717F9" w:rsidRPr="00C837DD">
        <w:rPr>
          <w:sz w:val="20"/>
          <w:szCs w:val="20"/>
        </w:rPr>
        <w:t xml:space="preserve">into the murder </w:t>
      </w:r>
      <w:r w:rsidR="00F85D5F" w:rsidRPr="00C837DD">
        <w:rPr>
          <w:sz w:val="20"/>
          <w:szCs w:val="20"/>
        </w:rPr>
        <w:t xml:space="preserve">of </w:t>
      </w:r>
      <w:r w:rsidR="00B8009F" w:rsidRPr="00C837DD">
        <w:rPr>
          <w:sz w:val="20"/>
          <w:szCs w:val="20"/>
        </w:rPr>
        <w:t>Márcia</w:t>
      </w:r>
      <w:r w:rsidR="00F85D5F" w:rsidRPr="00C837DD">
        <w:rPr>
          <w:sz w:val="20"/>
          <w:szCs w:val="20"/>
        </w:rPr>
        <w:t xml:space="preserve"> Barbosa. </w:t>
      </w:r>
      <w:r w:rsidR="009C1E1A" w:rsidRPr="00C837DD">
        <w:rPr>
          <w:sz w:val="20"/>
          <w:szCs w:val="20"/>
        </w:rPr>
        <w:t xml:space="preserve">It even </w:t>
      </w:r>
      <w:r w:rsidR="00F85D5F" w:rsidRPr="00C837DD">
        <w:rPr>
          <w:sz w:val="20"/>
          <w:szCs w:val="20"/>
        </w:rPr>
        <w:t>men</w:t>
      </w:r>
      <w:r w:rsidR="00126E25" w:rsidRPr="00C837DD">
        <w:rPr>
          <w:sz w:val="20"/>
          <w:szCs w:val="20"/>
        </w:rPr>
        <w:t xml:space="preserve">tioned in its answering brief </w:t>
      </w:r>
      <w:r w:rsidR="00F85D5F" w:rsidRPr="00C837DD">
        <w:rPr>
          <w:sz w:val="20"/>
          <w:szCs w:val="20"/>
        </w:rPr>
        <w:t xml:space="preserve">that “the </w:t>
      </w:r>
      <w:r w:rsidR="008D3919" w:rsidRPr="00C837DD">
        <w:rPr>
          <w:sz w:val="20"/>
          <w:szCs w:val="20"/>
        </w:rPr>
        <w:t xml:space="preserve">Brazilian </w:t>
      </w:r>
      <w:r w:rsidR="00F85D5F" w:rsidRPr="00C837DD">
        <w:rPr>
          <w:sz w:val="20"/>
          <w:szCs w:val="20"/>
        </w:rPr>
        <w:t xml:space="preserve">State </w:t>
      </w:r>
      <w:r w:rsidR="009C1E1A" w:rsidRPr="00C837DD">
        <w:rPr>
          <w:sz w:val="20"/>
          <w:szCs w:val="20"/>
        </w:rPr>
        <w:t xml:space="preserve">undertook </w:t>
      </w:r>
      <w:r w:rsidR="008D3919" w:rsidRPr="00C837DD">
        <w:rPr>
          <w:sz w:val="20"/>
          <w:szCs w:val="20"/>
        </w:rPr>
        <w:t xml:space="preserve">significant efforts </w:t>
      </w:r>
      <w:r w:rsidR="00F85D5F" w:rsidRPr="00C837DD">
        <w:rPr>
          <w:sz w:val="20"/>
          <w:szCs w:val="20"/>
        </w:rPr>
        <w:t xml:space="preserve">[...] </w:t>
      </w:r>
      <w:r w:rsidR="008D3919" w:rsidRPr="00C837DD">
        <w:rPr>
          <w:sz w:val="20"/>
          <w:szCs w:val="20"/>
        </w:rPr>
        <w:t xml:space="preserve">to adapt </w:t>
      </w:r>
      <w:r w:rsidR="00F85D5F" w:rsidRPr="00C837DD">
        <w:rPr>
          <w:sz w:val="20"/>
          <w:szCs w:val="20"/>
        </w:rPr>
        <w:t xml:space="preserve">the regulatory framework </w:t>
      </w:r>
      <w:r w:rsidR="009C1E1A" w:rsidRPr="00C837DD">
        <w:rPr>
          <w:sz w:val="20"/>
          <w:szCs w:val="20"/>
        </w:rPr>
        <w:t xml:space="preserve">on </w:t>
      </w:r>
      <w:r w:rsidR="008D3919" w:rsidRPr="00C837DD">
        <w:rPr>
          <w:sz w:val="20"/>
          <w:szCs w:val="20"/>
        </w:rPr>
        <w:t xml:space="preserve">this issue, improving </w:t>
      </w:r>
      <w:r w:rsidR="00F85D5F" w:rsidRPr="00C837DD">
        <w:rPr>
          <w:sz w:val="20"/>
          <w:szCs w:val="20"/>
        </w:rPr>
        <w:t xml:space="preserve">the constitutional </w:t>
      </w:r>
      <w:r w:rsidR="009C1E1A" w:rsidRPr="00C837DD">
        <w:rPr>
          <w:sz w:val="20"/>
          <w:szCs w:val="20"/>
        </w:rPr>
        <w:t xml:space="preserve">provision </w:t>
      </w:r>
      <w:r w:rsidR="00F85D5F" w:rsidRPr="00C837DD">
        <w:rPr>
          <w:sz w:val="20"/>
          <w:szCs w:val="20"/>
        </w:rPr>
        <w:t xml:space="preserve">on parliamentary immunity, </w:t>
      </w:r>
      <w:r w:rsidR="009C1E1A" w:rsidRPr="00C837DD">
        <w:rPr>
          <w:sz w:val="20"/>
          <w:szCs w:val="20"/>
        </w:rPr>
        <w:t xml:space="preserve">in light </w:t>
      </w:r>
      <w:r w:rsidR="00F85D5F" w:rsidRPr="00C837DD">
        <w:rPr>
          <w:sz w:val="20"/>
          <w:szCs w:val="20"/>
        </w:rPr>
        <w:t>of the precepts of the [American Convention]</w:t>
      </w:r>
      <w:r w:rsidR="008D3919" w:rsidRPr="00C837DD">
        <w:rPr>
          <w:sz w:val="20"/>
          <w:szCs w:val="20"/>
        </w:rPr>
        <w:t>.</w:t>
      </w:r>
      <w:r w:rsidR="00F85D5F" w:rsidRPr="00C837DD">
        <w:rPr>
          <w:sz w:val="20"/>
          <w:szCs w:val="20"/>
        </w:rPr>
        <w:t>”</w:t>
      </w:r>
      <w:r w:rsidR="00F85D5F" w:rsidRPr="00C837DD">
        <w:rPr>
          <w:rStyle w:val="Refdenotaalpie"/>
          <w:sz w:val="20"/>
          <w:szCs w:val="20"/>
        </w:rPr>
        <w:footnoteReference w:id="213"/>
      </w:r>
    </w:p>
    <w:p w14:paraId="4884159A" w14:textId="77777777" w:rsidR="00F85D5F" w:rsidRPr="00C837DD" w:rsidRDefault="00F85D5F" w:rsidP="00F85D5F">
      <w:pPr>
        <w:pStyle w:val="Prrafodelista"/>
        <w:tabs>
          <w:tab w:val="left" w:pos="142"/>
        </w:tabs>
        <w:ind w:left="0"/>
        <w:rPr>
          <w:sz w:val="20"/>
          <w:szCs w:val="20"/>
        </w:rPr>
      </w:pPr>
    </w:p>
    <w:p w14:paraId="0E3D9EE6" w14:textId="5888D28A" w:rsidR="00F85D5F" w:rsidRPr="00C837DD" w:rsidRDefault="00123ADD" w:rsidP="00F85D5F">
      <w:pPr>
        <w:pStyle w:val="Prrafodelista"/>
        <w:numPr>
          <w:ilvl w:val="0"/>
          <w:numId w:val="6"/>
        </w:numPr>
        <w:tabs>
          <w:tab w:val="left" w:pos="142"/>
        </w:tabs>
        <w:ind w:left="0" w:firstLine="0"/>
        <w:rPr>
          <w:sz w:val="20"/>
          <w:szCs w:val="20"/>
        </w:rPr>
      </w:pPr>
      <w:r w:rsidRPr="00C837DD">
        <w:rPr>
          <w:sz w:val="20"/>
          <w:szCs w:val="20"/>
        </w:rPr>
        <w:t>In addition</w:t>
      </w:r>
      <w:r w:rsidR="00F85D5F" w:rsidRPr="00C837DD">
        <w:rPr>
          <w:sz w:val="20"/>
          <w:szCs w:val="20"/>
        </w:rPr>
        <w:t>, and t</w:t>
      </w:r>
      <w:r w:rsidR="008D3919" w:rsidRPr="00C837DD">
        <w:rPr>
          <w:sz w:val="20"/>
          <w:szCs w:val="20"/>
        </w:rPr>
        <w:t xml:space="preserve">aking into </w:t>
      </w:r>
      <w:r w:rsidR="00F85D5F" w:rsidRPr="00C837DD">
        <w:rPr>
          <w:sz w:val="20"/>
          <w:szCs w:val="20"/>
        </w:rPr>
        <w:t xml:space="preserve">consideration the evidence </w:t>
      </w:r>
      <w:r w:rsidR="008D3919" w:rsidRPr="00C837DD">
        <w:rPr>
          <w:sz w:val="20"/>
          <w:szCs w:val="20"/>
        </w:rPr>
        <w:t xml:space="preserve">in </w:t>
      </w:r>
      <w:r w:rsidR="00F85D5F" w:rsidRPr="00C837DD">
        <w:rPr>
          <w:sz w:val="20"/>
          <w:szCs w:val="20"/>
        </w:rPr>
        <w:t xml:space="preserve">the </w:t>
      </w:r>
      <w:r w:rsidR="008D3919" w:rsidRPr="00C837DD">
        <w:rPr>
          <w:sz w:val="20"/>
          <w:szCs w:val="20"/>
        </w:rPr>
        <w:t xml:space="preserve">case </w:t>
      </w:r>
      <w:r w:rsidR="00F85D5F" w:rsidRPr="00C837DD">
        <w:rPr>
          <w:sz w:val="20"/>
          <w:szCs w:val="20"/>
        </w:rPr>
        <w:t xml:space="preserve">file, the Court </w:t>
      </w:r>
      <w:r w:rsidR="008D3919" w:rsidRPr="00C837DD">
        <w:rPr>
          <w:sz w:val="20"/>
          <w:szCs w:val="20"/>
        </w:rPr>
        <w:t xml:space="preserve">finds </w:t>
      </w:r>
      <w:r w:rsidR="00F85D5F" w:rsidRPr="00C837DD">
        <w:rPr>
          <w:sz w:val="20"/>
          <w:szCs w:val="20"/>
        </w:rPr>
        <w:t xml:space="preserve">that </w:t>
      </w:r>
      <w:r w:rsidRPr="00C837DD">
        <w:rPr>
          <w:sz w:val="20"/>
          <w:szCs w:val="20"/>
        </w:rPr>
        <w:t xml:space="preserve">there was </w:t>
      </w:r>
      <w:r w:rsidR="00F85D5F" w:rsidRPr="00C837DD">
        <w:rPr>
          <w:sz w:val="20"/>
          <w:szCs w:val="20"/>
        </w:rPr>
        <w:t xml:space="preserve">a </w:t>
      </w:r>
      <w:r w:rsidR="00FD4B42" w:rsidRPr="00C837DD">
        <w:rPr>
          <w:sz w:val="20"/>
          <w:szCs w:val="20"/>
        </w:rPr>
        <w:t>procedure</w:t>
      </w:r>
      <w:r w:rsidR="00F85D5F" w:rsidRPr="00C837DD">
        <w:rPr>
          <w:sz w:val="20"/>
          <w:szCs w:val="20"/>
        </w:rPr>
        <w:t xml:space="preserve"> </w:t>
      </w:r>
      <w:r w:rsidRPr="00C837DD">
        <w:rPr>
          <w:sz w:val="20"/>
          <w:szCs w:val="20"/>
        </w:rPr>
        <w:t xml:space="preserve">provided for </w:t>
      </w:r>
      <w:r w:rsidR="00F85D5F" w:rsidRPr="00C837DD">
        <w:rPr>
          <w:sz w:val="20"/>
          <w:szCs w:val="20"/>
        </w:rPr>
        <w:t xml:space="preserve">in the </w:t>
      </w:r>
      <w:r w:rsidR="00790F96" w:rsidRPr="00C837DD">
        <w:rPr>
          <w:sz w:val="20"/>
          <w:szCs w:val="20"/>
        </w:rPr>
        <w:t xml:space="preserve">Internal </w:t>
      </w:r>
      <w:r w:rsidR="00F85D5F" w:rsidRPr="00C837DD">
        <w:rPr>
          <w:sz w:val="20"/>
          <w:szCs w:val="20"/>
        </w:rPr>
        <w:t>R</w:t>
      </w:r>
      <w:r w:rsidR="00AE052C">
        <w:rPr>
          <w:sz w:val="20"/>
          <w:szCs w:val="20"/>
        </w:rPr>
        <w:t xml:space="preserve">ules of Procedure </w:t>
      </w:r>
      <w:r w:rsidR="00F85D5F" w:rsidRPr="00C837DD">
        <w:rPr>
          <w:sz w:val="20"/>
          <w:szCs w:val="20"/>
        </w:rPr>
        <w:t>and in the Code of Ethics of th</w:t>
      </w:r>
      <w:r w:rsidRPr="00C837DD">
        <w:rPr>
          <w:sz w:val="20"/>
          <w:szCs w:val="20"/>
        </w:rPr>
        <w:t>e Legislative Assembly of the s</w:t>
      </w:r>
      <w:r w:rsidR="00F85D5F" w:rsidRPr="00C837DD">
        <w:rPr>
          <w:sz w:val="20"/>
          <w:szCs w:val="20"/>
        </w:rPr>
        <w:t xml:space="preserve">tate of Paraíba for </w:t>
      </w:r>
      <w:r w:rsidRPr="00C837DD">
        <w:rPr>
          <w:sz w:val="20"/>
          <w:szCs w:val="20"/>
        </w:rPr>
        <w:t xml:space="preserve">processing </w:t>
      </w:r>
      <w:r w:rsidR="00F85D5F" w:rsidRPr="00C837DD">
        <w:rPr>
          <w:sz w:val="20"/>
          <w:szCs w:val="20"/>
        </w:rPr>
        <w:t xml:space="preserve">a request </w:t>
      </w:r>
      <w:r w:rsidR="00790F96" w:rsidRPr="00C837DD">
        <w:rPr>
          <w:sz w:val="20"/>
          <w:szCs w:val="20"/>
        </w:rPr>
        <w:t xml:space="preserve">to lift </w:t>
      </w:r>
      <w:r w:rsidR="00F85D5F" w:rsidRPr="00C837DD">
        <w:rPr>
          <w:sz w:val="20"/>
          <w:szCs w:val="20"/>
        </w:rPr>
        <w:t xml:space="preserve">the parliamentary immunity of a deputy. However, </w:t>
      </w:r>
      <w:r w:rsidRPr="00C837DD">
        <w:rPr>
          <w:sz w:val="20"/>
          <w:szCs w:val="20"/>
        </w:rPr>
        <w:t xml:space="preserve">these rules </w:t>
      </w:r>
      <w:r w:rsidR="00BF3049" w:rsidRPr="00C837DD">
        <w:rPr>
          <w:sz w:val="20"/>
          <w:szCs w:val="20"/>
        </w:rPr>
        <w:t xml:space="preserve">did not </w:t>
      </w:r>
      <w:r w:rsidRPr="00C837DD">
        <w:rPr>
          <w:sz w:val="20"/>
          <w:szCs w:val="20"/>
        </w:rPr>
        <w:t xml:space="preserve">clearly </w:t>
      </w:r>
      <w:r w:rsidR="00BF3049" w:rsidRPr="00C837DD">
        <w:rPr>
          <w:sz w:val="20"/>
          <w:szCs w:val="20"/>
        </w:rPr>
        <w:t xml:space="preserve">establish </w:t>
      </w:r>
      <w:r w:rsidRPr="00C837DD">
        <w:rPr>
          <w:sz w:val="20"/>
          <w:szCs w:val="20"/>
        </w:rPr>
        <w:t xml:space="preserve">whether the </w:t>
      </w:r>
      <w:r w:rsidR="00F85D5F" w:rsidRPr="00C837DD">
        <w:rPr>
          <w:sz w:val="20"/>
          <w:szCs w:val="20"/>
        </w:rPr>
        <w:t xml:space="preserve">competent </w:t>
      </w:r>
      <w:r w:rsidRPr="00C837DD">
        <w:rPr>
          <w:sz w:val="20"/>
          <w:szCs w:val="20"/>
        </w:rPr>
        <w:t xml:space="preserve">body </w:t>
      </w:r>
      <w:r w:rsidR="00BF3049" w:rsidRPr="00C837DD">
        <w:rPr>
          <w:sz w:val="20"/>
          <w:szCs w:val="20"/>
        </w:rPr>
        <w:t xml:space="preserve">to </w:t>
      </w:r>
      <w:r w:rsidRPr="00C837DD">
        <w:rPr>
          <w:sz w:val="20"/>
          <w:szCs w:val="20"/>
        </w:rPr>
        <w:t>issue a</w:t>
      </w:r>
      <w:r w:rsidR="00F85D5F" w:rsidRPr="00C837DD">
        <w:rPr>
          <w:sz w:val="20"/>
          <w:szCs w:val="20"/>
        </w:rPr>
        <w:t xml:space="preserve"> </w:t>
      </w:r>
      <w:r w:rsidR="00BF3049" w:rsidRPr="00C837DD">
        <w:rPr>
          <w:sz w:val="20"/>
          <w:szCs w:val="20"/>
        </w:rPr>
        <w:t xml:space="preserve">written </w:t>
      </w:r>
      <w:r w:rsidR="00F85D5F" w:rsidRPr="00C837DD">
        <w:rPr>
          <w:sz w:val="20"/>
          <w:szCs w:val="20"/>
        </w:rPr>
        <w:t xml:space="preserve">opinion </w:t>
      </w:r>
      <w:r w:rsidRPr="00C837DD">
        <w:rPr>
          <w:sz w:val="20"/>
          <w:szCs w:val="20"/>
        </w:rPr>
        <w:t xml:space="preserve">on </w:t>
      </w:r>
      <w:r w:rsidR="00F85D5F" w:rsidRPr="00C837DD">
        <w:rPr>
          <w:sz w:val="20"/>
          <w:szCs w:val="20"/>
        </w:rPr>
        <w:t xml:space="preserve">the request </w:t>
      </w:r>
      <w:r w:rsidR="00790F96" w:rsidRPr="00C837DD">
        <w:rPr>
          <w:sz w:val="20"/>
          <w:szCs w:val="20"/>
        </w:rPr>
        <w:t xml:space="preserve">was </w:t>
      </w:r>
      <w:r w:rsidR="00F85D5F" w:rsidRPr="00C837DD">
        <w:rPr>
          <w:sz w:val="20"/>
          <w:szCs w:val="20"/>
        </w:rPr>
        <w:t xml:space="preserve">the </w:t>
      </w:r>
      <w:r w:rsidR="00F85D5F" w:rsidRPr="00C837DD">
        <w:rPr>
          <w:sz w:val="20"/>
          <w:szCs w:val="20"/>
          <w:lang w:eastAsia="es-ES"/>
        </w:rPr>
        <w:t>Constitution</w:t>
      </w:r>
      <w:r w:rsidR="00790F96" w:rsidRPr="00C837DD">
        <w:rPr>
          <w:sz w:val="20"/>
          <w:szCs w:val="20"/>
          <w:lang w:eastAsia="es-ES"/>
        </w:rPr>
        <w:t>al</w:t>
      </w:r>
      <w:r w:rsidR="00F85D5F" w:rsidRPr="00C837DD">
        <w:rPr>
          <w:sz w:val="20"/>
          <w:szCs w:val="20"/>
        </w:rPr>
        <w:t xml:space="preserve"> </w:t>
      </w:r>
      <w:r w:rsidR="00790F96" w:rsidRPr="00C837DD">
        <w:rPr>
          <w:sz w:val="20"/>
          <w:szCs w:val="20"/>
        </w:rPr>
        <w:t>Commi</w:t>
      </w:r>
      <w:r w:rsidRPr="00C837DD">
        <w:rPr>
          <w:sz w:val="20"/>
          <w:szCs w:val="20"/>
        </w:rPr>
        <w:t xml:space="preserve">ttee </w:t>
      </w:r>
      <w:r w:rsidR="00F85D5F" w:rsidRPr="00C837DD">
        <w:rPr>
          <w:sz w:val="20"/>
          <w:szCs w:val="20"/>
        </w:rPr>
        <w:t xml:space="preserve">or the </w:t>
      </w:r>
      <w:r w:rsidRPr="00C837DD">
        <w:rPr>
          <w:sz w:val="20"/>
          <w:szCs w:val="20"/>
        </w:rPr>
        <w:t xml:space="preserve">Ethics </w:t>
      </w:r>
      <w:r w:rsidR="00F85D5F" w:rsidRPr="00C837DD">
        <w:rPr>
          <w:sz w:val="20"/>
          <w:szCs w:val="20"/>
        </w:rPr>
        <w:t>Co</w:t>
      </w:r>
      <w:r w:rsidR="00790F96" w:rsidRPr="00C837DD">
        <w:rPr>
          <w:sz w:val="20"/>
          <w:szCs w:val="20"/>
        </w:rPr>
        <w:t>uncil</w:t>
      </w:r>
      <w:r w:rsidR="00F85D5F" w:rsidRPr="00C837DD">
        <w:rPr>
          <w:sz w:val="20"/>
          <w:szCs w:val="20"/>
        </w:rPr>
        <w:t xml:space="preserve">. </w:t>
      </w:r>
      <w:r w:rsidR="00BF3049" w:rsidRPr="00C837DD">
        <w:rPr>
          <w:sz w:val="20"/>
          <w:szCs w:val="20"/>
        </w:rPr>
        <w:t xml:space="preserve">It should also be </w:t>
      </w:r>
      <w:r w:rsidR="00AE052C">
        <w:rPr>
          <w:sz w:val="20"/>
          <w:szCs w:val="20"/>
        </w:rPr>
        <w:t xml:space="preserve">noted </w:t>
      </w:r>
      <w:r w:rsidR="00F85D5F" w:rsidRPr="00C837DD">
        <w:rPr>
          <w:sz w:val="20"/>
          <w:szCs w:val="20"/>
        </w:rPr>
        <w:t>that n</w:t>
      </w:r>
      <w:r w:rsidRPr="00C837DD">
        <w:rPr>
          <w:sz w:val="20"/>
          <w:szCs w:val="20"/>
        </w:rPr>
        <w:t xml:space="preserve">either </w:t>
      </w:r>
      <w:r w:rsidR="00F85D5F" w:rsidRPr="00C837DD">
        <w:rPr>
          <w:sz w:val="20"/>
          <w:szCs w:val="20"/>
        </w:rPr>
        <w:t>the constitutional</w:t>
      </w:r>
      <w:r w:rsidRPr="00C837DD">
        <w:rPr>
          <w:sz w:val="20"/>
          <w:szCs w:val="20"/>
        </w:rPr>
        <w:t xml:space="preserve"> </w:t>
      </w:r>
      <w:r w:rsidR="00AE052C">
        <w:rPr>
          <w:sz w:val="20"/>
          <w:szCs w:val="20"/>
        </w:rPr>
        <w:t>provisions</w:t>
      </w:r>
      <w:r w:rsidR="00F85D5F" w:rsidRPr="00C837DD">
        <w:rPr>
          <w:sz w:val="20"/>
          <w:szCs w:val="20"/>
        </w:rPr>
        <w:t xml:space="preserve">, </w:t>
      </w:r>
      <w:r w:rsidRPr="00C837DD">
        <w:rPr>
          <w:sz w:val="20"/>
          <w:szCs w:val="20"/>
        </w:rPr>
        <w:t xml:space="preserve">nor </w:t>
      </w:r>
      <w:r w:rsidR="00F85D5F" w:rsidRPr="00C837DD">
        <w:rPr>
          <w:sz w:val="20"/>
          <w:szCs w:val="20"/>
        </w:rPr>
        <w:t xml:space="preserve">the </w:t>
      </w:r>
      <w:r w:rsidR="00AE052C" w:rsidRPr="00C837DD">
        <w:rPr>
          <w:sz w:val="20"/>
          <w:szCs w:val="20"/>
        </w:rPr>
        <w:t>Internal R</w:t>
      </w:r>
      <w:r w:rsidR="00AE052C">
        <w:rPr>
          <w:sz w:val="20"/>
          <w:szCs w:val="20"/>
        </w:rPr>
        <w:t xml:space="preserve">ules of Procedure </w:t>
      </w:r>
      <w:r w:rsidR="00F85D5F" w:rsidRPr="00C837DD">
        <w:rPr>
          <w:sz w:val="20"/>
          <w:szCs w:val="20"/>
        </w:rPr>
        <w:t>of the Assembly of Paraíba</w:t>
      </w:r>
      <w:r w:rsidRPr="00C837DD">
        <w:rPr>
          <w:sz w:val="20"/>
          <w:szCs w:val="20"/>
        </w:rPr>
        <w:t>,</w:t>
      </w:r>
      <w:r w:rsidR="00F85D5F" w:rsidRPr="00C837DD">
        <w:rPr>
          <w:rStyle w:val="Refdenotaalpie"/>
          <w:sz w:val="20"/>
          <w:szCs w:val="20"/>
        </w:rPr>
        <w:footnoteReference w:id="214"/>
      </w:r>
      <w:r w:rsidR="00F85D5F" w:rsidRPr="00C837DD">
        <w:rPr>
          <w:sz w:val="20"/>
          <w:szCs w:val="20"/>
        </w:rPr>
        <w:t xml:space="preserve"> </w:t>
      </w:r>
      <w:r w:rsidR="00AE052C">
        <w:rPr>
          <w:sz w:val="20"/>
          <w:szCs w:val="20"/>
        </w:rPr>
        <w:t xml:space="preserve">established </w:t>
      </w:r>
      <w:r w:rsidR="00F85D5F" w:rsidRPr="00C837DD">
        <w:rPr>
          <w:sz w:val="20"/>
          <w:szCs w:val="20"/>
        </w:rPr>
        <w:t xml:space="preserve">the </w:t>
      </w:r>
      <w:r w:rsidR="00A831CC" w:rsidRPr="00C837DD">
        <w:rPr>
          <w:sz w:val="20"/>
          <w:szCs w:val="20"/>
        </w:rPr>
        <w:t>criteria</w:t>
      </w:r>
      <w:r w:rsidR="00F85D5F" w:rsidRPr="00C837DD">
        <w:rPr>
          <w:sz w:val="20"/>
          <w:szCs w:val="20"/>
        </w:rPr>
        <w:t xml:space="preserve"> t</w:t>
      </w:r>
      <w:r w:rsidRPr="00C837DD">
        <w:rPr>
          <w:sz w:val="20"/>
          <w:szCs w:val="20"/>
        </w:rPr>
        <w:t xml:space="preserve">o be evaluated </w:t>
      </w:r>
      <w:r w:rsidR="00F85D5F" w:rsidRPr="00C837DD">
        <w:rPr>
          <w:sz w:val="20"/>
          <w:szCs w:val="20"/>
        </w:rPr>
        <w:t xml:space="preserve">in </w:t>
      </w:r>
      <w:r w:rsidR="00AE052C">
        <w:rPr>
          <w:sz w:val="20"/>
          <w:szCs w:val="20"/>
        </w:rPr>
        <w:t xml:space="preserve">a </w:t>
      </w:r>
      <w:r w:rsidR="00E93D83" w:rsidRPr="00C837DD">
        <w:rPr>
          <w:sz w:val="20"/>
          <w:szCs w:val="20"/>
        </w:rPr>
        <w:t>decision to grant</w:t>
      </w:r>
      <w:r w:rsidR="00BF3049" w:rsidRPr="00C837DD">
        <w:rPr>
          <w:sz w:val="20"/>
          <w:szCs w:val="20"/>
        </w:rPr>
        <w:t xml:space="preserve"> </w:t>
      </w:r>
      <w:r w:rsidR="00F85D5F" w:rsidRPr="00C837DD">
        <w:rPr>
          <w:sz w:val="20"/>
          <w:szCs w:val="20"/>
        </w:rPr>
        <w:t xml:space="preserve">the </w:t>
      </w:r>
      <w:r w:rsidR="00BF3049" w:rsidRPr="00C837DD">
        <w:rPr>
          <w:sz w:val="20"/>
          <w:szCs w:val="20"/>
        </w:rPr>
        <w:t xml:space="preserve">aforementioned </w:t>
      </w:r>
      <w:r w:rsidR="001E3A7D" w:rsidRPr="00C837DD">
        <w:rPr>
          <w:sz w:val="20"/>
          <w:szCs w:val="20"/>
        </w:rPr>
        <w:t>prior authorization</w:t>
      </w:r>
      <w:r w:rsidR="00F85D5F" w:rsidRPr="00C837DD">
        <w:rPr>
          <w:sz w:val="20"/>
          <w:szCs w:val="20"/>
        </w:rPr>
        <w:t>.</w:t>
      </w:r>
      <w:r w:rsidRPr="00C837DD">
        <w:rPr>
          <w:sz w:val="20"/>
          <w:szCs w:val="20"/>
        </w:rPr>
        <w:t xml:space="preserve"> Therefore</w:t>
      </w:r>
      <w:r w:rsidR="00F85D5F" w:rsidRPr="00C837DD">
        <w:rPr>
          <w:sz w:val="20"/>
          <w:szCs w:val="20"/>
        </w:rPr>
        <w:t>, the Court considers that</w:t>
      </w:r>
      <w:r w:rsidRPr="00C837DD">
        <w:rPr>
          <w:sz w:val="20"/>
          <w:szCs w:val="20"/>
        </w:rPr>
        <w:t xml:space="preserve"> there was no </w:t>
      </w:r>
      <w:r w:rsidR="00FD4B42" w:rsidRPr="00C837DD">
        <w:rPr>
          <w:sz w:val="20"/>
          <w:szCs w:val="20"/>
        </w:rPr>
        <w:t>procedure</w:t>
      </w:r>
      <w:r w:rsidR="00F85D5F" w:rsidRPr="00C837DD">
        <w:rPr>
          <w:sz w:val="20"/>
          <w:szCs w:val="20"/>
        </w:rPr>
        <w:t xml:space="preserve"> with </w:t>
      </w:r>
      <w:r w:rsidR="00ED1A94" w:rsidRPr="00C837DD">
        <w:rPr>
          <w:sz w:val="20"/>
          <w:szCs w:val="20"/>
        </w:rPr>
        <w:t xml:space="preserve">clear rules to be followed </w:t>
      </w:r>
      <w:r w:rsidR="00F85D5F" w:rsidRPr="00C837DD">
        <w:rPr>
          <w:sz w:val="20"/>
          <w:szCs w:val="20"/>
        </w:rPr>
        <w:t xml:space="preserve">for </w:t>
      </w:r>
      <w:r w:rsidR="00ED1A94" w:rsidRPr="00C837DD">
        <w:rPr>
          <w:sz w:val="20"/>
          <w:szCs w:val="20"/>
        </w:rPr>
        <w:t xml:space="preserve">deciding on </w:t>
      </w:r>
      <w:r w:rsidR="00F85D5F" w:rsidRPr="00C837DD">
        <w:rPr>
          <w:sz w:val="20"/>
          <w:szCs w:val="20"/>
        </w:rPr>
        <w:t>the application or l</w:t>
      </w:r>
      <w:r w:rsidR="00ED1A94" w:rsidRPr="00C837DD">
        <w:rPr>
          <w:sz w:val="20"/>
          <w:szCs w:val="20"/>
        </w:rPr>
        <w:t xml:space="preserve">ifting </w:t>
      </w:r>
      <w:r w:rsidR="00F85D5F" w:rsidRPr="00C837DD">
        <w:rPr>
          <w:sz w:val="20"/>
          <w:szCs w:val="20"/>
        </w:rPr>
        <w:t xml:space="preserve">of parliamentary immunity. </w:t>
      </w:r>
    </w:p>
    <w:p w14:paraId="6D058AE2" w14:textId="77777777" w:rsidR="00F85D5F" w:rsidRPr="00C837DD" w:rsidRDefault="00F85D5F" w:rsidP="00F85D5F">
      <w:pPr>
        <w:pStyle w:val="Prrafodelista"/>
        <w:tabs>
          <w:tab w:val="left" w:pos="142"/>
        </w:tabs>
        <w:ind w:left="0"/>
        <w:rPr>
          <w:sz w:val="20"/>
          <w:szCs w:val="20"/>
        </w:rPr>
      </w:pPr>
    </w:p>
    <w:p w14:paraId="08ADFC30" w14:textId="5C157913"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 </w:t>
      </w:r>
      <w:r w:rsidR="00123ADD" w:rsidRPr="00C837DD">
        <w:rPr>
          <w:sz w:val="20"/>
          <w:szCs w:val="20"/>
        </w:rPr>
        <w:t xml:space="preserve">In view of the foregoing </w:t>
      </w:r>
      <w:r w:rsidRPr="00C837DD">
        <w:rPr>
          <w:sz w:val="20"/>
          <w:szCs w:val="20"/>
        </w:rPr>
        <w:t xml:space="preserve">considerations, the Court </w:t>
      </w:r>
      <w:r w:rsidR="00123ADD" w:rsidRPr="00C837DD">
        <w:rPr>
          <w:sz w:val="20"/>
          <w:szCs w:val="20"/>
        </w:rPr>
        <w:t xml:space="preserve">understands </w:t>
      </w:r>
      <w:r w:rsidRPr="00C837DD">
        <w:rPr>
          <w:sz w:val="20"/>
          <w:szCs w:val="20"/>
        </w:rPr>
        <w:t xml:space="preserve">that the </w:t>
      </w:r>
      <w:r w:rsidR="00123ADD" w:rsidRPr="00C837DD">
        <w:rPr>
          <w:sz w:val="20"/>
          <w:szCs w:val="20"/>
        </w:rPr>
        <w:t xml:space="preserve">way </w:t>
      </w:r>
      <w:r w:rsidR="00BF3049" w:rsidRPr="00C837DD">
        <w:rPr>
          <w:sz w:val="20"/>
          <w:szCs w:val="20"/>
        </w:rPr>
        <w:t xml:space="preserve">in which </w:t>
      </w:r>
      <w:r w:rsidRPr="00C837DD">
        <w:rPr>
          <w:sz w:val="20"/>
          <w:szCs w:val="20"/>
        </w:rPr>
        <w:t xml:space="preserve">parliamentary immunity </w:t>
      </w:r>
      <w:r w:rsidR="00BF3049" w:rsidRPr="00C837DD">
        <w:rPr>
          <w:sz w:val="20"/>
          <w:szCs w:val="20"/>
        </w:rPr>
        <w:t xml:space="preserve">was regulated at the time </w:t>
      </w:r>
      <w:r w:rsidRPr="00C837DD">
        <w:rPr>
          <w:sz w:val="20"/>
          <w:szCs w:val="20"/>
        </w:rPr>
        <w:t xml:space="preserve">of the facts of this case, </w:t>
      </w:r>
      <w:r w:rsidR="00BF3049" w:rsidRPr="00C837DD">
        <w:rPr>
          <w:sz w:val="20"/>
          <w:szCs w:val="20"/>
        </w:rPr>
        <w:t xml:space="preserve">both </w:t>
      </w:r>
      <w:r w:rsidRPr="00C837DD">
        <w:rPr>
          <w:sz w:val="20"/>
          <w:szCs w:val="20"/>
        </w:rPr>
        <w:t>a</w:t>
      </w:r>
      <w:r w:rsidR="00BF3049" w:rsidRPr="00C837DD">
        <w:rPr>
          <w:sz w:val="20"/>
          <w:szCs w:val="20"/>
        </w:rPr>
        <w:t>t</w:t>
      </w:r>
      <w:r w:rsidRPr="00C837DD">
        <w:rPr>
          <w:sz w:val="20"/>
          <w:szCs w:val="20"/>
        </w:rPr>
        <w:t xml:space="preserve"> </w:t>
      </w:r>
      <w:r w:rsidR="00BF3049" w:rsidRPr="00C837DD">
        <w:rPr>
          <w:sz w:val="20"/>
          <w:szCs w:val="20"/>
        </w:rPr>
        <w:t xml:space="preserve">the </w:t>
      </w:r>
      <w:r w:rsidRPr="00C837DD">
        <w:rPr>
          <w:sz w:val="20"/>
          <w:szCs w:val="20"/>
        </w:rPr>
        <w:t xml:space="preserve">federal </w:t>
      </w:r>
      <w:r w:rsidR="00BF3049" w:rsidRPr="00C837DD">
        <w:rPr>
          <w:sz w:val="20"/>
          <w:szCs w:val="20"/>
        </w:rPr>
        <w:t xml:space="preserve">level </w:t>
      </w:r>
      <w:r w:rsidRPr="00C837DD">
        <w:rPr>
          <w:sz w:val="20"/>
          <w:szCs w:val="20"/>
        </w:rPr>
        <w:t xml:space="preserve">and in the </w:t>
      </w:r>
      <w:r w:rsidR="00420363" w:rsidRPr="00C837DD">
        <w:rPr>
          <w:sz w:val="20"/>
          <w:szCs w:val="20"/>
        </w:rPr>
        <w:t>s</w:t>
      </w:r>
      <w:r w:rsidRPr="00C837DD">
        <w:rPr>
          <w:sz w:val="20"/>
          <w:szCs w:val="20"/>
        </w:rPr>
        <w:t xml:space="preserve">tate of Paraíba, </w:t>
      </w:r>
      <w:r w:rsidR="00ED1A94" w:rsidRPr="00C837DD">
        <w:rPr>
          <w:sz w:val="20"/>
          <w:szCs w:val="20"/>
        </w:rPr>
        <w:t>was contrary to the</w:t>
      </w:r>
      <w:r w:rsidRPr="00C837DD">
        <w:rPr>
          <w:sz w:val="20"/>
          <w:szCs w:val="20"/>
        </w:rPr>
        <w:t xml:space="preserve"> right of access to justice and </w:t>
      </w:r>
      <w:r w:rsidR="00BF3049" w:rsidRPr="00C837DD">
        <w:rPr>
          <w:sz w:val="20"/>
          <w:szCs w:val="20"/>
        </w:rPr>
        <w:t xml:space="preserve">to </w:t>
      </w:r>
      <w:r w:rsidR="00123ADD" w:rsidRPr="00C837DD">
        <w:rPr>
          <w:sz w:val="20"/>
          <w:szCs w:val="20"/>
        </w:rPr>
        <w:t xml:space="preserve">the </w:t>
      </w:r>
      <w:r w:rsidR="008D3919" w:rsidRPr="00C837DD">
        <w:rPr>
          <w:sz w:val="20"/>
          <w:szCs w:val="20"/>
        </w:rPr>
        <w:t>duty to</w:t>
      </w:r>
      <w:r w:rsidRPr="00C837DD">
        <w:rPr>
          <w:sz w:val="20"/>
          <w:szCs w:val="20"/>
        </w:rPr>
        <w:t xml:space="preserve"> adopt provisions of domestic law. </w:t>
      </w:r>
    </w:p>
    <w:p w14:paraId="15B06920" w14:textId="77777777" w:rsidR="00F85D5F" w:rsidRPr="00C837DD" w:rsidRDefault="00F85D5F" w:rsidP="00F85D5F">
      <w:pPr>
        <w:pStyle w:val="Prrafodelista"/>
        <w:tabs>
          <w:tab w:val="left" w:pos="142"/>
        </w:tabs>
        <w:ind w:left="0"/>
        <w:rPr>
          <w:sz w:val="20"/>
          <w:szCs w:val="20"/>
        </w:rPr>
      </w:pPr>
    </w:p>
    <w:p w14:paraId="2BBDA022" w14:textId="616F7854" w:rsidR="00F85D5F" w:rsidRPr="00C837DD" w:rsidRDefault="00AE052C" w:rsidP="00F85D5F">
      <w:pPr>
        <w:pStyle w:val="Prrafodelista"/>
        <w:numPr>
          <w:ilvl w:val="0"/>
          <w:numId w:val="6"/>
        </w:numPr>
        <w:tabs>
          <w:tab w:val="left" w:pos="142"/>
        </w:tabs>
        <w:ind w:left="0" w:firstLine="0"/>
        <w:rPr>
          <w:sz w:val="20"/>
          <w:szCs w:val="20"/>
        </w:rPr>
      </w:pPr>
      <w:r>
        <w:rPr>
          <w:sz w:val="20"/>
          <w:szCs w:val="20"/>
        </w:rPr>
        <w:t xml:space="preserve">Regarding </w:t>
      </w:r>
      <w:r w:rsidR="00F85D5F" w:rsidRPr="00C837DD">
        <w:rPr>
          <w:sz w:val="20"/>
          <w:szCs w:val="20"/>
        </w:rPr>
        <w:t xml:space="preserve">the </w:t>
      </w:r>
      <w:r w:rsidR="007407F1" w:rsidRPr="00C837DD">
        <w:rPr>
          <w:sz w:val="20"/>
          <w:szCs w:val="20"/>
        </w:rPr>
        <w:t xml:space="preserve">reasons for </w:t>
      </w:r>
      <w:r w:rsidR="00F85D5F" w:rsidRPr="00C837DD">
        <w:rPr>
          <w:sz w:val="20"/>
          <w:szCs w:val="20"/>
        </w:rPr>
        <w:t xml:space="preserve">the decisions of the Legislative Assembly of Paraíba, the Court </w:t>
      </w:r>
      <w:r w:rsidR="00123ADD" w:rsidRPr="00C837DD">
        <w:rPr>
          <w:sz w:val="20"/>
          <w:szCs w:val="20"/>
        </w:rPr>
        <w:t xml:space="preserve">deems it </w:t>
      </w:r>
      <w:r w:rsidR="00F85D5F" w:rsidRPr="00C837DD">
        <w:rPr>
          <w:sz w:val="20"/>
          <w:szCs w:val="20"/>
        </w:rPr>
        <w:t>pertinent t</w:t>
      </w:r>
      <w:r w:rsidR="00123ADD" w:rsidRPr="00C837DD">
        <w:rPr>
          <w:sz w:val="20"/>
          <w:szCs w:val="20"/>
        </w:rPr>
        <w:t xml:space="preserve">o transcribe them below in order to </w:t>
      </w:r>
      <w:r w:rsidR="001741DE">
        <w:rPr>
          <w:sz w:val="20"/>
          <w:szCs w:val="20"/>
        </w:rPr>
        <w:t xml:space="preserve">carry out </w:t>
      </w:r>
      <w:r w:rsidR="002C0242" w:rsidRPr="00C837DD">
        <w:rPr>
          <w:sz w:val="20"/>
          <w:szCs w:val="20"/>
        </w:rPr>
        <w:t xml:space="preserve">the </w:t>
      </w:r>
      <w:r w:rsidR="00F85D5F" w:rsidRPr="00C837DD">
        <w:rPr>
          <w:sz w:val="20"/>
          <w:szCs w:val="20"/>
        </w:rPr>
        <w:t>corresponding</w:t>
      </w:r>
      <w:r w:rsidR="002C0242" w:rsidRPr="00C837DD">
        <w:rPr>
          <w:sz w:val="20"/>
          <w:szCs w:val="20"/>
        </w:rPr>
        <w:t xml:space="preserve"> analysis</w:t>
      </w:r>
      <w:r w:rsidR="00F85D5F" w:rsidRPr="00C837DD">
        <w:rPr>
          <w:sz w:val="20"/>
          <w:szCs w:val="20"/>
        </w:rPr>
        <w:t xml:space="preserve">. Thus, </w:t>
      </w:r>
      <w:r w:rsidR="00FD4B42" w:rsidRPr="00C837DD">
        <w:rPr>
          <w:sz w:val="20"/>
          <w:szCs w:val="20"/>
        </w:rPr>
        <w:t xml:space="preserve">on </w:t>
      </w:r>
      <w:r w:rsidR="00F85D5F" w:rsidRPr="00C837DD">
        <w:rPr>
          <w:sz w:val="20"/>
          <w:szCs w:val="20"/>
        </w:rPr>
        <w:t xml:space="preserve">December </w:t>
      </w:r>
      <w:r w:rsidR="00FD4B42" w:rsidRPr="00C837DD">
        <w:rPr>
          <w:sz w:val="20"/>
          <w:szCs w:val="20"/>
        </w:rPr>
        <w:t xml:space="preserve">17, </w:t>
      </w:r>
      <w:r w:rsidR="00F85D5F" w:rsidRPr="00C837DD">
        <w:rPr>
          <w:sz w:val="20"/>
          <w:szCs w:val="20"/>
        </w:rPr>
        <w:t>1998</w:t>
      </w:r>
      <w:r w:rsidR="00123ADD" w:rsidRPr="00C837DD">
        <w:rPr>
          <w:sz w:val="20"/>
          <w:szCs w:val="20"/>
        </w:rPr>
        <w:t>,</w:t>
      </w:r>
      <w:r w:rsidR="00F85D5F" w:rsidRPr="00C837DD">
        <w:rPr>
          <w:rStyle w:val="Refdenotaalpie"/>
          <w:sz w:val="20"/>
          <w:szCs w:val="20"/>
        </w:rPr>
        <w:footnoteReference w:id="215"/>
      </w:r>
      <w:r w:rsidR="00F85D5F" w:rsidRPr="00C837DD">
        <w:rPr>
          <w:sz w:val="20"/>
          <w:szCs w:val="20"/>
        </w:rPr>
        <w:t xml:space="preserve"> the Legislative Assembly re</w:t>
      </w:r>
      <w:r w:rsidR="00FD4B42" w:rsidRPr="00C837DD">
        <w:rPr>
          <w:sz w:val="20"/>
          <w:szCs w:val="20"/>
        </w:rPr>
        <w:t xml:space="preserve">jected </w:t>
      </w:r>
      <w:r w:rsidR="00F85D5F" w:rsidRPr="00C837DD">
        <w:rPr>
          <w:sz w:val="20"/>
          <w:szCs w:val="20"/>
        </w:rPr>
        <w:t xml:space="preserve">the request of the  Court of Justice of Paraíba </w:t>
      </w:r>
      <w:r w:rsidR="00123ADD" w:rsidRPr="00C837DD">
        <w:rPr>
          <w:sz w:val="20"/>
          <w:szCs w:val="20"/>
        </w:rPr>
        <w:t xml:space="preserve">to initiate </w:t>
      </w:r>
      <w:r w:rsidR="00F85D5F" w:rsidRPr="00C837DD">
        <w:rPr>
          <w:sz w:val="20"/>
          <w:szCs w:val="20"/>
        </w:rPr>
        <w:t xml:space="preserve">criminal proceedings against the then </w:t>
      </w:r>
      <w:r w:rsidR="00247420" w:rsidRPr="00C837DD">
        <w:rPr>
          <w:sz w:val="20"/>
          <w:szCs w:val="20"/>
        </w:rPr>
        <w:t xml:space="preserve">state </w:t>
      </w:r>
      <w:r w:rsidR="00F85D5F" w:rsidRPr="00C837DD">
        <w:rPr>
          <w:sz w:val="20"/>
          <w:szCs w:val="20"/>
        </w:rPr>
        <w:t>deputy Aérc</w:t>
      </w:r>
      <w:r w:rsidR="00123ADD" w:rsidRPr="00C837DD">
        <w:rPr>
          <w:sz w:val="20"/>
          <w:szCs w:val="20"/>
        </w:rPr>
        <w:t xml:space="preserve">io Pereira de Lima, through </w:t>
      </w:r>
      <w:r w:rsidR="00F85D5F" w:rsidRPr="00C837DD">
        <w:rPr>
          <w:sz w:val="20"/>
          <w:szCs w:val="20"/>
        </w:rPr>
        <w:t xml:space="preserve">Resolution No. 614/98, </w:t>
      </w:r>
      <w:r w:rsidR="00123ADD" w:rsidRPr="00C837DD">
        <w:rPr>
          <w:sz w:val="20"/>
          <w:szCs w:val="20"/>
        </w:rPr>
        <w:t>which determined</w:t>
      </w:r>
      <w:r w:rsidR="00F85D5F" w:rsidRPr="00C837DD">
        <w:rPr>
          <w:sz w:val="20"/>
          <w:szCs w:val="20"/>
        </w:rPr>
        <w:t xml:space="preserve">, </w:t>
      </w:r>
      <w:r w:rsidR="00F85D5F" w:rsidRPr="00C837DD">
        <w:rPr>
          <w:i/>
          <w:sz w:val="20"/>
          <w:szCs w:val="20"/>
        </w:rPr>
        <w:t>in verbis</w:t>
      </w:r>
      <w:r w:rsidR="00F85D5F" w:rsidRPr="00C837DD">
        <w:rPr>
          <w:sz w:val="20"/>
          <w:szCs w:val="20"/>
        </w:rPr>
        <w:t>:</w:t>
      </w:r>
    </w:p>
    <w:p w14:paraId="24B4F1F9" w14:textId="77777777" w:rsidR="00F85D5F" w:rsidRPr="00C837DD" w:rsidRDefault="00F85D5F" w:rsidP="00F85D5F">
      <w:pPr>
        <w:tabs>
          <w:tab w:val="left" w:pos="142"/>
        </w:tabs>
        <w:rPr>
          <w:sz w:val="20"/>
          <w:szCs w:val="20"/>
        </w:rPr>
      </w:pPr>
    </w:p>
    <w:p w14:paraId="4CB3AB15" w14:textId="4C102CA3" w:rsidR="00F85D5F" w:rsidRPr="00C837DD" w:rsidRDefault="00123ADD" w:rsidP="00F85D5F">
      <w:pPr>
        <w:ind w:left="851" w:right="684"/>
        <w:jc w:val="both"/>
        <w:rPr>
          <w:sz w:val="16"/>
          <w:szCs w:val="16"/>
        </w:rPr>
      </w:pPr>
      <w:r w:rsidRPr="00C837DD">
        <w:rPr>
          <w:sz w:val="16"/>
          <w:szCs w:val="16"/>
        </w:rPr>
        <w:t xml:space="preserve">The </w:t>
      </w:r>
      <w:r w:rsidR="00EC0D59" w:rsidRPr="00C837DD">
        <w:rPr>
          <w:sz w:val="16"/>
          <w:szCs w:val="16"/>
        </w:rPr>
        <w:t xml:space="preserve">Committee </w:t>
      </w:r>
      <w:r w:rsidRPr="00C837DD">
        <w:rPr>
          <w:sz w:val="16"/>
          <w:szCs w:val="16"/>
        </w:rPr>
        <w:t>of the Legislativ</w:t>
      </w:r>
      <w:r w:rsidR="00EC0D59" w:rsidRPr="00C837DD">
        <w:rPr>
          <w:sz w:val="16"/>
          <w:szCs w:val="16"/>
        </w:rPr>
        <w:t>e Assembly of the State of Parai</w:t>
      </w:r>
      <w:r w:rsidRPr="00C837DD">
        <w:rPr>
          <w:sz w:val="16"/>
          <w:szCs w:val="16"/>
        </w:rPr>
        <w:t>ba, based on art. 219, paragraph 3, III, "b", of Resolution no. 469 (Internal Rules of Procedure of the Assembly), and art. 42, IV, of Resolution no. 599 (Code of Ethics and Parliamentary Decorum) hereby makes known that the Plenary</w:t>
      </w:r>
      <w:r w:rsidR="007407F1" w:rsidRPr="00C837DD">
        <w:rPr>
          <w:sz w:val="16"/>
          <w:szCs w:val="16"/>
        </w:rPr>
        <w:t>,</w:t>
      </w:r>
      <w:r w:rsidRPr="00C837DD">
        <w:rPr>
          <w:sz w:val="16"/>
          <w:szCs w:val="16"/>
        </w:rPr>
        <w:t xml:space="preserve"> in the Extraordinary Session </w:t>
      </w:r>
      <w:r w:rsidR="00B20834">
        <w:rPr>
          <w:sz w:val="16"/>
          <w:szCs w:val="16"/>
        </w:rPr>
        <w:t xml:space="preserve">held on </w:t>
      </w:r>
      <w:r w:rsidRPr="00C837DD">
        <w:rPr>
          <w:sz w:val="16"/>
          <w:szCs w:val="16"/>
        </w:rPr>
        <w:t>December 17, 1998</w:t>
      </w:r>
      <w:r w:rsidR="007407F1" w:rsidRPr="00C837DD">
        <w:rPr>
          <w:sz w:val="16"/>
          <w:szCs w:val="16"/>
        </w:rPr>
        <w:t>,</w:t>
      </w:r>
      <w:r w:rsidRPr="00C837DD">
        <w:rPr>
          <w:sz w:val="16"/>
          <w:szCs w:val="16"/>
        </w:rPr>
        <w:t xml:space="preserve"> </w:t>
      </w:r>
      <w:r w:rsidR="007407F1" w:rsidRPr="00C837DD">
        <w:rPr>
          <w:sz w:val="16"/>
          <w:szCs w:val="16"/>
        </w:rPr>
        <w:t xml:space="preserve">approved </w:t>
      </w:r>
      <w:r w:rsidRPr="00C837DD">
        <w:rPr>
          <w:sz w:val="16"/>
          <w:szCs w:val="16"/>
        </w:rPr>
        <w:t xml:space="preserve">and </w:t>
      </w:r>
      <w:r w:rsidR="00B20834">
        <w:rPr>
          <w:sz w:val="16"/>
          <w:szCs w:val="16"/>
        </w:rPr>
        <w:t xml:space="preserve">hereby </w:t>
      </w:r>
      <w:r w:rsidRPr="00C837DD">
        <w:rPr>
          <w:sz w:val="16"/>
          <w:szCs w:val="16"/>
        </w:rPr>
        <w:t>enact</w:t>
      </w:r>
      <w:r w:rsidR="00B20834">
        <w:rPr>
          <w:sz w:val="16"/>
          <w:szCs w:val="16"/>
        </w:rPr>
        <w:t>s</w:t>
      </w:r>
      <w:r w:rsidRPr="00C837DD">
        <w:rPr>
          <w:sz w:val="16"/>
          <w:szCs w:val="16"/>
        </w:rPr>
        <w:t xml:space="preserve"> the following: [...] Art. 1 The request </w:t>
      </w:r>
      <w:r w:rsidR="007407F1" w:rsidRPr="00C837DD">
        <w:rPr>
          <w:sz w:val="16"/>
          <w:szCs w:val="16"/>
        </w:rPr>
        <w:t xml:space="preserve">by the State Court of Justice </w:t>
      </w:r>
      <w:r w:rsidRPr="00C837DD">
        <w:rPr>
          <w:sz w:val="16"/>
          <w:szCs w:val="16"/>
        </w:rPr>
        <w:t xml:space="preserve">for leave </w:t>
      </w:r>
      <w:r w:rsidR="007407F1" w:rsidRPr="00C837DD">
        <w:rPr>
          <w:sz w:val="16"/>
          <w:szCs w:val="16"/>
        </w:rPr>
        <w:t xml:space="preserve">to </w:t>
      </w:r>
      <w:r w:rsidR="00EC0D59" w:rsidRPr="00C837DD">
        <w:rPr>
          <w:sz w:val="16"/>
          <w:szCs w:val="16"/>
        </w:rPr>
        <w:t>criminally prosecute s</w:t>
      </w:r>
      <w:r w:rsidRPr="00C837DD">
        <w:rPr>
          <w:sz w:val="16"/>
          <w:szCs w:val="16"/>
        </w:rPr>
        <w:t xml:space="preserve">tate </w:t>
      </w:r>
      <w:r w:rsidR="00EC0D59" w:rsidRPr="00C837DD">
        <w:rPr>
          <w:sz w:val="16"/>
          <w:szCs w:val="16"/>
        </w:rPr>
        <w:t xml:space="preserve">Deputy </w:t>
      </w:r>
      <w:r w:rsidRPr="00C837DD">
        <w:rPr>
          <w:sz w:val="16"/>
          <w:szCs w:val="16"/>
        </w:rPr>
        <w:t>Aércio Pereira de Lima, the subject of the file, is denied [...] Art. 2 This Resolution enters into force on th</w:t>
      </w:r>
      <w:r w:rsidR="00EC0D59" w:rsidRPr="00C837DD">
        <w:rPr>
          <w:sz w:val="16"/>
          <w:szCs w:val="16"/>
        </w:rPr>
        <w:t>e date of its publication</w:t>
      </w:r>
      <w:r w:rsidR="00F85D5F" w:rsidRPr="00C837DD">
        <w:rPr>
          <w:sz w:val="16"/>
          <w:szCs w:val="16"/>
        </w:rPr>
        <w:t xml:space="preserve"> [...]</w:t>
      </w:r>
      <w:r w:rsidR="00F85D5F" w:rsidRPr="00C837DD">
        <w:rPr>
          <w:sz w:val="16"/>
          <w:szCs w:val="16"/>
          <w:vertAlign w:val="superscript"/>
        </w:rPr>
        <w:footnoteReference w:id="216"/>
      </w:r>
    </w:p>
    <w:p w14:paraId="23B7255D" w14:textId="77777777" w:rsidR="00F85D5F" w:rsidRPr="00C837DD" w:rsidRDefault="00F85D5F" w:rsidP="00F85D5F">
      <w:pPr>
        <w:tabs>
          <w:tab w:val="left" w:pos="142"/>
        </w:tabs>
        <w:rPr>
          <w:sz w:val="20"/>
          <w:szCs w:val="20"/>
        </w:rPr>
      </w:pPr>
    </w:p>
    <w:p w14:paraId="4421275E" w14:textId="5F69544A" w:rsidR="00F85D5F" w:rsidRPr="00C837DD" w:rsidRDefault="00F85D5F" w:rsidP="00F85D5F">
      <w:pPr>
        <w:numPr>
          <w:ilvl w:val="0"/>
          <w:numId w:val="6"/>
        </w:numPr>
        <w:tabs>
          <w:tab w:val="left" w:pos="142"/>
        </w:tabs>
        <w:ind w:left="0" w:firstLine="0"/>
        <w:jc w:val="both"/>
        <w:rPr>
          <w:sz w:val="20"/>
          <w:szCs w:val="20"/>
        </w:rPr>
      </w:pPr>
      <w:r w:rsidRPr="00C837DD">
        <w:rPr>
          <w:sz w:val="20"/>
          <w:szCs w:val="20"/>
        </w:rPr>
        <w:t xml:space="preserve">Subsequently, </w:t>
      </w:r>
      <w:r w:rsidR="002C0242" w:rsidRPr="00C837DD">
        <w:rPr>
          <w:sz w:val="20"/>
          <w:szCs w:val="20"/>
        </w:rPr>
        <w:t xml:space="preserve">on </w:t>
      </w:r>
      <w:r w:rsidRPr="00C837DD">
        <w:rPr>
          <w:sz w:val="20"/>
          <w:szCs w:val="20"/>
        </w:rPr>
        <w:t xml:space="preserve">March </w:t>
      </w:r>
      <w:r w:rsidR="002C0242" w:rsidRPr="00C837DD">
        <w:rPr>
          <w:sz w:val="20"/>
          <w:szCs w:val="20"/>
        </w:rPr>
        <w:t xml:space="preserve">31, </w:t>
      </w:r>
      <w:r w:rsidRPr="00C837DD">
        <w:rPr>
          <w:sz w:val="20"/>
          <w:szCs w:val="20"/>
        </w:rPr>
        <w:t xml:space="preserve">1999, </w:t>
      </w:r>
      <w:r w:rsidR="002C0242" w:rsidRPr="00C837DD">
        <w:rPr>
          <w:sz w:val="20"/>
          <w:szCs w:val="20"/>
        </w:rPr>
        <w:t xml:space="preserve">after the </w:t>
      </w:r>
      <w:r w:rsidR="0097795A" w:rsidRPr="00C837DD">
        <w:rPr>
          <w:sz w:val="20"/>
          <w:szCs w:val="20"/>
        </w:rPr>
        <w:t xml:space="preserve">beginning </w:t>
      </w:r>
      <w:r w:rsidR="002C0242" w:rsidRPr="00C837DD">
        <w:rPr>
          <w:sz w:val="20"/>
          <w:szCs w:val="20"/>
        </w:rPr>
        <w:t xml:space="preserve">of </w:t>
      </w:r>
      <w:r w:rsidR="00FD4B42" w:rsidRPr="00C837DD">
        <w:rPr>
          <w:sz w:val="20"/>
          <w:szCs w:val="20"/>
        </w:rPr>
        <w:t xml:space="preserve">a new legislature and taking into account </w:t>
      </w:r>
      <w:r w:rsidRPr="00C837DD">
        <w:rPr>
          <w:sz w:val="20"/>
          <w:szCs w:val="20"/>
        </w:rPr>
        <w:t xml:space="preserve">the reelection </w:t>
      </w:r>
      <w:r w:rsidR="00FD4B42" w:rsidRPr="00C837DD">
        <w:rPr>
          <w:sz w:val="20"/>
          <w:szCs w:val="20"/>
        </w:rPr>
        <w:t xml:space="preserve">of Mr. </w:t>
      </w:r>
      <w:r w:rsidRPr="00C837DD">
        <w:rPr>
          <w:sz w:val="20"/>
          <w:szCs w:val="20"/>
        </w:rPr>
        <w:t xml:space="preserve">Pereira de Lima </w:t>
      </w:r>
      <w:r w:rsidR="0097795A" w:rsidRPr="00C837DD">
        <w:rPr>
          <w:sz w:val="20"/>
          <w:szCs w:val="20"/>
        </w:rPr>
        <w:t xml:space="preserve">to the post of </w:t>
      </w:r>
      <w:r w:rsidR="00FD4B42" w:rsidRPr="00C837DD">
        <w:rPr>
          <w:sz w:val="20"/>
          <w:szCs w:val="20"/>
        </w:rPr>
        <w:t xml:space="preserve">state </w:t>
      </w:r>
      <w:r w:rsidRPr="00C837DD">
        <w:rPr>
          <w:sz w:val="20"/>
          <w:szCs w:val="20"/>
        </w:rPr>
        <w:t xml:space="preserve">deputy, </w:t>
      </w:r>
      <w:r w:rsidR="009229C8" w:rsidRPr="00C837DD">
        <w:rPr>
          <w:sz w:val="20"/>
          <w:szCs w:val="20"/>
        </w:rPr>
        <w:t xml:space="preserve">the </w:t>
      </w:r>
      <w:r w:rsidRPr="00C837DD">
        <w:rPr>
          <w:sz w:val="20"/>
          <w:szCs w:val="20"/>
        </w:rPr>
        <w:t xml:space="preserve">Paraíba </w:t>
      </w:r>
      <w:r w:rsidR="009229C8" w:rsidRPr="00C837DD">
        <w:rPr>
          <w:sz w:val="20"/>
          <w:szCs w:val="20"/>
        </w:rPr>
        <w:t xml:space="preserve">Court </w:t>
      </w:r>
      <w:r w:rsidR="009229C8" w:rsidRPr="00C837DD">
        <w:rPr>
          <w:sz w:val="20"/>
          <w:szCs w:val="20"/>
        </w:rPr>
        <w:lastRenderedPageBreak/>
        <w:t xml:space="preserve">of Justice </w:t>
      </w:r>
      <w:r w:rsidR="0097795A" w:rsidRPr="00C837DD">
        <w:rPr>
          <w:sz w:val="20"/>
          <w:szCs w:val="20"/>
        </w:rPr>
        <w:t xml:space="preserve">submitted to </w:t>
      </w:r>
      <w:r w:rsidRPr="00C837DD">
        <w:rPr>
          <w:sz w:val="20"/>
          <w:szCs w:val="20"/>
        </w:rPr>
        <w:t>the Legislative Assembly a n</w:t>
      </w:r>
      <w:r w:rsidR="002C0242" w:rsidRPr="00C837DD">
        <w:rPr>
          <w:sz w:val="20"/>
          <w:szCs w:val="20"/>
        </w:rPr>
        <w:t xml:space="preserve">ew </w:t>
      </w:r>
      <w:r w:rsidRPr="00C837DD">
        <w:rPr>
          <w:sz w:val="20"/>
          <w:szCs w:val="20"/>
        </w:rPr>
        <w:t xml:space="preserve">request </w:t>
      </w:r>
      <w:r w:rsidR="0097795A" w:rsidRPr="00C837DD">
        <w:rPr>
          <w:sz w:val="20"/>
          <w:szCs w:val="20"/>
        </w:rPr>
        <w:t xml:space="preserve">to authorize </w:t>
      </w:r>
      <w:r w:rsidRPr="00C837DD">
        <w:rPr>
          <w:sz w:val="20"/>
          <w:szCs w:val="20"/>
        </w:rPr>
        <w:t xml:space="preserve">the </w:t>
      </w:r>
      <w:r w:rsidR="002C0242" w:rsidRPr="00C837DD">
        <w:rPr>
          <w:sz w:val="20"/>
          <w:szCs w:val="20"/>
        </w:rPr>
        <w:t xml:space="preserve">criminal prosecution of the </w:t>
      </w:r>
      <w:r w:rsidRPr="00C837DD">
        <w:rPr>
          <w:sz w:val="20"/>
          <w:szCs w:val="20"/>
        </w:rPr>
        <w:t>then deputy</w:t>
      </w:r>
      <w:r w:rsidR="0097795A" w:rsidRPr="00C837DD">
        <w:rPr>
          <w:sz w:val="20"/>
          <w:szCs w:val="20"/>
        </w:rPr>
        <w:t>,</w:t>
      </w:r>
      <w:r w:rsidRPr="00C837DD">
        <w:rPr>
          <w:sz w:val="20"/>
          <w:szCs w:val="20"/>
          <w:vertAlign w:val="superscript"/>
        </w:rPr>
        <w:footnoteReference w:id="217"/>
      </w:r>
      <w:r w:rsidRPr="00C837DD">
        <w:rPr>
          <w:sz w:val="20"/>
          <w:szCs w:val="20"/>
        </w:rPr>
        <w:t xml:space="preserve"> which </w:t>
      </w:r>
      <w:r w:rsidR="002C0242" w:rsidRPr="00C837DD">
        <w:rPr>
          <w:sz w:val="20"/>
          <w:szCs w:val="20"/>
        </w:rPr>
        <w:t xml:space="preserve">was </w:t>
      </w:r>
      <w:r w:rsidRPr="00C837DD">
        <w:rPr>
          <w:sz w:val="20"/>
          <w:szCs w:val="20"/>
        </w:rPr>
        <w:t xml:space="preserve">also </w:t>
      </w:r>
      <w:r w:rsidR="002C0242" w:rsidRPr="00C837DD">
        <w:rPr>
          <w:sz w:val="20"/>
          <w:szCs w:val="20"/>
        </w:rPr>
        <w:t>denied</w:t>
      </w:r>
      <w:r w:rsidRPr="00C837DD">
        <w:rPr>
          <w:sz w:val="20"/>
          <w:szCs w:val="20"/>
        </w:rPr>
        <w:t xml:space="preserve">. </w:t>
      </w:r>
      <w:r w:rsidR="002C0242" w:rsidRPr="00C837DD">
        <w:rPr>
          <w:sz w:val="20"/>
          <w:szCs w:val="20"/>
        </w:rPr>
        <w:t>In</w:t>
      </w:r>
      <w:r w:rsidR="00482E0A" w:rsidRPr="00C837DD">
        <w:rPr>
          <w:sz w:val="20"/>
          <w:szCs w:val="20"/>
        </w:rPr>
        <w:t xml:space="preserve"> fact</w:t>
      </w:r>
      <w:r w:rsidR="002C0242" w:rsidRPr="00C837DD">
        <w:rPr>
          <w:sz w:val="20"/>
          <w:szCs w:val="20"/>
        </w:rPr>
        <w:t xml:space="preserve">, </w:t>
      </w:r>
      <w:r w:rsidR="00482E0A" w:rsidRPr="00C837DD">
        <w:rPr>
          <w:sz w:val="20"/>
          <w:szCs w:val="20"/>
        </w:rPr>
        <w:t xml:space="preserve">by means of an </w:t>
      </w:r>
      <w:r w:rsidR="002C0242" w:rsidRPr="00C837DD">
        <w:rPr>
          <w:sz w:val="20"/>
          <w:szCs w:val="20"/>
        </w:rPr>
        <w:t xml:space="preserve">official letter sent </w:t>
      </w:r>
      <w:r w:rsidRPr="00C837DD">
        <w:rPr>
          <w:sz w:val="20"/>
          <w:szCs w:val="20"/>
        </w:rPr>
        <w:t>by the Presiden</w:t>
      </w:r>
      <w:r w:rsidR="002C0242" w:rsidRPr="00C837DD">
        <w:rPr>
          <w:sz w:val="20"/>
          <w:szCs w:val="20"/>
        </w:rPr>
        <w:t xml:space="preserve">t of the Legislative Assembly to the President of the </w:t>
      </w:r>
      <w:r w:rsidRPr="00C837DD">
        <w:rPr>
          <w:sz w:val="20"/>
          <w:szCs w:val="20"/>
        </w:rPr>
        <w:t xml:space="preserve">Court of Justice in February 2000, the decision </w:t>
      </w:r>
      <w:r w:rsidR="008916FD" w:rsidRPr="00C837DD">
        <w:rPr>
          <w:sz w:val="20"/>
          <w:szCs w:val="20"/>
        </w:rPr>
        <w:t xml:space="preserve">of the legislative body </w:t>
      </w:r>
      <w:r w:rsidR="00482E0A" w:rsidRPr="00C837DD">
        <w:rPr>
          <w:sz w:val="20"/>
          <w:szCs w:val="20"/>
        </w:rPr>
        <w:t xml:space="preserve">was reported </w:t>
      </w:r>
      <w:r w:rsidRPr="00C837DD">
        <w:rPr>
          <w:sz w:val="20"/>
          <w:szCs w:val="20"/>
        </w:rPr>
        <w:t>in the following terms:</w:t>
      </w:r>
    </w:p>
    <w:p w14:paraId="46F01F09" w14:textId="77777777" w:rsidR="00F85D5F" w:rsidRPr="00C837DD" w:rsidRDefault="00F85D5F" w:rsidP="00F85D5F">
      <w:pPr>
        <w:tabs>
          <w:tab w:val="left" w:pos="142"/>
        </w:tabs>
        <w:jc w:val="both"/>
        <w:rPr>
          <w:sz w:val="20"/>
          <w:szCs w:val="20"/>
        </w:rPr>
      </w:pPr>
    </w:p>
    <w:p w14:paraId="04E3669A" w14:textId="792475C2" w:rsidR="00F85D5F" w:rsidRPr="00C837DD" w:rsidRDefault="00F85D5F" w:rsidP="00F85D5F">
      <w:pPr>
        <w:ind w:left="851" w:right="684"/>
        <w:jc w:val="both"/>
        <w:rPr>
          <w:sz w:val="16"/>
          <w:szCs w:val="16"/>
        </w:rPr>
      </w:pPr>
      <w:r w:rsidRPr="00C837DD">
        <w:rPr>
          <w:sz w:val="16"/>
          <w:szCs w:val="16"/>
        </w:rPr>
        <w:t>[...]</w:t>
      </w:r>
      <w:r w:rsidR="009229C8" w:rsidRPr="00C837DD">
        <w:rPr>
          <w:sz w:val="16"/>
          <w:szCs w:val="16"/>
        </w:rPr>
        <w:t xml:space="preserve"> </w:t>
      </w:r>
      <w:r w:rsidR="0097795A" w:rsidRPr="00C837DD">
        <w:rPr>
          <w:sz w:val="16"/>
          <w:szCs w:val="16"/>
        </w:rPr>
        <w:t xml:space="preserve">the Council of Ethics and Parliamentary Decorum, in a meeting held on September 29, 1999, decided to accept the defense's </w:t>
      </w:r>
      <w:r w:rsidR="00482E0A" w:rsidRPr="00C837DD">
        <w:rPr>
          <w:sz w:val="16"/>
          <w:szCs w:val="16"/>
        </w:rPr>
        <w:t>opinion to archive</w:t>
      </w:r>
      <w:r w:rsidR="009229C8" w:rsidRPr="00C837DD">
        <w:rPr>
          <w:sz w:val="16"/>
          <w:szCs w:val="16"/>
        </w:rPr>
        <w:t xml:space="preserve"> </w:t>
      </w:r>
      <w:r w:rsidRPr="00C837DD">
        <w:rPr>
          <w:sz w:val="16"/>
          <w:szCs w:val="16"/>
        </w:rPr>
        <w:t xml:space="preserve">the request </w:t>
      </w:r>
      <w:r w:rsidR="00482E0A" w:rsidRPr="00C837DD">
        <w:rPr>
          <w:sz w:val="16"/>
          <w:szCs w:val="16"/>
        </w:rPr>
        <w:t xml:space="preserve">for </w:t>
      </w:r>
      <w:r w:rsidRPr="00C837DD">
        <w:rPr>
          <w:sz w:val="16"/>
          <w:szCs w:val="16"/>
        </w:rPr>
        <w:t>ren</w:t>
      </w:r>
      <w:r w:rsidR="009229C8" w:rsidRPr="00C837DD">
        <w:rPr>
          <w:sz w:val="16"/>
          <w:szCs w:val="16"/>
        </w:rPr>
        <w:t xml:space="preserve">ewal </w:t>
      </w:r>
      <w:r w:rsidRPr="00C837DD">
        <w:rPr>
          <w:sz w:val="16"/>
          <w:szCs w:val="16"/>
        </w:rPr>
        <w:t xml:space="preserve">of </w:t>
      </w:r>
      <w:r w:rsidR="00482E0A" w:rsidRPr="00C837DD">
        <w:rPr>
          <w:sz w:val="16"/>
          <w:szCs w:val="16"/>
        </w:rPr>
        <w:t xml:space="preserve">authorization </w:t>
      </w:r>
      <w:r w:rsidRPr="00C837DD">
        <w:rPr>
          <w:sz w:val="16"/>
          <w:szCs w:val="16"/>
        </w:rPr>
        <w:t>for the ini</w:t>
      </w:r>
      <w:r w:rsidR="009229C8" w:rsidRPr="00C837DD">
        <w:rPr>
          <w:sz w:val="16"/>
          <w:szCs w:val="16"/>
        </w:rPr>
        <w:t xml:space="preserve">tiation </w:t>
      </w:r>
      <w:r w:rsidR="008916FD" w:rsidRPr="00C837DD">
        <w:rPr>
          <w:sz w:val="16"/>
          <w:szCs w:val="16"/>
        </w:rPr>
        <w:t xml:space="preserve">of the </w:t>
      </w:r>
      <w:r w:rsidR="00FD20D2" w:rsidRPr="00C837DD">
        <w:rPr>
          <w:sz w:val="16"/>
          <w:szCs w:val="16"/>
        </w:rPr>
        <w:t xml:space="preserve">criminal </w:t>
      </w:r>
      <w:r w:rsidR="009229C8" w:rsidRPr="00C837DD">
        <w:rPr>
          <w:sz w:val="16"/>
          <w:szCs w:val="16"/>
        </w:rPr>
        <w:t xml:space="preserve">action </w:t>
      </w:r>
      <w:r w:rsidR="008916FD" w:rsidRPr="00C837DD">
        <w:rPr>
          <w:sz w:val="16"/>
          <w:szCs w:val="16"/>
        </w:rPr>
        <w:t xml:space="preserve">against </w:t>
      </w:r>
      <w:r w:rsidRPr="00C837DD">
        <w:rPr>
          <w:sz w:val="16"/>
          <w:szCs w:val="16"/>
        </w:rPr>
        <w:t xml:space="preserve">Deputy Aércio Pereira, </w:t>
      </w:r>
      <w:r w:rsidR="00482E0A" w:rsidRPr="00C837DD">
        <w:rPr>
          <w:sz w:val="16"/>
          <w:szCs w:val="16"/>
        </w:rPr>
        <w:t xml:space="preserve">due to the fact </w:t>
      </w:r>
      <w:r w:rsidR="008916FD" w:rsidRPr="00C837DD">
        <w:rPr>
          <w:sz w:val="16"/>
          <w:szCs w:val="16"/>
        </w:rPr>
        <w:t xml:space="preserve">that the Plenary of this </w:t>
      </w:r>
      <w:r w:rsidRPr="00C837DD">
        <w:rPr>
          <w:sz w:val="16"/>
          <w:szCs w:val="16"/>
        </w:rPr>
        <w:t>Chamber ha</w:t>
      </w:r>
      <w:r w:rsidR="008916FD" w:rsidRPr="00C837DD">
        <w:rPr>
          <w:sz w:val="16"/>
          <w:szCs w:val="16"/>
        </w:rPr>
        <w:t>s</w:t>
      </w:r>
      <w:r w:rsidRPr="00C837DD">
        <w:rPr>
          <w:sz w:val="16"/>
          <w:szCs w:val="16"/>
        </w:rPr>
        <w:t xml:space="preserve"> den</w:t>
      </w:r>
      <w:r w:rsidR="008916FD" w:rsidRPr="00C837DD">
        <w:rPr>
          <w:sz w:val="16"/>
          <w:szCs w:val="16"/>
        </w:rPr>
        <w:t xml:space="preserve">ied </w:t>
      </w:r>
      <w:r w:rsidR="00482E0A" w:rsidRPr="00C837DD">
        <w:rPr>
          <w:sz w:val="16"/>
          <w:szCs w:val="16"/>
        </w:rPr>
        <w:t xml:space="preserve">an </w:t>
      </w:r>
      <w:r w:rsidR="009229C8" w:rsidRPr="00C837DD">
        <w:rPr>
          <w:sz w:val="16"/>
          <w:szCs w:val="16"/>
        </w:rPr>
        <w:t>identical request</w:t>
      </w:r>
      <w:r w:rsidRPr="00C837DD">
        <w:rPr>
          <w:sz w:val="16"/>
          <w:szCs w:val="16"/>
        </w:rPr>
        <w:t xml:space="preserve"> </w:t>
      </w:r>
      <w:r w:rsidR="00B20834">
        <w:rPr>
          <w:sz w:val="16"/>
          <w:szCs w:val="16"/>
        </w:rPr>
        <w:t xml:space="preserve">under </w:t>
      </w:r>
      <w:r w:rsidRPr="00C837DD">
        <w:rPr>
          <w:sz w:val="16"/>
          <w:szCs w:val="16"/>
        </w:rPr>
        <w:t xml:space="preserve">Resolution </w:t>
      </w:r>
      <w:r w:rsidR="00A43295" w:rsidRPr="00C837DD">
        <w:rPr>
          <w:sz w:val="16"/>
          <w:szCs w:val="16"/>
        </w:rPr>
        <w:t>No</w:t>
      </w:r>
      <w:r w:rsidRPr="00C837DD">
        <w:rPr>
          <w:sz w:val="16"/>
          <w:szCs w:val="16"/>
        </w:rPr>
        <w:t>. 614/98 […]</w:t>
      </w:r>
      <w:r w:rsidR="00B30756">
        <w:rPr>
          <w:sz w:val="16"/>
          <w:szCs w:val="16"/>
        </w:rPr>
        <w:t>.</w:t>
      </w:r>
      <w:r w:rsidRPr="00C837DD">
        <w:rPr>
          <w:sz w:val="16"/>
          <w:szCs w:val="16"/>
          <w:vertAlign w:val="superscript"/>
        </w:rPr>
        <w:footnoteReference w:id="218"/>
      </w:r>
    </w:p>
    <w:p w14:paraId="22E3DC9E" w14:textId="77777777" w:rsidR="00F85D5F" w:rsidRPr="00C837DD" w:rsidRDefault="00F85D5F" w:rsidP="00F85D5F">
      <w:pPr>
        <w:tabs>
          <w:tab w:val="left" w:pos="142"/>
        </w:tabs>
        <w:jc w:val="both"/>
        <w:rPr>
          <w:sz w:val="18"/>
          <w:szCs w:val="18"/>
        </w:rPr>
      </w:pPr>
    </w:p>
    <w:p w14:paraId="1A93557E" w14:textId="340A1848" w:rsidR="00F85D5F" w:rsidRPr="00C837DD" w:rsidRDefault="002E7C11" w:rsidP="00F85D5F">
      <w:pPr>
        <w:numPr>
          <w:ilvl w:val="0"/>
          <w:numId w:val="6"/>
        </w:numPr>
        <w:tabs>
          <w:tab w:val="left" w:pos="142"/>
        </w:tabs>
        <w:ind w:left="0" w:firstLine="0"/>
        <w:jc w:val="both"/>
        <w:rPr>
          <w:sz w:val="20"/>
          <w:szCs w:val="20"/>
        </w:rPr>
      </w:pPr>
      <w:r w:rsidRPr="00C837DD">
        <w:rPr>
          <w:sz w:val="20"/>
          <w:szCs w:val="20"/>
        </w:rPr>
        <w:t xml:space="preserve">As </w:t>
      </w:r>
      <w:r w:rsidR="00B30756">
        <w:rPr>
          <w:sz w:val="20"/>
          <w:szCs w:val="20"/>
        </w:rPr>
        <w:t xml:space="preserve">is evident </w:t>
      </w:r>
      <w:r w:rsidRPr="00C837DD">
        <w:rPr>
          <w:sz w:val="20"/>
          <w:szCs w:val="20"/>
        </w:rPr>
        <w:t xml:space="preserve">from the </w:t>
      </w:r>
      <w:r w:rsidR="00F85D5F" w:rsidRPr="00C837DD">
        <w:rPr>
          <w:sz w:val="20"/>
          <w:szCs w:val="20"/>
        </w:rPr>
        <w:t xml:space="preserve">text of </w:t>
      </w:r>
      <w:r w:rsidR="00FD4B42" w:rsidRPr="00C837DD">
        <w:rPr>
          <w:sz w:val="20"/>
          <w:szCs w:val="20"/>
        </w:rPr>
        <w:t>both</w:t>
      </w:r>
      <w:r w:rsidR="00F85D5F" w:rsidRPr="00C837DD">
        <w:rPr>
          <w:sz w:val="20"/>
          <w:szCs w:val="20"/>
        </w:rPr>
        <w:t xml:space="preserve"> decisions</w:t>
      </w:r>
      <w:r w:rsidRPr="00C837DD">
        <w:rPr>
          <w:sz w:val="20"/>
          <w:szCs w:val="20"/>
        </w:rPr>
        <w:t xml:space="preserve"> cited above</w:t>
      </w:r>
      <w:r w:rsidR="00F85D5F" w:rsidRPr="00C837DD">
        <w:rPr>
          <w:sz w:val="20"/>
          <w:szCs w:val="20"/>
        </w:rPr>
        <w:t xml:space="preserve">, the Court </w:t>
      </w:r>
      <w:r w:rsidRPr="00C837DD">
        <w:rPr>
          <w:sz w:val="20"/>
          <w:szCs w:val="20"/>
        </w:rPr>
        <w:t xml:space="preserve">notes </w:t>
      </w:r>
      <w:r w:rsidR="00F85D5F" w:rsidRPr="00C837DD">
        <w:rPr>
          <w:sz w:val="20"/>
          <w:szCs w:val="20"/>
        </w:rPr>
        <w:t xml:space="preserve">that the Legislative Assembly of Paraíba </w:t>
      </w:r>
      <w:r w:rsidRPr="00C837DD">
        <w:rPr>
          <w:sz w:val="20"/>
          <w:szCs w:val="20"/>
        </w:rPr>
        <w:t xml:space="preserve">did not </w:t>
      </w:r>
      <w:r w:rsidR="00482E0A" w:rsidRPr="00C837DD">
        <w:rPr>
          <w:sz w:val="20"/>
          <w:szCs w:val="20"/>
        </w:rPr>
        <w:t>state any reasons</w:t>
      </w:r>
      <w:r w:rsidR="00F85D5F" w:rsidRPr="00C837DD">
        <w:rPr>
          <w:sz w:val="20"/>
          <w:szCs w:val="20"/>
        </w:rPr>
        <w:t xml:space="preserve">, </w:t>
      </w:r>
      <w:r w:rsidR="00482E0A" w:rsidRPr="00C837DD">
        <w:rPr>
          <w:sz w:val="20"/>
          <w:szCs w:val="20"/>
        </w:rPr>
        <w:t xml:space="preserve">and therefore it is presumed </w:t>
      </w:r>
      <w:r w:rsidR="00F85D5F" w:rsidRPr="00C837DD">
        <w:rPr>
          <w:sz w:val="20"/>
          <w:szCs w:val="20"/>
        </w:rPr>
        <w:t>that</w:t>
      </w:r>
      <w:r w:rsidRPr="00C837DD">
        <w:rPr>
          <w:sz w:val="20"/>
          <w:szCs w:val="20"/>
        </w:rPr>
        <w:t xml:space="preserve"> </w:t>
      </w:r>
      <w:r w:rsidR="000F6A4B" w:rsidRPr="00C837DD">
        <w:rPr>
          <w:sz w:val="20"/>
          <w:szCs w:val="20"/>
        </w:rPr>
        <w:t xml:space="preserve">no analysis was </w:t>
      </w:r>
      <w:r w:rsidR="00482E0A" w:rsidRPr="00C837DD">
        <w:rPr>
          <w:sz w:val="20"/>
          <w:szCs w:val="20"/>
        </w:rPr>
        <w:t>c</w:t>
      </w:r>
      <w:r w:rsidR="000F6A4B" w:rsidRPr="00C837DD">
        <w:rPr>
          <w:sz w:val="20"/>
          <w:szCs w:val="20"/>
        </w:rPr>
        <w:t xml:space="preserve">arried out </w:t>
      </w:r>
      <w:r w:rsidRPr="00C837DD">
        <w:rPr>
          <w:sz w:val="20"/>
          <w:szCs w:val="20"/>
        </w:rPr>
        <w:t xml:space="preserve">of </w:t>
      </w:r>
      <w:r w:rsidR="00482E0A" w:rsidRPr="00C837DD">
        <w:rPr>
          <w:sz w:val="20"/>
          <w:szCs w:val="20"/>
        </w:rPr>
        <w:t xml:space="preserve">a </w:t>
      </w:r>
      <w:r w:rsidRPr="00C837DD">
        <w:rPr>
          <w:sz w:val="20"/>
          <w:szCs w:val="20"/>
        </w:rPr>
        <w:t xml:space="preserve">possible </w:t>
      </w:r>
      <w:r w:rsidR="00F85D5F" w:rsidRPr="00C837DD">
        <w:rPr>
          <w:i/>
          <w:sz w:val="20"/>
          <w:szCs w:val="20"/>
        </w:rPr>
        <w:t>fumus persecutionis</w:t>
      </w:r>
      <w:r w:rsidR="00F85D5F" w:rsidRPr="00C837DD">
        <w:rPr>
          <w:sz w:val="20"/>
          <w:szCs w:val="20"/>
        </w:rPr>
        <w:t xml:space="preserve"> of the </w:t>
      </w:r>
      <w:r w:rsidRPr="00C837DD">
        <w:rPr>
          <w:sz w:val="20"/>
          <w:szCs w:val="20"/>
        </w:rPr>
        <w:t xml:space="preserve">criminal </w:t>
      </w:r>
      <w:r w:rsidR="00F85D5F" w:rsidRPr="00C837DD">
        <w:rPr>
          <w:sz w:val="20"/>
          <w:szCs w:val="20"/>
        </w:rPr>
        <w:t xml:space="preserve">action </w:t>
      </w:r>
      <w:r w:rsidRPr="00C837DD">
        <w:rPr>
          <w:sz w:val="20"/>
          <w:szCs w:val="20"/>
        </w:rPr>
        <w:t>for which authorization was being sought</w:t>
      </w:r>
      <w:r w:rsidR="00F85D5F" w:rsidRPr="00C837DD">
        <w:rPr>
          <w:sz w:val="20"/>
          <w:szCs w:val="20"/>
        </w:rPr>
        <w:t xml:space="preserve">. </w:t>
      </w:r>
    </w:p>
    <w:p w14:paraId="2143902D" w14:textId="77777777" w:rsidR="00F85D5F" w:rsidRPr="00C837DD" w:rsidRDefault="00F85D5F" w:rsidP="00F85D5F">
      <w:pPr>
        <w:tabs>
          <w:tab w:val="left" w:pos="142"/>
        </w:tabs>
        <w:jc w:val="both"/>
        <w:rPr>
          <w:sz w:val="20"/>
          <w:szCs w:val="20"/>
        </w:rPr>
      </w:pPr>
    </w:p>
    <w:p w14:paraId="37FEDA2D" w14:textId="7845C71D" w:rsidR="00F85D5F" w:rsidRPr="00C837DD" w:rsidRDefault="002E7C11" w:rsidP="000414A7">
      <w:pPr>
        <w:numPr>
          <w:ilvl w:val="0"/>
          <w:numId w:val="6"/>
        </w:numPr>
        <w:tabs>
          <w:tab w:val="left" w:pos="142"/>
        </w:tabs>
        <w:ind w:left="0" w:firstLine="0"/>
        <w:jc w:val="both"/>
        <w:rPr>
          <w:sz w:val="20"/>
          <w:szCs w:val="20"/>
        </w:rPr>
      </w:pPr>
      <w:r w:rsidRPr="00C837DD">
        <w:rPr>
          <w:sz w:val="20"/>
          <w:szCs w:val="20"/>
        </w:rPr>
        <w:t>Furthermore</w:t>
      </w:r>
      <w:r w:rsidR="00F85D5F" w:rsidRPr="00C837DD">
        <w:rPr>
          <w:sz w:val="20"/>
          <w:szCs w:val="20"/>
        </w:rPr>
        <w:t xml:space="preserve">, the Court </w:t>
      </w:r>
      <w:r w:rsidR="00482E0A" w:rsidRPr="00C837DD">
        <w:rPr>
          <w:sz w:val="20"/>
          <w:szCs w:val="20"/>
        </w:rPr>
        <w:t xml:space="preserve">finds </w:t>
      </w:r>
      <w:r w:rsidR="00F85D5F" w:rsidRPr="00C837DD">
        <w:rPr>
          <w:sz w:val="20"/>
          <w:szCs w:val="20"/>
        </w:rPr>
        <w:t xml:space="preserve">that the </w:t>
      </w:r>
      <w:r w:rsidR="00FD4B42" w:rsidRPr="00C837DD">
        <w:rPr>
          <w:sz w:val="20"/>
          <w:szCs w:val="20"/>
        </w:rPr>
        <w:t>procedure</w:t>
      </w:r>
      <w:r w:rsidR="00F85D5F" w:rsidRPr="00C837DD">
        <w:rPr>
          <w:sz w:val="20"/>
          <w:szCs w:val="20"/>
        </w:rPr>
        <w:t xml:space="preserve"> </w:t>
      </w:r>
      <w:r w:rsidR="00FD4B42" w:rsidRPr="00C837DD">
        <w:rPr>
          <w:sz w:val="20"/>
          <w:szCs w:val="20"/>
        </w:rPr>
        <w:t xml:space="preserve">followed after </w:t>
      </w:r>
      <w:r w:rsidR="00F85D5F" w:rsidRPr="00C837DD">
        <w:rPr>
          <w:sz w:val="20"/>
          <w:szCs w:val="20"/>
        </w:rPr>
        <w:t>the se</w:t>
      </w:r>
      <w:r w:rsidR="00FD4B42" w:rsidRPr="00C837DD">
        <w:rPr>
          <w:sz w:val="20"/>
          <w:szCs w:val="20"/>
        </w:rPr>
        <w:t xml:space="preserve">cond </w:t>
      </w:r>
      <w:r w:rsidR="00F85D5F" w:rsidRPr="00C837DD">
        <w:rPr>
          <w:sz w:val="20"/>
          <w:szCs w:val="20"/>
        </w:rPr>
        <w:t xml:space="preserve">request </w:t>
      </w:r>
      <w:r w:rsidRPr="00C837DD">
        <w:rPr>
          <w:sz w:val="20"/>
          <w:szCs w:val="20"/>
        </w:rPr>
        <w:t xml:space="preserve">for </w:t>
      </w:r>
      <w:r w:rsidR="00482E0A" w:rsidRPr="00C837DD">
        <w:rPr>
          <w:sz w:val="20"/>
          <w:szCs w:val="20"/>
        </w:rPr>
        <w:t xml:space="preserve">authorization </w:t>
      </w:r>
      <w:r w:rsidR="00FD4B42" w:rsidRPr="00C837DD">
        <w:rPr>
          <w:sz w:val="20"/>
          <w:szCs w:val="20"/>
        </w:rPr>
        <w:t xml:space="preserve">had </w:t>
      </w:r>
      <w:r w:rsidR="00F85D5F" w:rsidRPr="00C837DD">
        <w:rPr>
          <w:sz w:val="20"/>
          <w:szCs w:val="20"/>
        </w:rPr>
        <w:t>a serie</w:t>
      </w:r>
      <w:r w:rsidR="00FD4B42" w:rsidRPr="00C837DD">
        <w:rPr>
          <w:sz w:val="20"/>
          <w:szCs w:val="20"/>
        </w:rPr>
        <w:t>s</w:t>
      </w:r>
      <w:r w:rsidR="00F85D5F" w:rsidRPr="00C837DD">
        <w:rPr>
          <w:sz w:val="20"/>
          <w:szCs w:val="20"/>
        </w:rPr>
        <w:t xml:space="preserve"> of irregularities</w:t>
      </w:r>
      <w:r w:rsidR="00C8711B" w:rsidRPr="00C837DD">
        <w:rPr>
          <w:sz w:val="20"/>
          <w:szCs w:val="20"/>
        </w:rPr>
        <w:t xml:space="preserve"> -</w:t>
      </w:r>
      <w:r w:rsidR="00F85D5F" w:rsidRPr="00C837DD">
        <w:rPr>
          <w:sz w:val="20"/>
          <w:szCs w:val="20"/>
        </w:rPr>
        <w:t xml:space="preserve"> </w:t>
      </w:r>
      <w:r w:rsidR="000414A7" w:rsidRPr="00C837DD">
        <w:rPr>
          <w:sz w:val="20"/>
          <w:szCs w:val="20"/>
        </w:rPr>
        <w:t xml:space="preserve">in addition to </w:t>
      </w:r>
      <w:r w:rsidRPr="00C837DD">
        <w:rPr>
          <w:sz w:val="20"/>
          <w:szCs w:val="20"/>
        </w:rPr>
        <w:t xml:space="preserve">the lack of </w:t>
      </w:r>
      <w:r w:rsidR="000F6A4B" w:rsidRPr="00C837DD">
        <w:rPr>
          <w:sz w:val="20"/>
          <w:szCs w:val="20"/>
        </w:rPr>
        <w:t xml:space="preserve">justification for </w:t>
      </w:r>
      <w:r w:rsidRPr="00C837DD">
        <w:rPr>
          <w:sz w:val="20"/>
          <w:szCs w:val="20"/>
        </w:rPr>
        <w:t>the final decision</w:t>
      </w:r>
      <w:r w:rsidR="00C8711B" w:rsidRPr="00C837DD">
        <w:rPr>
          <w:sz w:val="20"/>
          <w:szCs w:val="20"/>
        </w:rPr>
        <w:t>-</w:t>
      </w:r>
      <w:r w:rsidR="00F85D5F" w:rsidRPr="00C837DD">
        <w:rPr>
          <w:sz w:val="20"/>
          <w:szCs w:val="20"/>
        </w:rPr>
        <w:t xml:space="preserve"> </w:t>
      </w:r>
      <w:r w:rsidRPr="00C837DD">
        <w:rPr>
          <w:sz w:val="20"/>
          <w:szCs w:val="20"/>
        </w:rPr>
        <w:t>particular</w:t>
      </w:r>
      <w:r w:rsidR="000414A7" w:rsidRPr="00C837DD">
        <w:rPr>
          <w:sz w:val="20"/>
          <w:szCs w:val="20"/>
        </w:rPr>
        <w:t>ly</w:t>
      </w:r>
      <w:r w:rsidRPr="00C837DD">
        <w:rPr>
          <w:sz w:val="20"/>
          <w:szCs w:val="20"/>
        </w:rPr>
        <w:t xml:space="preserve"> the failure to observe the </w:t>
      </w:r>
      <w:r w:rsidR="00FD4B42" w:rsidRPr="00C837DD">
        <w:rPr>
          <w:sz w:val="20"/>
          <w:szCs w:val="20"/>
        </w:rPr>
        <w:t>procedure</w:t>
      </w:r>
      <w:r w:rsidR="00F85D5F" w:rsidRPr="00C837DD">
        <w:rPr>
          <w:sz w:val="20"/>
          <w:szCs w:val="20"/>
        </w:rPr>
        <w:t xml:space="preserve"> </w:t>
      </w:r>
      <w:r w:rsidR="00FD4B42" w:rsidRPr="00C837DD">
        <w:rPr>
          <w:sz w:val="20"/>
          <w:szCs w:val="20"/>
        </w:rPr>
        <w:t xml:space="preserve">established </w:t>
      </w:r>
      <w:r w:rsidR="00F85D5F" w:rsidRPr="00C837DD">
        <w:rPr>
          <w:sz w:val="20"/>
          <w:szCs w:val="20"/>
        </w:rPr>
        <w:t xml:space="preserve">in the </w:t>
      </w:r>
      <w:r w:rsidR="000414A7" w:rsidRPr="00C837DD">
        <w:rPr>
          <w:sz w:val="20"/>
          <w:szCs w:val="20"/>
        </w:rPr>
        <w:t xml:space="preserve">Internal Rules of Procedure of the Legislative Assembly </w:t>
      </w:r>
      <w:r w:rsidR="00C8711B" w:rsidRPr="00C837DD">
        <w:rPr>
          <w:sz w:val="20"/>
          <w:szCs w:val="20"/>
        </w:rPr>
        <w:t xml:space="preserve">as to which </w:t>
      </w:r>
      <w:r w:rsidR="000414A7" w:rsidRPr="00C837DD">
        <w:rPr>
          <w:sz w:val="20"/>
          <w:szCs w:val="20"/>
        </w:rPr>
        <w:t xml:space="preserve">body of the Assembly should prepare the written opinion </w:t>
      </w:r>
      <w:r w:rsidR="00C8711B" w:rsidRPr="00C837DD">
        <w:rPr>
          <w:sz w:val="20"/>
          <w:szCs w:val="20"/>
        </w:rPr>
        <w:t xml:space="preserve">("parecer") </w:t>
      </w:r>
      <w:r w:rsidR="00F85D5F" w:rsidRPr="00C837DD">
        <w:rPr>
          <w:sz w:val="20"/>
          <w:szCs w:val="20"/>
        </w:rPr>
        <w:t xml:space="preserve">on the request, as well as the absence of </w:t>
      </w:r>
      <w:r w:rsidR="00FD4B42" w:rsidRPr="00C837DD">
        <w:rPr>
          <w:sz w:val="20"/>
          <w:szCs w:val="20"/>
        </w:rPr>
        <w:t>a vote by the Plenary.</w:t>
      </w:r>
      <w:r w:rsidR="00F85D5F" w:rsidRPr="00C837DD">
        <w:rPr>
          <w:rStyle w:val="Refdenotaalpie"/>
          <w:sz w:val="20"/>
          <w:szCs w:val="20"/>
        </w:rPr>
        <w:footnoteReference w:id="219"/>
      </w:r>
      <w:r w:rsidR="00F85D5F" w:rsidRPr="00C837DD">
        <w:rPr>
          <w:sz w:val="20"/>
          <w:szCs w:val="20"/>
        </w:rPr>
        <w:t xml:space="preserve"> </w:t>
      </w:r>
      <w:r w:rsidR="004424CA">
        <w:rPr>
          <w:sz w:val="20"/>
          <w:szCs w:val="20"/>
        </w:rPr>
        <w:t>In addition</w:t>
      </w:r>
      <w:r w:rsidR="000414A7" w:rsidRPr="00C837DD">
        <w:rPr>
          <w:sz w:val="20"/>
          <w:szCs w:val="20"/>
        </w:rPr>
        <w:t xml:space="preserve">, </w:t>
      </w:r>
      <w:r w:rsidRPr="00C837DD">
        <w:rPr>
          <w:sz w:val="20"/>
          <w:szCs w:val="20"/>
        </w:rPr>
        <w:t xml:space="preserve">according to </w:t>
      </w:r>
      <w:r w:rsidR="00F85D5F" w:rsidRPr="00C837DD">
        <w:rPr>
          <w:sz w:val="20"/>
          <w:szCs w:val="20"/>
        </w:rPr>
        <w:t xml:space="preserve">the </w:t>
      </w:r>
      <w:r w:rsidR="00FD4B42" w:rsidRPr="00C837DD">
        <w:rPr>
          <w:sz w:val="20"/>
          <w:szCs w:val="20"/>
        </w:rPr>
        <w:t>witness</w:t>
      </w:r>
      <w:r w:rsidR="00F85D5F" w:rsidRPr="00C837DD">
        <w:rPr>
          <w:sz w:val="20"/>
          <w:szCs w:val="20"/>
        </w:rPr>
        <w:t xml:space="preserve"> Valquíria Alencar, the opin</w:t>
      </w:r>
      <w:r w:rsidR="00FD4B42" w:rsidRPr="00C837DD">
        <w:rPr>
          <w:sz w:val="20"/>
          <w:szCs w:val="20"/>
        </w:rPr>
        <w:t xml:space="preserve">ion of the </w:t>
      </w:r>
      <w:r w:rsidR="000414A7" w:rsidRPr="00C837DD">
        <w:rPr>
          <w:sz w:val="20"/>
          <w:szCs w:val="20"/>
        </w:rPr>
        <w:t xml:space="preserve">deputy rapporteur </w:t>
      </w:r>
      <w:r w:rsidR="00F85D5F" w:rsidRPr="00C837DD">
        <w:rPr>
          <w:sz w:val="20"/>
          <w:szCs w:val="20"/>
        </w:rPr>
        <w:t xml:space="preserve">was </w:t>
      </w:r>
      <w:r w:rsidR="00FD4B42" w:rsidRPr="00C837DD">
        <w:rPr>
          <w:sz w:val="20"/>
          <w:szCs w:val="20"/>
        </w:rPr>
        <w:t xml:space="preserve">not </w:t>
      </w:r>
      <w:r w:rsidR="00F85D5F" w:rsidRPr="00C837DD">
        <w:rPr>
          <w:sz w:val="20"/>
          <w:szCs w:val="20"/>
        </w:rPr>
        <w:t>consider</w:t>
      </w:r>
      <w:r w:rsidR="00FD4B42" w:rsidRPr="00C837DD">
        <w:rPr>
          <w:sz w:val="20"/>
          <w:szCs w:val="20"/>
        </w:rPr>
        <w:t>ed</w:t>
      </w:r>
      <w:r w:rsidR="00F85D5F" w:rsidRPr="00C837DD">
        <w:rPr>
          <w:sz w:val="20"/>
          <w:szCs w:val="20"/>
        </w:rPr>
        <w:t xml:space="preserve">; </w:t>
      </w:r>
      <w:r w:rsidR="00FD4B42" w:rsidRPr="00C837DD">
        <w:rPr>
          <w:sz w:val="20"/>
          <w:szCs w:val="20"/>
        </w:rPr>
        <w:t xml:space="preserve">one of the </w:t>
      </w:r>
      <w:r w:rsidR="00F85D5F" w:rsidRPr="00C837DD">
        <w:rPr>
          <w:sz w:val="20"/>
          <w:szCs w:val="20"/>
        </w:rPr>
        <w:t>a</w:t>
      </w:r>
      <w:r w:rsidR="00FD4B42" w:rsidRPr="00C837DD">
        <w:rPr>
          <w:sz w:val="20"/>
          <w:szCs w:val="20"/>
        </w:rPr>
        <w:t xml:space="preserve">bsent deputies could not be </w:t>
      </w:r>
      <w:r w:rsidR="000414A7" w:rsidRPr="00C837DD">
        <w:rPr>
          <w:sz w:val="20"/>
          <w:szCs w:val="20"/>
        </w:rPr>
        <w:t>replaced by her substitute</w:t>
      </w:r>
      <w:r w:rsidR="00C8711B" w:rsidRPr="00C837DD">
        <w:rPr>
          <w:sz w:val="20"/>
          <w:szCs w:val="20"/>
        </w:rPr>
        <w:t>;</w:t>
      </w:r>
      <w:r w:rsidR="00F85D5F" w:rsidRPr="00C837DD">
        <w:rPr>
          <w:sz w:val="20"/>
          <w:szCs w:val="20"/>
        </w:rPr>
        <w:t xml:space="preserve"> and </w:t>
      </w:r>
      <w:r w:rsidR="00FD4B42" w:rsidRPr="00C837DD">
        <w:rPr>
          <w:sz w:val="20"/>
          <w:szCs w:val="20"/>
        </w:rPr>
        <w:t>two female deputies were prevented from speaking.</w:t>
      </w:r>
      <w:r w:rsidR="00F85D5F" w:rsidRPr="00C837DD">
        <w:rPr>
          <w:rStyle w:val="Refdenotaalpie"/>
          <w:sz w:val="20"/>
          <w:szCs w:val="20"/>
        </w:rPr>
        <w:footnoteReference w:id="220"/>
      </w:r>
    </w:p>
    <w:p w14:paraId="4704C34B" w14:textId="77777777" w:rsidR="00F85D5F" w:rsidRPr="00C837DD" w:rsidRDefault="00F85D5F" w:rsidP="00F85D5F">
      <w:pPr>
        <w:pStyle w:val="Prrafodelista"/>
        <w:tabs>
          <w:tab w:val="left" w:pos="142"/>
        </w:tabs>
        <w:ind w:left="0"/>
        <w:rPr>
          <w:sz w:val="20"/>
          <w:szCs w:val="20"/>
        </w:rPr>
      </w:pPr>
    </w:p>
    <w:p w14:paraId="1CC4F103" w14:textId="68EF8F46"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w:t>
      </w:r>
      <w:r w:rsidR="00C8711B" w:rsidRPr="00C837DD">
        <w:rPr>
          <w:sz w:val="20"/>
          <w:szCs w:val="20"/>
        </w:rPr>
        <w:t xml:space="preserve">notes </w:t>
      </w:r>
      <w:r w:rsidRPr="00C837DD">
        <w:rPr>
          <w:sz w:val="20"/>
          <w:szCs w:val="20"/>
        </w:rPr>
        <w:t xml:space="preserve">that, </w:t>
      </w:r>
      <w:r w:rsidR="00C8711B" w:rsidRPr="00C837DD">
        <w:rPr>
          <w:sz w:val="20"/>
          <w:szCs w:val="20"/>
        </w:rPr>
        <w:t xml:space="preserve">since this is a case involving </w:t>
      </w:r>
      <w:r w:rsidRPr="00C837DD">
        <w:rPr>
          <w:sz w:val="20"/>
          <w:szCs w:val="20"/>
        </w:rPr>
        <w:t xml:space="preserve">the </w:t>
      </w:r>
      <w:r w:rsidR="00FD4B42" w:rsidRPr="00C837DD">
        <w:rPr>
          <w:sz w:val="20"/>
          <w:szCs w:val="20"/>
        </w:rPr>
        <w:t xml:space="preserve">violent </w:t>
      </w:r>
      <w:r w:rsidRPr="00C837DD">
        <w:rPr>
          <w:sz w:val="20"/>
          <w:szCs w:val="20"/>
        </w:rPr>
        <w:t xml:space="preserve">death of a </w:t>
      </w:r>
      <w:r w:rsidR="00FD4B42" w:rsidRPr="00C837DD">
        <w:rPr>
          <w:sz w:val="20"/>
          <w:szCs w:val="20"/>
        </w:rPr>
        <w:t xml:space="preserve">woman </w:t>
      </w:r>
      <w:r w:rsidRPr="00C837DD">
        <w:rPr>
          <w:sz w:val="20"/>
          <w:szCs w:val="20"/>
        </w:rPr>
        <w:t>(</w:t>
      </w:r>
      <w:r w:rsidRPr="00C837DD">
        <w:rPr>
          <w:i/>
          <w:sz w:val="20"/>
          <w:szCs w:val="20"/>
        </w:rPr>
        <w:t>supra</w:t>
      </w:r>
      <w:r w:rsidRPr="00C837DD">
        <w:rPr>
          <w:sz w:val="20"/>
          <w:szCs w:val="20"/>
        </w:rPr>
        <w:t xml:space="preserve"> para. 88), </w:t>
      </w:r>
      <w:r w:rsidR="004424CA">
        <w:rPr>
          <w:sz w:val="20"/>
          <w:szCs w:val="20"/>
        </w:rPr>
        <w:t xml:space="preserve">a matter that </w:t>
      </w:r>
      <w:r w:rsidR="00FD4B42" w:rsidRPr="00C837DD">
        <w:rPr>
          <w:sz w:val="20"/>
          <w:szCs w:val="20"/>
        </w:rPr>
        <w:t xml:space="preserve">is </w:t>
      </w:r>
      <w:r w:rsidR="00C8711B" w:rsidRPr="00C837DD">
        <w:rPr>
          <w:sz w:val="20"/>
          <w:szCs w:val="20"/>
        </w:rPr>
        <w:t xml:space="preserve">clearly </w:t>
      </w:r>
      <w:r w:rsidR="00FD4B42" w:rsidRPr="00C837DD">
        <w:rPr>
          <w:sz w:val="20"/>
          <w:szCs w:val="20"/>
        </w:rPr>
        <w:t xml:space="preserve">not related to </w:t>
      </w:r>
      <w:r w:rsidRPr="00C837DD">
        <w:rPr>
          <w:sz w:val="20"/>
          <w:szCs w:val="20"/>
        </w:rPr>
        <w:t xml:space="preserve">the exercise of </w:t>
      </w:r>
      <w:r w:rsidR="002E7C11" w:rsidRPr="00C837DD">
        <w:rPr>
          <w:sz w:val="20"/>
          <w:szCs w:val="20"/>
        </w:rPr>
        <w:t xml:space="preserve">a deputy’s </w:t>
      </w:r>
      <w:r w:rsidRPr="00C837DD">
        <w:rPr>
          <w:sz w:val="20"/>
          <w:szCs w:val="20"/>
        </w:rPr>
        <w:t>fun</w:t>
      </w:r>
      <w:r w:rsidR="008916FD" w:rsidRPr="00C837DD">
        <w:rPr>
          <w:sz w:val="20"/>
          <w:szCs w:val="20"/>
        </w:rPr>
        <w:t>c</w:t>
      </w:r>
      <w:r w:rsidRPr="00C837DD">
        <w:rPr>
          <w:sz w:val="20"/>
          <w:szCs w:val="20"/>
        </w:rPr>
        <w:t>tions, the po</w:t>
      </w:r>
      <w:r w:rsidR="002E7C11" w:rsidRPr="00C837DD">
        <w:rPr>
          <w:sz w:val="20"/>
          <w:szCs w:val="20"/>
        </w:rPr>
        <w:t>s</w:t>
      </w:r>
      <w:r w:rsidRPr="00C837DD">
        <w:rPr>
          <w:sz w:val="20"/>
          <w:szCs w:val="20"/>
        </w:rPr>
        <w:t xml:space="preserve">sibility </w:t>
      </w:r>
      <w:r w:rsidR="00ED1A94" w:rsidRPr="00C837DD">
        <w:rPr>
          <w:sz w:val="20"/>
          <w:szCs w:val="20"/>
        </w:rPr>
        <w:t xml:space="preserve">of the political use </w:t>
      </w:r>
      <w:r w:rsidRPr="00C837DD">
        <w:rPr>
          <w:sz w:val="20"/>
          <w:szCs w:val="20"/>
        </w:rPr>
        <w:t xml:space="preserve">of the </w:t>
      </w:r>
      <w:r w:rsidR="002E7C11" w:rsidRPr="00C837DD">
        <w:rPr>
          <w:sz w:val="20"/>
          <w:szCs w:val="20"/>
        </w:rPr>
        <w:t xml:space="preserve">criminal </w:t>
      </w:r>
      <w:r w:rsidRPr="00C837DD">
        <w:rPr>
          <w:sz w:val="20"/>
          <w:szCs w:val="20"/>
        </w:rPr>
        <w:t xml:space="preserve">action </w:t>
      </w:r>
      <w:r w:rsidR="00FD4B42" w:rsidRPr="00C837DD">
        <w:rPr>
          <w:sz w:val="20"/>
          <w:szCs w:val="20"/>
        </w:rPr>
        <w:t xml:space="preserve">should have been </w:t>
      </w:r>
      <w:r w:rsidRPr="00C837DD">
        <w:rPr>
          <w:sz w:val="20"/>
          <w:szCs w:val="20"/>
        </w:rPr>
        <w:t>anal</w:t>
      </w:r>
      <w:r w:rsidR="00FD4B42" w:rsidRPr="00C837DD">
        <w:rPr>
          <w:sz w:val="20"/>
          <w:szCs w:val="20"/>
        </w:rPr>
        <w:t xml:space="preserve">yzed with even greater </w:t>
      </w:r>
      <w:r w:rsidR="00045576" w:rsidRPr="00C837DD">
        <w:rPr>
          <w:sz w:val="20"/>
          <w:szCs w:val="20"/>
        </w:rPr>
        <w:t xml:space="preserve">care </w:t>
      </w:r>
      <w:r w:rsidRPr="00C837DD">
        <w:rPr>
          <w:sz w:val="20"/>
          <w:szCs w:val="20"/>
        </w:rPr>
        <w:t>and caut</w:t>
      </w:r>
      <w:r w:rsidR="00FD4B42" w:rsidRPr="00C837DD">
        <w:rPr>
          <w:sz w:val="20"/>
          <w:szCs w:val="20"/>
        </w:rPr>
        <w:t>ion</w:t>
      </w:r>
      <w:r w:rsidRPr="00C837DD">
        <w:rPr>
          <w:sz w:val="20"/>
          <w:szCs w:val="20"/>
        </w:rPr>
        <w:t xml:space="preserve">, </w:t>
      </w:r>
      <w:r w:rsidR="00045576" w:rsidRPr="00C837DD">
        <w:rPr>
          <w:sz w:val="20"/>
          <w:szCs w:val="20"/>
        </w:rPr>
        <w:t xml:space="preserve">taking into account </w:t>
      </w:r>
      <w:r w:rsidRPr="00C837DD">
        <w:rPr>
          <w:sz w:val="20"/>
          <w:szCs w:val="20"/>
        </w:rPr>
        <w:t>the d</w:t>
      </w:r>
      <w:r w:rsidR="00FD4B42" w:rsidRPr="00C837DD">
        <w:rPr>
          <w:sz w:val="20"/>
          <w:szCs w:val="20"/>
        </w:rPr>
        <w:t xml:space="preserve">uty </w:t>
      </w:r>
      <w:r w:rsidRPr="00C837DD">
        <w:rPr>
          <w:sz w:val="20"/>
          <w:szCs w:val="20"/>
        </w:rPr>
        <w:t xml:space="preserve">of </w:t>
      </w:r>
      <w:r w:rsidR="00FD4B42" w:rsidRPr="00C837DD">
        <w:rPr>
          <w:sz w:val="20"/>
          <w:szCs w:val="20"/>
        </w:rPr>
        <w:t xml:space="preserve">strict </w:t>
      </w:r>
      <w:r w:rsidRPr="00C837DD">
        <w:rPr>
          <w:sz w:val="20"/>
          <w:szCs w:val="20"/>
        </w:rPr>
        <w:t xml:space="preserve">due diligence in the investigation and </w:t>
      </w:r>
      <w:r w:rsidR="002E7C11" w:rsidRPr="00C837DD">
        <w:rPr>
          <w:sz w:val="20"/>
          <w:szCs w:val="20"/>
        </w:rPr>
        <w:t xml:space="preserve">punishment of acts </w:t>
      </w:r>
      <w:r w:rsidRPr="00C837DD">
        <w:rPr>
          <w:sz w:val="20"/>
          <w:szCs w:val="20"/>
        </w:rPr>
        <w:t>of violence against women</w:t>
      </w:r>
      <w:r w:rsidR="00045576" w:rsidRPr="00C837DD">
        <w:rPr>
          <w:sz w:val="20"/>
          <w:szCs w:val="20"/>
        </w:rPr>
        <w:t>, as</w:t>
      </w:r>
      <w:r w:rsidRPr="00C837DD">
        <w:rPr>
          <w:sz w:val="20"/>
          <w:szCs w:val="20"/>
        </w:rPr>
        <w:t xml:space="preserve"> </w:t>
      </w:r>
      <w:r w:rsidR="00FD4B42" w:rsidRPr="00C837DD">
        <w:rPr>
          <w:sz w:val="20"/>
          <w:szCs w:val="20"/>
        </w:rPr>
        <w:t xml:space="preserve">required by </w:t>
      </w:r>
      <w:r w:rsidRPr="00C837DD">
        <w:rPr>
          <w:sz w:val="20"/>
          <w:szCs w:val="20"/>
        </w:rPr>
        <w:t xml:space="preserve">the </w:t>
      </w:r>
      <w:r w:rsidR="00045576" w:rsidRPr="00C837DD">
        <w:rPr>
          <w:sz w:val="20"/>
          <w:szCs w:val="20"/>
        </w:rPr>
        <w:t>C</w:t>
      </w:r>
      <w:r w:rsidRPr="00C837DD">
        <w:rPr>
          <w:sz w:val="20"/>
          <w:szCs w:val="20"/>
        </w:rPr>
        <w:t>onvention</w:t>
      </w:r>
      <w:r w:rsidR="00FD4B42" w:rsidRPr="00C837DD">
        <w:rPr>
          <w:sz w:val="20"/>
          <w:szCs w:val="20"/>
        </w:rPr>
        <w:t>.</w:t>
      </w:r>
      <w:r w:rsidRPr="00C837DD">
        <w:rPr>
          <w:rStyle w:val="Refdenotaalpie"/>
          <w:sz w:val="20"/>
          <w:szCs w:val="20"/>
        </w:rPr>
        <w:footnoteReference w:id="221"/>
      </w:r>
      <w:r w:rsidRPr="00C837DD">
        <w:rPr>
          <w:sz w:val="20"/>
          <w:szCs w:val="20"/>
        </w:rPr>
        <w:t xml:space="preserve"> </w:t>
      </w:r>
      <w:r w:rsidR="00045576" w:rsidRPr="00C837DD">
        <w:rPr>
          <w:sz w:val="20"/>
          <w:szCs w:val="20"/>
        </w:rPr>
        <w:t>On</w:t>
      </w:r>
      <w:r w:rsidR="002E7C11" w:rsidRPr="00C837DD">
        <w:rPr>
          <w:sz w:val="20"/>
          <w:szCs w:val="20"/>
        </w:rPr>
        <w:t xml:space="preserve"> the contrary</w:t>
      </w:r>
      <w:r w:rsidRPr="00C837DD">
        <w:rPr>
          <w:sz w:val="20"/>
          <w:szCs w:val="20"/>
        </w:rPr>
        <w:t xml:space="preserve">, the Court </w:t>
      </w:r>
      <w:r w:rsidR="002E7C11" w:rsidRPr="00C837DD">
        <w:rPr>
          <w:sz w:val="20"/>
          <w:szCs w:val="20"/>
        </w:rPr>
        <w:t xml:space="preserve">notes </w:t>
      </w:r>
      <w:r w:rsidRPr="00C837DD">
        <w:rPr>
          <w:sz w:val="20"/>
          <w:szCs w:val="20"/>
        </w:rPr>
        <w:t xml:space="preserve">that </w:t>
      </w:r>
      <w:r w:rsidR="00FD4B42" w:rsidRPr="00C837DD">
        <w:rPr>
          <w:sz w:val="20"/>
          <w:szCs w:val="20"/>
        </w:rPr>
        <w:t>both</w:t>
      </w:r>
      <w:r w:rsidRPr="00C837DD">
        <w:rPr>
          <w:sz w:val="20"/>
          <w:szCs w:val="20"/>
        </w:rPr>
        <w:t xml:space="preserve"> </w:t>
      </w:r>
      <w:r w:rsidR="002E7C11" w:rsidRPr="00C837DD">
        <w:rPr>
          <w:sz w:val="20"/>
          <w:szCs w:val="20"/>
        </w:rPr>
        <w:t xml:space="preserve">decisions taken by </w:t>
      </w:r>
      <w:r w:rsidRPr="00C837DD">
        <w:rPr>
          <w:sz w:val="20"/>
          <w:szCs w:val="20"/>
        </w:rPr>
        <w:t>the Legislative Assembly of Paraíba dem</w:t>
      </w:r>
      <w:r w:rsidR="002E7C11" w:rsidRPr="00C837DD">
        <w:rPr>
          <w:sz w:val="20"/>
          <w:szCs w:val="20"/>
        </w:rPr>
        <w:t xml:space="preserve">onstrate </w:t>
      </w:r>
      <w:r w:rsidRPr="00C837DD">
        <w:rPr>
          <w:sz w:val="20"/>
          <w:szCs w:val="20"/>
        </w:rPr>
        <w:t xml:space="preserve">that the </w:t>
      </w:r>
      <w:r w:rsidR="00102554" w:rsidRPr="00C837DD">
        <w:rPr>
          <w:sz w:val="20"/>
          <w:szCs w:val="20"/>
        </w:rPr>
        <w:t>legislative body</w:t>
      </w:r>
      <w:r w:rsidRPr="00C837DD">
        <w:rPr>
          <w:sz w:val="20"/>
          <w:szCs w:val="20"/>
        </w:rPr>
        <w:t xml:space="preserve"> </w:t>
      </w:r>
      <w:r w:rsidR="002E7C11" w:rsidRPr="00C837DD">
        <w:rPr>
          <w:sz w:val="20"/>
          <w:szCs w:val="20"/>
        </w:rPr>
        <w:t xml:space="preserve">did not analyze or </w:t>
      </w:r>
      <w:r w:rsidR="00045576" w:rsidRPr="00C837DD">
        <w:rPr>
          <w:sz w:val="20"/>
          <w:szCs w:val="20"/>
        </w:rPr>
        <w:t xml:space="preserve">weigh </w:t>
      </w:r>
      <w:r w:rsidR="00CF43F5" w:rsidRPr="00C837DD">
        <w:rPr>
          <w:sz w:val="20"/>
          <w:szCs w:val="20"/>
        </w:rPr>
        <w:t xml:space="preserve">the possibility of a </w:t>
      </w:r>
      <w:r w:rsidRPr="00C837DD">
        <w:rPr>
          <w:i/>
          <w:sz w:val="20"/>
          <w:szCs w:val="20"/>
        </w:rPr>
        <w:t>fumus persecutionis</w:t>
      </w:r>
      <w:r w:rsidRPr="00C837DD">
        <w:rPr>
          <w:sz w:val="20"/>
          <w:szCs w:val="20"/>
        </w:rPr>
        <w:t xml:space="preserve"> </w:t>
      </w:r>
      <w:r w:rsidR="00045576" w:rsidRPr="00C837DD">
        <w:rPr>
          <w:sz w:val="20"/>
          <w:szCs w:val="20"/>
        </w:rPr>
        <w:t xml:space="preserve">in </w:t>
      </w:r>
      <w:r w:rsidRPr="00C837DD">
        <w:rPr>
          <w:sz w:val="20"/>
          <w:szCs w:val="20"/>
        </w:rPr>
        <w:t xml:space="preserve">the </w:t>
      </w:r>
      <w:r w:rsidR="00045576" w:rsidRPr="00C837DD">
        <w:rPr>
          <w:sz w:val="20"/>
          <w:szCs w:val="20"/>
        </w:rPr>
        <w:t xml:space="preserve">prosecution </w:t>
      </w:r>
      <w:r w:rsidR="00CF43F5" w:rsidRPr="00C837DD">
        <w:rPr>
          <w:sz w:val="20"/>
          <w:szCs w:val="20"/>
        </w:rPr>
        <w:t>of</w:t>
      </w:r>
      <w:r w:rsidRPr="00C837DD">
        <w:rPr>
          <w:sz w:val="20"/>
          <w:szCs w:val="20"/>
        </w:rPr>
        <w:t xml:space="preserve"> </w:t>
      </w:r>
      <w:r w:rsidR="00045576" w:rsidRPr="00C837DD">
        <w:rPr>
          <w:sz w:val="20"/>
          <w:szCs w:val="20"/>
        </w:rPr>
        <w:t xml:space="preserve">the </w:t>
      </w:r>
      <w:r w:rsidR="004E3A99" w:rsidRPr="00C837DD">
        <w:rPr>
          <w:sz w:val="20"/>
          <w:szCs w:val="20"/>
        </w:rPr>
        <w:t>Public Prosecutor’s Office</w:t>
      </w:r>
      <w:r w:rsidR="00045576" w:rsidRPr="00C837DD">
        <w:rPr>
          <w:sz w:val="20"/>
          <w:szCs w:val="20"/>
        </w:rPr>
        <w:t xml:space="preserve"> on the one hand,</w:t>
      </w:r>
      <w:r w:rsidRPr="00C837DD">
        <w:rPr>
          <w:sz w:val="20"/>
          <w:szCs w:val="20"/>
        </w:rPr>
        <w:t xml:space="preserve"> and</w:t>
      </w:r>
      <w:r w:rsidR="00045576" w:rsidRPr="00C837DD">
        <w:rPr>
          <w:sz w:val="20"/>
          <w:szCs w:val="20"/>
        </w:rPr>
        <w:t>, on the other,</w:t>
      </w:r>
      <w:r w:rsidRPr="00C837DD">
        <w:rPr>
          <w:sz w:val="20"/>
          <w:szCs w:val="20"/>
        </w:rPr>
        <w:t xml:space="preserve"> the right of access to justice of the next of kin of </w:t>
      </w:r>
      <w:r w:rsidR="00B8009F" w:rsidRPr="00C837DD">
        <w:rPr>
          <w:sz w:val="20"/>
          <w:szCs w:val="20"/>
        </w:rPr>
        <w:t>Márcia</w:t>
      </w:r>
      <w:r w:rsidRPr="00C837DD">
        <w:rPr>
          <w:sz w:val="20"/>
          <w:szCs w:val="20"/>
        </w:rPr>
        <w:t xml:space="preserve"> Barbosa de Souza and the </w:t>
      </w:r>
      <w:r w:rsidR="00CF43F5" w:rsidRPr="00C837DD">
        <w:rPr>
          <w:sz w:val="20"/>
          <w:szCs w:val="20"/>
        </w:rPr>
        <w:t xml:space="preserve">requirement to </w:t>
      </w:r>
      <w:r w:rsidRPr="00C837DD">
        <w:rPr>
          <w:sz w:val="20"/>
          <w:szCs w:val="20"/>
        </w:rPr>
        <w:t xml:space="preserve">investigate with </w:t>
      </w:r>
      <w:r w:rsidR="00CF43F5" w:rsidRPr="00C837DD">
        <w:rPr>
          <w:sz w:val="20"/>
          <w:szCs w:val="20"/>
        </w:rPr>
        <w:t xml:space="preserve">strict due diligence </w:t>
      </w:r>
      <w:r w:rsidRPr="00C837DD">
        <w:rPr>
          <w:sz w:val="20"/>
          <w:szCs w:val="20"/>
        </w:rPr>
        <w:t xml:space="preserve">acts of violence against women.  </w:t>
      </w:r>
    </w:p>
    <w:p w14:paraId="4A5EAE9F" w14:textId="77777777" w:rsidR="00F85D5F" w:rsidRPr="00C837DD" w:rsidRDefault="00F85D5F" w:rsidP="00F85D5F">
      <w:pPr>
        <w:tabs>
          <w:tab w:val="left" w:pos="142"/>
        </w:tabs>
        <w:jc w:val="both"/>
        <w:rPr>
          <w:sz w:val="20"/>
          <w:szCs w:val="20"/>
        </w:rPr>
      </w:pPr>
    </w:p>
    <w:p w14:paraId="2D5DDBE2" w14:textId="0CD5FA9B" w:rsidR="00F85D5F" w:rsidRPr="00C837DD" w:rsidRDefault="000414A7" w:rsidP="00F85D5F">
      <w:pPr>
        <w:numPr>
          <w:ilvl w:val="0"/>
          <w:numId w:val="6"/>
        </w:numPr>
        <w:tabs>
          <w:tab w:val="left" w:pos="142"/>
        </w:tabs>
        <w:ind w:left="0" w:firstLine="0"/>
        <w:jc w:val="both"/>
        <w:rPr>
          <w:sz w:val="20"/>
          <w:szCs w:val="20"/>
        </w:rPr>
      </w:pPr>
      <w:r w:rsidRPr="00C837DD">
        <w:rPr>
          <w:sz w:val="20"/>
          <w:szCs w:val="20"/>
        </w:rPr>
        <w:t>In view of the foregoing</w:t>
      </w:r>
      <w:r w:rsidR="00F85D5F" w:rsidRPr="00C837DD">
        <w:rPr>
          <w:sz w:val="20"/>
          <w:szCs w:val="20"/>
        </w:rPr>
        <w:t xml:space="preserve">, </w:t>
      </w:r>
      <w:r w:rsidR="00452BBB" w:rsidRPr="00C837DD">
        <w:rPr>
          <w:sz w:val="20"/>
          <w:szCs w:val="20"/>
        </w:rPr>
        <w:t>the Court concludes that</w:t>
      </w:r>
      <w:r w:rsidR="004424CA">
        <w:rPr>
          <w:sz w:val="20"/>
          <w:szCs w:val="20"/>
        </w:rPr>
        <w:t>, at the time of the facts,</w:t>
      </w:r>
      <w:r w:rsidR="00452BBB" w:rsidRPr="00C837DD">
        <w:rPr>
          <w:sz w:val="20"/>
          <w:szCs w:val="20"/>
        </w:rPr>
        <w:t xml:space="preserve"> the Paraíba constitutional and regulatory legal framework in Brazil arbitrarily </w:t>
      </w:r>
      <w:r w:rsidRPr="00C837DD">
        <w:rPr>
          <w:sz w:val="20"/>
          <w:szCs w:val="20"/>
        </w:rPr>
        <w:t xml:space="preserve">hindered </w:t>
      </w:r>
      <w:r w:rsidR="00BC19E9" w:rsidRPr="00C837DD">
        <w:rPr>
          <w:sz w:val="20"/>
          <w:szCs w:val="20"/>
        </w:rPr>
        <w:t xml:space="preserve">the </w:t>
      </w:r>
      <w:r w:rsidR="00F85D5F" w:rsidRPr="00C837DD">
        <w:rPr>
          <w:sz w:val="20"/>
          <w:szCs w:val="20"/>
        </w:rPr>
        <w:t xml:space="preserve">access to justice of the next of kin of </w:t>
      </w:r>
      <w:r w:rsidR="00B8009F" w:rsidRPr="00C837DD">
        <w:rPr>
          <w:sz w:val="20"/>
          <w:szCs w:val="20"/>
        </w:rPr>
        <w:t>Márcia</w:t>
      </w:r>
      <w:r w:rsidR="00F85D5F" w:rsidRPr="00C837DD">
        <w:rPr>
          <w:sz w:val="20"/>
          <w:szCs w:val="20"/>
        </w:rPr>
        <w:t xml:space="preserve"> Barbosa Souza </w:t>
      </w:r>
      <w:r w:rsidR="00BC19E9" w:rsidRPr="00C837DD">
        <w:rPr>
          <w:sz w:val="20"/>
          <w:szCs w:val="20"/>
        </w:rPr>
        <w:t xml:space="preserve">by not providing </w:t>
      </w:r>
      <w:r w:rsidR="00F85D5F" w:rsidRPr="00C837DD">
        <w:rPr>
          <w:sz w:val="20"/>
          <w:szCs w:val="20"/>
        </w:rPr>
        <w:t xml:space="preserve">the </w:t>
      </w:r>
      <w:r w:rsidR="00A831CC" w:rsidRPr="00C837DD">
        <w:rPr>
          <w:sz w:val="20"/>
          <w:szCs w:val="20"/>
        </w:rPr>
        <w:t>criteria</w:t>
      </w:r>
      <w:r w:rsidR="00F85D5F" w:rsidRPr="00C837DD">
        <w:rPr>
          <w:sz w:val="20"/>
          <w:szCs w:val="20"/>
        </w:rPr>
        <w:t xml:space="preserve"> </w:t>
      </w:r>
      <w:r w:rsidR="00BC19E9" w:rsidRPr="00C837DD">
        <w:rPr>
          <w:sz w:val="20"/>
          <w:szCs w:val="20"/>
        </w:rPr>
        <w:t xml:space="preserve">to </w:t>
      </w:r>
      <w:r w:rsidR="00CF43F5" w:rsidRPr="00C837DD">
        <w:rPr>
          <w:sz w:val="20"/>
          <w:szCs w:val="20"/>
        </w:rPr>
        <w:t xml:space="preserve">be taken into account </w:t>
      </w:r>
      <w:r w:rsidR="00F85D5F" w:rsidRPr="00C837DD">
        <w:rPr>
          <w:sz w:val="20"/>
          <w:szCs w:val="20"/>
        </w:rPr>
        <w:t xml:space="preserve">in the analysis of the request </w:t>
      </w:r>
      <w:r w:rsidR="00CF43F5" w:rsidRPr="00C837DD">
        <w:rPr>
          <w:sz w:val="20"/>
          <w:szCs w:val="20"/>
        </w:rPr>
        <w:t>for prior authorization</w:t>
      </w:r>
      <w:r w:rsidR="00BC19E9" w:rsidRPr="00C837DD">
        <w:rPr>
          <w:sz w:val="20"/>
          <w:szCs w:val="20"/>
        </w:rPr>
        <w:t xml:space="preserve"> and</w:t>
      </w:r>
      <w:r w:rsidR="00F85D5F" w:rsidRPr="00C837DD">
        <w:rPr>
          <w:sz w:val="20"/>
          <w:szCs w:val="20"/>
        </w:rPr>
        <w:t xml:space="preserve"> the ne</w:t>
      </w:r>
      <w:r w:rsidR="00A831CC" w:rsidRPr="00C837DD">
        <w:rPr>
          <w:sz w:val="20"/>
          <w:szCs w:val="20"/>
        </w:rPr>
        <w:t xml:space="preserve">ed to </w:t>
      </w:r>
      <w:r w:rsidR="00CF43F5" w:rsidRPr="00C837DD">
        <w:rPr>
          <w:sz w:val="20"/>
          <w:szCs w:val="20"/>
        </w:rPr>
        <w:t xml:space="preserve">provide </w:t>
      </w:r>
      <w:r w:rsidR="00452BBB" w:rsidRPr="00C837DD">
        <w:rPr>
          <w:sz w:val="20"/>
          <w:szCs w:val="20"/>
        </w:rPr>
        <w:t xml:space="preserve">grounds </w:t>
      </w:r>
      <w:r w:rsidR="00CF43F5" w:rsidRPr="00C837DD">
        <w:rPr>
          <w:sz w:val="20"/>
          <w:szCs w:val="20"/>
        </w:rPr>
        <w:t xml:space="preserve">for </w:t>
      </w:r>
      <w:r w:rsidR="00F85D5F" w:rsidRPr="00C837DD">
        <w:rPr>
          <w:sz w:val="20"/>
          <w:szCs w:val="20"/>
        </w:rPr>
        <w:t xml:space="preserve">the decision or the </w:t>
      </w:r>
      <w:r w:rsidR="00CF43F5" w:rsidRPr="00C837DD">
        <w:rPr>
          <w:sz w:val="20"/>
          <w:szCs w:val="20"/>
        </w:rPr>
        <w:t xml:space="preserve">deadline </w:t>
      </w:r>
      <w:r w:rsidR="00F85D5F" w:rsidRPr="00C837DD">
        <w:rPr>
          <w:sz w:val="20"/>
          <w:szCs w:val="20"/>
        </w:rPr>
        <w:t xml:space="preserve">for the </w:t>
      </w:r>
      <w:r w:rsidR="00F606CF" w:rsidRPr="00C837DD">
        <w:rPr>
          <w:sz w:val="20"/>
          <w:szCs w:val="20"/>
        </w:rPr>
        <w:t xml:space="preserve">final </w:t>
      </w:r>
      <w:r w:rsidR="00452BBB" w:rsidRPr="00C837DD">
        <w:rPr>
          <w:sz w:val="20"/>
          <w:szCs w:val="20"/>
        </w:rPr>
        <w:t>resolution</w:t>
      </w:r>
      <w:r w:rsidR="00F85D5F" w:rsidRPr="00C837DD">
        <w:rPr>
          <w:sz w:val="20"/>
          <w:szCs w:val="20"/>
        </w:rPr>
        <w:t xml:space="preserve">. </w:t>
      </w:r>
      <w:r w:rsidR="004424CA">
        <w:rPr>
          <w:sz w:val="20"/>
          <w:szCs w:val="20"/>
        </w:rPr>
        <w:t>Moreover</w:t>
      </w:r>
      <w:r w:rsidR="00F85D5F" w:rsidRPr="00C837DD">
        <w:rPr>
          <w:sz w:val="20"/>
          <w:szCs w:val="20"/>
        </w:rPr>
        <w:t xml:space="preserve">, the lack of </w:t>
      </w:r>
      <w:r w:rsidR="00BC19E9" w:rsidRPr="00C837DD">
        <w:rPr>
          <w:sz w:val="20"/>
          <w:szCs w:val="20"/>
        </w:rPr>
        <w:t xml:space="preserve">reasoning </w:t>
      </w:r>
      <w:r w:rsidR="00F606CF" w:rsidRPr="00C837DD">
        <w:rPr>
          <w:sz w:val="20"/>
          <w:szCs w:val="20"/>
        </w:rPr>
        <w:t xml:space="preserve">for </w:t>
      </w:r>
      <w:r w:rsidR="00F85D5F" w:rsidRPr="00C837DD">
        <w:rPr>
          <w:sz w:val="20"/>
          <w:szCs w:val="20"/>
        </w:rPr>
        <w:t xml:space="preserve">the </w:t>
      </w:r>
      <w:r w:rsidR="00A831CC" w:rsidRPr="00C837DD">
        <w:rPr>
          <w:sz w:val="20"/>
          <w:szCs w:val="20"/>
        </w:rPr>
        <w:t xml:space="preserve">two </w:t>
      </w:r>
      <w:r w:rsidR="00F85D5F" w:rsidRPr="00C837DD">
        <w:rPr>
          <w:sz w:val="20"/>
          <w:szCs w:val="20"/>
        </w:rPr>
        <w:t>decisions adopt</w:t>
      </w:r>
      <w:r w:rsidR="00A831CC" w:rsidRPr="00C837DD">
        <w:rPr>
          <w:sz w:val="20"/>
          <w:szCs w:val="20"/>
        </w:rPr>
        <w:t xml:space="preserve">ed </w:t>
      </w:r>
      <w:r w:rsidR="00F85D5F" w:rsidRPr="00C837DD">
        <w:rPr>
          <w:sz w:val="20"/>
          <w:szCs w:val="20"/>
        </w:rPr>
        <w:t>by the Legislative Assembly of Paraíba indica</w:t>
      </w:r>
      <w:r w:rsidR="00A831CC" w:rsidRPr="00C837DD">
        <w:rPr>
          <w:sz w:val="20"/>
          <w:szCs w:val="20"/>
        </w:rPr>
        <w:t>tes</w:t>
      </w:r>
      <w:r w:rsidR="00F85D5F" w:rsidRPr="00C837DD">
        <w:rPr>
          <w:sz w:val="20"/>
          <w:szCs w:val="20"/>
        </w:rPr>
        <w:t xml:space="preserve"> that </w:t>
      </w:r>
      <w:r w:rsidR="00452BBB" w:rsidRPr="00C837DD">
        <w:rPr>
          <w:sz w:val="20"/>
          <w:szCs w:val="20"/>
        </w:rPr>
        <w:t xml:space="preserve">a rigorous proportionality test was not carried out, which </w:t>
      </w:r>
      <w:r w:rsidR="004424CA">
        <w:rPr>
          <w:sz w:val="20"/>
          <w:szCs w:val="20"/>
        </w:rPr>
        <w:t xml:space="preserve">would have taken </w:t>
      </w:r>
      <w:r w:rsidR="00452BBB" w:rsidRPr="00C837DD">
        <w:rPr>
          <w:sz w:val="20"/>
          <w:szCs w:val="20"/>
        </w:rPr>
        <w:t>into account the impact on the right of access to justice of the persons who could be affected by such decisions</w:t>
      </w:r>
      <w:r w:rsidR="00F85D5F" w:rsidRPr="00C837DD">
        <w:rPr>
          <w:sz w:val="20"/>
          <w:szCs w:val="20"/>
        </w:rPr>
        <w:t xml:space="preserve">. </w:t>
      </w:r>
    </w:p>
    <w:p w14:paraId="04C949F1" w14:textId="77777777" w:rsidR="00F85D5F" w:rsidRPr="00C837DD" w:rsidRDefault="00F85D5F" w:rsidP="00F85D5F">
      <w:pPr>
        <w:rPr>
          <w:iCs/>
          <w:sz w:val="20"/>
          <w:szCs w:val="20"/>
        </w:rPr>
      </w:pPr>
    </w:p>
    <w:p w14:paraId="3926580D" w14:textId="0EE1FC47" w:rsidR="00F85D5F" w:rsidRPr="00C837DD" w:rsidRDefault="00F85D5F" w:rsidP="00F85D5F">
      <w:pPr>
        <w:numPr>
          <w:ilvl w:val="0"/>
          <w:numId w:val="6"/>
        </w:numPr>
        <w:tabs>
          <w:tab w:val="left" w:pos="142"/>
        </w:tabs>
        <w:ind w:left="0" w:firstLine="0"/>
        <w:jc w:val="both"/>
        <w:rPr>
          <w:iCs/>
          <w:sz w:val="20"/>
          <w:szCs w:val="20"/>
        </w:rPr>
      </w:pPr>
      <w:r w:rsidRPr="00C837DD">
        <w:rPr>
          <w:iCs/>
          <w:sz w:val="20"/>
          <w:szCs w:val="20"/>
        </w:rPr>
        <w:lastRenderedPageBreak/>
        <w:t xml:space="preserve">The Court </w:t>
      </w:r>
      <w:r w:rsidR="00F606CF" w:rsidRPr="00C837DD">
        <w:rPr>
          <w:iCs/>
          <w:sz w:val="20"/>
          <w:szCs w:val="20"/>
        </w:rPr>
        <w:t>concludes</w:t>
      </w:r>
      <w:r w:rsidRPr="00C837DD">
        <w:rPr>
          <w:iCs/>
          <w:sz w:val="20"/>
          <w:szCs w:val="20"/>
        </w:rPr>
        <w:t xml:space="preserve"> that </w:t>
      </w:r>
      <w:r w:rsidR="004C4681" w:rsidRPr="00C837DD">
        <w:rPr>
          <w:iCs/>
          <w:sz w:val="20"/>
          <w:szCs w:val="20"/>
        </w:rPr>
        <w:t xml:space="preserve">the </w:t>
      </w:r>
      <w:r w:rsidR="004424CA">
        <w:rPr>
          <w:iCs/>
          <w:sz w:val="20"/>
          <w:szCs w:val="20"/>
        </w:rPr>
        <w:t xml:space="preserve">Legislative Assembly’s </w:t>
      </w:r>
      <w:r w:rsidR="004C4681" w:rsidRPr="00C837DD">
        <w:rPr>
          <w:iCs/>
          <w:sz w:val="20"/>
          <w:szCs w:val="20"/>
        </w:rPr>
        <w:t>refusal to lift the parliamentary immunity of the then congressman Aércio Pereira de Lima was an arbitrary act</w:t>
      </w:r>
      <w:r w:rsidRPr="00C837DD">
        <w:rPr>
          <w:iCs/>
          <w:sz w:val="20"/>
          <w:szCs w:val="20"/>
        </w:rPr>
        <w:t xml:space="preserve">, </w:t>
      </w:r>
      <w:r w:rsidR="00B62A60" w:rsidRPr="00C837DD">
        <w:rPr>
          <w:iCs/>
          <w:sz w:val="20"/>
          <w:szCs w:val="20"/>
        </w:rPr>
        <w:t xml:space="preserve">which transformed </w:t>
      </w:r>
      <w:r w:rsidR="00445221">
        <w:rPr>
          <w:iCs/>
          <w:sz w:val="20"/>
          <w:szCs w:val="20"/>
        </w:rPr>
        <w:t xml:space="preserve">it </w:t>
      </w:r>
      <w:r w:rsidR="00B62A60" w:rsidRPr="00C837DD">
        <w:rPr>
          <w:iCs/>
          <w:sz w:val="20"/>
          <w:szCs w:val="20"/>
        </w:rPr>
        <w:t xml:space="preserve">into </w:t>
      </w:r>
      <w:r w:rsidR="004C4681" w:rsidRPr="00C837DD">
        <w:rPr>
          <w:iCs/>
          <w:sz w:val="20"/>
          <w:szCs w:val="20"/>
        </w:rPr>
        <w:t>a</w:t>
      </w:r>
      <w:r w:rsidRPr="00C837DD">
        <w:rPr>
          <w:iCs/>
          <w:sz w:val="20"/>
          <w:szCs w:val="20"/>
        </w:rPr>
        <w:t xml:space="preserve"> mechanism that </w:t>
      </w:r>
      <w:r w:rsidR="00B62A60" w:rsidRPr="00C837DD">
        <w:rPr>
          <w:iCs/>
          <w:sz w:val="20"/>
          <w:szCs w:val="20"/>
        </w:rPr>
        <w:t xml:space="preserve">favored </w:t>
      </w:r>
      <w:r w:rsidR="00445221">
        <w:rPr>
          <w:iCs/>
          <w:sz w:val="20"/>
          <w:szCs w:val="20"/>
        </w:rPr>
        <w:t xml:space="preserve">his </w:t>
      </w:r>
      <w:r w:rsidRPr="00C837DD">
        <w:rPr>
          <w:iCs/>
          <w:sz w:val="20"/>
          <w:szCs w:val="20"/>
        </w:rPr>
        <w:t xml:space="preserve">impunity </w:t>
      </w:r>
      <w:r w:rsidR="00B62A60" w:rsidRPr="00C837DD">
        <w:rPr>
          <w:iCs/>
          <w:sz w:val="20"/>
          <w:szCs w:val="20"/>
        </w:rPr>
        <w:t>for</w:t>
      </w:r>
      <w:r w:rsidR="00F606CF" w:rsidRPr="00C837DD">
        <w:rPr>
          <w:iCs/>
          <w:sz w:val="20"/>
          <w:szCs w:val="20"/>
        </w:rPr>
        <w:t xml:space="preserve"> the murder of M</w:t>
      </w:r>
      <w:r w:rsidRPr="00C837DD">
        <w:rPr>
          <w:iCs/>
          <w:sz w:val="20"/>
          <w:szCs w:val="20"/>
        </w:rPr>
        <w:t xml:space="preserve">s. Barbosa de Souza, </w:t>
      </w:r>
      <w:r w:rsidR="00F606CF" w:rsidRPr="00C837DD">
        <w:rPr>
          <w:iCs/>
          <w:sz w:val="20"/>
          <w:szCs w:val="20"/>
        </w:rPr>
        <w:t xml:space="preserve">making </w:t>
      </w:r>
      <w:r w:rsidR="00A831CC" w:rsidRPr="00C837DD">
        <w:rPr>
          <w:iCs/>
          <w:sz w:val="20"/>
          <w:szCs w:val="20"/>
        </w:rPr>
        <w:t xml:space="preserve">illusory </w:t>
      </w:r>
      <w:r w:rsidR="00B62A60" w:rsidRPr="00C837DD">
        <w:rPr>
          <w:iCs/>
          <w:sz w:val="20"/>
          <w:szCs w:val="20"/>
        </w:rPr>
        <w:t xml:space="preserve">the </w:t>
      </w:r>
      <w:r w:rsidR="00A831CC" w:rsidRPr="00C837DD">
        <w:rPr>
          <w:iCs/>
          <w:sz w:val="20"/>
          <w:szCs w:val="20"/>
        </w:rPr>
        <w:t xml:space="preserve">effective access to </w:t>
      </w:r>
      <w:r w:rsidRPr="00C837DD">
        <w:rPr>
          <w:iCs/>
          <w:sz w:val="20"/>
          <w:szCs w:val="20"/>
        </w:rPr>
        <w:t xml:space="preserve">justice of </w:t>
      </w:r>
      <w:r w:rsidR="00F606CF" w:rsidRPr="00C837DD">
        <w:rPr>
          <w:iCs/>
          <w:sz w:val="20"/>
          <w:szCs w:val="20"/>
        </w:rPr>
        <w:t xml:space="preserve">her </w:t>
      </w:r>
      <w:r w:rsidRPr="00C837DD">
        <w:rPr>
          <w:iCs/>
          <w:sz w:val="20"/>
          <w:szCs w:val="20"/>
        </w:rPr>
        <w:t xml:space="preserve">next of kin in the </w:t>
      </w:r>
      <w:r w:rsidR="00B62A60" w:rsidRPr="00C837DD">
        <w:rPr>
          <w:iCs/>
          <w:sz w:val="20"/>
          <w:szCs w:val="20"/>
        </w:rPr>
        <w:t xml:space="preserve">instant </w:t>
      </w:r>
      <w:r w:rsidRPr="00C837DD">
        <w:rPr>
          <w:iCs/>
          <w:sz w:val="20"/>
          <w:szCs w:val="20"/>
        </w:rPr>
        <w:t xml:space="preserve">case. </w:t>
      </w:r>
    </w:p>
    <w:p w14:paraId="0F0CB8BA" w14:textId="77777777" w:rsidR="00F85D5F" w:rsidRPr="00C837DD" w:rsidRDefault="00F85D5F" w:rsidP="00F85D5F">
      <w:pPr>
        <w:pStyle w:val="Prrafodelista"/>
        <w:tabs>
          <w:tab w:val="left" w:pos="142"/>
        </w:tabs>
        <w:ind w:left="0"/>
        <w:rPr>
          <w:sz w:val="20"/>
          <w:szCs w:val="20"/>
        </w:rPr>
      </w:pPr>
    </w:p>
    <w:p w14:paraId="76176E6A" w14:textId="60C6D013" w:rsidR="00F85D5F" w:rsidRPr="00C837DD" w:rsidRDefault="006527D9" w:rsidP="00F85D5F">
      <w:pPr>
        <w:pStyle w:val="Prrafodelista"/>
        <w:numPr>
          <w:ilvl w:val="0"/>
          <w:numId w:val="6"/>
        </w:numPr>
        <w:tabs>
          <w:tab w:val="left" w:pos="142"/>
        </w:tabs>
        <w:ind w:left="0" w:firstLine="0"/>
        <w:rPr>
          <w:sz w:val="20"/>
          <w:szCs w:val="20"/>
        </w:rPr>
      </w:pPr>
      <w:r w:rsidRPr="00C837DD">
        <w:rPr>
          <w:sz w:val="20"/>
          <w:szCs w:val="20"/>
        </w:rPr>
        <w:t>Th</w:t>
      </w:r>
      <w:r w:rsidR="004C4681" w:rsidRPr="00C837DD">
        <w:rPr>
          <w:sz w:val="20"/>
          <w:szCs w:val="20"/>
        </w:rPr>
        <w:t>erefore</w:t>
      </w:r>
      <w:r w:rsidRPr="00C837DD">
        <w:rPr>
          <w:sz w:val="20"/>
          <w:szCs w:val="20"/>
        </w:rPr>
        <w:t>, the</w:t>
      </w:r>
      <w:r w:rsidR="00F85D5F" w:rsidRPr="00C837DD">
        <w:rPr>
          <w:sz w:val="20"/>
          <w:szCs w:val="20"/>
        </w:rPr>
        <w:t xml:space="preserve"> Court </w:t>
      </w:r>
      <w:r w:rsidR="00A831CC" w:rsidRPr="00C837DD">
        <w:rPr>
          <w:sz w:val="20"/>
          <w:szCs w:val="20"/>
        </w:rPr>
        <w:t xml:space="preserve">considers </w:t>
      </w:r>
      <w:r w:rsidR="00F85D5F" w:rsidRPr="00C837DD">
        <w:rPr>
          <w:sz w:val="20"/>
          <w:szCs w:val="20"/>
        </w:rPr>
        <w:t xml:space="preserve">that the application of parliamentary immunity in the case </w:t>
      </w:r>
      <w:r w:rsidR="00F85D5F" w:rsidRPr="00C837DD">
        <w:rPr>
          <w:i/>
          <w:sz w:val="20"/>
          <w:szCs w:val="20"/>
        </w:rPr>
        <w:t>sub judice</w:t>
      </w:r>
      <w:r w:rsidR="00F85D5F" w:rsidRPr="00C837DD">
        <w:rPr>
          <w:sz w:val="20"/>
          <w:szCs w:val="20"/>
        </w:rPr>
        <w:t xml:space="preserve"> viol</w:t>
      </w:r>
      <w:r w:rsidR="00A831CC" w:rsidRPr="00C837DD">
        <w:rPr>
          <w:sz w:val="20"/>
          <w:szCs w:val="20"/>
        </w:rPr>
        <w:t xml:space="preserve">ated </w:t>
      </w:r>
      <w:r w:rsidR="00F85D5F" w:rsidRPr="00C837DD">
        <w:rPr>
          <w:sz w:val="20"/>
          <w:szCs w:val="20"/>
        </w:rPr>
        <w:t>the right of access to justice of Mrs. M.B.S. and Mr. S.R.S., in relation to the obligations of respect and guarantee and the d</w:t>
      </w:r>
      <w:r w:rsidR="00A831CC" w:rsidRPr="00C837DD">
        <w:rPr>
          <w:sz w:val="20"/>
          <w:szCs w:val="20"/>
        </w:rPr>
        <w:t xml:space="preserve">uty to </w:t>
      </w:r>
      <w:r w:rsidR="00F85D5F" w:rsidRPr="00C837DD">
        <w:rPr>
          <w:sz w:val="20"/>
          <w:szCs w:val="20"/>
        </w:rPr>
        <w:t xml:space="preserve">adopt provisions of domestic law. </w:t>
      </w:r>
    </w:p>
    <w:p w14:paraId="7BF3D735" w14:textId="77777777" w:rsidR="00F85D5F" w:rsidRPr="00C837DD" w:rsidRDefault="00F85D5F" w:rsidP="00F85D5F">
      <w:pPr>
        <w:tabs>
          <w:tab w:val="left" w:pos="142"/>
        </w:tabs>
        <w:rPr>
          <w:sz w:val="20"/>
          <w:szCs w:val="20"/>
        </w:rPr>
      </w:pPr>
    </w:p>
    <w:p w14:paraId="54941273" w14:textId="77777777" w:rsidR="00F85D5F" w:rsidRPr="00C837DD" w:rsidRDefault="00A831CC" w:rsidP="00F85D5F">
      <w:pPr>
        <w:pStyle w:val="Ttulo4"/>
        <w:numPr>
          <w:ilvl w:val="0"/>
          <w:numId w:val="31"/>
        </w:numPr>
        <w:ind w:left="1560" w:hanging="709"/>
        <w:rPr>
          <w:lang w:val="en-US"/>
        </w:rPr>
      </w:pPr>
      <w:bookmarkStart w:id="77" w:name="_Toc85001890"/>
      <w:r w:rsidRPr="00C837DD">
        <w:rPr>
          <w:lang w:val="en-US"/>
        </w:rPr>
        <w:t>The</w:t>
      </w:r>
      <w:r w:rsidR="00F85D5F" w:rsidRPr="00C837DD">
        <w:rPr>
          <w:lang w:val="en-US"/>
        </w:rPr>
        <w:t xml:space="preserve"> alleged lack of due d</w:t>
      </w:r>
      <w:r w:rsidRPr="00C837DD">
        <w:rPr>
          <w:lang w:val="en-US"/>
        </w:rPr>
        <w:t>iligence in the investigation of</w:t>
      </w:r>
      <w:r w:rsidR="00F85D5F" w:rsidRPr="00C837DD">
        <w:rPr>
          <w:lang w:val="en-US"/>
        </w:rPr>
        <w:t xml:space="preserve"> the </w:t>
      </w:r>
      <w:r w:rsidRPr="00C837DD">
        <w:rPr>
          <w:lang w:val="en-US"/>
        </w:rPr>
        <w:t xml:space="preserve">other </w:t>
      </w:r>
      <w:r w:rsidR="00F85D5F" w:rsidRPr="00C837DD">
        <w:rPr>
          <w:lang w:val="en-US"/>
        </w:rPr>
        <w:t>suspects</w:t>
      </w:r>
      <w:bookmarkEnd w:id="77"/>
    </w:p>
    <w:p w14:paraId="4F94ABE7" w14:textId="77777777" w:rsidR="00F85D5F" w:rsidRPr="00C837DD" w:rsidRDefault="00F85D5F" w:rsidP="00F85D5F">
      <w:pPr>
        <w:pStyle w:val="Prrafodelista"/>
        <w:tabs>
          <w:tab w:val="left" w:pos="142"/>
        </w:tabs>
        <w:ind w:left="0"/>
        <w:rPr>
          <w:sz w:val="20"/>
          <w:szCs w:val="20"/>
          <w:lang w:eastAsia="es-ES"/>
        </w:rPr>
      </w:pPr>
    </w:p>
    <w:p w14:paraId="1593ACDD" w14:textId="0B3B5817" w:rsidR="00F85D5F" w:rsidRPr="00C837DD" w:rsidRDefault="00406A51" w:rsidP="00F85D5F">
      <w:pPr>
        <w:pStyle w:val="Prrafodelista"/>
        <w:numPr>
          <w:ilvl w:val="0"/>
          <w:numId w:val="6"/>
        </w:numPr>
        <w:tabs>
          <w:tab w:val="left" w:pos="142"/>
        </w:tabs>
        <w:ind w:left="0" w:firstLine="0"/>
        <w:rPr>
          <w:sz w:val="20"/>
          <w:szCs w:val="20"/>
        </w:rPr>
      </w:pPr>
      <w:r w:rsidRPr="00C837DD">
        <w:rPr>
          <w:sz w:val="20"/>
          <w:szCs w:val="20"/>
        </w:rPr>
        <w:t xml:space="preserve">With regard </w:t>
      </w:r>
      <w:r w:rsidR="00C9001D" w:rsidRPr="00C837DD">
        <w:rPr>
          <w:sz w:val="20"/>
          <w:szCs w:val="20"/>
        </w:rPr>
        <w:t>to</w:t>
      </w:r>
      <w:r w:rsidR="00F85D5F" w:rsidRPr="00C837DD">
        <w:rPr>
          <w:sz w:val="20"/>
          <w:szCs w:val="20"/>
        </w:rPr>
        <w:t xml:space="preserve"> the alleged lack of due diligence in the investigation </w:t>
      </w:r>
      <w:r w:rsidR="00F606CF" w:rsidRPr="00C837DD">
        <w:rPr>
          <w:sz w:val="20"/>
          <w:szCs w:val="20"/>
        </w:rPr>
        <w:t xml:space="preserve">of the other </w:t>
      </w:r>
      <w:r w:rsidR="00F85D5F" w:rsidRPr="00C837DD">
        <w:rPr>
          <w:sz w:val="20"/>
          <w:szCs w:val="20"/>
        </w:rPr>
        <w:t xml:space="preserve">suspects, the Court </w:t>
      </w:r>
      <w:r w:rsidRPr="00C837DD">
        <w:rPr>
          <w:sz w:val="20"/>
          <w:szCs w:val="20"/>
        </w:rPr>
        <w:t xml:space="preserve">deems </w:t>
      </w:r>
      <w:r w:rsidR="00F606CF" w:rsidRPr="00C837DD">
        <w:rPr>
          <w:sz w:val="20"/>
          <w:szCs w:val="20"/>
        </w:rPr>
        <w:t xml:space="preserve">it </w:t>
      </w:r>
      <w:r w:rsidR="00F85D5F" w:rsidRPr="00C837DD">
        <w:rPr>
          <w:sz w:val="20"/>
          <w:szCs w:val="20"/>
        </w:rPr>
        <w:t xml:space="preserve">pertinent </w:t>
      </w:r>
      <w:r w:rsidR="00A831CC" w:rsidRPr="00C837DD">
        <w:rPr>
          <w:sz w:val="20"/>
          <w:szCs w:val="20"/>
        </w:rPr>
        <w:t xml:space="preserve">to </w:t>
      </w:r>
      <w:r w:rsidR="00F85D5F" w:rsidRPr="00C837DD">
        <w:rPr>
          <w:sz w:val="20"/>
          <w:szCs w:val="20"/>
        </w:rPr>
        <w:t>rec</w:t>
      </w:r>
      <w:r w:rsidR="00A831CC" w:rsidRPr="00C837DD">
        <w:rPr>
          <w:sz w:val="20"/>
          <w:szCs w:val="20"/>
        </w:rPr>
        <w:t xml:space="preserve">all </w:t>
      </w:r>
      <w:r w:rsidR="00F85D5F" w:rsidRPr="00C837DD">
        <w:rPr>
          <w:sz w:val="20"/>
          <w:szCs w:val="20"/>
        </w:rPr>
        <w:t xml:space="preserve">the nature </w:t>
      </w:r>
      <w:r w:rsidR="00A831CC" w:rsidRPr="00C837DD">
        <w:rPr>
          <w:sz w:val="20"/>
          <w:szCs w:val="20"/>
        </w:rPr>
        <w:t xml:space="preserve">of the murder </w:t>
      </w:r>
      <w:r w:rsidR="00F606CF" w:rsidRPr="00C837DD">
        <w:rPr>
          <w:sz w:val="20"/>
          <w:szCs w:val="20"/>
        </w:rPr>
        <w:t xml:space="preserve">of </w:t>
      </w:r>
      <w:r w:rsidR="00B8009F" w:rsidRPr="00C837DD">
        <w:rPr>
          <w:sz w:val="20"/>
          <w:szCs w:val="20"/>
        </w:rPr>
        <w:t>Márcia</w:t>
      </w:r>
      <w:r w:rsidR="00F606CF" w:rsidRPr="00C837DD">
        <w:rPr>
          <w:sz w:val="20"/>
          <w:szCs w:val="20"/>
        </w:rPr>
        <w:t xml:space="preserve"> Barbosa de Souza</w:t>
      </w:r>
      <w:r w:rsidR="00F85D5F" w:rsidRPr="00C837DD">
        <w:rPr>
          <w:sz w:val="20"/>
          <w:szCs w:val="20"/>
        </w:rPr>
        <w:t xml:space="preserve">, </w:t>
      </w:r>
      <w:r w:rsidR="00F606CF" w:rsidRPr="00C837DD">
        <w:rPr>
          <w:sz w:val="20"/>
          <w:szCs w:val="20"/>
        </w:rPr>
        <w:t xml:space="preserve">since this has </w:t>
      </w:r>
      <w:r w:rsidR="00F85D5F" w:rsidRPr="00C837DD">
        <w:rPr>
          <w:sz w:val="20"/>
          <w:szCs w:val="20"/>
        </w:rPr>
        <w:t xml:space="preserve">consequences for the </w:t>
      </w:r>
      <w:r w:rsidRPr="00C837DD">
        <w:rPr>
          <w:sz w:val="20"/>
          <w:szCs w:val="20"/>
        </w:rPr>
        <w:t xml:space="preserve">present </w:t>
      </w:r>
      <w:r w:rsidR="00F85D5F" w:rsidRPr="00C837DD">
        <w:rPr>
          <w:sz w:val="20"/>
          <w:szCs w:val="20"/>
        </w:rPr>
        <w:t xml:space="preserve">analysis, </w:t>
      </w:r>
      <w:r w:rsidRPr="00C837DD">
        <w:rPr>
          <w:sz w:val="20"/>
          <w:szCs w:val="20"/>
        </w:rPr>
        <w:t xml:space="preserve">even though </w:t>
      </w:r>
      <w:r w:rsidR="00F85D5F" w:rsidRPr="00C837DD">
        <w:rPr>
          <w:sz w:val="20"/>
          <w:szCs w:val="20"/>
        </w:rPr>
        <w:t xml:space="preserve">the facts related to the homicide </w:t>
      </w:r>
      <w:r w:rsidRPr="00C837DD">
        <w:rPr>
          <w:sz w:val="20"/>
          <w:szCs w:val="20"/>
        </w:rPr>
        <w:t xml:space="preserve">are </w:t>
      </w:r>
      <w:r w:rsidR="00F85D5F" w:rsidRPr="00C837DD">
        <w:rPr>
          <w:sz w:val="20"/>
          <w:szCs w:val="20"/>
        </w:rPr>
        <w:t>no</w:t>
      </w:r>
      <w:r w:rsidR="00F606CF" w:rsidRPr="00C837DD">
        <w:rPr>
          <w:sz w:val="20"/>
          <w:szCs w:val="20"/>
        </w:rPr>
        <w:t xml:space="preserve">t </w:t>
      </w:r>
      <w:r w:rsidR="00F85D5F" w:rsidRPr="00C837DD">
        <w:rPr>
          <w:sz w:val="20"/>
          <w:szCs w:val="20"/>
        </w:rPr>
        <w:t xml:space="preserve">within the </w:t>
      </w:r>
      <w:r w:rsidR="006527D9" w:rsidRPr="00C837DD">
        <w:rPr>
          <w:sz w:val="20"/>
          <w:szCs w:val="20"/>
        </w:rPr>
        <w:t xml:space="preserve">Court’s </w:t>
      </w:r>
      <w:r w:rsidR="00F606CF" w:rsidRPr="00C837DD">
        <w:rPr>
          <w:sz w:val="20"/>
          <w:szCs w:val="20"/>
        </w:rPr>
        <w:t>temporal jurisdiction. I</w:t>
      </w:r>
      <w:r w:rsidR="00F85D5F" w:rsidRPr="00C837DD">
        <w:rPr>
          <w:sz w:val="20"/>
          <w:szCs w:val="20"/>
        </w:rPr>
        <w:t>n</w:t>
      </w:r>
      <w:r w:rsidR="0082776B">
        <w:rPr>
          <w:sz w:val="20"/>
          <w:szCs w:val="20"/>
        </w:rPr>
        <w:t xml:space="preserve"> fact</w:t>
      </w:r>
      <w:r w:rsidR="00F85D5F" w:rsidRPr="00C837DD">
        <w:rPr>
          <w:sz w:val="20"/>
          <w:szCs w:val="20"/>
        </w:rPr>
        <w:t xml:space="preserve">, the Court </w:t>
      </w:r>
      <w:r w:rsidR="00F606CF" w:rsidRPr="00C837DD">
        <w:rPr>
          <w:sz w:val="20"/>
          <w:szCs w:val="20"/>
        </w:rPr>
        <w:t>f</w:t>
      </w:r>
      <w:r w:rsidR="0082776B">
        <w:rPr>
          <w:sz w:val="20"/>
          <w:szCs w:val="20"/>
        </w:rPr>
        <w:t xml:space="preserve">inds </w:t>
      </w:r>
      <w:r w:rsidR="00F606CF" w:rsidRPr="00C837DD">
        <w:rPr>
          <w:sz w:val="20"/>
          <w:szCs w:val="20"/>
        </w:rPr>
        <w:t xml:space="preserve">it </w:t>
      </w:r>
      <w:r w:rsidRPr="00C837DD">
        <w:rPr>
          <w:sz w:val="20"/>
          <w:szCs w:val="20"/>
        </w:rPr>
        <w:t xml:space="preserve">plausible </w:t>
      </w:r>
      <w:r w:rsidR="00F85D5F" w:rsidRPr="00C837DD">
        <w:rPr>
          <w:sz w:val="20"/>
          <w:szCs w:val="20"/>
        </w:rPr>
        <w:t xml:space="preserve">that the </w:t>
      </w:r>
      <w:r w:rsidRPr="00C837DD">
        <w:rPr>
          <w:sz w:val="20"/>
          <w:szCs w:val="20"/>
        </w:rPr>
        <w:t xml:space="preserve">homicide </w:t>
      </w:r>
      <w:r w:rsidR="00F85D5F" w:rsidRPr="00C837DD">
        <w:rPr>
          <w:sz w:val="20"/>
          <w:szCs w:val="20"/>
        </w:rPr>
        <w:t xml:space="preserve">of Ms. Barbosa de Souza </w:t>
      </w:r>
      <w:r w:rsidR="00F606CF" w:rsidRPr="00C837DD">
        <w:rPr>
          <w:sz w:val="20"/>
          <w:szCs w:val="20"/>
        </w:rPr>
        <w:t xml:space="preserve">was committed for gender </w:t>
      </w:r>
      <w:r w:rsidR="00F85D5F" w:rsidRPr="00C837DD">
        <w:rPr>
          <w:sz w:val="20"/>
          <w:szCs w:val="20"/>
        </w:rPr>
        <w:t>reasons (</w:t>
      </w:r>
      <w:r w:rsidR="00F85D5F" w:rsidRPr="00C837DD">
        <w:rPr>
          <w:i/>
          <w:sz w:val="20"/>
          <w:szCs w:val="20"/>
        </w:rPr>
        <w:t>supra</w:t>
      </w:r>
      <w:r w:rsidR="00F85D5F" w:rsidRPr="00C837DD">
        <w:rPr>
          <w:sz w:val="20"/>
          <w:szCs w:val="20"/>
        </w:rPr>
        <w:t xml:space="preserve"> para. 88)</w:t>
      </w:r>
      <w:r w:rsidR="0082776B">
        <w:rPr>
          <w:sz w:val="20"/>
          <w:szCs w:val="20"/>
        </w:rPr>
        <w:t xml:space="preserve"> and that,</w:t>
      </w:r>
      <w:r w:rsidR="00F85D5F" w:rsidRPr="00C837DD">
        <w:rPr>
          <w:sz w:val="20"/>
          <w:szCs w:val="20"/>
        </w:rPr>
        <w:t xml:space="preserve"> </w:t>
      </w:r>
      <w:r w:rsidR="00F606CF" w:rsidRPr="00C837DD">
        <w:rPr>
          <w:sz w:val="20"/>
          <w:szCs w:val="20"/>
        </w:rPr>
        <w:t xml:space="preserve">despite </w:t>
      </w:r>
      <w:r w:rsidR="00F85D5F" w:rsidRPr="00C837DD">
        <w:rPr>
          <w:sz w:val="20"/>
          <w:szCs w:val="20"/>
        </w:rPr>
        <w:t xml:space="preserve">the </w:t>
      </w:r>
      <w:r w:rsidR="00ED1A94" w:rsidRPr="00C837DD">
        <w:rPr>
          <w:sz w:val="20"/>
          <w:szCs w:val="20"/>
        </w:rPr>
        <w:t xml:space="preserve">strong </w:t>
      </w:r>
      <w:r w:rsidR="00F85D5F" w:rsidRPr="00C837DD">
        <w:rPr>
          <w:sz w:val="20"/>
          <w:szCs w:val="20"/>
        </w:rPr>
        <w:t>indi</w:t>
      </w:r>
      <w:r w:rsidR="00ED1A94" w:rsidRPr="00C837DD">
        <w:rPr>
          <w:sz w:val="20"/>
          <w:szCs w:val="20"/>
        </w:rPr>
        <w:t xml:space="preserve">cations </w:t>
      </w:r>
      <w:r w:rsidR="00F85D5F" w:rsidRPr="00C837DD">
        <w:rPr>
          <w:sz w:val="20"/>
          <w:szCs w:val="20"/>
        </w:rPr>
        <w:t xml:space="preserve">that </w:t>
      </w:r>
      <w:r w:rsidR="00B8009F" w:rsidRPr="00C837DD">
        <w:rPr>
          <w:sz w:val="20"/>
          <w:szCs w:val="20"/>
        </w:rPr>
        <w:t>Márcia</w:t>
      </w:r>
      <w:r w:rsidR="00F85D5F" w:rsidRPr="00C837DD">
        <w:rPr>
          <w:sz w:val="20"/>
          <w:szCs w:val="20"/>
        </w:rPr>
        <w:t xml:space="preserve"> Barbosa de Souza</w:t>
      </w:r>
      <w:r w:rsidR="00F606CF" w:rsidRPr="00C837DD">
        <w:rPr>
          <w:sz w:val="20"/>
          <w:szCs w:val="20"/>
        </w:rPr>
        <w:t>’s violent death</w:t>
      </w:r>
      <w:r w:rsidR="00F85D5F" w:rsidRPr="00C837DD">
        <w:rPr>
          <w:sz w:val="20"/>
          <w:szCs w:val="20"/>
        </w:rPr>
        <w:t xml:space="preserve"> was </w:t>
      </w:r>
      <w:r w:rsidR="00ED1A94" w:rsidRPr="00C837DD">
        <w:rPr>
          <w:sz w:val="20"/>
          <w:szCs w:val="20"/>
        </w:rPr>
        <w:t>the result of gender</w:t>
      </w:r>
      <w:r w:rsidRPr="00C837DD">
        <w:rPr>
          <w:sz w:val="20"/>
          <w:szCs w:val="20"/>
        </w:rPr>
        <w:t>-based</w:t>
      </w:r>
      <w:r w:rsidR="00ED1A94" w:rsidRPr="00C837DD">
        <w:rPr>
          <w:sz w:val="20"/>
          <w:szCs w:val="20"/>
        </w:rPr>
        <w:t xml:space="preserve"> violence, the State did not </w:t>
      </w:r>
      <w:r w:rsidR="00F606CF" w:rsidRPr="00C837DD">
        <w:rPr>
          <w:sz w:val="20"/>
          <w:szCs w:val="20"/>
        </w:rPr>
        <w:t>c</w:t>
      </w:r>
      <w:r w:rsidRPr="00C837DD">
        <w:rPr>
          <w:sz w:val="20"/>
          <w:szCs w:val="20"/>
        </w:rPr>
        <w:t xml:space="preserve">onduct </w:t>
      </w:r>
      <w:r w:rsidR="00F606CF" w:rsidRPr="00C837DD">
        <w:rPr>
          <w:sz w:val="20"/>
          <w:szCs w:val="20"/>
        </w:rPr>
        <w:t xml:space="preserve">any evidentiary procedures to establish </w:t>
      </w:r>
      <w:r w:rsidRPr="00C837DD">
        <w:rPr>
          <w:sz w:val="20"/>
          <w:szCs w:val="20"/>
        </w:rPr>
        <w:t>this</w:t>
      </w:r>
      <w:r w:rsidR="00F85D5F" w:rsidRPr="00C837DD">
        <w:rPr>
          <w:sz w:val="20"/>
          <w:szCs w:val="20"/>
        </w:rPr>
        <w:t>.</w:t>
      </w:r>
    </w:p>
    <w:p w14:paraId="5D5B5BFF" w14:textId="77777777" w:rsidR="00F85D5F" w:rsidRPr="00C837DD" w:rsidRDefault="00F85D5F" w:rsidP="00F85D5F">
      <w:pPr>
        <w:pStyle w:val="Prrafodelista"/>
        <w:tabs>
          <w:tab w:val="left" w:pos="142"/>
        </w:tabs>
        <w:ind w:left="0"/>
        <w:rPr>
          <w:sz w:val="20"/>
          <w:szCs w:val="20"/>
        </w:rPr>
      </w:pPr>
    </w:p>
    <w:p w14:paraId="14E52AF1" w14:textId="4DECE4BD" w:rsidR="00F85D5F" w:rsidRPr="00C837DD" w:rsidRDefault="00F606CF" w:rsidP="00F85D5F">
      <w:pPr>
        <w:pStyle w:val="Prrafodelista"/>
        <w:numPr>
          <w:ilvl w:val="0"/>
          <w:numId w:val="6"/>
        </w:numPr>
        <w:tabs>
          <w:tab w:val="left" w:pos="142"/>
        </w:tabs>
        <w:ind w:left="0" w:firstLine="0"/>
        <w:rPr>
          <w:sz w:val="20"/>
          <w:szCs w:val="20"/>
        </w:rPr>
      </w:pPr>
      <w:r w:rsidRPr="00C837DD">
        <w:rPr>
          <w:sz w:val="20"/>
          <w:szCs w:val="20"/>
        </w:rPr>
        <w:t>The Court recalls that whe</w:t>
      </w:r>
      <w:r w:rsidR="004D3B77" w:rsidRPr="00C837DD">
        <w:rPr>
          <w:sz w:val="20"/>
          <w:szCs w:val="20"/>
        </w:rPr>
        <w:t xml:space="preserve">n </w:t>
      </w:r>
      <w:r w:rsidRPr="00C837DD">
        <w:rPr>
          <w:sz w:val="20"/>
          <w:szCs w:val="20"/>
        </w:rPr>
        <w:t>there are</w:t>
      </w:r>
      <w:r w:rsidR="00F85D5F" w:rsidRPr="00C837DD">
        <w:rPr>
          <w:sz w:val="20"/>
          <w:szCs w:val="20"/>
        </w:rPr>
        <w:t xml:space="preserve"> </w:t>
      </w:r>
      <w:r w:rsidR="004D3B77" w:rsidRPr="00C837DD">
        <w:rPr>
          <w:sz w:val="20"/>
          <w:szCs w:val="20"/>
        </w:rPr>
        <w:t xml:space="preserve">specific </w:t>
      </w:r>
      <w:r w:rsidRPr="00C837DD">
        <w:rPr>
          <w:sz w:val="20"/>
          <w:szCs w:val="20"/>
        </w:rPr>
        <w:t xml:space="preserve">indications </w:t>
      </w:r>
      <w:r w:rsidR="00F85D5F" w:rsidRPr="00C837DD">
        <w:rPr>
          <w:sz w:val="20"/>
          <w:szCs w:val="20"/>
        </w:rPr>
        <w:t>or s</w:t>
      </w:r>
      <w:r w:rsidRPr="00C837DD">
        <w:rPr>
          <w:sz w:val="20"/>
          <w:szCs w:val="20"/>
        </w:rPr>
        <w:t>uspicions</w:t>
      </w:r>
      <w:r w:rsidR="00F85D5F" w:rsidRPr="00C837DD">
        <w:rPr>
          <w:sz w:val="20"/>
          <w:szCs w:val="20"/>
        </w:rPr>
        <w:t xml:space="preserve"> of gender</w:t>
      </w:r>
      <w:r w:rsidR="004D3B77" w:rsidRPr="00C837DD">
        <w:rPr>
          <w:sz w:val="20"/>
          <w:szCs w:val="20"/>
        </w:rPr>
        <w:t>-based</w:t>
      </w:r>
      <w:r w:rsidR="00F85D5F" w:rsidRPr="00C837DD">
        <w:rPr>
          <w:sz w:val="20"/>
          <w:szCs w:val="20"/>
        </w:rPr>
        <w:t xml:space="preserve"> violence, the </w:t>
      </w:r>
      <w:r w:rsidRPr="00C837DD">
        <w:rPr>
          <w:sz w:val="20"/>
          <w:szCs w:val="20"/>
        </w:rPr>
        <w:t xml:space="preserve">authorities’ failure to investigate </w:t>
      </w:r>
      <w:r w:rsidR="00F85D5F" w:rsidRPr="00C837DD">
        <w:rPr>
          <w:sz w:val="20"/>
          <w:szCs w:val="20"/>
        </w:rPr>
        <w:t>the p</w:t>
      </w:r>
      <w:r w:rsidR="00A831CC" w:rsidRPr="00C837DD">
        <w:rPr>
          <w:sz w:val="20"/>
          <w:szCs w:val="20"/>
        </w:rPr>
        <w:t xml:space="preserve">ossible discriminatory </w:t>
      </w:r>
      <w:r w:rsidR="004D3B77" w:rsidRPr="00C837DD">
        <w:rPr>
          <w:sz w:val="20"/>
          <w:szCs w:val="20"/>
        </w:rPr>
        <w:t xml:space="preserve">motives behind </w:t>
      </w:r>
      <w:r w:rsidR="00CF43F5" w:rsidRPr="00C837DD">
        <w:rPr>
          <w:sz w:val="20"/>
          <w:szCs w:val="20"/>
        </w:rPr>
        <w:t xml:space="preserve">an </w:t>
      </w:r>
      <w:r w:rsidRPr="00C837DD">
        <w:rPr>
          <w:sz w:val="20"/>
          <w:szCs w:val="20"/>
        </w:rPr>
        <w:t>act</w:t>
      </w:r>
      <w:r w:rsidR="00F85D5F" w:rsidRPr="00C837DD">
        <w:rPr>
          <w:sz w:val="20"/>
          <w:szCs w:val="20"/>
        </w:rPr>
        <w:t xml:space="preserve"> of violen</w:t>
      </w:r>
      <w:r w:rsidR="00CF43F5" w:rsidRPr="00C837DD">
        <w:rPr>
          <w:sz w:val="20"/>
          <w:szCs w:val="20"/>
        </w:rPr>
        <w:t xml:space="preserve">ce against women </w:t>
      </w:r>
      <w:r w:rsidR="004D3B77" w:rsidRPr="00C837DD">
        <w:rPr>
          <w:sz w:val="20"/>
          <w:szCs w:val="20"/>
        </w:rPr>
        <w:t xml:space="preserve">may in itself </w:t>
      </w:r>
      <w:r w:rsidR="00CF43F5" w:rsidRPr="00C837DD">
        <w:rPr>
          <w:sz w:val="20"/>
          <w:szCs w:val="20"/>
        </w:rPr>
        <w:t>constitute a form</w:t>
      </w:r>
      <w:r w:rsidR="00F85D5F" w:rsidRPr="00C837DD">
        <w:rPr>
          <w:sz w:val="20"/>
          <w:szCs w:val="20"/>
        </w:rPr>
        <w:t xml:space="preserve"> of </w:t>
      </w:r>
      <w:r w:rsidR="00A831CC" w:rsidRPr="00C837DD">
        <w:rPr>
          <w:sz w:val="20"/>
          <w:szCs w:val="20"/>
        </w:rPr>
        <w:t xml:space="preserve">gender </w:t>
      </w:r>
      <w:r w:rsidR="00F85D5F" w:rsidRPr="00C837DD">
        <w:rPr>
          <w:sz w:val="20"/>
          <w:szCs w:val="20"/>
        </w:rPr>
        <w:t>discrimination</w:t>
      </w:r>
      <w:r w:rsidR="00A831CC" w:rsidRPr="00C837DD">
        <w:rPr>
          <w:sz w:val="20"/>
          <w:szCs w:val="20"/>
        </w:rPr>
        <w:t>.</w:t>
      </w:r>
      <w:r w:rsidR="00F85D5F" w:rsidRPr="00C837DD">
        <w:rPr>
          <w:sz w:val="20"/>
          <w:szCs w:val="20"/>
          <w:vertAlign w:val="superscript"/>
        </w:rPr>
        <w:footnoteReference w:id="222"/>
      </w:r>
      <w:r w:rsidR="00F85D5F" w:rsidRPr="00C837DD">
        <w:rPr>
          <w:sz w:val="20"/>
          <w:szCs w:val="20"/>
        </w:rPr>
        <w:t xml:space="preserve"> </w:t>
      </w:r>
      <w:r w:rsidR="009E352C" w:rsidRPr="00C837DD">
        <w:rPr>
          <w:sz w:val="20"/>
          <w:szCs w:val="20"/>
        </w:rPr>
        <w:t xml:space="preserve">The </w:t>
      </w:r>
      <w:r w:rsidR="004D3B77" w:rsidRPr="00C837DD">
        <w:rPr>
          <w:sz w:val="20"/>
          <w:szCs w:val="20"/>
        </w:rPr>
        <w:t>ineffectiveness</w:t>
      </w:r>
      <w:r w:rsidR="00A831CC" w:rsidRPr="00C837DD">
        <w:rPr>
          <w:sz w:val="20"/>
          <w:szCs w:val="20"/>
        </w:rPr>
        <w:t xml:space="preserve"> </w:t>
      </w:r>
      <w:r w:rsidR="009E352C" w:rsidRPr="00C837DD">
        <w:rPr>
          <w:sz w:val="20"/>
          <w:szCs w:val="20"/>
        </w:rPr>
        <w:t xml:space="preserve">of the courts </w:t>
      </w:r>
      <w:r w:rsidR="004D3B77" w:rsidRPr="00C837DD">
        <w:rPr>
          <w:sz w:val="20"/>
          <w:szCs w:val="20"/>
        </w:rPr>
        <w:t xml:space="preserve">in individual cases of violence against women </w:t>
      </w:r>
      <w:r w:rsidR="00D350DF" w:rsidRPr="00C837DD">
        <w:rPr>
          <w:sz w:val="20"/>
          <w:szCs w:val="20"/>
        </w:rPr>
        <w:t xml:space="preserve">fosters </w:t>
      </w:r>
      <w:r w:rsidR="004D3B77" w:rsidRPr="00C837DD">
        <w:rPr>
          <w:sz w:val="20"/>
          <w:szCs w:val="20"/>
        </w:rPr>
        <w:t xml:space="preserve">an environment of impunity that facilitates and promotes the repetition of </w:t>
      </w:r>
      <w:r w:rsidR="009E352C" w:rsidRPr="00C837DD">
        <w:rPr>
          <w:sz w:val="20"/>
          <w:szCs w:val="20"/>
        </w:rPr>
        <w:t xml:space="preserve">such </w:t>
      </w:r>
      <w:r w:rsidR="004D3B77" w:rsidRPr="00C837DD">
        <w:rPr>
          <w:sz w:val="20"/>
          <w:szCs w:val="20"/>
        </w:rPr>
        <w:t>acts of violence and sends a message that violence against women can be tolerated and accepted</w:t>
      </w:r>
      <w:r w:rsidR="00CF43F5" w:rsidRPr="00C837DD">
        <w:rPr>
          <w:sz w:val="20"/>
          <w:szCs w:val="20"/>
        </w:rPr>
        <w:t xml:space="preserve">, which </w:t>
      </w:r>
      <w:r w:rsidR="00D350DF" w:rsidRPr="00C837DD">
        <w:rPr>
          <w:sz w:val="20"/>
          <w:szCs w:val="20"/>
        </w:rPr>
        <w:t xml:space="preserve">encourages </w:t>
      </w:r>
      <w:r w:rsidR="00CF43F5" w:rsidRPr="00C837DD">
        <w:rPr>
          <w:sz w:val="20"/>
          <w:szCs w:val="20"/>
        </w:rPr>
        <w:t xml:space="preserve">its </w:t>
      </w:r>
      <w:r w:rsidR="00F85D5F" w:rsidRPr="00C837DD">
        <w:rPr>
          <w:sz w:val="20"/>
          <w:szCs w:val="20"/>
        </w:rPr>
        <w:t xml:space="preserve">perpetuation and </w:t>
      </w:r>
      <w:r w:rsidR="00D350DF" w:rsidRPr="00C837DD">
        <w:rPr>
          <w:sz w:val="20"/>
          <w:szCs w:val="20"/>
        </w:rPr>
        <w:t xml:space="preserve">society’s </w:t>
      </w:r>
      <w:r w:rsidR="00A831CC" w:rsidRPr="00C837DD">
        <w:rPr>
          <w:sz w:val="20"/>
          <w:szCs w:val="20"/>
        </w:rPr>
        <w:t>acceptance of the pheno</w:t>
      </w:r>
      <w:r w:rsidR="00F85D5F" w:rsidRPr="00C837DD">
        <w:rPr>
          <w:sz w:val="20"/>
          <w:szCs w:val="20"/>
        </w:rPr>
        <w:t>meno</w:t>
      </w:r>
      <w:r w:rsidR="00A831CC" w:rsidRPr="00C837DD">
        <w:rPr>
          <w:sz w:val="20"/>
          <w:szCs w:val="20"/>
        </w:rPr>
        <w:t>n</w:t>
      </w:r>
      <w:r w:rsidR="00F85D5F" w:rsidRPr="00C837DD">
        <w:rPr>
          <w:sz w:val="20"/>
          <w:szCs w:val="20"/>
        </w:rPr>
        <w:t xml:space="preserve">, </w:t>
      </w:r>
      <w:r w:rsidR="00D350DF" w:rsidRPr="00C837DD">
        <w:rPr>
          <w:sz w:val="20"/>
          <w:szCs w:val="20"/>
        </w:rPr>
        <w:t>the perception and sensation of insecurity for women, and also their continued lack of confidence in the system for the administration of justice</w:t>
      </w:r>
      <w:r w:rsidRPr="00C837DD">
        <w:rPr>
          <w:sz w:val="20"/>
          <w:szCs w:val="20"/>
        </w:rPr>
        <w:t>.</w:t>
      </w:r>
      <w:r w:rsidR="00F85D5F" w:rsidRPr="00C837DD">
        <w:rPr>
          <w:sz w:val="20"/>
          <w:szCs w:val="20"/>
          <w:vertAlign w:val="superscript"/>
        </w:rPr>
        <w:footnoteReference w:id="223"/>
      </w:r>
      <w:r w:rsidR="00F85D5F" w:rsidRPr="00C837DD">
        <w:rPr>
          <w:sz w:val="20"/>
          <w:szCs w:val="20"/>
        </w:rPr>
        <w:t xml:space="preserve"> </w:t>
      </w:r>
      <w:r w:rsidR="00D350DF" w:rsidRPr="00C837DD">
        <w:rPr>
          <w:sz w:val="20"/>
          <w:szCs w:val="20"/>
        </w:rPr>
        <w:t xml:space="preserve">This </w:t>
      </w:r>
      <w:r w:rsidRPr="00C837DD">
        <w:rPr>
          <w:sz w:val="20"/>
          <w:szCs w:val="20"/>
        </w:rPr>
        <w:t>ineff</w:t>
      </w:r>
      <w:r w:rsidR="00D350DF" w:rsidRPr="00C837DD">
        <w:rPr>
          <w:sz w:val="20"/>
          <w:szCs w:val="20"/>
        </w:rPr>
        <w:t xml:space="preserve">ectiveness </w:t>
      </w:r>
      <w:r w:rsidR="00F85D5F" w:rsidRPr="00C837DD">
        <w:rPr>
          <w:sz w:val="20"/>
          <w:szCs w:val="20"/>
        </w:rPr>
        <w:t xml:space="preserve">or indifference </w:t>
      </w:r>
      <w:r w:rsidR="0082776B">
        <w:rPr>
          <w:sz w:val="20"/>
          <w:szCs w:val="20"/>
        </w:rPr>
        <w:t>constitutes</w:t>
      </w:r>
      <w:r w:rsidR="00D350DF" w:rsidRPr="00C837DD">
        <w:rPr>
          <w:sz w:val="20"/>
          <w:szCs w:val="20"/>
        </w:rPr>
        <w:t xml:space="preserve">, </w:t>
      </w:r>
      <w:r w:rsidR="009E352C" w:rsidRPr="00C837DD">
        <w:rPr>
          <w:sz w:val="20"/>
          <w:szCs w:val="20"/>
        </w:rPr>
        <w:t>in</w:t>
      </w:r>
      <w:r w:rsidR="00A831CC" w:rsidRPr="00C837DD">
        <w:rPr>
          <w:sz w:val="20"/>
          <w:szCs w:val="20"/>
        </w:rPr>
        <w:t xml:space="preserve"> itself</w:t>
      </w:r>
      <w:r w:rsidR="00D350DF" w:rsidRPr="00C837DD">
        <w:rPr>
          <w:sz w:val="20"/>
          <w:szCs w:val="20"/>
        </w:rPr>
        <w:t>,</w:t>
      </w:r>
      <w:r w:rsidR="00A831CC" w:rsidRPr="00C837DD">
        <w:rPr>
          <w:sz w:val="20"/>
          <w:szCs w:val="20"/>
        </w:rPr>
        <w:t xml:space="preserve"> </w:t>
      </w:r>
      <w:r w:rsidR="00F85D5F" w:rsidRPr="00C837DD">
        <w:rPr>
          <w:sz w:val="20"/>
          <w:szCs w:val="20"/>
        </w:rPr>
        <w:t xml:space="preserve">discrimination </w:t>
      </w:r>
      <w:r w:rsidR="00D350DF" w:rsidRPr="00C837DD">
        <w:rPr>
          <w:sz w:val="20"/>
          <w:szCs w:val="20"/>
        </w:rPr>
        <w:t xml:space="preserve">against </w:t>
      </w:r>
      <w:r w:rsidR="009366E5" w:rsidRPr="00C837DD">
        <w:rPr>
          <w:sz w:val="20"/>
          <w:szCs w:val="20"/>
        </w:rPr>
        <w:t>women</w:t>
      </w:r>
      <w:r w:rsidR="00A831CC" w:rsidRPr="00C837DD">
        <w:rPr>
          <w:sz w:val="20"/>
          <w:szCs w:val="20"/>
        </w:rPr>
        <w:t xml:space="preserve"> in </w:t>
      </w:r>
      <w:r w:rsidR="0082776B">
        <w:rPr>
          <w:sz w:val="20"/>
          <w:szCs w:val="20"/>
        </w:rPr>
        <w:t xml:space="preserve">their </w:t>
      </w:r>
      <w:r w:rsidR="00F85D5F" w:rsidRPr="00C837DD">
        <w:rPr>
          <w:sz w:val="20"/>
          <w:szCs w:val="20"/>
        </w:rPr>
        <w:t>access to justice</w:t>
      </w:r>
      <w:r w:rsidR="00A831CC" w:rsidRPr="00C837DD">
        <w:rPr>
          <w:sz w:val="20"/>
          <w:szCs w:val="20"/>
        </w:rPr>
        <w:t>.</w:t>
      </w:r>
      <w:r w:rsidR="00F85D5F" w:rsidRPr="00C837DD">
        <w:rPr>
          <w:sz w:val="20"/>
          <w:szCs w:val="20"/>
          <w:vertAlign w:val="superscript"/>
        </w:rPr>
        <w:footnoteReference w:id="224"/>
      </w:r>
      <w:r w:rsidR="00F85D5F" w:rsidRPr="00C837DD">
        <w:rPr>
          <w:sz w:val="20"/>
          <w:szCs w:val="20"/>
        </w:rPr>
        <w:t xml:space="preserve"> </w:t>
      </w:r>
    </w:p>
    <w:p w14:paraId="36AD2935" w14:textId="77777777" w:rsidR="00F85D5F" w:rsidRPr="00C837DD" w:rsidRDefault="00F85D5F" w:rsidP="00F85D5F">
      <w:pPr>
        <w:pStyle w:val="Prrafodelista"/>
        <w:tabs>
          <w:tab w:val="left" w:pos="142"/>
        </w:tabs>
        <w:ind w:left="0"/>
        <w:rPr>
          <w:sz w:val="20"/>
          <w:szCs w:val="20"/>
        </w:rPr>
      </w:pPr>
    </w:p>
    <w:p w14:paraId="2C129EF0" w14:textId="504B8951" w:rsidR="00F85D5F" w:rsidRPr="00C837DD" w:rsidRDefault="00D350DF" w:rsidP="00F85D5F">
      <w:pPr>
        <w:pStyle w:val="Prrafodelista"/>
        <w:numPr>
          <w:ilvl w:val="0"/>
          <w:numId w:val="6"/>
        </w:numPr>
        <w:tabs>
          <w:tab w:val="left" w:pos="142"/>
        </w:tabs>
        <w:ind w:left="0" w:firstLine="0"/>
        <w:rPr>
          <w:sz w:val="20"/>
          <w:szCs w:val="20"/>
          <w:lang w:eastAsia="es-ES"/>
        </w:rPr>
      </w:pPr>
      <w:r w:rsidRPr="00C837DD">
        <w:rPr>
          <w:sz w:val="20"/>
          <w:szCs w:val="20"/>
        </w:rPr>
        <w:t>I</w:t>
      </w:r>
      <w:r w:rsidR="00CF43F5" w:rsidRPr="00C837DD">
        <w:rPr>
          <w:sz w:val="20"/>
          <w:szCs w:val="20"/>
        </w:rPr>
        <w:t xml:space="preserve">t should </w:t>
      </w:r>
      <w:r w:rsidRPr="00C837DD">
        <w:rPr>
          <w:sz w:val="20"/>
          <w:szCs w:val="20"/>
        </w:rPr>
        <w:t xml:space="preserve">also </w:t>
      </w:r>
      <w:r w:rsidR="00CF43F5" w:rsidRPr="00C837DD">
        <w:rPr>
          <w:sz w:val="20"/>
          <w:szCs w:val="20"/>
        </w:rPr>
        <w:t xml:space="preserve">be emphasized </w:t>
      </w:r>
      <w:r w:rsidR="00F85D5F" w:rsidRPr="00C837DD">
        <w:rPr>
          <w:sz w:val="20"/>
          <w:szCs w:val="20"/>
        </w:rPr>
        <w:t xml:space="preserve">that due diligence in the investigation of the </w:t>
      </w:r>
      <w:r w:rsidR="00A831CC" w:rsidRPr="00C837DD">
        <w:rPr>
          <w:sz w:val="20"/>
          <w:szCs w:val="20"/>
        </w:rPr>
        <w:t xml:space="preserve">violent death </w:t>
      </w:r>
      <w:r w:rsidR="00F85D5F" w:rsidRPr="00C837DD">
        <w:rPr>
          <w:sz w:val="20"/>
          <w:szCs w:val="20"/>
        </w:rPr>
        <w:t xml:space="preserve">of a </w:t>
      </w:r>
      <w:r w:rsidR="00510502" w:rsidRPr="00C837DD">
        <w:rPr>
          <w:sz w:val="20"/>
          <w:szCs w:val="20"/>
        </w:rPr>
        <w:t xml:space="preserve">woman also implies the need to </w:t>
      </w:r>
      <w:r w:rsidR="00F85D5F" w:rsidRPr="00C837DD">
        <w:rPr>
          <w:sz w:val="20"/>
          <w:szCs w:val="20"/>
        </w:rPr>
        <w:t>investig</w:t>
      </w:r>
      <w:r w:rsidR="00510502" w:rsidRPr="00C837DD">
        <w:rPr>
          <w:sz w:val="20"/>
          <w:szCs w:val="20"/>
        </w:rPr>
        <w:t xml:space="preserve">ate from a </w:t>
      </w:r>
      <w:r w:rsidR="00F85D5F" w:rsidRPr="00C837DD">
        <w:rPr>
          <w:sz w:val="20"/>
          <w:szCs w:val="20"/>
        </w:rPr>
        <w:t>gender perspective</w:t>
      </w:r>
      <w:r w:rsidR="00CF43F5" w:rsidRPr="00C837DD">
        <w:rPr>
          <w:sz w:val="20"/>
          <w:szCs w:val="20"/>
        </w:rPr>
        <w:t>.</w:t>
      </w:r>
      <w:r w:rsidR="00F85D5F" w:rsidRPr="00C837DD">
        <w:rPr>
          <w:rStyle w:val="Refdenotaalpie"/>
          <w:sz w:val="20"/>
          <w:szCs w:val="20"/>
        </w:rPr>
        <w:footnoteReference w:id="225"/>
      </w:r>
      <w:r w:rsidR="00F85D5F" w:rsidRPr="00C837DD">
        <w:rPr>
          <w:sz w:val="20"/>
          <w:szCs w:val="20"/>
        </w:rPr>
        <w:t xml:space="preserve"> </w:t>
      </w:r>
    </w:p>
    <w:p w14:paraId="61681801" w14:textId="77777777" w:rsidR="00F85D5F" w:rsidRPr="00C837DD" w:rsidRDefault="00F85D5F" w:rsidP="00F85D5F">
      <w:pPr>
        <w:tabs>
          <w:tab w:val="left" w:pos="142"/>
        </w:tabs>
        <w:jc w:val="both"/>
        <w:rPr>
          <w:sz w:val="20"/>
          <w:szCs w:val="20"/>
        </w:rPr>
      </w:pPr>
    </w:p>
    <w:p w14:paraId="716DCEC1" w14:textId="70BA7AC6"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 Court</w:t>
      </w:r>
      <w:r w:rsidRPr="00C837DD">
        <w:rPr>
          <w:sz w:val="20"/>
          <w:szCs w:val="20"/>
          <w:lang w:eastAsia="es-ES"/>
        </w:rPr>
        <w:t xml:space="preserve"> ha</w:t>
      </w:r>
      <w:r w:rsidR="00CF43F5" w:rsidRPr="00C837DD">
        <w:rPr>
          <w:sz w:val="20"/>
          <w:szCs w:val="20"/>
          <w:lang w:eastAsia="es-ES"/>
        </w:rPr>
        <w:t>s held</w:t>
      </w:r>
      <w:r w:rsidRPr="00C837DD">
        <w:rPr>
          <w:sz w:val="20"/>
          <w:szCs w:val="20"/>
          <w:lang w:eastAsia="es-ES"/>
        </w:rPr>
        <w:t xml:space="preserve"> that due diligence </w:t>
      </w:r>
      <w:r w:rsidR="00482E0A" w:rsidRPr="00C837DD">
        <w:rPr>
          <w:sz w:val="20"/>
          <w:szCs w:val="20"/>
          <w:lang w:eastAsia="es-ES"/>
        </w:rPr>
        <w:t xml:space="preserve">will be </w:t>
      </w:r>
      <w:r w:rsidR="00510502" w:rsidRPr="00C837DD">
        <w:rPr>
          <w:sz w:val="20"/>
          <w:szCs w:val="20"/>
          <w:lang w:eastAsia="es-ES"/>
        </w:rPr>
        <w:t xml:space="preserve">demonstrated </w:t>
      </w:r>
      <w:r w:rsidRPr="00C837DD">
        <w:rPr>
          <w:sz w:val="20"/>
          <w:szCs w:val="20"/>
          <w:lang w:eastAsia="es-ES"/>
        </w:rPr>
        <w:t xml:space="preserve">in criminal proceedings </w:t>
      </w:r>
      <w:r w:rsidR="00CF43F5" w:rsidRPr="00C837DD">
        <w:rPr>
          <w:sz w:val="20"/>
          <w:szCs w:val="20"/>
          <w:lang w:eastAsia="es-ES"/>
        </w:rPr>
        <w:t xml:space="preserve">if </w:t>
      </w:r>
      <w:r w:rsidRPr="00C837DD">
        <w:rPr>
          <w:sz w:val="20"/>
          <w:szCs w:val="20"/>
          <w:lang w:eastAsia="es-ES"/>
        </w:rPr>
        <w:t xml:space="preserve">the State </w:t>
      </w:r>
      <w:r w:rsidR="0009779C" w:rsidRPr="00C837DD">
        <w:rPr>
          <w:sz w:val="20"/>
          <w:szCs w:val="20"/>
          <w:lang w:eastAsia="es-ES"/>
        </w:rPr>
        <w:t xml:space="preserve">succeeds in proving </w:t>
      </w:r>
      <w:r w:rsidRPr="00C837DD">
        <w:rPr>
          <w:sz w:val="20"/>
          <w:szCs w:val="20"/>
          <w:lang w:eastAsia="es-ES"/>
        </w:rPr>
        <w:t xml:space="preserve">that </w:t>
      </w:r>
      <w:r w:rsidR="0009779C" w:rsidRPr="00C837DD">
        <w:rPr>
          <w:sz w:val="20"/>
          <w:szCs w:val="20"/>
          <w:lang w:eastAsia="es-ES"/>
        </w:rPr>
        <w:t xml:space="preserve">it </w:t>
      </w:r>
      <w:r w:rsidRPr="00C837DD">
        <w:rPr>
          <w:sz w:val="20"/>
          <w:szCs w:val="20"/>
          <w:lang w:eastAsia="es-ES"/>
        </w:rPr>
        <w:t>ha</w:t>
      </w:r>
      <w:r w:rsidR="00CF43F5" w:rsidRPr="00C837DD">
        <w:rPr>
          <w:sz w:val="20"/>
          <w:szCs w:val="20"/>
          <w:lang w:eastAsia="es-ES"/>
        </w:rPr>
        <w:t>s</w:t>
      </w:r>
      <w:r w:rsidRPr="00C837DD">
        <w:rPr>
          <w:sz w:val="20"/>
          <w:szCs w:val="20"/>
          <w:lang w:eastAsia="es-ES"/>
        </w:rPr>
        <w:t xml:space="preserve"> </w:t>
      </w:r>
      <w:r w:rsidR="00CF43F5" w:rsidRPr="00C837DD">
        <w:rPr>
          <w:sz w:val="20"/>
          <w:szCs w:val="20"/>
          <w:lang w:eastAsia="es-ES"/>
        </w:rPr>
        <w:t xml:space="preserve">made every </w:t>
      </w:r>
      <w:r w:rsidRPr="00C837DD">
        <w:rPr>
          <w:sz w:val="20"/>
          <w:szCs w:val="20"/>
          <w:lang w:eastAsia="es-ES"/>
        </w:rPr>
        <w:t>e</w:t>
      </w:r>
      <w:r w:rsidR="00CF43F5" w:rsidRPr="00C837DD">
        <w:rPr>
          <w:sz w:val="20"/>
          <w:szCs w:val="20"/>
          <w:lang w:eastAsia="es-ES"/>
        </w:rPr>
        <w:t>ffort</w:t>
      </w:r>
      <w:r w:rsidRPr="00C837DD">
        <w:rPr>
          <w:sz w:val="20"/>
          <w:szCs w:val="20"/>
          <w:lang w:eastAsia="es-ES"/>
        </w:rPr>
        <w:t xml:space="preserve">, </w:t>
      </w:r>
      <w:r w:rsidR="00CF43F5" w:rsidRPr="00C837DD">
        <w:rPr>
          <w:sz w:val="20"/>
          <w:szCs w:val="20"/>
          <w:lang w:eastAsia="es-ES"/>
        </w:rPr>
        <w:t>with</w:t>
      </w:r>
      <w:r w:rsidRPr="00C837DD">
        <w:rPr>
          <w:sz w:val="20"/>
          <w:szCs w:val="20"/>
          <w:lang w:eastAsia="es-ES"/>
        </w:rPr>
        <w:t xml:space="preserve">in </w:t>
      </w:r>
      <w:r w:rsidR="00CF43F5" w:rsidRPr="00C837DD">
        <w:rPr>
          <w:sz w:val="20"/>
          <w:szCs w:val="20"/>
          <w:lang w:eastAsia="es-ES"/>
        </w:rPr>
        <w:t xml:space="preserve">a </w:t>
      </w:r>
      <w:r w:rsidRPr="00C837DD">
        <w:rPr>
          <w:sz w:val="20"/>
          <w:szCs w:val="20"/>
          <w:lang w:eastAsia="es-ES"/>
        </w:rPr>
        <w:t>reasonable</w:t>
      </w:r>
      <w:r w:rsidR="00CF43F5" w:rsidRPr="00C837DD">
        <w:rPr>
          <w:sz w:val="20"/>
          <w:szCs w:val="20"/>
          <w:lang w:eastAsia="es-ES"/>
        </w:rPr>
        <w:t xml:space="preserve"> time</w:t>
      </w:r>
      <w:r w:rsidRPr="00C837DD">
        <w:rPr>
          <w:sz w:val="20"/>
          <w:szCs w:val="20"/>
          <w:lang w:eastAsia="es-ES"/>
        </w:rPr>
        <w:t xml:space="preserve">, </w:t>
      </w:r>
      <w:r w:rsidR="00CF43F5" w:rsidRPr="00C837DD">
        <w:rPr>
          <w:sz w:val="20"/>
          <w:szCs w:val="20"/>
          <w:lang w:eastAsia="es-ES"/>
        </w:rPr>
        <w:t xml:space="preserve">to </w:t>
      </w:r>
      <w:r w:rsidR="0009779C" w:rsidRPr="00C837DD">
        <w:rPr>
          <w:sz w:val="20"/>
          <w:szCs w:val="20"/>
          <w:lang w:eastAsia="es-ES"/>
        </w:rPr>
        <w:t>enable the determination of</w:t>
      </w:r>
      <w:r w:rsidR="00CF43F5" w:rsidRPr="00C837DD">
        <w:rPr>
          <w:sz w:val="20"/>
          <w:szCs w:val="20"/>
          <w:lang w:eastAsia="es-ES"/>
        </w:rPr>
        <w:t xml:space="preserve"> </w:t>
      </w:r>
      <w:r w:rsidRPr="00C837DD">
        <w:rPr>
          <w:sz w:val="20"/>
          <w:szCs w:val="20"/>
          <w:lang w:eastAsia="es-ES"/>
        </w:rPr>
        <w:t xml:space="preserve">the </w:t>
      </w:r>
      <w:r w:rsidR="00ED1A94" w:rsidRPr="00C837DD">
        <w:rPr>
          <w:sz w:val="20"/>
          <w:szCs w:val="20"/>
          <w:lang w:eastAsia="es-ES"/>
        </w:rPr>
        <w:t>truth</w:t>
      </w:r>
      <w:r w:rsidRPr="00C837DD">
        <w:rPr>
          <w:sz w:val="20"/>
          <w:szCs w:val="20"/>
          <w:lang w:eastAsia="es-ES"/>
        </w:rPr>
        <w:t xml:space="preserve"> </w:t>
      </w:r>
      <w:r w:rsidR="0009779C" w:rsidRPr="00C837DD">
        <w:rPr>
          <w:sz w:val="20"/>
          <w:szCs w:val="20"/>
          <w:lang w:eastAsia="es-ES"/>
        </w:rPr>
        <w:t xml:space="preserve">and to </w:t>
      </w:r>
      <w:r w:rsidR="00CF43F5" w:rsidRPr="00C837DD">
        <w:rPr>
          <w:sz w:val="20"/>
          <w:szCs w:val="20"/>
          <w:lang w:eastAsia="es-ES"/>
        </w:rPr>
        <w:t>identify and punish all those responsible</w:t>
      </w:r>
      <w:r w:rsidRPr="00C837DD">
        <w:rPr>
          <w:sz w:val="20"/>
          <w:szCs w:val="20"/>
          <w:lang w:eastAsia="es-ES"/>
        </w:rPr>
        <w:t xml:space="preserve">, </w:t>
      </w:r>
      <w:r w:rsidR="00CF43F5" w:rsidRPr="00C837DD">
        <w:rPr>
          <w:sz w:val="20"/>
          <w:szCs w:val="20"/>
          <w:lang w:eastAsia="es-ES"/>
        </w:rPr>
        <w:t xml:space="preserve">whether private </w:t>
      </w:r>
      <w:r w:rsidR="0009779C" w:rsidRPr="00C837DD">
        <w:rPr>
          <w:sz w:val="20"/>
          <w:szCs w:val="20"/>
          <w:lang w:eastAsia="es-ES"/>
        </w:rPr>
        <w:t xml:space="preserve">individuals </w:t>
      </w:r>
      <w:r w:rsidR="00CF43F5" w:rsidRPr="00C837DD">
        <w:rPr>
          <w:sz w:val="20"/>
          <w:szCs w:val="20"/>
          <w:lang w:eastAsia="es-ES"/>
        </w:rPr>
        <w:t xml:space="preserve">or State </w:t>
      </w:r>
      <w:r w:rsidRPr="00C837DD">
        <w:rPr>
          <w:sz w:val="20"/>
          <w:szCs w:val="20"/>
          <w:lang w:eastAsia="es-ES"/>
        </w:rPr>
        <w:t>officials</w:t>
      </w:r>
      <w:r w:rsidR="00CF43F5" w:rsidRPr="00C837DD">
        <w:rPr>
          <w:sz w:val="20"/>
          <w:szCs w:val="20"/>
          <w:lang w:eastAsia="es-ES"/>
        </w:rPr>
        <w:t>.</w:t>
      </w:r>
      <w:r w:rsidRPr="00C837DD">
        <w:rPr>
          <w:rStyle w:val="Refdenotaalpie"/>
          <w:sz w:val="20"/>
          <w:szCs w:val="20"/>
          <w:lang w:eastAsia="es-ES"/>
        </w:rPr>
        <w:footnoteReference w:id="226"/>
      </w:r>
    </w:p>
    <w:p w14:paraId="1CA1ADA3" w14:textId="77777777" w:rsidR="00F85D5F" w:rsidRPr="00C837DD" w:rsidRDefault="00F85D5F" w:rsidP="00F85D5F">
      <w:pPr>
        <w:pStyle w:val="Prrafodelista"/>
        <w:tabs>
          <w:tab w:val="left" w:pos="142"/>
        </w:tabs>
        <w:ind w:left="0"/>
        <w:rPr>
          <w:sz w:val="20"/>
          <w:szCs w:val="20"/>
        </w:rPr>
      </w:pPr>
    </w:p>
    <w:p w14:paraId="018F12DF" w14:textId="785FD439" w:rsidR="00F85D5F" w:rsidRPr="00C837DD" w:rsidRDefault="00644736" w:rsidP="00F85D5F">
      <w:pPr>
        <w:pStyle w:val="Prrafodelista"/>
        <w:numPr>
          <w:ilvl w:val="0"/>
          <w:numId w:val="6"/>
        </w:numPr>
        <w:tabs>
          <w:tab w:val="left" w:pos="142"/>
        </w:tabs>
        <w:ind w:left="0" w:firstLine="0"/>
        <w:rPr>
          <w:sz w:val="20"/>
          <w:szCs w:val="20"/>
        </w:rPr>
      </w:pPr>
      <w:r w:rsidRPr="00C837DD">
        <w:rPr>
          <w:sz w:val="20"/>
          <w:szCs w:val="20"/>
        </w:rPr>
        <w:t>Likewise</w:t>
      </w:r>
      <w:r w:rsidR="00F85D5F" w:rsidRPr="00C837DD">
        <w:rPr>
          <w:sz w:val="20"/>
          <w:szCs w:val="20"/>
        </w:rPr>
        <w:t xml:space="preserve">, </w:t>
      </w:r>
      <w:r w:rsidR="00077DD8" w:rsidRPr="00C837DD">
        <w:rPr>
          <w:sz w:val="20"/>
          <w:szCs w:val="20"/>
        </w:rPr>
        <w:t xml:space="preserve">the Court has </w:t>
      </w:r>
      <w:r w:rsidR="00F85D5F" w:rsidRPr="00C837DD">
        <w:rPr>
          <w:sz w:val="20"/>
          <w:szCs w:val="20"/>
        </w:rPr>
        <w:t>consistent</w:t>
      </w:r>
      <w:r w:rsidR="00077DD8" w:rsidRPr="00C837DD">
        <w:rPr>
          <w:sz w:val="20"/>
          <w:szCs w:val="20"/>
        </w:rPr>
        <w:t xml:space="preserve">ly </w:t>
      </w:r>
      <w:r w:rsidR="003304C4" w:rsidRPr="00C837DD">
        <w:rPr>
          <w:sz w:val="20"/>
          <w:szCs w:val="20"/>
        </w:rPr>
        <w:t xml:space="preserve">pointed out </w:t>
      </w:r>
      <w:r w:rsidR="00F85D5F" w:rsidRPr="00C837DD">
        <w:rPr>
          <w:sz w:val="20"/>
          <w:szCs w:val="20"/>
        </w:rPr>
        <w:t>that the d</w:t>
      </w:r>
      <w:r w:rsidR="00077DD8" w:rsidRPr="00C837DD">
        <w:rPr>
          <w:sz w:val="20"/>
          <w:szCs w:val="20"/>
        </w:rPr>
        <w:t xml:space="preserve">uty to </w:t>
      </w:r>
      <w:r w:rsidR="00F85D5F" w:rsidRPr="00C837DD">
        <w:rPr>
          <w:sz w:val="20"/>
          <w:szCs w:val="20"/>
        </w:rPr>
        <w:t>investigate is a</w:t>
      </w:r>
      <w:r w:rsidR="00D82A4C" w:rsidRPr="00C837DD">
        <w:rPr>
          <w:sz w:val="20"/>
          <w:szCs w:val="20"/>
        </w:rPr>
        <w:t>n</w:t>
      </w:r>
      <w:r w:rsidR="00F85D5F" w:rsidRPr="00C837DD">
        <w:rPr>
          <w:sz w:val="20"/>
          <w:szCs w:val="20"/>
        </w:rPr>
        <w:t xml:space="preserve"> obligati</w:t>
      </w:r>
      <w:r w:rsidR="00077DD8" w:rsidRPr="00C837DD">
        <w:rPr>
          <w:sz w:val="20"/>
          <w:szCs w:val="20"/>
        </w:rPr>
        <w:t>on of means and not of result</w:t>
      </w:r>
      <w:r w:rsidR="00F85D5F" w:rsidRPr="00C837DD">
        <w:rPr>
          <w:sz w:val="20"/>
          <w:szCs w:val="20"/>
        </w:rPr>
        <w:t xml:space="preserve">s, </w:t>
      </w:r>
      <w:r w:rsidR="003304C4" w:rsidRPr="00C837DD">
        <w:rPr>
          <w:sz w:val="20"/>
          <w:szCs w:val="20"/>
        </w:rPr>
        <w:t xml:space="preserve">which </w:t>
      </w:r>
      <w:r w:rsidRPr="00C837DD">
        <w:rPr>
          <w:sz w:val="20"/>
          <w:szCs w:val="20"/>
        </w:rPr>
        <w:t xml:space="preserve">must be </w:t>
      </w:r>
      <w:r w:rsidR="00D82A4C" w:rsidRPr="00C837DD">
        <w:rPr>
          <w:sz w:val="20"/>
          <w:szCs w:val="20"/>
        </w:rPr>
        <w:t xml:space="preserve">assumed </w:t>
      </w:r>
      <w:r w:rsidR="00F85D5F" w:rsidRPr="00C837DD">
        <w:rPr>
          <w:sz w:val="20"/>
          <w:szCs w:val="20"/>
        </w:rPr>
        <w:t xml:space="preserve">by the State </w:t>
      </w:r>
      <w:r w:rsidR="00D82A4C" w:rsidRPr="00C837DD">
        <w:rPr>
          <w:sz w:val="20"/>
          <w:szCs w:val="20"/>
        </w:rPr>
        <w:t xml:space="preserve">as </w:t>
      </w:r>
      <w:r w:rsidR="003304C4" w:rsidRPr="00C837DD">
        <w:rPr>
          <w:sz w:val="20"/>
          <w:szCs w:val="20"/>
        </w:rPr>
        <w:t xml:space="preserve">its own legal obligation </w:t>
      </w:r>
      <w:r w:rsidR="00F85D5F" w:rsidRPr="00C837DD">
        <w:rPr>
          <w:sz w:val="20"/>
          <w:szCs w:val="20"/>
        </w:rPr>
        <w:t>and no</w:t>
      </w:r>
      <w:r w:rsidR="00D82A4C" w:rsidRPr="00C837DD">
        <w:rPr>
          <w:sz w:val="20"/>
          <w:szCs w:val="20"/>
        </w:rPr>
        <w:t>t as</w:t>
      </w:r>
      <w:r w:rsidR="00F85D5F" w:rsidRPr="00C837DD">
        <w:rPr>
          <w:sz w:val="20"/>
          <w:szCs w:val="20"/>
        </w:rPr>
        <w:t xml:space="preserve"> a </w:t>
      </w:r>
      <w:r w:rsidR="003304C4" w:rsidRPr="00C837DD">
        <w:rPr>
          <w:sz w:val="20"/>
          <w:szCs w:val="20"/>
        </w:rPr>
        <w:t xml:space="preserve">mere </w:t>
      </w:r>
      <w:r w:rsidR="00F85D5F" w:rsidRPr="00C837DD">
        <w:rPr>
          <w:sz w:val="20"/>
          <w:szCs w:val="20"/>
        </w:rPr>
        <w:t>formali</w:t>
      </w:r>
      <w:r w:rsidR="00D82A4C" w:rsidRPr="00C837DD">
        <w:rPr>
          <w:sz w:val="20"/>
          <w:szCs w:val="20"/>
        </w:rPr>
        <w:t xml:space="preserve">ty </w:t>
      </w:r>
      <w:r w:rsidR="008848F4" w:rsidRPr="00C837DD">
        <w:rPr>
          <w:sz w:val="20"/>
          <w:szCs w:val="20"/>
        </w:rPr>
        <w:t>preordained to be ineffective</w:t>
      </w:r>
      <w:r w:rsidR="00F85D5F" w:rsidRPr="00C837DD">
        <w:rPr>
          <w:sz w:val="20"/>
          <w:szCs w:val="20"/>
        </w:rPr>
        <w:t xml:space="preserve">, </w:t>
      </w:r>
      <w:r w:rsidR="003E16BD" w:rsidRPr="00C837DD">
        <w:rPr>
          <w:sz w:val="20"/>
          <w:szCs w:val="20"/>
        </w:rPr>
        <w:t xml:space="preserve">or as a </w:t>
      </w:r>
      <w:r w:rsidR="008848F4" w:rsidRPr="00C837DD">
        <w:rPr>
          <w:sz w:val="20"/>
          <w:szCs w:val="20"/>
        </w:rPr>
        <w:t xml:space="preserve">step taken by </w:t>
      </w:r>
      <w:r w:rsidR="003E16BD" w:rsidRPr="00C837DD">
        <w:rPr>
          <w:sz w:val="20"/>
          <w:szCs w:val="20"/>
        </w:rPr>
        <w:t>private interests that depends upon the initiative of the victim or his family or upon their offer of proof</w:t>
      </w:r>
      <w:r w:rsidRPr="00C837DD">
        <w:rPr>
          <w:sz w:val="20"/>
          <w:szCs w:val="20"/>
        </w:rPr>
        <w:t>.</w:t>
      </w:r>
      <w:r w:rsidR="00F85D5F" w:rsidRPr="00C837DD">
        <w:rPr>
          <w:sz w:val="20"/>
          <w:szCs w:val="20"/>
          <w:vertAlign w:val="superscript"/>
        </w:rPr>
        <w:footnoteReference w:id="227"/>
      </w:r>
      <w:r w:rsidR="00F85D5F" w:rsidRPr="00C837DD">
        <w:rPr>
          <w:sz w:val="20"/>
          <w:szCs w:val="20"/>
        </w:rPr>
        <w:t xml:space="preserve"> </w:t>
      </w:r>
      <w:r w:rsidR="003304C4" w:rsidRPr="00C837DD">
        <w:rPr>
          <w:sz w:val="20"/>
          <w:szCs w:val="20"/>
        </w:rPr>
        <w:t xml:space="preserve">In addition, </w:t>
      </w:r>
      <w:r w:rsidR="00F85D5F" w:rsidRPr="00C837DD">
        <w:rPr>
          <w:sz w:val="20"/>
          <w:szCs w:val="20"/>
        </w:rPr>
        <w:t xml:space="preserve">the investigation </w:t>
      </w:r>
      <w:r w:rsidR="00CF43F5" w:rsidRPr="00C837DD">
        <w:rPr>
          <w:sz w:val="20"/>
          <w:szCs w:val="20"/>
        </w:rPr>
        <w:t>must be serious</w:t>
      </w:r>
      <w:r w:rsidR="00F85D5F" w:rsidRPr="00C837DD">
        <w:rPr>
          <w:sz w:val="20"/>
          <w:szCs w:val="20"/>
        </w:rPr>
        <w:t>, obje</w:t>
      </w:r>
      <w:r w:rsidR="00CF43F5" w:rsidRPr="00C837DD">
        <w:rPr>
          <w:sz w:val="20"/>
          <w:szCs w:val="20"/>
        </w:rPr>
        <w:t>ctive</w:t>
      </w:r>
      <w:r w:rsidR="00F85D5F" w:rsidRPr="00C837DD">
        <w:rPr>
          <w:sz w:val="20"/>
          <w:szCs w:val="20"/>
        </w:rPr>
        <w:t xml:space="preserve"> and </w:t>
      </w:r>
      <w:r w:rsidR="00213575" w:rsidRPr="00C837DD">
        <w:rPr>
          <w:sz w:val="20"/>
          <w:szCs w:val="20"/>
        </w:rPr>
        <w:t>effective</w:t>
      </w:r>
      <w:r w:rsidR="00F85D5F" w:rsidRPr="00C837DD">
        <w:rPr>
          <w:sz w:val="20"/>
          <w:szCs w:val="20"/>
        </w:rPr>
        <w:t xml:space="preserve">, and </w:t>
      </w:r>
      <w:r w:rsidR="00CF43F5" w:rsidRPr="00C837DD">
        <w:rPr>
          <w:sz w:val="20"/>
          <w:szCs w:val="20"/>
        </w:rPr>
        <w:t xml:space="preserve">be aimed at determining </w:t>
      </w:r>
      <w:r w:rsidR="00F85D5F" w:rsidRPr="00C837DD">
        <w:rPr>
          <w:sz w:val="20"/>
          <w:szCs w:val="20"/>
        </w:rPr>
        <w:t xml:space="preserve">the </w:t>
      </w:r>
      <w:r w:rsidR="00ED1A94" w:rsidRPr="00C837DD">
        <w:rPr>
          <w:sz w:val="20"/>
          <w:szCs w:val="20"/>
        </w:rPr>
        <w:t>truth</w:t>
      </w:r>
      <w:r w:rsidR="003304C4" w:rsidRPr="00C837DD">
        <w:rPr>
          <w:sz w:val="20"/>
          <w:szCs w:val="20"/>
        </w:rPr>
        <w:t xml:space="preserve"> and </w:t>
      </w:r>
      <w:r w:rsidR="008848F4" w:rsidRPr="00C837DD">
        <w:rPr>
          <w:sz w:val="20"/>
          <w:szCs w:val="20"/>
        </w:rPr>
        <w:t xml:space="preserve">seeking </w:t>
      </w:r>
      <w:r w:rsidR="00213575" w:rsidRPr="00C837DD">
        <w:rPr>
          <w:sz w:val="20"/>
          <w:szCs w:val="20"/>
        </w:rPr>
        <w:t>the p</w:t>
      </w:r>
      <w:r w:rsidR="003304C4" w:rsidRPr="00C837DD">
        <w:rPr>
          <w:sz w:val="20"/>
          <w:szCs w:val="20"/>
        </w:rPr>
        <w:t>rosecution</w:t>
      </w:r>
      <w:r w:rsidR="00213575" w:rsidRPr="00C837DD">
        <w:rPr>
          <w:sz w:val="20"/>
          <w:szCs w:val="20"/>
        </w:rPr>
        <w:t>, capture</w:t>
      </w:r>
      <w:r w:rsidR="00F85D5F" w:rsidRPr="00C837DD">
        <w:rPr>
          <w:sz w:val="20"/>
          <w:szCs w:val="20"/>
        </w:rPr>
        <w:t xml:space="preserve"> and eventual </w:t>
      </w:r>
      <w:r w:rsidR="00CF43F5" w:rsidRPr="00C837DD">
        <w:rPr>
          <w:sz w:val="20"/>
          <w:szCs w:val="20"/>
        </w:rPr>
        <w:t xml:space="preserve">trial </w:t>
      </w:r>
      <w:r w:rsidR="00F85D5F" w:rsidRPr="00C837DD">
        <w:rPr>
          <w:sz w:val="20"/>
          <w:szCs w:val="20"/>
        </w:rPr>
        <w:t xml:space="preserve">and </w:t>
      </w:r>
      <w:r w:rsidR="00CF43F5" w:rsidRPr="00C837DD">
        <w:rPr>
          <w:sz w:val="20"/>
          <w:szCs w:val="20"/>
        </w:rPr>
        <w:t xml:space="preserve">punishment </w:t>
      </w:r>
      <w:r w:rsidR="00F85D5F" w:rsidRPr="00C837DD">
        <w:rPr>
          <w:sz w:val="20"/>
          <w:szCs w:val="20"/>
        </w:rPr>
        <w:t>o</w:t>
      </w:r>
      <w:r w:rsidR="00D82A4C" w:rsidRPr="00C837DD">
        <w:rPr>
          <w:sz w:val="20"/>
          <w:szCs w:val="20"/>
        </w:rPr>
        <w:t>f the</w:t>
      </w:r>
      <w:r w:rsidR="003304C4" w:rsidRPr="00C837DD">
        <w:rPr>
          <w:sz w:val="20"/>
          <w:szCs w:val="20"/>
        </w:rPr>
        <w:t xml:space="preserve"> perpetrators of the crimes</w:t>
      </w:r>
      <w:r w:rsidR="00FD20D2" w:rsidRPr="00C837DD">
        <w:rPr>
          <w:sz w:val="20"/>
          <w:szCs w:val="20"/>
        </w:rPr>
        <w:t>.</w:t>
      </w:r>
      <w:r w:rsidR="00F85D5F" w:rsidRPr="00C837DD">
        <w:rPr>
          <w:sz w:val="20"/>
          <w:szCs w:val="20"/>
          <w:vertAlign w:val="superscript"/>
        </w:rPr>
        <w:footnoteReference w:id="228"/>
      </w:r>
      <w:r w:rsidR="00F85D5F" w:rsidRPr="00C837DD">
        <w:rPr>
          <w:sz w:val="20"/>
          <w:szCs w:val="20"/>
        </w:rPr>
        <w:t xml:space="preserve"> </w:t>
      </w:r>
    </w:p>
    <w:p w14:paraId="68D3A184" w14:textId="77777777" w:rsidR="00F85D5F" w:rsidRPr="00C837DD" w:rsidRDefault="00F85D5F" w:rsidP="00F85D5F">
      <w:pPr>
        <w:pStyle w:val="Prrafodelista"/>
        <w:tabs>
          <w:tab w:val="left" w:pos="142"/>
        </w:tabs>
        <w:ind w:left="0"/>
        <w:rPr>
          <w:sz w:val="20"/>
          <w:szCs w:val="20"/>
        </w:rPr>
      </w:pPr>
    </w:p>
    <w:p w14:paraId="19E8411D" w14:textId="0D2F39EB" w:rsidR="00F85D5F" w:rsidRPr="00C837DD" w:rsidRDefault="00A51FB3" w:rsidP="00F85D5F">
      <w:pPr>
        <w:pStyle w:val="Prrafodelista"/>
        <w:numPr>
          <w:ilvl w:val="0"/>
          <w:numId w:val="6"/>
        </w:numPr>
        <w:tabs>
          <w:tab w:val="left" w:pos="142"/>
        </w:tabs>
        <w:ind w:left="0" w:firstLine="0"/>
        <w:rPr>
          <w:sz w:val="20"/>
          <w:szCs w:val="20"/>
        </w:rPr>
      </w:pPr>
      <w:r w:rsidRPr="00C837DD">
        <w:rPr>
          <w:sz w:val="20"/>
          <w:szCs w:val="20"/>
        </w:rPr>
        <w:t>It should be recalled that</w:t>
      </w:r>
      <w:r w:rsidR="001919FA">
        <w:rPr>
          <w:sz w:val="20"/>
          <w:szCs w:val="20"/>
        </w:rPr>
        <w:t>,</w:t>
      </w:r>
      <w:r w:rsidRPr="00C837DD">
        <w:rPr>
          <w:sz w:val="20"/>
          <w:szCs w:val="20"/>
        </w:rPr>
        <w:t xml:space="preserve"> in cases of violence against women, the general obligations provided for in Articles 8 and 25 of the American Convention are complemented and reinforced by the obligations under the Convention of Belém do Pará</w:t>
      </w:r>
      <w:r w:rsidR="00682804" w:rsidRPr="00C837DD">
        <w:rPr>
          <w:sz w:val="20"/>
          <w:szCs w:val="20"/>
        </w:rPr>
        <w:t>.</w:t>
      </w:r>
      <w:r w:rsidR="00F85D5F" w:rsidRPr="00C837DD">
        <w:rPr>
          <w:rStyle w:val="Refdenotaalpie"/>
          <w:sz w:val="20"/>
          <w:szCs w:val="20"/>
        </w:rPr>
        <w:footnoteReference w:id="229"/>
      </w:r>
      <w:r w:rsidR="00D25B0E" w:rsidRPr="00C837DD">
        <w:rPr>
          <w:sz w:val="20"/>
          <w:szCs w:val="20"/>
        </w:rPr>
        <w:t xml:space="preserve"> Article 7(b) of </w:t>
      </w:r>
      <w:r w:rsidR="001919FA">
        <w:rPr>
          <w:sz w:val="20"/>
          <w:szCs w:val="20"/>
        </w:rPr>
        <w:t>said c</w:t>
      </w:r>
      <w:r w:rsidR="00F85D5F" w:rsidRPr="00C837DD">
        <w:rPr>
          <w:sz w:val="20"/>
          <w:szCs w:val="20"/>
        </w:rPr>
        <w:t xml:space="preserve">onvention </w:t>
      </w:r>
      <w:r w:rsidR="00682804" w:rsidRPr="00C837DD">
        <w:rPr>
          <w:sz w:val="20"/>
          <w:szCs w:val="20"/>
        </w:rPr>
        <w:t xml:space="preserve">specifically </w:t>
      </w:r>
      <w:r w:rsidRPr="00C837DD">
        <w:rPr>
          <w:sz w:val="20"/>
          <w:szCs w:val="20"/>
        </w:rPr>
        <w:t xml:space="preserve">obliges </w:t>
      </w:r>
      <w:r w:rsidR="00F85D5F" w:rsidRPr="00C837DD">
        <w:rPr>
          <w:sz w:val="20"/>
          <w:szCs w:val="20"/>
        </w:rPr>
        <w:t>States Part</w:t>
      </w:r>
      <w:r w:rsidR="00682804" w:rsidRPr="00C837DD">
        <w:rPr>
          <w:sz w:val="20"/>
          <w:szCs w:val="20"/>
        </w:rPr>
        <w:t>i</w:t>
      </w:r>
      <w:r w:rsidR="00F85D5F" w:rsidRPr="00C837DD">
        <w:rPr>
          <w:sz w:val="20"/>
          <w:szCs w:val="20"/>
        </w:rPr>
        <w:t xml:space="preserve">es </w:t>
      </w:r>
      <w:r w:rsidR="00682804" w:rsidRPr="00C837DD">
        <w:rPr>
          <w:sz w:val="20"/>
          <w:szCs w:val="20"/>
        </w:rPr>
        <w:t xml:space="preserve">to </w:t>
      </w:r>
      <w:r w:rsidR="001919FA">
        <w:rPr>
          <w:sz w:val="20"/>
          <w:szCs w:val="20"/>
        </w:rPr>
        <w:t xml:space="preserve">ensure </w:t>
      </w:r>
      <w:r w:rsidR="00F85D5F" w:rsidRPr="00C837DD">
        <w:rPr>
          <w:sz w:val="20"/>
          <w:szCs w:val="20"/>
        </w:rPr>
        <w:t xml:space="preserve">due diligence </w:t>
      </w:r>
      <w:r w:rsidR="0003425C" w:rsidRPr="00C837DD">
        <w:rPr>
          <w:sz w:val="20"/>
          <w:szCs w:val="20"/>
        </w:rPr>
        <w:t xml:space="preserve">to </w:t>
      </w:r>
      <w:r w:rsidRPr="00C837DD">
        <w:rPr>
          <w:sz w:val="20"/>
          <w:szCs w:val="20"/>
        </w:rPr>
        <w:t>“</w:t>
      </w:r>
      <w:r w:rsidR="00F85D5F" w:rsidRPr="00C837DD">
        <w:rPr>
          <w:sz w:val="20"/>
          <w:szCs w:val="20"/>
        </w:rPr>
        <w:t xml:space="preserve">prevent, </w:t>
      </w:r>
      <w:r w:rsidR="00E433B6" w:rsidRPr="00C837DD">
        <w:rPr>
          <w:sz w:val="20"/>
          <w:szCs w:val="20"/>
        </w:rPr>
        <w:t>punish</w:t>
      </w:r>
      <w:r w:rsidR="0003425C" w:rsidRPr="00C837DD">
        <w:rPr>
          <w:sz w:val="20"/>
          <w:szCs w:val="20"/>
        </w:rPr>
        <w:t xml:space="preserve"> and eradicate</w:t>
      </w:r>
      <w:r w:rsidR="00F85D5F" w:rsidRPr="00C837DD">
        <w:rPr>
          <w:sz w:val="20"/>
          <w:szCs w:val="20"/>
        </w:rPr>
        <w:t xml:space="preserve"> violence against women</w:t>
      </w:r>
      <w:r w:rsidR="00D82A4C" w:rsidRPr="00C837DD">
        <w:rPr>
          <w:sz w:val="20"/>
          <w:szCs w:val="20"/>
        </w:rPr>
        <w:t>.</w:t>
      </w:r>
      <w:r w:rsidR="00F85D5F" w:rsidRPr="00C837DD">
        <w:rPr>
          <w:sz w:val="20"/>
          <w:szCs w:val="20"/>
        </w:rPr>
        <w:t>”</w:t>
      </w:r>
      <w:r w:rsidR="00F85D5F" w:rsidRPr="00C837DD">
        <w:rPr>
          <w:sz w:val="20"/>
          <w:szCs w:val="20"/>
          <w:vertAlign w:val="superscript"/>
        </w:rPr>
        <w:footnoteReference w:id="230"/>
      </w:r>
      <w:r w:rsidR="00F85D5F" w:rsidRPr="00C837DD">
        <w:rPr>
          <w:sz w:val="20"/>
          <w:szCs w:val="20"/>
        </w:rPr>
        <w:t xml:space="preserve"> </w:t>
      </w:r>
      <w:r w:rsidR="00D82A4C" w:rsidRPr="00C837DD">
        <w:rPr>
          <w:sz w:val="20"/>
          <w:szCs w:val="20"/>
        </w:rPr>
        <w:t>Thus</w:t>
      </w:r>
      <w:r w:rsidR="00F85D5F" w:rsidRPr="00C837DD">
        <w:rPr>
          <w:sz w:val="20"/>
          <w:szCs w:val="20"/>
        </w:rPr>
        <w:t xml:space="preserve">, </w:t>
      </w:r>
      <w:r w:rsidR="00D25B0E" w:rsidRPr="00C837DD">
        <w:rPr>
          <w:sz w:val="20"/>
          <w:szCs w:val="20"/>
        </w:rPr>
        <w:t xml:space="preserve">when </w:t>
      </w:r>
      <w:r w:rsidR="0003425C" w:rsidRPr="00C837DD">
        <w:rPr>
          <w:sz w:val="20"/>
          <w:szCs w:val="20"/>
        </w:rPr>
        <w:t xml:space="preserve">faced with an act of </w:t>
      </w:r>
      <w:r w:rsidR="00F85D5F" w:rsidRPr="00C837DD">
        <w:rPr>
          <w:sz w:val="20"/>
          <w:szCs w:val="20"/>
        </w:rPr>
        <w:t xml:space="preserve">violence against a </w:t>
      </w:r>
      <w:r w:rsidR="00D82A4C" w:rsidRPr="00C837DD">
        <w:rPr>
          <w:sz w:val="20"/>
          <w:szCs w:val="20"/>
        </w:rPr>
        <w:t>woman</w:t>
      </w:r>
      <w:r w:rsidR="00F85D5F" w:rsidRPr="00C837DD">
        <w:rPr>
          <w:sz w:val="20"/>
          <w:szCs w:val="20"/>
        </w:rPr>
        <w:t>,</w:t>
      </w:r>
      <w:r w:rsidR="00D82A4C" w:rsidRPr="00C837DD">
        <w:rPr>
          <w:sz w:val="20"/>
          <w:szCs w:val="20"/>
        </w:rPr>
        <w:t xml:space="preserve"> </w:t>
      </w:r>
      <w:r w:rsidR="0003425C" w:rsidRPr="00C837DD">
        <w:rPr>
          <w:sz w:val="20"/>
          <w:szCs w:val="20"/>
        </w:rPr>
        <w:t xml:space="preserve">it is </w:t>
      </w:r>
      <w:r w:rsidR="00D82A4C" w:rsidRPr="00C837DD">
        <w:rPr>
          <w:sz w:val="20"/>
          <w:szCs w:val="20"/>
        </w:rPr>
        <w:t>particularly important</w:t>
      </w:r>
      <w:r w:rsidR="00F85D5F" w:rsidRPr="00C837DD">
        <w:rPr>
          <w:sz w:val="20"/>
          <w:szCs w:val="20"/>
        </w:rPr>
        <w:t xml:space="preserve"> that the authorities </w:t>
      </w:r>
      <w:r w:rsidR="00FA1976" w:rsidRPr="00C837DD">
        <w:rPr>
          <w:sz w:val="20"/>
          <w:szCs w:val="20"/>
        </w:rPr>
        <w:t xml:space="preserve">in charge </w:t>
      </w:r>
      <w:r w:rsidR="00F85D5F" w:rsidRPr="00C837DD">
        <w:rPr>
          <w:sz w:val="20"/>
          <w:szCs w:val="20"/>
        </w:rPr>
        <w:t xml:space="preserve">of the investigation </w:t>
      </w:r>
      <w:r w:rsidR="0053406B" w:rsidRPr="00C837DD">
        <w:rPr>
          <w:sz w:val="20"/>
          <w:szCs w:val="20"/>
        </w:rPr>
        <w:t xml:space="preserve">carry it out </w:t>
      </w:r>
      <w:r w:rsidR="00F85D5F" w:rsidRPr="00C837DD">
        <w:rPr>
          <w:sz w:val="20"/>
          <w:szCs w:val="20"/>
        </w:rPr>
        <w:t xml:space="preserve">with determination and </w:t>
      </w:r>
      <w:r w:rsidR="00D82A4C" w:rsidRPr="00C837DD">
        <w:rPr>
          <w:sz w:val="20"/>
          <w:szCs w:val="20"/>
        </w:rPr>
        <w:t>effic</w:t>
      </w:r>
      <w:r w:rsidRPr="00C837DD">
        <w:rPr>
          <w:sz w:val="20"/>
          <w:szCs w:val="20"/>
        </w:rPr>
        <w:t>iency</w:t>
      </w:r>
      <w:r w:rsidR="00F85D5F" w:rsidRPr="00C837DD">
        <w:rPr>
          <w:sz w:val="20"/>
          <w:szCs w:val="20"/>
        </w:rPr>
        <w:t>, t</w:t>
      </w:r>
      <w:r w:rsidR="001A2A97" w:rsidRPr="00C837DD">
        <w:rPr>
          <w:sz w:val="20"/>
          <w:szCs w:val="20"/>
        </w:rPr>
        <w:t xml:space="preserve">aking into account </w:t>
      </w:r>
      <w:r w:rsidR="0053406B" w:rsidRPr="00C837DD">
        <w:rPr>
          <w:sz w:val="20"/>
          <w:szCs w:val="20"/>
        </w:rPr>
        <w:t xml:space="preserve">society’s </w:t>
      </w:r>
      <w:r w:rsidR="008D3919" w:rsidRPr="00C837DD">
        <w:rPr>
          <w:sz w:val="20"/>
          <w:szCs w:val="20"/>
        </w:rPr>
        <w:t xml:space="preserve">duty </w:t>
      </w:r>
      <w:r w:rsidR="00FA1976" w:rsidRPr="00C837DD">
        <w:rPr>
          <w:sz w:val="20"/>
          <w:szCs w:val="20"/>
        </w:rPr>
        <w:t xml:space="preserve">to reject </w:t>
      </w:r>
      <w:r w:rsidR="00F85D5F" w:rsidRPr="00C837DD">
        <w:rPr>
          <w:sz w:val="20"/>
          <w:szCs w:val="20"/>
        </w:rPr>
        <w:t>violence against wo</w:t>
      </w:r>
      <w:r w:rsidR="00FA1976" w:rsidRPr="00C837DD">
        <w:rPr>
          <w:sz w:val="20"/>
          <w:szCs w:val="20"/>
        </w:rPr>
        <w:t xml:space="preserve">men and the </w:t>
      </w:r>
      <w:r w:rsidR="0053406B" w:rsidRPr="00C837DD">
        <w:rPr>
          <w:sz w:val="20"/>
          <w:szCs w:val="20"/>
        </w:rPr>
        <w:t xml:space="preserve">State’s </w:t>
      </w:r>
      <w:r w:rsidR="00FA1976" w:rsidRPr="00C837DD">
        <w:rPr>
          <w:sz w:val="20"/>
          <w:szCs w:val="20"/>
        </w:rPr>
        <w:t xml:space="preserve">obligations </w:t>
      </w:r>
      <w:r w:rsidR="0053406B" w:rsidRPr="00C837DD">
        <w:rPr>
          <w:sz w:val="20"/>
          <w:szCs w:val="20"/>
        </w:rPr>
        <w:t xml:space="preserve">to </w:t>
      </w:r>
      <w:r w:rsidR="00FA1976" w:rsidRPr="00C837DD">
        <w:rPr>
          <w:sz w:val="20"/>
          <w:szCs w:val="20"/>
        </w:rPr>
        <w:t xml:space="preserve">eradicate it </w:t>
      </w:r>
      <w:r w:rsidR="00F85D5F" w:rsidRPr="00C837DD">
        <w:rPr>
          <w:sz w:val="20"/>
          <w:szCs w:val="20"/>
        </w:rPr>
        <w:t xml:space="preserve">and </w:t>
      </w:r>
      <w:r w:rsidR="0053406B" w:rsidRPr="00C837DD">
        <w:rPr>
          <w:sz w:val="20"/>
          <w:szCs w:val="20"/>
        </w:rPr>
        <w:t xml:space="preserve">to provide </w:t>
      </w:r>
      <w:r w:rsidR="00F85D5F" w:rsidRPr="00C837DD">
        <w:rPr>
          <w:sz w:val="20"/>
          <w:szCs w:val="20"/>
        </w:rPr>
        <w:t xml:space="preserve">victims </w:t>
      </w:r>
      <w:r w:rsidR="0053406B" w:rsidRPr="00C837DD">
        <w:rPr>
          <w:sz w:val="20"/>
          <w:szCs w:val="20"/>
        </w:rPr>
        <w:t xml:space="preserve">with confidence </w:t>
      </w:r>
      <w:r w:rsidR="00F85D5F" w:rsidRPr="00C837DD">
        <w:rPr>
          <w:sz w:val="20"/>
          <w:szCs w:val="20"/>
        </w:rPr>
        <w:t xml:space="preserve">in the </w:t>
      </w:r>
      <w:r w:rsidR="00FA1976" w:rsidRPr="00C837DD">
        <w:rPr>
          <w:sz w:val="20"/>
          <w:szCs w:val="20"/>
        </w:rPr>
        <w:t xml:space="preserve">State </w:t>
      </w:r>
      <w:r w:rsidR="00F85D5F" w:rsidRPr="00C837DD">
        <w:rPr>
          <w:sz w:val="20"/>
          <w:szCs w:val="20"/>
        </w:rPr>
        <w:t xml:space="preserve">institutions </w:t>
      </w:r>
      <w:r w:rsidR="00FA1976" w:rsidRPr="00C837DD">
        <w:rPr>
          <w:sz w:val="20"/>
          <w:szCs w:val="20"/>
        </w:rPr>
        <w:t xml:space="preserve">for their </w:t>
      </w:r>
      <w:r w:rsidR="00F85D5F" w:rsidRPr="00C837DD">
        <w:rPr>
          <w:sz w:val="20"/>
          <w:szCs w:val="20"/>
        </w:rPr>
        <w:t>protection</w:t>
      </w:r>
      <w:r w:rsidR="00FA1976" w:rsidRPr="00C837DD">
        <w:rPr>
          <w:sz w:val="20"/>
          <w:szCs w:val="20"/>
        </w:rPr>
        <w:t>.</w:t>
      </w:r>
      <w:r w:rsidR="00F85D5F" w:rsidRPr="00C837DD">
        <w:rPr>
          <w:rStyle w:val="Refdenotaalpie"/>
          <w:sz w:val="20"/>
          <w:szCs w:val="20"/>
        </w:rPr>
        <w:footnoteReference w:id="231"/>
      </w:r>
    </w:p>
    <w:p w14:paraId="7E16B3A6" w14:textId="77777777" w:rsidR="00F85D5F" w:rsidRPr="00C837DD" w:rsidRDefault="00F85D5F" w:rsidP="00F85D5F">
      <w:pPr>
        <w:pStyle w:val="Prrafodelista"/>
        <w:tabs>
          <w:tab w:val="left" w:pos="142"/>
        </w:tabs>
        <w:ind w:left="0"/>
        <w:rPr>
          <w:sz w:val="20"/>
          <w:szCs w:val="20"/>
        </w:rPr>
      </w:pPr>
    </w:p>
    <w:p w14:paraId="47F6D766" w14:textId="54F7D027" w:rsidR="00F85D5F" w:rsidRPr="00C837DD" w:rsidRDefault="00F85D5F" w:rsidP="002F5F17">
      <w:pPr>
        <w:pStyle w:val="Prrafodelista"/>
        <w:numPr>
          <w:ilvl w:val="0"/>
          <w:numId w:val="6"/>
        </w:numPr>
        <w:tabs>
          <w:tab w:val="left" w:pos="142"/>
        </w:tabs>
        <w:ind w:left="0" w:firstLine="0"/>
        <w:rPr>
          <w:sz w:val="20"/>
          <w:szCs w:val="20"/>
        </w:rPr>
      </w:pPr>
      <w:r w:rsidRPr="00C837DD">
        <w:rPr>
          <w:sz w:val="20"/>
          <w:szCs w:val="20"/>
        </w:rPr>
        <w:t>The Court ha</w:t>
      </w:r>
      <w:r w:rsidR="00D82A4C" w:rsidRPr="00C837DD">
        <w:rPr>
          <w:sz w:val="20"/>
          <w:szCs w:val="20"/>
        </w:rPr>
        <w:t>s</w:t>
      </w:r>
      <w:r w:rsidRPr="00C837DD">
        <w:rPr>
          <w:sz w:val="20"/>
          <w:szCs w:val="20"/>
        </w:rPr>
        <w:t xml:space="preserve"> </w:t>
      </w:r>
      <w:r w:rsidR="00FA1976" w:rsidRPr="00C837DD">
        <w:rPr>
          <w:sz w:val="20"/>
          <w:szCs w:val="20"/>
        </w:rPr>
        <w:t xml:space="preserve">also </w:t>
      </w:r>
      <w:r w:rsidRPr="00C837DD">
        <w:rPr>
          <w:sz w:val="20"/>
          <w:szCs w:val="20"/>
        </w:rPr>
        <w:t xml:space="preserve">indicated that the </w:t>
      </w:r>
      <w:r w:rsidR="008D3919" w:rsidRPr="00C837DD">
        <w:rPr>
          <w:sz w:val="20"/>
          <w:szCs w:val="20"/>
        </w:rPr>
        <w:t>duty to</w:t>
      </w:r>
      <w:r w:rsidRPr="00C837DD">
        <w:rPr>
          <w:sz w:val="20"/>
          <w:szCs w:val="20"/>
        </w:rPr>
        <w:t xml:space="preserve"> investigate </w:t>
      </w:r>
      <w:r w:rsidR="00FA1976" w:rsidRPr="00C837DD">
        <w:rPr>
          <w:sz w:val="20"/>
          <w:szCs w:val="20"/>
        </w:rPr>
        <w:t xml:space="preserve">has additional </w:t>
      </w:r>
      <w:r w:rsidR="0053406B" w:rsidRPr="00C837DD">
        <w:rPr>
          <w:sz w:val="20"/>
          <w:szCs w:val="20"/>
        </w:rPr>
        <w:t xml:space="preserve">implications </w:t>
      </w:r>
      <w:r w:rsidRPr="00C837DD">
        <w:rPr>
          <w:sz w:val="20"/>
          <w:szCs w:val="20"/>
        </w:rPr>
        <w:t xml:space="preserve">when </w:t>
      </w:r>
      <w:r w:rsidR="00CD3BDA" w:rsidRPr="00C837DD">
        <w:rPr>
          <w:sz w:val="20"/>
          <w:szCs w:val="20"/>
        </w:rPr>
        <w:t xml:space="preserve">it concerns </w:t>
      </w:r>
      <w:r w:rsidRPr="00C837DD">
        <w:rPr>
          <w:sz w:val="20"/>
          <w:szCs w:val="20"/>
        </w:rPr>
        <w:t xml:space="preserve">a </w:t>
      </w:r>
      <w:r w:rsidR="00D82A4C" w:rsidRPr="00C837DD">
        <w:rPr>
          <w:sz w:val="20"/>
          <w:szCs w:val="20"/>
        </w:rPr>
        <w:t>woman</w:t>
      </w:r>
      <w:r w:rsidRPr="00C837DD">
        <w:rPr>
          <w:sz w:val="20"/>
          <w:szCs w:val="20"/>
        </w:rPr>
        <w:t xml:space="preserve"> </w:t>
      </w:r>
      <w:r w:rsidR="00CD3BDA" w:rsidRPr="00C837DD">
        <w:rPr>
          <w:sz w:val="20"/>
          <w:szCs w:val="20"/>
        </w:rPr>
        <w:t xml:space="preserve">who </w:t>
      </w:r>
      <w:r w:rsidR="00997C8D" w:rsidRPr="00C837DD">
        <w:rPr>
          <w:sz w:val="20"/>
          <w:szCs w:val="20"/>
        </w:rPr>
        <w:t>suffers death</w:t>
      </w:r>
      <w:r w:rsidRPr="00C837DD">
        <w:rPr>
          <w:sz w:val="20"/>
          <w:szCs w:val="20"/>
        </w:rPr>
        <w:t>, m</w:t>
      </w:r>
      <w:r w:rsidR="00644736" w:rsidRPr="00C837DD">
        <w:rPr>
          <w:sz w:val="20"/>
          <w:szCs w:val="20"/>
        </w:rPr>
        <w:t xml:space="preserve">istreatment </w:t>
      </w:r>
      <w:r w:rsidRPr="00C837DD">
        <w:rPr>
          <w:sz w:val="20"/>
          <w:szCs w:val="20"/>
        </w:rPr>
        <w:t xml:space="preserve">or </w:t>
      </w:r>
      <w:r w:rsidR="00997C8D" w:rsidRPr="00C837DD">
        <w:rPr>
          <w:sz w:val="20"/>
          <w:szCs w:val="20"/>
        </w:rPr>
        <w:t xml:space="preserve">impairment of her </w:t>
      </w:r>
      <w:r w:rsidR="00CD3BDA" w:rsidRPr="00C837DD">
        <w:rPr>
          <w:sz w:val="20"/>
          <w:szCs w:val="20"/>
        </w:rPr>
        <w:t xml:space="preserve">personal liberty </w:t>
      </w:r>
      <w:r w:rsidR="00644736" w:rsidRPr="00C837DD">
        <w:rPr>
          <w:sz w:val="20"/>
          <w:szCs w:val="20"/>
        </w:rPr>
        <w:t xml:space="preserve">within a </w:t>
      </w:r>
      <w:r w:rsidRPr="00C837DD">
        <w:rPr>
          <w:sz w:val="20"/>
          <w:szCs w:val="20"/>
        </w:rPr>
        <w:t xml:space="preserve">general </w:t>
      </w:r>
      <w:r w:rsidR="00644736" w:rsidRPr="00C837DD">
        <w:rPr>
          <w:sz w:val="20"/>
          <w:szCs w:val="20"/>
        </w:rPr>
        <w:t xml:space="preserve">context </w:t>
      </w:r>
      <w:r w:rsidRPr="00C837DD">
        <w:rPr>
          <w:sz w:val="20"/>
          <w:szCs w:val="20"/>
        </w:rPr>
        <w:t>of violence against women</w:t>
      </w:r>
      <w:r w:rsidR="00644736" w:rsidRPr="00C837DD">
        <w:rPr>
          <w:sz w:val="20"/>
          <w:szCs w:val="20"/>
        </w:rPr>
        <w:t>.</w:t>
      </w:r>
      <w:r w:rsidRPr="00C837DD">
        <w:rPr>
          <w:sz w:val="20"/>
          <w:szCs w:val="20"/>
          <w:vertAlign w:val="superscript"/>
        </w:rPr>
        <w:footnoteReference w:id="232"/>
      </w:r>
      <w:r w:rsidRPr="00C837DD">
        <w:rPr>
          <w:sz w:val="20"/>
          <w:szCs w:val="20"/>
        </w:rPr>
        <w:t xml:space="preserve"> </w:t>
      </w:r>
      <w:r w:rsidR="0053406B" w:rsidRPr="00C837DD">
        <w:rPr>
          <w:sz w:val="20"/>
          <w:szCs w:val="20"/>
        </w:rPr>
        <w:t>I</w:t>
      </w:r>
      <w:r w:rsidR="00644736" w:rsidRPr="00C837DD">
        <w:rPr>
          <w:sz w:val="20"/>
          <w:szCs w:val="20"/>
        </w:rPr>
        <w:t>t i</w:t>
      </w:r>
      <w:r w:rsidRPr="00C837DD">
        <w:rPr>
          <w:sz w:val="20"/>
          <w:szCs w:val="20"/>
        </w:rPr>
        <w:t xml:space="preserve">s </w:t>
      </w:r>
      <w:r w:rsidR="0053406B" w:rsidRPr="00C837DD">
        <w:rPr>
          <w:sz w:val="20"/>
          <w:szCs w:val="20"/>
        </w:rPr>
        <w:t xml:space="preserve">often </w:t>
      </w:r>
      <w:r w:rsidR="00644736" w:rsidRPr="00C837DD">
        <w:rPr>
          <w:sz w:val="20"/>
          <w:szCs w:val="20"/>
        </w:rPr>
        <w:t xml:space="preserve">difficult to prove in practice </w:t>
      </w:r>
      <w:r w:rsidRPr="00C837DD">
        <w:rPr>
          <w:sz w:val="20"/>
          <w:szCs w:val="20"/>
        </w:rPr>
        <w:t xml:space="preserve">that a </w:t>
      </w:r>
      <w:r w:rsidR="00904DAD" w:rsidRPr="00C837DD">
        <w:rPr>
          <w:sz w:val="20"/>
          <w:szCs w:val="20"/>
        </w:rPr>
        <w:t xml:space="preserve">murder or </w:t>
      </w:r>
      <w:r w:rsidR="001919FA">
        <w:rPr>
          <w:sz w:val="20"/>
          <w:szCs w:val="20"/>
        </w:rPr>
        <w:t xml:space="preserve">an </w:t>
      </w:r>
      <w:r w:rsidR="00904DAD" w:rsidRPr="00C837DD">
        <w:rPr>
          <w:sz w:val="20"/>
          <w:szCs w:val="20"/>
        </w:rPr>
        <w:t xml:space="preserve">act of violence </w:t>
      </w:r>
      <w:r w:rsidRPr="00C837DD">
        <w:rPr>
          <w:sz w:val="20"/>
          <w:szCs w:val="20"/>
        </w:rPr>
        <w:t xml:space="preserve">against a </w:t>
      </w:r>
      <w:r w:rsidR="00D82A4C" w:rsidRPr="00C837DD">
        <w:rPr>
          <w:sz w:val="20"/>
          <w:szCs w:val="20"/>
        </w:rPr>
        <w:t>woman</w:t>
      </w:r>
      <w:r w:rsidRPr="00C837DD">
        <w:rPr>
          <w:sz w:val="20"/>
          <w:szCs w:val="20"/>
        </w:rPr>
        <w:t xml:space="preserve"> ha</w:t>
      </w:r>
      <w:r w:rsidR="00904DAD" w:rsidRPr="00C837DD">
        <w:rPr>
          <w:sz w:val="20"/>
          <w:szCs w:val="20"/>
        </w:rPr>
        <w:t>s been</w:t>
      </w:r>
      <w:r w:rsidRPr="00C837DD">
        <w:rPr>
          <w:sz w:val="20"/>
          <w:szCs w:val="20"/>
        </w:rPr>
        <w:t xml:space="preserve"> perpetra</w:t>
      </w:r>
      <w:r w:rsidR="00904DAD" w:rsidRPr="00C837DD">
        <w:rPr>
          <w:sz w:val="20"/>
          <w:szCs w:val="20"/>
        </w:rPr>
        <w:t xml:space="preserve">ted </w:t>
      </w:r>
      <w:r w:rsidR="0053406B" w:rsidRPr="00C837DD">
        <w:rPr>
          <w:sz w:val="20"/>
          <w:szCs w:val="20"/>
        </w:rPr>
        <w:t xml:space="preserve">because of her </w:t>
      </w:r>
      <w:r w:rsidR="00904DAD" w:rsidRPr="00C837DD">
        <w:rPr>
          <w:sz w:val="20"/>
          <w:szCs w:val="20"/>
        </w:rPr>
        <w:t>gender</w:t>
      </w:r>
      <w:r w:rsidRPr="00C837DD">
        <w:rPr>
          <w:sz w:val="20"/>
          <w:szCs w:val="20"/>
        </w:rPr>
        <w:t xml:space="preserve">. </w:t>
      </w:r>
      <w:r w:rsidR="00893423" w:rsidRPr="00C837DD">
        <w:rPr>
          <w:sz w:val="20"/>
          <w:szCs w:val="20"/>
        </w:rPr>
        <w:t xml:space="preserve">This </w:t>
      </w:r>
      <w:r w:rsidR="000A3FF3" w:rsidRPr="00C837DD">
        <w:rPr>
          <w:sz w:val="20"/>
          <w:szCs w:val="20"/>
        </w:rPr>
        <w:t xml:space="preserve">difficulty </w:t>
      </w:r>
      <w:r w:rsidR="00D82A4C" w:rsidRPr="00C837DD">
        <w:rPr>
          <w:sz w:val="20"/>
          <w:szCs w:val="20"/>
        </w:rPr>
        <w:t xml:space="preserve">sometimes </w:t>
      </w:r>
      <w:r w:rsidR="00D74C67" w:rsidRPr="00C837DD">
        <w:rPr>
          <w:sz w:val="20"/>
          <w:szCs w:val="20"/>
        </w:rPr>
        <w:t xml:space="preserve">stems </w:t>
      </w:r>
      <w:r w:rsidR="00D82A4C" w:rsidRPr="00C837DD">
        <w:rPr>
          <w:sz w:val="20"/>
          <w:szCs w:val="20"/>
        </w:rPr>
        <w:t xml:space="preserve">from </w:t>
      </w:r>
      <w:r w:rsidRPr="00C837DD">
        <w:rPr>
          <w:sz w:val="20"/>
          <w:szCs w:val="20"/>
        </w:rPr>
        <w:t xml:space="preserve">the absence of a </w:t>
      </w:r>
      <w:r w:rsidR="00904DAD" w:rsidRPr="00C837DD">
        <w:rPr>
          <w:sz w:val="20"/>
          <w:szCs w:val="20"/>
        </w:rPr>
        <w:t xml:space="preserve">thorough and effective </w:t>
      </w:r>
      <w:r w:rsidR="00904DAD" w:rsidRPr="00C837DD">
        <w:rPr>
          <w:sz w:val="20"/>
          <w:szCs w:val="20"/>
        </w:rPr>
        <w:lastRenderedPageBreak/>
        <w:t xml:space="preserve">investigation by </w:t>
      </w:r>
      <w:r w:rsidRPr="00C837DD">
        <w:rPr>
          <w:sz w:val="20"/>
          <w:szCs w:val="20"/>
        </w:rPr>
        <w:t>the auth</w:t>
      </w:r>
      <w:r w:rsidR="00D82A4C" w:rsidRPr="00C837DD">
        <w:rPr>
          <w:sz w:val="20"/>
          <w:szCs w:val="20"/>
        </w:rPr>
        <w:t xml:space="preserve">orities </w:t>
      </w:r>
      <w:r w:rsidR="00D41C98" w:rsidRPr="00C837DD">
        <w:rPr>
          <w:sz w:val="20"/>
          <w:szCs w:val="20"/>
        </w:rPr>
        <w:t xml:space="preserve">into </w:t>
      </w:r>
      <w:r w:rsidR="00D82A4C" w:rsidRPr="00C837DD">
        <w:rPr>
          <w:sz w:val="20"/>
          <w:szCs w:val="20"/>
        </w:rPr>
        <w:t>the violent incident</w:t>
      </w:r>
      <w:r w:rsidR="00D74C67" w:rsidRPr="00C837DD">
        <w:rPr>
          <w:sz w:val="20"/>
          <w:szCs w:val="20"/>
        </w:rPr>
        <w:t xml:space="preserve"> and its cause</w:t>
      </w:r>
      <w:r w:rsidRPr="00C837DD">
        <w:rPr>
          <w:sz w:val="20"/>
          <w:szCs w:val="20"/>
        </w:rPr>
        <w:t xml:space="preserve">s. </w:t>
      </w:r>
      <w:r w:rsidR="00893423" w:rsidRPr="00C837DD">
        <w:rPr>
          <w:sz w:val="20"/>
          <w:szCs w:val="20"/>
        </w:rPr>
        <w:t>For this reason</w:t>
      </w:r>
      <w:r w:rsidR="005547AB" w:rsidRPr="00C837DD">
        <w:rPr>
          <w:sz w:val="20"/>
          <w:szCs w:val="20"/>
        </w:rPr>
        <w:t xml:space="preserve">, </w:t>
      </w:r>
      <w:r w:rsidR="00D74C67" w:rsidRPr="00C837DD">
        <w:rPr>
          <w:sz w:val="20"/>
          <w:szCs w:val="20"/>
        </w:rPr>
        <w:t xml:space="preserve">State </w:t>
      </w:r>
      <w:r w:rsidRPr="00C837DD">
        <w:rPr>
          <w:sz w:val="20"/>
          <w:szCs w:val="20"/>
        </w:rPr>
        <w:t xml:space="preserve">authorities </w:t>
      </w:r>
      <w:r w:rsidR="00904DAD" w:rsidRPr="00C837DD">
        <w:rPr>
          <w:sz w:val="20"/>
          <w:szCs w:val="20"/>
        </w:rPr>
        <w:t xml:space="preserve">have </w:t>
      </w:r>
      <w:r w:rsidR="00893423" w:rsidRPr="00C837DD">
        <w:rPr>
          <w:sz w:val="20"/>
          <w:szCs w:val="20"/>
        </w:rPr>
        <w:t>the</w:t>
      </w:r>
      <w:r w:rsidR="00D41C98" w:rsidRPr="00C837DD">
        <w:rPr>
          <w:sz w:val="20"/>
          <w:szCs w:val="20"/>
        </w:rPr>
        <w:t xml:space="preserve"> obligation to</w:t>
      </w:r>
      <w:r w:rsidRPr="00C837DD">
        <w:rPr>
          <w:sz w:val="20"/>
          <w:szCs w:val="20"/>
        </w:rPr>
        <w:t xml:space="preserve"> investigate </w:t>
      </w:r>
      <w:r w:rsidRPr="00C837DD">
        <w:rPr>
          <w:i/>
          <w:sz w:val="20"/>
          <w:szCs w:val="20"/>
        </w:rPr>
        <w:t xml:space="preserve">ex officio </w:t>
      </w:r>
      <w:r w:rsidRPr="00C837DD">
        <w:rPr>
          <w:sz w:val="20"/>
          <w:szCs w:val="20"/>
        </w:rPr>
        <w:t>the</w:t>
      </w:r>
      <w:r w:rsidRPr="00C837DD">
        <w:rPr>
          <w:i/>
          <w:sz w:val="20"/>
          <w:szCs w:val="20"/>
        </w:rPr>
        <w:t xml:space="preserve"> </w:t>
      </w:r>
      <w:r w:rsidRPr="00C837DD">
        <w:rPr>
          <w:sz w:val="20"/>
          <w:szCs w:val="20"/>
        </w:rPr>
        <w:t xml:space="preserve">possible </w:t>
      </w:r>
      <w:r w:rsidR="00D41C98" w:rsidRPr="00C837DD">
        <w:rPr>
          <w:sz w:val="20"/>
          <w:szCs w:val="20"/>
        </w:rPr>
        <w:t>gender-</w:t>
      </w:r>
      <w:r w:rsidR="00BB39D0">
        <w:rPr>
          <w:sz w:val="20"/>
          <w:szCs w:val="20"/>
        </w:rPr>
        <w:t xml:space="preserve">related </w:t>
      </w:r>
      <w:r w:rsidR="00D41C98" w:rsidRPr="00C837DD">
        <w:rPr>
          <w:sz w:val="20"/>
          <w:szCs w:val="20"/>
        </w:rPr>
        <w:t xml:space="preserve">discriminatory </w:t>
      </w:r>
      <w:r w:rsidRPr="00C837DD">
        <w:rPr>
          <w:sz w:val="20"/>
          <w:szCs w:val="20"/>
        </w:rPr>
        <w:t xml:space="preserve">connotations </w:t>
      </w:r>
      <w:r w:rsidR="00D41C98" w:rsidRPr="00C837DD">
        <w:rPr>
          <w:sz w:val="20"/>
          <w:szCs w:val="20"/>
        </w:rPr>
        <w:t xml:space="preserve">of </w:t>
      </w:r>
      <w:r w:rsidRPr="00C837DD">
        <w:rPr>
          <w:sz w:val="20"/>
          <w:szCs w:val="20"/>
        </w:rPr>
        <w:t>a</w:t>
      </w:r>
      <w:r w:rsidR="00904DAD" w:rsidRPr="00C837DD">
        <w:rPr>
          <w:sz w:val="20"/>
          <w:szCs w:val="20"/>
        </w:rPr>
        <w:t>n</w:t>
      </w:r>
      <w:r w:rsidRPr="00C837DD">
        <w:rPr>
          <w:sz w:val="20"/>
          <w:szCs w:val="20"/>
        </w:rPr>
        <w:t xml:space="preserve"> act of violence perpetra</w:t>
      </w:r>
      <w:r w:rsidR="000A3FF3" w:rsidRPr="00C837DD">
        <w:rPr>
          <w:sz w:val="20"/>
          <w:szCs w:val="20"/>
        </w:rPr>
        <w:t xml:space="preserve">ted </w:t>
      </w:r>
      <w:r w:rsidRPr="00C837DD">
        <w:rPr>
          <w:sz w:val="20"/>
          <w:szCs w:val="20"/>
        </w:rPr>
        <w:t>against a woman, especially</w:t>
      </w:r>
      <w:r w:rsidR="000A3FF3" w:rsidRPr="00C837DD">
        <w:rPr>
          <w:sz w:val="20"/>
          <w:szCs w:val="20"/>
        </w:rPr>
        <w:t xml:space="preserve"> when </w:t>
      </w:r>
      <w:r w:rsidR="00D74C67" w:rsidRPr="00C837DD">
        <w:rPr>
          <w:sz w:val="20"/>
          <w:szCs w:val="20"/>
        </w:rPr>
        <w:t xml:space="preserve">there </w:t>
      </w:r>
      <w:r w:rsidR="00893423" w:rsidRPr="00C837DD">
        <w:rPr>
          <w:sz w:val="20"/>
          <w:szCs w:val="20"/>
        </w:rPr>
        <w:t>are</w:t>
      </w:r>
      <w:r w:rsidR="00D41C98" w:rsidRPr="00C837DD">
        <w:rPr>
          <w:sz w:val="20"/>
          <w:szCs w:val="20"/>
        </w:rPr>
        <w:t xml:space="preserve"> concrete </w:t>
      </w:r>
      <w:r w:rsidR="00893423" w:rsidRPr="00C837DD">
        <w:rPr>
          <w:sz w:val="20"/>
          <w:szCs w:val="20"/>
        </w:rPr>
        <w:t xml:space="preserve">indications </w:t>
      </w:r>
      <w:r w:rsidRPr="00C837DD">
        <w:rPr>
          <w:sz w:val="20"/>
          <w:szCs w:val="20"/>
        </w:rPr>
        <w:t>of sex</w:t>
      </w:r>
      <w:r w:rsidR="000A3FF3" w:rsidRPr="00C837DD">
        <w:rPr>
          <w:sz w:val="20"/>
          <w:szCs w:val="20"/>
        </w:rPr>
        <w:t>ual violence</w:t>
      </w:r>
      <w:r w:rsidR="00D74C67" w:rsidRPr="00C837DD">
        <w:rPr>
          <w:sz w:val="20"/>
          <w:szCs w:val="20"/>
        </w:rPr>
        <w:t xml:space="preserve">, or </w:t>
      </w:r>
      <w:r w:rsidR="000A3FF3" w:rsidRPr="00C837DD">
        <w:rPr>
          <w:sz w:val="20"/>
          <w:szCs w:val="20"/>
        </w:rPr>
        <w:t>evidence</w:t>
      </w:r>
      <w:r w:rsidRPr="00C837DD">
        <w:rPr>
          <w:sz w:val="20"/>
          <w:szCs w:val="20"/>
        </w:rPr>
        <w:t xml:space="preserve"> of </w:t>
      </w:r>
      <w:r w:rsidR="00D74C67" w:rsidRPr="00C837DD">
        <w:rPr>
          <w:sz w:val="20"/>
          <w:szCs w:val="20"/>
        </w:rPr>
        <w:t xml:space="preserve">cruelty </w:t>
      </w:r>
      <w:r w:rsidR="00893423" w:rsidRPr="00C837DD">
        <w:rPr>
          <w:sz w:val="20"/>
          <w:szCs w:val="20"/>
        </w:rPr>
        <w:t xml:space="preserve">to </w:t>
      </w:r>
      <w:r w:rsidRPr="00C837DD">
        <w:rPr>
          <w:sz w:val="20"/>
          <w:szCs w:val="20"/>
        </w:rPr>
        <w:t xml:space="preserve">the </w:t>
      </w:r>
      <w:r w:rsidR="00D41C98" w:rsidRPr="00C837DD">
        <w:rPr>
          <w:sz w:val="20"/>
          <w:szCs w:val="20"/>
        </w:rPr>
        <w:t xml:space="preserve">woman’s </w:t>
      </w:r>
      <w:r w:rsidRPr="00C837DD">
        <w:rPr>
          <w:sz w:val="20"/>
          <w:szCs w:val="20"/>
        </w:rPr>
        <w:t>body (</w:t>
      </w:r>
      <w:r w:rsidR="00893423" w:rsidRPr="00C837DD">
        <w:rPr>
          <w:sz w:val="20"/>
          <w:szCs w:val="20"/>
        </w:rPr>
        <w:t xml:space="preserve">for example, </w:t>
      </w:r>
      <w:r w:rsidR="00D41C98" w:rsidRPr="00C837DD">
        <w:rPr>
          <w:sz w:val="20"/>
          <w:szCs w:val="20"/>
        </w:rPr>
        <w:t>mutilation</w:t>
      </w:r>
      <w:r w:rsidRPr="00C837DD">
        <w:rPr>
          <w:sz w:val="20"/>
          <w:szCs w:val="20"/>
        </w:rPr>
        <w:t xml:space="preserve">), or </w:t>
      </w:r>
      <w:r w:rsidR="00D74C67" w:rsidRPr="00C837DD">
        <w:rPr>
          <w:sz w:val="20"/>
          <w:szCs w:val="20"/>
        </w:rPr>
        <w:t xml:space="preserve">when </w:t>
      </w:r>
      <w:r w:rsidR="00D41C98" w:rsidRPr="00C837DD">
        <w:rPr>
          <w:sz w:val="20"/>
          <w:szCs w:val="20"/>
        </w:rPr>
        <w:t xml:space="preserve">the </w:t>
      </w:r>
      <w:r w:rsidR="00D74C67" w:rsidRPr="00C837DD">
        <w:rPr>
          <w:sz w:val="20"/>
          <w:szCs w:val="20"/>
        </w:rPr>
        <w:t>act</w:t>
      </w:r>
      <w:r w:rsidRPr="00C837DD">
        <w:rPr>
          <w:sz w:val="20"/>
          <w:szCs w:val="20"/>
        </w:rPr>
        <w:t xml:space="preserve"> </w:t>
      </w:r>
      <w:r w:rsidR="00D74C67" w:rsidRPr="00C837DD">
        <w:rPr>
          <w:sz w:val="20"/>
          <w:szCs w:val="20"/>
        </w:rPr>
        <w:t xml:space="preserve">is </w:t>
      </w:r>
      <w:r w:rsidR="00D41C98" w:rsidRPr="00C837DD">
        <w:rPr>
          <w:sz w:val="20"/>
          <w:szCs w:val="20"/>
        </w:rPr>
        <w:t xml:space="preserve">part of </w:t>
      </w:r>
      <w:r w:rsidRPr="00C837DD">
        <w:rPr>
          <w:sz w:val="20"/>
          <w:szCs w:val="20"/>
        </w:rPr>
        <w:t xml:space="preserve">a </w:t>
      </w:r>
      <w:r w:rsidR="00BB39D0">
        <w:rPr>
          <w:sz w:val="20"/>
          <w:szCs w:val="20"/>
        </w:rPr>
        <w:t xml:space="preserve">wider </w:t>
      </w:r>
      <w:r w:rsidRPr="00C837DD">
        <w:rPr>
          <w:sz w:val="20"/>
          <w:szCs w:val="20"/>
        </w:rPr>
        <w:t xml:space="preserve">context of violence against women </w:t>
      </w:r>
      <w:r w:rsidR="00D41C98" w:rsidRPr="00C837DD">
        <w:rPr>
          <w:sz w:val="20"/>
          <w:szCs w:val="20"/>
        </w:rPr>
        <w:t xml:space="preserve">in a given </w:t>
      </w:r>
      <w:r w:rsidRPr="00C837DD">
        <w:rPr>
          <w:sz w:val="20"/>
          <w:szCs w:val="20"/>
        </w:rPr>
        <w:t xml:space="preserve">country or </w:t>
      </w:r>
      <w:r w:rsidR="00C51835" w:rsidRPr="00C837DD">
        <w:rPr>
          <w:sz w:val="20"/>
          <w:szCs w:val="20"/>
        </w:rPr>
        <w:t>region</w:t>
      </w:r>
      <w:r w:rsidR="00D41C98" w:rsidRPr="00C837DD">
        <w:rPr>
          <w:sz w:val="20"/>
          <w:szCs w:val="20"/>
        </w:rPr>
        <w:t>.</w:t>
      </w:r>
      <w:r w:rsidRPr="00C837DD">
        <w:rPr>
          <w:sz w:val="20"/>
          <w:szCs w:val="20"/>
          <w:vertAlign w:val="superscript"/>
        </w:rPr>
        <w:footnoteReference w:id="233"/>
      </w:r>
      <w:r w:rsidRPr="00C837DD">
        <w:rPr>
          <w:sz w:val="20"/>
          <w:szCs w:val="20"/>
        </w:rPr>
        <w:t xml:space="preserve"> </w:t>
      </w:r>
      <w:r w:rsidR="00893423" w:rsidRPr="00C837DD">
        <w:rPr>
          <w:sz w:val="20"/>
          <w:szCs w:val="20"/>
        </w:rPr>
        <w:t>Furthermore</w:t>
      </w:r>
      <w:r w:rsidRPr="00C837DD">
        <w:rPr>
          <w:sz w:val="20"/>
          <w:szCs w:val="20"/>
        </w:rPr>
        <w:t xml:space="preserve">, the </w:t>
      </w:r>
      <w:r w:rsidR="00213575" w:rsidRPr="00C837DD">
        <w:rPr>
          <w:sz w:val="20"/>
          <w:szCs w:val="20"/>
        </w:rPr>
        <w:t xml:space="preserve">criminal investigation </w:t>
      </w:r>
      <w:r w:rsidR="00D41C98" w:rsidRPr="00C837DD">
        <w:rPr>
          <w:sz w:val="20"/>
          <w:szCs w:val="20"/>
        </w:rPr>
        <w:t xml:space="preserve">must </w:t>
      </w:r>
      <w:r w:rsidR="00213575" w:rsidRPr="00C837DD">
        <w:rPr>
          <w:sz w:val="20"/>
          <w:szCs w:val="20"/>
        </w:rPr>
        <w:t>include</w:t>
      </w:r>
      <w:r w:rsidRPr="00C837DD">
        <w:rPr>
          <w:sz w:val="20"/>
          <w:szCs w:val="20"/>
        </w:rPr>
        <w:t xml:space="preserve"> a gender perspective and </w:t>
      </w:r>
      <w:r w:rsidR="00D41C98" w:rsidRPr="00C837DD">
        <w:rPr>
          <w:sz w:val="20"/>
          <w:szCs w:val="20"/>
        </w:rPr>
        <w:t xml:space="preserve">be carried out </w:t>
      </w:r>
      <w:r w:rsidRPr="00C837DD">
        <w:rPr>
          <w:sz w:val="20"/>
          <w:szCs w:val="20"/>
        </w:rPr>
        <w:t xml:space="preserve">by officials </w:t>
      </w:r>
      <w:r w:rsidR="00904DAD" w:rsidRPr="00C837DD">
        <w:rPr>
          <w:sz w:val="20"/>
          <w:szCs w:val="20"/>
        </w:rPr>
        <w:t xml:space="preserve">trained </w:t>
      </w:r>
      <w:r w:rsidRPr="00C837DD">
        <w:rPr>
          <w:sz w:val="20"/>
          <w:szCs w:val="20"/>
        </w:rPr>
        <w:t xml:space="preserve">in </w:t>
      </w:r>
      <w:r w:rsidR="00213575" w:rsidRPr="00C837DD">
        <w:rPr>
          <w:sz w:val="20"/>
          <w:szCs w:val="20"/>
        </w:rPr>
        <w:t>s</w:t>
      </w:r>
      <w:r w:rsidR="00BB39D0">
        <w:rPr>
          <w:sz w:val="20"/>
          <w:szCs w:val="20"/>
        </w:rPr>
        <w:t xml:space="preserve">uch </w:t>
      </w:r>
      <w:r w:rsidRPr="00C837DD">
        <w:rPr>
          <w:sz w:val="20"/>
          <w:szCs w:val="20"/>
        </w:rPr>
        <w:t xml:space="preserve">cases and in </w:t>
      </w:r>
      <w:r w:rsidR="00D41C98" w:rsidRPr="00C837DD">
        <w:rPr>
          <w:sz w:val="20"/>
          <w:szCs w:val="20"/>
        </w:rPr>
        <w:t xml:space="preserve">dealing with </w:t>
      </w:r>
      <w:r w:rsidRPr="00C837DD">
        <w:rPr>
          <w:sz w:val="20"/>
          <w:szCs w:val="20"/>
        </w:rPr>
        <w:t xml:space="preserve">victims of discrimination and </w:t>
      </w:r>
      <w:r w:rsidR="000A3FF3" w:rsidRPr="00C837DD">
        <w:rPr>
          <w:sz w:val="20"/>
          <w:szCs w:val="20"/>
        </w:rPr>
        <w:t xml:space="preserve">gender-based </w:t>
      </w:r>
      <w:r w:rsidRPr="00C837DD">
        <w:rPr>
          <w:sz w:val="20"/>
          <w:szCs w:val="20"/>
        </w:rPr>
        <w:t>violence</w:t>
      </w:r>
      <w:r w:rsidR="00213575" w:rsidRPr="00C837DD">
        <w:rPr>
          <w:sz w:val="20"/>
          <w:szCs w:val="20"/>
        </w:rPr>
        <w:t>.</w:t>
      </w:r>
      <w:r w:rsidRPr="00C837DD">
        <w:rPr>
          <w:sz w:val="20"/>
          <w:szCs w:val="20"/>
          <w:vertAlign w:val="superscript"/>
        </w:rPr>
        <w:footnoteReference w:id="234"/>
      </w:r>
    </w:p>
    <w:p w14:paraId="63B233B4" w14:textId="77777777" w:rsidR="00F85D5F" w:rsidRPr="00C837DD" w:rsidRDefault="00F85D5F" w:rsidP="00F85D5F">
      <w:pPr>
        <w:pStyle w:val="Prrafodelista"/>
        <w:tabs>
          <w:tab w:val="left" w:pos="142"/>
        </w:tabs>
        <w:ind w:left="0"/>
        <w:rPr>
          <w:sz w:val="20"/>
          <w:szCs w:val="20"/>
        </w:rPr>
      </w:pPr>
    </w:p>
    <w:p w14:paraId="46765D74" w14:textId="77777777" w:rsidR="00F85D5F" w:rsidRPr="00C837DD" w:rsidRDefault="00904DAD" w:rsidP="00F85D5F">
      <w:pPr>
        <w:pStyle w:val="Prrafodelista"/>
        <w:numPr>
          <w:ilvl w:val="0"/>
          <w:numId w:val="6"/>
        </w:numPr>
        <w:tabs>
          <w:tab w:val="left" w:pos="142"/>
        </w:tabs>
        <w:ind w:left="0" w:firstLine="0"/>
        <w:rPr>
          <w:sz w:val="20"/>
          <w:szCs w:val="20"/>
        </w:rPr>
      </w:pPr>
      <w:r w:rsidRPr="00C837DD">
        <w:rPr>
          <w:rFonts w:cs="Tahoma"/>
          <w:sz w:val="20"/>
          <w:szCs w:val="20"/>
        </w:rPr>
        <w:t>A</w:t>
      </w:r>
      <w:r w:rsidR="003E7599" w:rsidRPr="00C837DD">
        <w:rPr>
          <w:rFonts w:cs="Tahoma"/>
          <w:sz w:val="20"/>
          <w:szCs w:val="20"/>
        </w:rPr>
        <w:t>t the same time</w:t>
      </w:r>
      <w:r w:rsidRPr="00C837DD">
        <w:rPr>
          <w:rFonts w:cs="Tahoma"/>
          <w:sz w:val="20"/>
          <w:szCs w:val="20"/>
        </w:rPr>
        <w:t xml:space="preserve">, </w:t>
      </w:r>
      <w:r w:rsidR="00F85D5F" w:rsidRPr="00C837DD">
        <w:rPr>
          <w:rFonts w:cs="Tahoma"/>
          <w:sz w:val="20"/>
          <w:szCs w:val="20"/>
        </w:rPr>
        <w:t xml:space="preserve">the </w:t>
      </w:r>
      <w:r w:rsidRPr="00C837DD">
        <w:rPr>
          <w:rFonts w:cs="Tahoma"/>
          <w:sz w:val="20"/>
          <w:szCs w:val="20"/>
        </w:rPr>
        <w:t xml:space="preserve">Court has </w:t>
      </w:r>
      <w:r w:rsidR="00F85D5F" w:rsidRPr="00C837DD">
        <w:rPr>
          <w:rFonts w:cs="Helvetica"/>
          <w:sz w:val="20"/>
          <w:szCs w:val="20"/>
          <w:lang w:bidi="en-US"/>
        </w:rPr>
        <w:t xml:space="preserve">indicated </w:t>
      </w:r>
      <w:r w:rsidR="003E7599" w:rsidRPr="00C837DD">
        <w:rPr>
          <w:rFonts w:cs="Helvetica"/>
          <w:sz w:val="20"/>
          <w:szCs w:val="20"/>
          <w:lang w:bidi="en-US"/>
        </w:rPr>
        <w:t xml:space="preserve">in its case law </w:t>
      </w:r>
      <w:r w:rsidR="00F85D5F" w:rsidRPr="00C837DD">
        <w:rPr>
          <w:rFonts w:cs="Helvetica"/>
          <w:sz w:val="20"/>
          <w:szCs w:val="20"/>
          <w:lang w:bidi="en-US"/>
        </w:rPr>
        <w:t xml:space="preserve">that a State </w:t>
      </w:r>
      <w:r w:rsidRPr="00C837DD">
        <w:rPr>
          <w:rFonts w:cs="Helvetica"/>
          <w:sz w:val="20"/>
          <w:szCs w:val="20"/>
          <w:lang w:bidi="en-US"/>
        </w:rPr>
        <w:t xml:space="preserve">may be </w:t>
      </w:r>
      <w:r w:rsidR="00F85D5F" w:rsidRPr="00C837DD">
        <w:rPr>
          <w:rFonts w:cs="Helvetica"/>
          <w:sz w:val="20"/>
          <w:szCs w:val="20"/>
          <w:lang w:bidi="en-US"/>
        </w:rPr>
        <w:t xml:space="preserve">responsible for </w:t>
      </w:r>
      <w:r w:rsidR="003E7599" w:rsidRPr="00C837DD">
        <w:rPr>
          <w:rFonts w:cs="Helvetica"/>
          <w:sz w:val="20"/>
          <w:szCs w:val="20"/>
          <w:lang w:bidi="en-US"/>
        </w:rPr>
        <w:t>failing to “order, practice</w:t>
      </w:r>
      <w:r w:rsidR="00F85D5F" w:rsidRPr="00C837DD">
        <w:rPr>
          <w:rFonts w:cs="Helvetica"/>
          <w:sz w:val="20"/>
          <w:szCs w:val="20"/>
          <w:lang w:bidi="en-US"/>
        </w:rPr>
        <w:t xml:space="preserve"> or </w:t>
      </w:r>
      <w:r w:rsidR="003E7599" w:rsidRPr="00C837DD">
        <w:rPr>
          <w:rFonts w:cs="Helvetica"/>
          <w:sz w:val="20"/>
          <w:szCs w:val="20"/>
          <w:lang w:bidi="en-US"/>
        </w:rPr>
        <w:t xml:space="preserve">evaluate </w:t>
      </w:r>
      <w:r w:rsidR="00F85D5F" w:rsidRPr="00C837DD">
        <w:rPr>
          <w:rFonts w:cs="Helvetica"/>
          <w:sz w:val="20"/>
          <w:szCs w:val="20"/>
          <w:lang w:bidi="en-US"/>
        </w:rPr>
        <w:t xml:space="preserve">evidence that </w:t>
      </w:r>
      <w:r w:rsidR="003E7599" w:rsidRPr="00C837DD">
        <w:rPr>
          <w:rFonts w:cs="Helvetica"/>
          <w:sz w:val="20"/>
          <w:szCs w:val="20"/>
          <w:lang w:bidi="en-US"/>
        </w:rPr>
        <w:t>would have be</w:t>
      </w:r>
      <w:r w:rsidR="00D36138" w:rsidRPr="00C837DD">
        <w:rPr>
          <w:rFonts w:cs="Helvetica"/>
          <w:sz w:val="20"/>
          <w:szCs w:val="20"/>
          <w:lang w:bidi="en-US"/>
        </w:rPr>
        <w:t>en</w:t>
      </w:r>
      <w:r w:rsidR="003E7599" w:rsidRPr="00C837DD">
        <w:rPr>
          <w:rFonts w:cs="Helvetica"/>
          <w:sz w:val="20"/>
          <w:szCs w:val="20"/>
          <w:lang w:bidi="en-US"/>
        </w:rPr>
        <w:t xml:space="preserve"> of great </w:t>
      </w:r>
      <w:r w:rsidR="00213575" w:rsidRPr="00C837DD">
        <w:rPr>
          <w:rFonts w:cs="Helvetica"/>
          <w:sz w:val="20"/>
          <w:szCs w:val="20"/>
          <w:lang w:bidi="en-US"/>
        </w:rPr>
        <w:t>importance</w:t>
      </w:r>
      <w:r w:rsidR="00F85D5F" w:rsidRPr="00C837DD">
        <w:rPr>
          <w:rFonts w:cs="Helvetica"/>
          <w:sz w:val="20"/>
          <w:szCs w:val="20"/>
          <w:lang w:bidi="en-US"/>
        </w:rPr>
        <w:t xml:space="preserve"> for the </w:t>
      </w:r>
      <w:r w:rsidR="00376EE3" w:rsidRPr="00C837DD">
        <w:rPr>
          <w:rFonts w:cs="Helvetica"/>
          <w:sz w:val="20"/>
          <w:szCs w:val="20"/>
          <w:lang w:bidi="en-US"/>
        </w:rPr>
        <w:t xml:space="preserve">full </w:t>
      </w:r>
      <w:r w:rsidR="003E7599" w:rsidRPr="00C837DD">
        <w:rPr>
          <w:rFonts w:cs="Helvetica"/>
          <w:sz w:val="20"/>
          <w:szCs w:val="20"/>
          <w:lang w:bidi="en-US"/>
        </w:rPr>
        <w:t xml:space="preserve">clarification of </w:t>
      </w:r>
      <w:r w:rsidR="00F85D5F" w:rsidRPr="00C837DD">
        <w:rPr>
          <w:rFonts w:cs="Helvetica"/>
          <w:sz w:val="20"/>
          <w:szCs w:val="20"/>
          <w:lang w:bidi="en-US"/>
        </w:rPr>
        <w:t xml:space="preserve">the </w:t>
      </w:r>
      <w:r w:rsidR="003E7599" w:rsidRPr="00C837DD">
        <w:rPr>
          <w:rFonts w:cs="Helvetica"/>
          <w:sz w:val="20"/>
          <w:szCs w:val="20"/>
          <w:lang w:bidi="en-US"/>
        </w:rPr>
        <w:t>murders</w:t>
      </w:r>
      <w:r w:rsidRPr="00C837DD">
        <w:rPr>
          <w:rFonts w:cs="Helvetica"/>
          <w:sz w:val="20"/>
          <w:szCs w:val="20"/>
          <w:lang w:bidi="en-US"/>
        </w:rPr>
        <w:t>.</w:t>
      </w:r>
      <w:r w:rsidR="00F85D5F" w:rsidRPr="00C837DD">
        <w:rPr>
          <w:rFonts w:cs="Helvetica"/>
          <w:sz w:val="20"/>
          <w:szCs w:val="20"/>
          <w:lang w:bidi="en-US"/>
        </w:rPr>
        <w:t>”</w:t>
      </w:r>
      <w:r w:rsidR="00F85D5F" w:rsidRPr="00C837DD">
        <w:rPr>
          <w:bCs/>
          <w:sz w:val="20"/>
          <w:szCs w:val="20"/>
          <w:vertAlign w:val="superscript"/>
        </w:rPr>
        <w:footnoteReference w:id="235"/>
      </w:r>
    </w:p>
    <w:p w14:paraId="45EBF58B" w14:textId="77777777" w:rsidR="00F85D5F" w:rsidRPr="00C837DD" w:rsidRDefault="00F85D5F" w:rsidP="00F85D5F">
      <w:pPr>
        <w:pStyle w:val="Prrafodelista"/>
        <w:tabs>
          <w:tab w:val="left" w:pos="142"/>
        </w:tabs>
        <w:ind w:left="0"/>
        <w:rPr>
          <w:sz w:val="20"/>
          <w:szCs w:val="20"/>
        </w:rPr>
      </w:pPr>
    </w:p>
    <w:p w14:paraId="0837BD80" w14:textId="2F0334EE" w:rsidR="00F85D5F" w:rsidRPr="00C837DD" w:rsidRDefault="00D36138" w:rsidP="00AD0709">
      <w:pPr>
        <w:pStyle w:val="Prrafodelista"/>
        <w:numPr>
          <w:ilvl w:val="0"/>
          <w:numId w:val="6"/>
        </w:numPr>
        <w:tabs>
          <w:tab w:val="left" w:pos="142"/>
        </w:tabs>
        <w:ind w:left="0" w:firstLine="0"/>
        <w:rPr>
          <w:rFonts w:cs="Verdana Bold"/>
          <w:bCs/>
          <w:sz w:val="20"/>
          <w:szCs w:val="20"/>
        </w:rPr>
      </w:pPr>
      <w:r w:rsidRPr="00C837DD">
        <w:rPr>
          <w:sz w:val="20"/>
          <w:szCs w:val="20"/>
        </w:rPr>
        <w:t>Upon examining the body of evidence in the instant</w:t>
      </w:r>
      <w:r w:rsidR="00F85D5F" w:rsidRPr="00C837DD">
        <w:rPr>
          <w:sz w:val="20"/>
          <w:szCs w:val="20"/>
        </w:rPr>
        <w:t xml:space="preserve"> case, the Court finds that, </w:t>
      </w:r>
      <w:r w:rsidR="00F64747" w:rsidRPr="00C837DD">
        <w:rPr>
          <w:sz w:val="20"/>
          <w:szCs w:val="20"/>
        </w:rPr>
        <w:t xml:space="preserve">although there were </w:t>
      </w:r>
      <w:r w:rsidR="00F85D5F" w:rsidRPr="00C837DD">
        <w:rPr>
          <w:sz w:val="20"/>
          <w:szCs w:val="20"/>
        </w:rPr>
        <w:t>indic</w:t>
      </w:r>
      <w:r w:rsidR="00F64747" w:rsidRPr="00C837DD">
        <w:rPr>
          <w:sz w:val="20"/>
          <w:szCs w:val="20"/>
        </w:rPr>
        <w:t xml:space="preserve">ations </w:t>
      </w:r>
      <w:r w:rsidR="00F85D5F" w:rsidRPr="00C837DD">
        <w:rPr>
          <w:sz w:val="20"/>
          <w:szCs w:val="20"/>
        </w:rPr>
        <w:t xml:space="preserve">that </w:t>
      </w:r>
      <w:r w:rsidR="00F64747" w:rsidRPr="00C837DD">
        <w:rPr>
          <w:sz w:val="20"/>
          <w:szCs w:val="20"/>
        </w:rPr>
        <w:t xml:space="preserve">pointed to </w:t>
      </w:r>
      <w:r w:rsidR="00F85D5F" w:rsidRPr="00C837DD">
        <w:rPr>
          <w:sz w:val="20"/>
          <w:szCs w:val="20"/>
        </w:rPr>
        <w:t>the possibl</w:t>
      </w:r>
      <w:r w:rsidR="00F64747" w:rsidRPr="00C837DD">
        <w:rPr>
          <w:sz w:val="20"/>
          <w:szCs w:val="20"/>
        </w:rPr>
        <w:t>e participation of other person</w:t>
      </w:r>
      <w:r w:rsidR="00F85D5F" w:rsidRPr="00C837DD">
        <w:rPr>
          <w:sz w:val="20"/>
          <w:szCs w:val="20"/>
        </w:rPr>
        <w:t xml:space="preserve">s in the </w:t>
      </w:r>
      <w:r w:rsidRPr="00C837DD">
        <w:rPr>
          <w:sz w:val="20"/>
          <w:szCs w:val="20"/>
        </w:rPr>
        <w:t xml:space="preserve">murder </w:t>
      </w:r>
      <w:r w:rsidR="00F85D5F" w:rsidRPr="00C837DD">
        <w:rPr>
          <w:sz w:val="20"/>
          <w:szCs w:val="20"/>
        </w:rPr>
        <w:t xml:space="preserve">of </w:t>
      </w:r>
      <w:r w:rsidR="00B8009F" w:rsidRPr="00C837DD">
        <w:rPr>
          <w:sz w:val="20"/>
          <w:szCs w:val="20"/>
        </w:rPr>
        <w:t>Márcia</w:t>
      </w:r>
      <w:r w:rsidR="00F85D5F" w:rsidRPr="00C837DD">
        <w:rPr>
          <w:sz w:val="20"/>
          <w:szCs w:val="20"/>
        </w:rPr>
        <w:t xml:space="preserve"> Barbosa de Souza</w:t>
      </w:r>
      <w:r w:rsidR="00F64747" w:rsidRPr="00C837DD">
        <w:rPr>
          <w:sz w:val="20"/>
          <w:szCs w:val="20"/>
        </w:rPr>
        <w:t>,</w:t>
      </w:r>
      <w:r w:rsidR="00F85D5F" w:rsidRPr="00C837DD">
        <w:rPr>
          <w:rStyle w:val="Refdenotaalpie"/>
          <w:sz w:val="20"/>
          <w:szCs w:val="20"/>
        </w:rPr>
        <w:footnoteReference w:id="236"/>
      </w:r>
      <w:r w:rsidR="00F85D5F" w:rsidRPr="00C837DD">
        <w:rPr>
          <w:sz w:val="20"/>
          <w:szCs w:val="20"/>
        </w:rPr>
        <w:t xml:space="preserve"> a serie</w:t>
      </w:r>
      <w:r w:rsidR="00213575" w:rsidRPr="00C837DD">
        <w:rPr>
          <w:sz w:val="20"/>
          <w:szCs w:val="20"/>
        </w:rPr>
        <w:t>s</w:t>
      </w:r>
      <w:r w:rsidR="00F85D5F" w:rsidRPr="00C837DD">
        <w:rPr>
          <w:sz w:val="20"/>
          <w:szCs w:val="20"/>
        </w:rPr>
        <w:t xml:space="preserve"> of </w:t>
      </w:r>
      <w:r w:rsidR="00904DAD" w:rsidRPr="00C837DD">
        <w:rPr>
          <w:sz w:val="20"/>
          <w:szCs w:val="20"/>
        </w:rPr>
        <w:t xml:space="preserve">relevant investigations </w:t>
      </w:r>
      <w:r w:rsidR="00095566" w:rsidRPr="00C837DD">
        <w:rPr>
          <w:sz w:val="20"/>
          <w:szCs w:val="20"/>
        </w:rPr>
        <w:t xml:space="preserve">were not carried out </w:t>
      </w:r>
      <w:r w:rsidR="00F85D5F" w:rsidRPr="00C837DD">
        <w:rPr>
          <w:sz w:val="20"/>
          <w:szCs w:val="20"/>
        </w:rPr>
        <w:t>by the Civil Police of Paraíba (</w:t>
      </w:r>
      <w:r w:rsidR="00F85D5F" w:rsidRPr="00C837DD">
        <w:rPr>
          <w:i/>
          <w:sz w:val="20"/>
          <w:szCs w:val="20"/>
        </w:rPr>
        <w:t>supra</w:t>
      </w:r>
      <w:r w:rsidR="00F85D5F" w:rsidRPr="00C837DD">
        <w:rPr>
          <w:sz w:val="20"/>
          <w:szCs w:val="20"/>
        </w:rPr>
        <w:t xml:space="preserve"> paras. 83 </w:t>
      </w:r>
      <w:r w:rsidR="00013118" w:rsidRPr="00C837DD">
        <w:rPr>
          <w:sz w:val="20"/>
          <w:szCs w:val="20"/>
        </w:rPr>
        <w:t>to</w:t>
      </w:r>
      <w:r w:rsidR="00F85D5F" w:rsidRPr="00C837DD">
        <w:rPr>
          <w:sz w:val="20"/>
          <w:szCs w:val="20"/>
        </w:rPr>
        <w:t xml:space="preserve"> 86). </w:t>
      </w:r>
      <w:r w:rsidR="00904DAD" w:rsidRPr="00C837DD">
        <w:rPr>
          <w:sz w:val="20"/>
          <w:szCs w:val="20"/>
        </w:rPr>
        <w:t>In</w:t>
      </w:r>
      <w:r w:rsidR="00CE472F">
        <w:rPr>
          <w:sz w:val="20"/>
          <w:szCs w:val="20"/>
        </w:rPr>
        <w:t>deed</w:t>
      </w:r>
      <w:r w:rsidR="00904DAD" w:rsidRPr="00C837DD">
        <w:rPr>
          <w:sz w:val="20"/>
          <w:szCs w:val="20"/>
        </w:rPr>
        <w:t>, the p</w:t>
      </w:r>
      <w:r w:rsidR="00F85D5F" w:rsidRPr="00C837DD">
        <w:rPr>
          <w:sz w:val="20"/>
          <w:szCs w:val="20"/>
        </w:rPr>
        <w:t xml:space="preserve">rosecutor </w:t>
      </w:r>
      <w:r w:rsidR="00904DAD" w:rsidRPr="00C837DD">
        <w:rPr>
          <w:sz w:val="20"/>
          <w:szCs w:val="20"/>
        </w:rPr>
        <w:t xml:space="preserve">in charge of the </w:t>
      </w:r>
      <w:r w:rsidR="00F64747" w:rsidRPr="00C837DD">
        <w:rPr>
          <w:sz w:val="20"/>
          <w:szCs w:val="20"/>
        </w:rPr>
        <w:t>c</w:t>
      </w:r>
      <w:r w:rsidR="00F85D5F" w:rsidRPr="00C837DD">
        <w:rPr>
          <w:sz w:val="20"/>
          <w:szCs w:val="20"/>
        </w:rPr>
        <w:t xml:space="preserve">ase, </w:t>
      </w:r>
      <w:r w:rsidR="00D74C67" w:rsidRPr="00C837DD">
        <w:rPr>
          <w:sz w:val="20"/>
          <w:szCs w:val="20"/>
        </w:rPr>
        <w:t xml:space="preserve">making use of his </w:t>
      </w:r>
      <w:r w:rsidR="00EF49C9" w:rsidRPr="00C837DD">
        <w:rPr>
          <w:sz w:val="20"/>
          <w:szCs w:val="20"/>
        </w:rPr>
        <w:t>legal powers</w:t>
      </w:r>
      <w:r w:rsidR="00904DAD" w:rsidRPr="00C837DD">
        <w:rPr>
          <w:sz w:val="20"/>
          <w:szCs w:val="20"/>
        </w:rPr>
        <w:t>, requested, o</w:t>
      </w:r>
      <w:r w:rsidR="00F85D5F" w:rsidRPr="00C837DD">
        <w:rPr>
          <w:sz w:val="20"/>
          <w:szCs w:val="20"/>
        </w:rPr>
        <w:t xml:space="preserve">n </w:t>
      </w:r>
      <w:r w:rsidR="00904DAD" w:rsidRPr="00C837DD">
        <w:rPr>
          <w:sz w:val="20"/>
          <w:szCs w:val="20"/>
        </w:rPr>
        <w:t>several occasions</w:t>
      </w:r>
      <w:r w:rsidR="005D2529" w:rsidRPr="00C837DD">
        <w:rPr>
          <w:sz w:val="20"/>
          <w:szCs w:val="20"/>
        </w:rPr>
        <w:t>, from the</w:t>
      </w:r>
      <w:r w:rsidR="00F85D5F" w:rsidRPr="00C837DD">
        <w:rPr>
          <w:sz w:val="20"/>
          <w:szCs w:val="20"/>
        </w:rPr>
        <w:t xml:space="preserve"> Police Commissioner </w:t>
      </w:r>
      <w:r w:rsidR="005D2529" w:rsidRPr="00C837DD">
        <w:rPr>
          <w:sz w:val="20"/>
          <w:szCs w:val="20"/>
        </w:rPr>
        <w:t xml:space="preserve">in charge of the </w:t>
      </w:r>
      <w:r w:rsidR="00F85D5F" w:rsidRPr="00C837DD">
        <w:rPr>
          <w:sz w:val="20"/>
          <w:szCs w:val="20"/>
        </w:rPr>
        <w:t>investigations,</w:t>
      </w:r>
      <w:r w:rsidR="00CE472F">
        <w:rPr>
          <w:sz w:val="20"/>
          <w:szCs w:val="20"/>
        </w:rPr>
        <w:t xml:space="preserve"> the following: </w:t>
      </w:r>
      <w:r w:rsidR="00F85D5F" w:rsidRPr="00C837DD">
        <w:rPr>
          <w:sz w:val="20"/>
          <w:szCs w:val="20"/>
        </w:rPr>
        <w:t xml:space="preserve">the opinion of a </w:t>
      </w:r>
      <w:r w:rsidR="005D2529" w:rsidRPr="00C837DD">
        <w:rPr>
          <w:sz w:val="20"/>
          <w:szCs w:val="20"/>
        </w:rPr>
        <w:t xml:space="preserve">forensic medical </w:t>
      </w:r>
      <w:r w:rsidR="000E5A1E" w:rsidRPr="00C837DD">
        <w:rPr>
          <w:sz w:val="20"/>
          <w:szCs w:val="20"/>
        </w:rPr>
        <w:t xml:space="preserve">expert </w:t>
      </w:r>
      <w:r w:rsidR="009E25A4" w:rsidRPr="00C837DD">
        <w:rPr>
          <w:sz w:val="20"/>
          <w:szCs w:val="20"/>
        </w:rPr>
        <w:t xml:space="preserve">to </w:t>
      </w:r>
      <w:r w:rsidR="00E40F51" w:rsidRPr="00C837DD">
        <w:rPr>
          <w:sz w:val="20"/>
          <w:szCs w:val="20"/>
        </w:rPr>
        <w:t xml:space="preserve">determine whether </w:t>
      </w:r>
      <w:r w:rsidR="00F85D5F" w:rsidRPr="00C837DD">
        <w:rPr>
          <w:sz w:val="20"/>
          <w:szCs w:val="20"/>
        </w:rPr>
        <w:t>the information cont</w:t>
      </w:r>
      <w:r w:rsidR="00E40F51" w:rsidRPr="00C837DD">
        <w:rPr>
          <w:sz w:val="20"/>
          <w:szCs w:val="20"/>
        </w:rPr>
        <w:t xml:space="preserve">ained </w:t>
      </w:r>
      <w:r w:rsidR="00F85D5F" w:rsidRPr="00C837DD">
        <w:rPr>
          <w:sz w:val="20"/>
          <w:szCs w:val="20"/>
        </w:rPr>
        <w:t xml:space="preserve">in </w:t>
      </w:r>
      <w:r w:rsidR="00D74C67" w:rsidRPr="00C837DD">
        <w:rPr>
          <w:sz w:val="20"/>
          <w:szCs w:val="20"/>
        </w:rPr>
        <w:t xml:space="preserve">autopsy </w:t>
      </w:r>
      <w:r w:rsidR="000E5A1E" w:rsidRPr="00C837DD">
        <w:rPr>
          <w:sz w:val="20"/>
          <w:szCs w:val="20"/>
        </w:rPr>
        <w:t xml:space="preserve">report </w:t>
      </w:r>
      <w:r w:rsidR="00E40F51" w:rsidRPr="00C837DD">
        <w:rPr>
          <w:sz w:val="20"/>
          <w:szCs w:val="20"/>
        </w:rPr>
        <w:t>would suggest</w:t>
      </w:r>
      <w:r w:rsidR="00D74C67" w:rsidRPr="00C837DD">
        <w:rPr>
          <w:sz w:val="20"/>
          <w:szCs w:val="20"/>
        </w:rPr>
        <w:t xml:space="preserve"> </w:t>
      </w:r>
      <w:r w:rsidR="00F85D5F" w:rsidRPr="00C837DD">
        <w:rPr>
          <w:sz w:val="20"/>
          <w:szCs w:val="20"/>
        </w:rPr>
        <w:t>t</w:t>
      </w:r>
      <w:r w:rsidR="00213575" w:rsidRPr="00C837DD">
        <w:rPr>
          <w:sz w:val="20"/>
          <w:szCs w:val="20"/>
        </w:rPr>
        <w:t xml:space="preserve">hat </w:t>
      </w:r>
      <w:r w:rsidR="00B8009F" w:rsidRPr="00C837DD">
        <w:rPr>
          <w:sz w:val="20"/>
          <w:szCs w:val="20"/>
        </w:rPr>
        <w:t>Márcia</w:t>
      </w:r>
      <w:r w:rsidR="00213575" w:rsidRPr="00C837DD">
        <w:rPr>
          <w:sz w:val="20"/>
          <w:szCs w:val="20"/>
        </w:rPr>
        <w:t xml:space="preserve"> </w:t>
      </w:r>
      <w:r w:rsidR="00E40F51" w:rsidRPr="00C837DD">
        <w:rPr>
          <w:sz w:val="20"/>
          <w:szCs w:val="20"/>
        </w:rPr>
        <w:t xml:space="preserve">had not died </w:t>
      </w:r>
      <w:r w:rsidR="00D74C67" w:rsidRPr="00C837DD">
        <w:rPr>
          <w:sz w:val="20"/>
          <w:szCs w:val="20"/>
        </w:rPr>
        <w:t xml:space="preserve">by </w:t>
      </w:r>
      <w:r w:rsidR="00F85D5F" w:rsidRPr="00C837DD">
        <w:rPr>
          <w:sz w:val="20"/>
          <w:szCs w:val="20"/>
        </w:rPr>
        <w:t>strangula</w:t>
      </w:r>
      <w:r w:rsidR="00213575" w:rsidRPr="00C837DD">
        <w:rPr>
          <w:sz w:val="20"/>
          <w:szCs w:val="20"/>
        </w:rPr>
        <w:t>tion</w:t>
      </w:r>
      <w:r w:rsidR="00F85D5F" w:rsidRPr="00C837DD">
        <w:rPr>
          <w:sz w:val="20"/>
          <w:szCs w:val="20"/>
        </w:rPr>
        <w:t xml:space="preserve">, </w:t>
      </w:r>
      <w:r w:rsidR="00213575" w:rsidRPr="00C837DD">
        <w:rPr>
          <w:sz w:val="20"/>
          <w:szCs w:val="20"/>
        </w:rPr>
        <w:t>but by asphy</w:t>
      </w:r>
      <w:r w:rsidR="00F85D5F" w:rsidRPr="00C837DD">
        <w:rPr>
          <w:sz w:val="20"/>
          <w:szCs w:val="20"/>
        </w:rPr>
        <w:t>xia</w:t>
      </w:r>
      <w:r w:rsidR="00E40F51" w:rsidRPr="00C837DD">
        <w:rPr>
          <w:sz w:val="20"/>
          <w:szCs w:val="20"/>
        </w:rPr>
        <w:t>tion</w:t>
      </w:r>
      <w:r w:rsidR="00F85D5F" w:rsidRPr="00C837DD">
        <w:rPr>
          <w:sz w:val="20"/>
          <w:szCs w:val="20"/>
        </w:rPr>
        <w:t xml:space="preserve"> </w:t>
      </w:r>
      <w:r w:rsidR="00510ADA" w:rsidRPr="00C837DD">
        <w:rPr>
          <w:sz w:val="20"/>
          <w:szCs w:val="20"/>
        </w:rPr>
        <w:t>caused by an overdose; the list</w:t>
      </w:r>
      <w:r w:rsidR="00F85D5F" w:rsidRPr="00C837DD">
        <w:rPr>
          <w:sz w:val="20"/>
          <w:szCs w:val="20"/>
        </w:rPr>
        <w:t xml:space="preserve"> of entr</w:t>
      </w:r>
      <w:r w:rsidR="00F64747" w:rsidRPr="00C837DD">
        <w:rPr>
          <w:sz w:val="20"/>
          <w:szCs w:val="20"/>
        </w:rPr>
        <w:t xml:space="preserve">ies </w:t>
      </w:r>
      <w:r w:rsidR="00F85D5F" w:rsidRPr="00C837DD">
        <w:rPr>
          <w:sz w:val="20"/>
          <w:szCs w:val="20"/>
        </w:rPr>
        <w:t xml:space="preserve">and </w:t>
      </w:r>
      <w:r w:rsidR="00F64747" w:rsidRPr="00C837DD">
        <w:rPr>
          <w:sz w:val="20"/>
          <w:szCs w:val="20"/>
        </w:rPr>
        <w:t xml:space="preserve">exits </w:t>
      </w:r>
      <w:r w:rsidR="00F85D5F" w:rsidRPr="00C837DD">
        <w:rPr>
          <w:sz w:val="20"/>
          <w:szCs w:val="20"/>
        </w:rPr>
        <w:t xml:space="preserve">of </w:t>
      </w:r>
      <w:r w:rsidR="00213575" w:rsidRPr="00C837DD">
        <w:rPr>
          <w:sz w:val="20"/>
          <w:szCs w:val="20"/>
        </w:rPr>
        <w:t>vehicles</w:t>
      </w:r>
      <w:r w:rsidR="00F85D5F" w:rsidRPr="00C837DD">
        <w:rPr>
          <w:sz w:val="20"/>
          <w:szCs w:val="20"/>
        </w:rPr>
        <w:t xml:space="preserve"> </w:t>
      </w:r>
      <w:r w:rsidR="00E40F51" w:rsidRPr="00C837DD">
        <w:rPr>
          <w:sz w:val="20"/>
          <w:szCs w:val="20"/>
        </w:rPr>
        <w:t xml:space="preserve">on </w:t>
      </w:r>
      <w:r w:rsidR="00F85D5F" w:rsidRPr="00C837DD">
        <w:rPr>
          <w:sz w:val="20"/>
          <w:szCs w:val="20"/>
        </w:rPr>
        <w:t xml:space="preserve">the date </w:t>
      </w:r>
      <w:r w:rsidR="00E40F51" w:rsidRPr="00C837DD">
        <w:rPr>
          <w:sz w:val="20"/>
          <w:szCs w:val="20"/>
        </w:rPr>
        <w:t xml:space="preserve">of the event from </w:t>
      </w:r>
      <w:r w:rsidR="00510ADA" w:rsidRPr="00C837DD">
        <w:rPr>
          <w:sz w:val="20"/>
          <w:szCs w:val="20"/>
        </w:rPr>
        <w:t>various motel</w:t>
      </w:r>
      <w:r w:rsidR="00F85D5F" w:rsidRPr="00C837DD">
        <w:rPr>
          <w:sz w:val="20"/>
          <w:szCs w:val="20"/>
        </w:rPr>
        <w:t>s, inclu</w:t>
      </w:r>
      <w:r w:rsidR="009E25A4" w:rsidRPr="00C837DD">
        <w:rPr>
          <w:sz w:val="20"/>
          <w:szCs w:val="20"/>
        </w:rPr>
        <w:t>ding</w:t>
      </w:r>
      <w:r w:rsidR="00E40F51" w:rsidRPr="00C837DD">
        <w:rPr>
          <w:sz w:val="20"/>
          <w:szCs w:val="20"/>
        </w:rPr>
        <w:t xml:space="preserve"> the </w:t>
      </w:r>
      <w:r w:rsidR="00F85D5F" w:rsidRPr="00C837DD">
        <w:rPr>
          <w:sz w:val="20"/>
          <w:szCs w:val="20"/>
        </w:rPr>
        <w:t>Trevo</w:t>
      </w:r>
      <w:r w:rsidR="00E40F51" w:rsidRPr="00C837DD">
        <w:rPr>
          <w:sz w:val="20"/>
          <w:szCs w:val="20"/>
        </w:rPr>
        <w:t xml:space="preserve"> </w:t>
      </w:r>
      <w:r w:rsidR="000E5A1E" w:rsidRPr="00C837DD">
        <w:rPr>
          <w:sz w:val="20"/>
          <w:szCs w:val="20"/>
        </w:rPr>
        <w:t>M</w:t>
      </w:r>
      <w:r w:rsidR="00E40F51" w:rsidRPr="00C837DD">
        <w:rPr>
          <w:sz w:val="20"/>
          <w:szCs w:val="20"/>
        </w:rPr>
        <w:t>otel</w:t>
      </w:r>
      <w:r w:rsidR="00F85D5F" w:rsidRPr="00C837DD">
        <w:rPr>
          <w:sz w:val="20"/>
          <w:szCs w:val="20"/>
        </w:rPr>
        <w:t xml:space="preserve">; the </w:t>
      </w:r>
      <w:r w:rsidR="00E40F51" w:rsidRPr="00C837DD">
        <w:rPr>
          <w:sz w:val="20"/>
          <w:szCs w:val="20"/>
        </w:rPr>
        <w:t>statement</w:t>
      </w:r>
      <w:r w:rsidR="00CE472F">
        <w:rPr>
          <w:sz w:val="20"/>
          <w:szCs w:val="20"/>
        </w:rPr>
        <w:t>s</w:t>
      </w:r>
      <w:r w:rsidR="00E40F51" w:rsidRPr="00C837DD">
        <w:rPr>
          <w:sz w:val="20"/>
          <w:szCs w:val="20"/>
        </w:rPr>
        <w:t xml:space="preserve"> </w:t>
      </w:r>
      <w:r w:rsidR="00F85D5F" w:rsidRPr="00C837DD">
        <w:rPr>
          <w:sz w:val="20"/>
          <w:szCs w:val="20"/>
        </w:rPr>
        <w:t xml:space="preserve">of the </w:t>
      </w:r>
      <w:r w:rsidR="00510ADA" w:rsidRPr="00C837DD">
        <w:rPr>
          <w:sz w:val="20"/>
          <w:szCs w:val="20"/>
        </w:rPr>
        <w:t xml:space="preserve">owners and managers </w:t>
      </w:r>
      <w:r w:rsidR="00E40F51" w:rsidRPr="00C837DD">
        <w:rPr>
          <w:sz w:val="20"/>
          <w:szCs w:val="20"/>
        </w:rPr>
        <w:t xml:space="preserve">of the </w:t>
      </w:r>
      <w:r w:rsidR="00F85D5F" w:rsidRPr="00C837DD">
        <w:rPr>
          <w:sz w:val="20"/>
          <w:szCs w:val="20"/>
        </w:rPr>
        <w:t>Trevo</w:t>
      </w:r>
      <w:r w:rsidR="00E40F51" w:rsidRPr="00C837DD">
        <w:rPr>
          <w:sz w:val="20"/>
          <w:szCs w:val="20"/>
        </w:rPr>
        <w:t xml:space="preserve"> </w:t>
      </w:r>
      <w:r w:rsidR="000E5A1E" w:rsidRPr="00C837DD">
        <w:rPr>
          <w:sz w:val="20"/>
          <w:szCs w:val="20"/>
        </w:rPr>
        <w:t>M</w:t>
      </w:r>
      <w:r w:rsidR="00E40F51" w:rsidRPr="00C837DD">
        <w:rPr>
          <w:sz w:val="20"/>
          <w:szCs w:val="20"/>
        </w:rPr>
        <w:t>otel</w:t>
      </w:r>
      <w:r w:rsidR="00F85D5F" w:rsidRPr="00C837DD">
        <w:rPr>
          <w:sz w:val="20"/>
          <w:szCs w:val="20"/>
        </w:rPr>
        <w:t xml:space="preserve">, as well as </w:t>
      </w:r>
      <w:r w:rsidR="00E40F51" w:rsidRPr="00C837DD">
        <w:rPr>
          <w:sz w:val="20"/>
          <w:szCs w:val="20"/>
        </w:rPr>
        <w:t>th</w:t>
      </w:r>
      <w:r w:rsidR="00D82EEE">
        <w:rPr>
          <w:sz w:val="20"/>
          <w:szCs w:val="20"/>
        </w:rPr>
        <w:t>ose of th</w:t>
      </w:r>
      <w:r w:rsidR="00E40F51" w:rsidRPr="00C837DD">
        <w:rPr>
          <w:sz w:val="20"/>
          <w:szCs w:val="20"/>
        </w:rPr>
        <w:t xml:space="preserve">e doorman </w:t>
      </w:r>
      <w:r w:rsidR="00F85D5F" w:rsidRPr="00C837DD">
        <w:rPr>
          <w:sz w:val="20"/>
          <w:szCs w:val="20"/>
        </w:rPr>
        <w:t>and other empl</w:t>
      </w:r>
      <w:r w:rsidR="00510ADA" w:rsidRPr="00C837DD">
        <w:rPr>
          <w:sz w:val="20"/>
          <w:szCs w:val="20"/>
        </w:rPr>
        <w:t xml:space="preserve">oyees </w:t>
      </w:r>
      <w:r w:rsidR="00F64747" w:rsidRPr="00C837DD">
        <w:rPr>
          <w:sz w:val="20"/>
          <w:szCs w:val="20"/>
        </w:rPr>
        <w:t xml:space="preserve">who worked in the early </w:t>
      </w:r>
      <w:r w:rsidR="000E5A1E" w:rsidRPr="00C837DD">
        <w:rPr>
          <w:sz w:val="20"/>
          <w:szCs w:val="20"/>
        </w:rPr>
        <w:t xml:space="preserve">hours of the </w:t>
      </w:r>
      <w:r w:rsidR="00F64747" w:rsidRPr="00C837DD">
        <w:rPr>
          <w:sz w:val="20"/>
          <w:szCs w:val="20"/>
        </w:rPr>
        <w:t xml:space="preserve">morning of </w:t>
      </w:r>
      <w:r w:rsidR="00B8009F" w:rsidRPr="00C837DD">
        <w:rPr>
          <w:sz w:val="20"/>
          <w:szCs w:val="20"/>
        </w:rPr>
        <w:t>Márcia</w:t>
      </w:r>
      <w:r w:rsidR="00F64747" w:rsidRPr="00C837DD">
        <w:rPr>
          <w:sz w:val="20"/>
          <w:szCs w:val="20"/>
        </w:rPr>
        <w:t>’s death</w:t>
      </w:r>
      <w:r w:rsidR="00F85D5F" w:rsidRPr="00C837DD">
        <w:rPr>
          <w:sz w:val="20"/>
          <w:szCs w:val="20"/>
        </w:rPr>
        <w:t xml:space="preserve">, and the </w:t>
      </w:r>
      <w:r w:rsidR="00E40F51" w:rsidRPr="00C837DD">
        <w:rPr>
          <w:sz w:val="20"/>
          <w:szCs w:val="20"/>
        </w:rPr>
        <w:t>handwriting tests o</w:t>
      </w:r>
      <w:r w:rsidR="00510ADA" w:rsidRPr="00C837DD">
        <w:rPr>
          <w:sz w:val="20"/>
          <w:szCs w:val="20"/>
        </w:rPr>
        <w:t>n the note</w:t>
      </w:r>
      <w:r w:rsidR="00F85D5F" w:rsidRPr="00C837DD">
        <w:rPr>
          <w:sz w:val="20"/>
          <w:szCs w:val="20"/>
        </w:rPr>
        <w:t xml:space="preserve">s </w:t>
      </w:r>
      <w:r w:rsidR="00510ADA" w:rsidRPr="00C837DD">
        <w:rPr>
          <w:sz w:val="20"/>
          <w:szCs w:val="20"/>
        </w:rPr>
        <w:t xml:space="preserve">found </w:t>
      </w:r>
      <w:r w:rsidR="00E40F51" w:rsidRPr="00C837DD">
        <w:rPr>
          <w:sz w:val="20"/>
          <w:szCs w:val="20"/>
        </w:rPr>
        <w:t xml:space="preserve">in </w:t>
      </w:r>
      <w:r w:rsidR="00B8009F" w:rsidRPr="00C837DD">
        <w:rPr>
          <w:sz w:val="20"/>
          <w:szCs w:val="20"/>
        </w:rPr>
        <w:t>Márcia</w:t>
      </w:r>
      <w:r w:rsidR="00E40F51" w:rsidRPr="00C837DD">
        <w:rPr>
          <w:sz w:val="20"/>
          <w:szCs w:val="20"/>
        </w:rPr>
        <w:t>’s</w:t>
      </w:r>
      <w:r w:rsidR="00F85D5F" w:rsidRPr="00C837DD">
        <w:rPr>
          <w:sz w:val="20"/>
          <w:szCs w:val="20"/>
        </w:rPr>
        <w:t xml:space="preserve"> </w:t>
      </w:r>
      <w:r w:rsidR="00E40F51" w:rsidRPr="00C837DD">
        <w:rPr>
          <w:sz w:val="20"/>
          <w:szCs w:val="20"/>
        </w:rPr>
        <w:t xml:space="preserve">pockets </w:t>
      </w:r>
      <w:r w:rsidR="00F85D5F" w:rsidRPr="00C837DD">
        <w:rPr>
          <w:sz w:val="20"/>
          <w:szCs w:val="20"/>
        </w:rPr>
        <w:t xml:space="preserve">and </w:t>
      </w:r>
      <w:r w:rsidR="00510ADA" w:rsidRPr="00C837DD">
        <w:rPr>
          <w:sz w:val="20"/>
          <w:szCs w:val="20"/>
        </w:rPr>
        <w:t>belongings</w:t>
      </w:r>
      <w:r w:rsidR="00F85D5F" w:rsidRPr="00C837DD">
        <w:rPr>
          <w:sz w:val="20"/>
          <w:szCs w:val="20"/>
        </w:rPr>
        <w:t xml:space="preserve">, </w:t>
      </w:r>
      <w:r w:rsidR="00E40F51" w:rsidRPr="00C837DD">
        <w:rPr>
          <w:sz w:val="20"/>
          <w:szCs w:val="20"/>
        </w:rPr>
        <w:t xml:space="preserve">which </w:t>
      </w:r>
      <w:r w:rsidR="00F85D5F" w:rsidRPr="00C837DD">
        <w:rPr>
          <w:sz w:val="20"/>
          <w:szCs w:val="20"/>
        </w:rPr>
        <w:t>re</w:t>
      </w:r>
      <w:r w:rsidR="00E40F51" w:rsidRPr="00C837DD">
        <w:rPr>
          <w:sz w:val="20"/>
          <w:szCs w:val="20"/>
        </w:rPr>
        <w:t xml:space="preserve">corded </w:t>
      </w:r>
      <w:r w:rsidR="00F85D5F" w:rsidRPr="00C837DD">
        <w:rPr>
          <w:sz w:val="20"/>
          <w:szCs w:val="20"/>
        </w:rPr>
        <w:t xml:space="preserve">the </w:t>
      </w:r>
      <w:r w:rsidR="00F64747" w:rsidRPr="00C837DD">
        <w:rPr>
          <w:sz w:val="20"/>
          <w:szCs w:val="20"/>
        </w:rPr>
        <w:t xml:space="preserve">telephone </w:t>
      </w:r>
      <w:r w:rsidR="00F85D5F" w:rsidRPr="00C837DD">
        <w:rPr>
          <w:sz w:val="20"/>
          <w:szCs w:val="20"/>
        </w:rPr>
        <w:t xml:space="preserve">numbers </w:t>
      </w:r>
      <w:r w:rsidR="00F64747" w:rsidRPr="00C837DD">
        <w:rPr>
          <w:sz w:val="20"/>
          <w:szCs w:val="20"/>
        </w:rPr>
        <w:t xml:space="preserve">used </w:t>
      </w:r>
      <w:r w:rsidR="00F85D5F" w:rsidRPr="00C837DD">
        <w:rPr>
          <w:sz w:val="20"/>
          <w:szCs w:val="20"/>
        </w:rPr>
        <w:t>by Aércio Pereira de Lima and other</w:t>
      </w:r>
      <w:r w:rsidR="00F64747" w:rsidRPr="00C837DD">
        <w:rPr>
          <w:sz w:val="20"/>
          <w:szCs w:val="20"/>
        </w:rPr>
        <w:t>s</w:t>
      </w:r>
      <w:r w:rsidR="00F85D5F" w:rsidRPr="00C837DD">
        <w:rPr>
          <w:sz w:val="20"/>
          <w:szCs w:val="20"/>
        </w:rPr>
        <w:t xml:space="preserve"> </w:t>
      </w:r>
      <w:r w:rsidR="00F64747" w:rsidRPr="00C837DD">
        <w:rPr>
          <w:sz w:val="20"/>
          <w:szCs w:val="20"/>
        </w:rPr>
        <w:t xml:space="preserve">to determine whether these notes </w:t>
      </w:r>
      <w:r w:rsidR="00F85D5F" w:rsidRPr="00C837DD">
        <w:rPr>
          <w:sz w:val="20"/>
          <w:szCs w:val="20"/>
        </w:rPr>
        <w:t>ha</w:t>
      </w:r>
      <w:r w:rsidR="00F64747" w:rsidRPr="00C837DD">
        <w:rPr>
          <w:sz w:val="20"/>
          <w:szCs w:val="20"/>
        </w:rPr>
        <w:t>d been written by M</w:t>
      </w:r>
      <w:r w:rsidR="00F85D5F" w:rsidRPr="00C837DD">
        <w:rPr>
          <w:sz w:val="20"/>
          <w:szCs w:val="20"/>
        </w:rPr>
        <w:t>s. Bar</w:t>
      </w:r>
      <w:r w:rsidR="00510ADA" w:rsidRPr="00C837DD">
        <w:rPr>
          <w:sz w:val="20"/>
          <w:szCs w:val="20"/>
        </w:rPr>
        <w:t>bosa de Souza or by a t</w:t>
      </w:r>
      <w:r w:rsidR="00F64747" w:rsidRPr="00C837DD">
        <w:rPr>
          <w:sz w:val="20"/>
          <w:szCs w:val="20"/>
        </w:rPr>
        <w:t>hird party</w:t>
      </w:r>
      <w:r w:rsidR="00510ADA" w:rsidRPr="00C837DD">
        <w:rPr>
          <w:sz w:val="20"/>
          <w:szCs w:val="20"/>
        </w:rPr>
        <w:t>. T</w:t>
      </w:r>
      <w:r w:rsidR="00F85D5F" w:rsidRPr="00C837DD">
        <w:rPr>
          <w:sz w:val="20"/>
          <w:szCs w:val="20"/>
        </w:rPr>
        <w:t xml:space="preserve">he </w:t>
      </w:r>
      <w:r w:rsidR="00D82EEE">
        <w:rPr>
          <w:sz w:val="20"/>
          <w:szCs w:val="20"/>
        </w:rPr>
        <w:t xml:space="preserve">Police </w:t>
      </w:r>
      <w:r w:rsidR="00F85D5F" w:rsidRPr="00C837DD">
        <w:rPr>
          <w:sz w:val="20"/>
          <w:szCs w:val="20"/>
        </w:rPr>
        <w:t>Commissioner</w:t>
      </w:r>
      <w:r w:rsidR="00AD0709" w:rsidRPr="00C837DD">
        <w:rPr>
          <w:sz w:val="20"/>
          <w:szCs w:val="20"/>
        </w:rPr>
        <w:t xml:space="preserve"> repeatedly failed to </w:t>
      </w:r>
      <w:r w:rsidR="00E5040A" w:rsidRPr="00C837DD">
        <w:rPr>
          <w:sz w:val="20"/>
          <w:szCs w:val="20"/>
        </w:rPr>
        <w:t>comply with the</w:t>
      </w:r>
      <w:r w:rsidR="00D82EEE">
        <w:rPr>
          <w:sz w:val="20"/>
          <w:szCs w:val="20"/>
        </w:rPr>
        <w:t>se</w:t>
      </w:r>
      <w:r w:rsidR="00E5040A" w:rsidRPr="00C837DD">
        <w:rPr>
          <w:sz w:val="20"/>
          <w:szCs w:val="20"/>
        </w:rPr>
        <w:t xml:space="preserve"> request</w:t>
      </w:r>
      <w:r w:rsidR="00D82EEE">
        <w:rPr>
          <w:sz w:val="20"/>
          <w:szCs w:val="20"/>
        </w:rPr>
        <w:t>s</w:t>
      </w:r>
      <w:r w:rsidR="00AD0709" w:rsidRPr="00C837DD">
        <w:rPr>
          <w:sz w:val="20"/>
          <w:szCs w:val="20"/>
        </w:rPr>
        <w:t>,</w:t>
      </w:r>
      <w:r w:rsidR="00F85D5F" w:rsidRPr="00C837DD">
        <w:rPr>
          <w:sz w:val="20"/>
          <w:szCs w:val="20"/>
        </w:rPr>
        <w:t xml:space="preserve"> </w:t>
      </w:r>
      <w:r w:rsidR="00AD0709" w:rsidRPr="00C837DD">
        <w:rPr>
          <w:sz w:val="20"/>
          <w:szCs w:val="20"/>
        </w:rPr>
        <w:t xml:space="preserve">using the </w:t>
      </w:r>
      <w:r w:rsidR="00F85D5F" w:rsidRPr="00C837DD">
        <w:rPr>
          <w:sz w:val="20"/>
          <w:szCs w:val="20"/>
        </w:rPr>
        <w:t xml:space="preserve">justification </w:t>
      </w:r>
      <w:r w:rsidR="00AD0709" w:rsidRPr="00C837DD">
        <w:rPr>
          <w:sz w:val="20"/>
          <w:szCs w:val="20"/>
        </w:rPr>
        <w:t>of a</w:t>
      </w:r>
      <w:r w:rsidR="00F64747" w:rsidRPr="00C837DD">
        <w:rPr>
          <w:sz w:val="20"/>
          <w:szCs w:val="20"/>
        </w:rPr>
        <w:t xml:space="preserve"> </w:t>
      </w:r>
      <w:r w:rsidR="00F264FC" w:rsidRPr="00C837DD">
        <w:rPr>
          <w:sz w:val="20"/>
          <w:szCs w:val="20"/>
        </w:rPr>
        <w:t>“backlog” of work</w:t>
      </w:r>
      <w:r w:rsidR="00510ADA" w:rsidRPr="00C837DD">
        <w:rPr>
          <w:sz w:val="20"/>
          <w:szCs w:val="20"/>
        </w:rPr>
        <w:t>.</w:t>
      </w:r>
      <w:r w:rsidR="00F85D5F" w:rsidRPr="00C837DD">
        <w:rPr>
          <w:sz w:val="20"/>
          <w:szCs w:val="20"/>
        </w:rPr>
        <w:t xml:space="preserve"> </w:t>
      </w:r>
      <w:r w:rsidR="00AD0709" w:rsidRPr="00C837DD">
        <w:rPr>
          <w:sz w:val="20"/>
          <w:szCs w:val="20"/>
        </w:rPr>
        <w:t xml:space="preserve">Furthermore, </w:t>
      </w:r>
      <w:r w:rsidR="002E7F6C" w:rsidRPr="00C837DD">
        <w:rPr>
          <w:sz w:val="20"/>
          <w:szCs w:val="20"/>
        </w:rPr>
        <w:t xml:space="preserve">after </w:t>
      </w:r>
      <w:r w:rsidR="00F85D5F" w:rsidRPr="00C837DD">
        <w:rPr>
          <w:sz w:val="20"/>
          <w:szCs w:val="20"/>
        </w:rPr>
        <w:t>a serie</w:t>
      </w:r>
      <w:r w:rsidR="002E7F6C" w:rsidRPr="00C837DD">
        <w:rPr>
          <w:sz w:val="20"/>
          <w:szCs w:val="20"/>
        </w:rPr>
        <w:t>s</w:t>
      </w:r>
      <w:r w:rsidR="00F85D5F" w:rsidRPr="00C837DD">
        <w:rPr>
          <w:sz w:val="20"/>
          <w:szCs w:val="20"/>
        </w:rPr>
        <w:t xml:space="preserve"> of requests </w:t>
      </w:r>
      <w:r w:rsidR="00F64747" w:rsidRPr="00C837DD">
        <w:rPr>
          <w:sz w:val="20"/>
          <w:szCs w:val="20"/>
        </w:rPr>
        <w:t>for complementary inquiries</w:t>
      </w:r>
      <w:r w:rsidR="00AD0709" w:rsidRPr="00C837DD">
        <w:rPr>
          <w:sz w:val="20"/>
          <w:szCs w:val="20"/>
        </w:rPr>
        <w:t xml:space="preserve"> </w:t>
      </w:r>
      <w:r w:rsidR="00F85D5F" w:rsidRPr="00C837DD">
        <w:rPr>
          <w:sz w:val="20"/>
          <w:szCs w:val="20"/>
        </w:rPr>
        <w:t xml:space="preserve">by </w:t>
      </w:r>
      <w:r w:rsidR="002E7F6C" w:rsidRPr="00C837DD">
        <w:rPr>
          <w:sz w:val="20"/>
          <w:szCs w:val="20"/>
        </w:rPr>
        <w:t xml:space="preserve">the prosecutor in charge of the </w:t>
      </w:r>
      <w:r w:rsidR="00F85D5F" w:rsidRPr="00C837DD">
        <w:rPr>
          <w:sz w:val="20"/>
          <w:szCs w:val="20"/>
        </w:rPr>
        <w:t>case,</w:t>
      </w:r>
      <w:r w:rsidR="00AD0709" w:rsidRPr="00C837DD">
        <w:rPr>
          <w:sz w:val="20"/>
          <w:szCs w:val="20"/>
        </w:rPr>
        <w:t xml:space="preserve"> he finally accepted t</w:t>
      </w:r>
      <w:r w:rsidR="00F85D5F" w:rsidRPr="00C837DD">
        <w:rPr>
          <w:sz w:val="20"/>
          <w:szCs w:val="20"/>
        </w:rPr>
        <w:t xml:space="preserve">he </w:t>
      </w:r>
      <w:r w:rsidR="00F264FC" w:rsidRPr="00C837DD">
        <w:rPr>
          <w:sz w:val="20"/>
          <w:szCs w:val="20"/>
        </w:rPr>
        <w:t>inaction</w:t>
      </w:r>
      <w:r w:rsidR="00AD0709" w:rsidRPr="00C837DD">
        <w:rPr>
          <w:sz w:val="20"/>
          <w:szCs w:val="20"/>
        </w:rPr>
        <w:t xml:space="preserve"> of the Commissioner of the Civil Police of Paraíba and </w:t>
      </w:r>
      <w:r w:rsidR="00D82EEE">
        <w:rPr>
          <w:sz w:val="20"/>
          <w:szCs w:val="20"/>
        </w:rPr>
        <w:t xml:space="preserve">called for </w:t>
      </w:r>
      <w:r w:rsidR="00AD0709" w:rsidRPr="00C837DD">
        <w:rPr>
          <w:sz w:val="20"/>
          <w:szCs w:val="20"/>
        </w:rPr>
        <w:t xml:space="preserve">the dismissal of the investigation due to lack of evidence, which was </w:t>
      </w:r>
      <w:r w:rsidR="00F264FC" w:rsidRPr="00C837DD">
        <w:rPr>
          <w:sz w:val="20"/>
          <w:szCs w:val="20"/>
        </w:rPr>
        <w:t xml:space="preserve">granted </w:t>
      </w:r>
      <w:r w:rsidR="00AD0709" w:rsidRPr="00C837DD">
        <w:rPr>
          <w:sz w:val="20"/>
          <w:szCs w:val="20"/>
        </w:rPr>
        <w:t>by the judge</w:t>
      </w:r>
      <w:r w:rsidR="00F264FC" w:rsidRPr="00C837DD">
        <w:rPr>
          <w:sz w:val="20"/>
          <w:szCs w:val="20"/>
        </w:rPr>
        <w:t xml:space="preserve"> in charge of the case</w:t>
      </w:r>
      <w:r w:rsidR="00AD0709" w:rsidRPr="00C837DD">
        <w:rPr>
          <w:sz w:val="20"/>
          <w:szCs w:val="20"/>
        </w:rPr>
        <w:t>.</w:t>
      </w:r>
      <w:r w:rsidR="00AD0709" w:rsidRPr="00C837DD">
        <w:rPr>
          <w:rFonts w:cs="Verdana Bold"/>
          <w:bCs/>
          <w:sz w:val="20"/>
          <w:szCs w:val="20"/>
        </w:rPr>
        <w:t xml:space="preserve"> </w:t>
      </w:r>
    </w:p>
    <w:p w14:paraId="5D6D8F78" w14:textId="77777777" w:rsidR="00AD0709" w:rsidRPr="00C837DD" w:rsidRDefault="00AD0709" w:rsidP="00AD0709">
      <w:pPr>
        <w:pStyle w:val="Prrafodelista"/>
        <w:tabs>
          <w:tab w:val="left" w:pos="142"/>
        </w:tabs>
        <w:ind w:left="120"/>
        <w:rPr>
          <w:rFonts w:cs="Verdana Bold"/>
          <w:bCs/>
          <w:sz w:val="20"/>
          <w:szCs w:val="20"/>
        </w:rPr>
      </w:pPr>
    </w:p>
    <w:p w14:paraId="4F25E2BB" w14:textId="63E763AB" w:rsidR="00F85D5F" w:rsidRPr="00C837DD" w:rsidRDefault="0003464E" w:rsidP="00F85D5F">
      <w:pPr>
        <w:pStyle w:val="Prrafodelista"/>
        <w:numPr>
          <w:ilvl w:val="0"/>
          <w:numId w:val="6"/>
        </w:numPr>
        <w:tabs>
          <w:tab w:val="left" w:pos="142"/>
        </w:tabs>
        <w:ind w:left="0" w:firstLine="0"/>
        <w:rPr>
          <w:sz w:val="20"/>
          <w:szCs w:val="20"/>
        </w:rPr>
      </w:pPr>
      <w:r w:rsidRPr="00C837DD">
        <w:rPr>
          <w:rFonts w:cs="Verdana Bold"/>
          <w:bCs/>
          <w:sz w:val="20"/>
          <w:szCs w:val="20"/>
        </w:rPr>
        <w:t>Therefore</w:t>
      </w:r>
      <w:r w:rsidR="00F85D5F" w:rsidRPr="00C837DD">
        <w:rPr>
          <w:rFonts w:cs="Verdana Bold"/>
          <w:bCs/>
          <w:sz w:val="20"/>
          <w:szCs w:val="20"/>
        </w:rPr>
        <w:t>, the Court conclu</w:t>
      </w:r>
      <w:r w:rsidRPr="00C837DD">
        <w:rPr>
          <w:rFonts w:cs="Verdana Bold"/>
          <w:bCs/>
          <w:sz w:val="20"/>
          <w:szCs w:val="20"/>
        </w:rPr>
        <w:t xml:space="preserve">des </w:t>
      </w:r>
      <w:r w:rsidR="00F85D5F" w:rsidRPr="00C837DD">
        <w:rPr>
          <w:rFonts w:cs="Verdana Bold"/>
          <w:bCs/>
          <w:sz w:val="20"/>
          <w:szCs w:val="20"/>
        </w:rPr>
        <w:t xml:space="preserve">that the State </w:t>
      </w:r>
      <w:r w:rsidR="00D82EEE">
        <w:rPr>
          <w:rFonts w:cs="Verdana Bold"/>
          <w:bCs/>
          <w:sz w:val="20"/>
          <w:szCs w:val="20"/>
        </w:rPr>
        <w:t xml:space="preserve">did not </w:t>
      </w:r>
      <w:r w:rsidR="002D65DF" w:rsidRPr="00C837DD">
        <w:rPr>
          <w:rFonts w:cs="Verdana Bold"/>
          <w:bCs/>
          <w:sz w:val="20"/>
          <w:szCs w:val="20"/>
        </w:rPr>
        <w:t>compl</w:t>
      </w:r>
      <w:r w:rsidR="00D82EEE">
        <w:rPr>
          <w:rFonts w:cs="Verdana Bold"/>
          <w:bCs/>
          <w:sz w:val="20"/>
          <w:szCs w:val="20"/>
        </w:rPr>
        <w:t>y</w:t>
      </w:r>
      <w:r w:rsidR="002D65DF" w:rsidRPr="00C837DD">
        <w:rPr>
          <w:rFonts w:cs="Verdana Bold"/>
          <w:bCs/>
          <w:sz w:val="20"/>
          <w:szCs w:val="20"/>
        </w:rPr>
        <w:t xml:space="preserve"> with </w:t>
      </w:r>
      <w:r w:rsidRPr="00C837DD">
        <w:rPr>
          <w:sz w:val="20"/>
          <w:szCs w:val="20"/>
        </w:rPr>
        <w:t xml:space="preserve">its </w:t>
      </w:r>
      <w:r w:rsidR="00F85D5F" w:rsidRPr="00C837DD">
        <w:rPr>
          <w:sz w:val="20"/>
          <w:szCs w:val="20"/>
        </w:rPr>
        <w:t xml:space="preserve">obligation </w:t>
      </w:r>
      <w:r w:rsidRPr="00C837DD">
        <w:rPr>
          <w:sz w:val="20"/>
          <w:szCs w:val="20"/>
        </w:rPr>
        <w:t xml:space="preserve">to act with </w:t>
      </w:r>
      <w:r w:rsidR="00510ADA" w:rsidRPr="00C837DD">
        <w:rPr>
          <w:rFonts w:cs="Verdana Bold"/>
          <w:bCs/>
          <w:sz w:val="20"/>
          <w:szCs w:val="20"/>
        </w:rPr>
        <w:t>due diligence and</w:t>
      </w:r>
      <w:r w:rsidR="00F85D5F" w:rsidRPr="00C837DD">
        <w:rPr>
          <w:rFonts w:cs="Verdana Bold"/>
          <w:bCs/>
          <w:sz w:val="20"/>
          <w:szCs w:val="20"/>
        </w:rPr>
        <w:t xml:space="preserve"> </w:t>
      </w:r>
      <w:r w:rsidR="002D65DF" w:rsidRPr="00C837DD">
        <w:rPr>
          <w:rFonts w:cs="Verdana Bold"/>
          <w:bCs/>
          <w:sz w:val="20"/>
          <w:szCs w:val="20"/>
        </w:rPr>
        <w:t xml:space="preserve">to </w:t>
      </w:r>
      <w:r w:rsidR="00F85D5F" w:rsidRPr="00C837DD">
        <w:rPr>
          <w:rFonts w:cs="Verdana Bold"/>
          <w:bCs/>
          <w:sz w:val="20"/>
          <w:szCs w:val="20"/>
        </w:rPr>
        <w:t>seri</w:t>
      </w:r>
      <w:r w:rsidR="00510ADA" w:rsidRPr="00C837DD">
        <w:rPr>
          <w:rFonts w:cs="Verdana Bold"/>
          <w:bCs/>
          <w:sz w:val="20"/>
          <w:szCs w:val="20"/>
        </w:rPr>
        <w:t xml:space="preserve">ously </w:t>
      </w:r>
      <w:r w:rsidR="00F85D5F" w:rsidRPr="00C837DD">
        <w:rPr>
          <w:rFonts w:cs="Verdana Bold"/>
          <w:bCs/>
          <w:sz w:val="20"/>
          <w:szCs w:val="20"/>
        </w:rPr>
        <w:t xml:space="preserve">and </w:t>
      </w:r>
      <w:r w:rsidR="002D65DF" w:rsidRPr="00C837DD">
        <w:rPr>
          <w:rFonts w:cs="Verdana Bold"/>
          <w:bCs/>
          <w:sz w:val="20"/>
          <w:szCs w:val="20"/>
        </w:rPr>
        <w:t xml:space="preserve">fully investigate </w:t>
      </w:r>
      <w:r w:rsidR="00F85D5F" w:rsidRPr="00C837DD">
        <w:rPr>
          <w:rFonts w:cs="Verdana Bold"/>
          <w:bCs/>
          <w:sz w:val="20"/>
          <w:szCs w:val="20"/>
        </w:rPr>
        <w:t xml:space="preserve">the possible participation of all the suspects in the </w:t>
      </w:r>
      <w:r w:rsidR="002D65DF" w:rsidRPr="00C837DD">
        <w:rPr>
          <w:rFonts w:cs="Verdana Bold"/>
          <w:bCs/>
          <w:sz w:val="20"/>
          <w:szCs w:val="20"/>
        </w:rPr>
        <w:t xml:space="preserve">homicide </w:t>
      </w:r>
      <w:r w:rsidR="00F85D5F" w:rsidRPr="00C837DD">
        <w:rPr>
          <w:rFonts w:cs="Verdana Bold"/>
          <w:bCs/>
          <w:sz w:val="20"/>
          <w:szCs w:val="20"/>
        </w:rPr>
        <w:t xml:space="preserve">of </w:t>
      </w:r>
      <w:r w:rsidR="00B8009F" w:rsidRPr="00C837DD">
        <w:rPr>
          <w:rFonts w:cs="Verdana Bold"/>
          <w:bCs/>
          <w:sz w:val="20"/>
          <w:szCs w:val="20"/>
        </w:rPr>
        <w:t>Márcia</w:t>
      </w:r>
      <w:r w:rsidR="00F85D5F" w:rsidRPr="00C837DD">
        <w:rPr>
          <w:rFonts w:cs="Verdana Bold"/>
          <w:bCs/>
          <w:sz w:val="20"/>
          <w:szCs w:val="20"/>
        </w:rPr>
        <w:t xml:space="preserve"> Barbosa.</w:t>
      </w:r>
    </w:p>
    <w:p w14:paraId="7B780E99" w14:textId="77777777" w:rsidR="00F85D5F" w:rsidRPr="00C837DD" w:rsidRDefault="00F85D5F" w:rsidP="00F85D5F">
      <w:pPr>
        <w:tabs>
          <w:tab w:val="left" w:pos="142"/>
        </w:tabs>
        <w:jc w:val="both"/>
        <w:rPr>
          <w:sz w:val="20"/>
          <w:szCs w:val="20"/>
        </w:rPr>
      </w:pPr>
    </w:p>
    <w:p w14:paraId="47D50EA6" w14:textId="77777777" w:rsidR="00F85D5F" w:rsidRPr="00C837DD" w:rsidRDefault="009D42D8" w:rsidP="00F85D5F">
      <w:pPr>
        <w:pStyle w:val="Ttulo4"/>
        <w:numPr>
          <w:ilvl w:val="0"/>
          <w:numId w:val="31"/>
        </w:numPr>
        <w:ind w:left="1560" w:hanging="709"/>
        <w:rPr>
          <w:lang w:val="en-US"/>
        </w:rPr>
      </w:pPr>
      <w:bookmarkStart w:id="78" w:name="_Toc85001891"/>
      <w:r w:rsidRPr="00C837DD">
        <w:rPr>
          <w:lang w:val="en-US"/>
        </w:rPr>
        <w:t xml:space="preserve">The </w:t>
      </w:r>
      <w:r w:rsidR="00F85D5F" w:rsidRPr="00C837DD">
        <w:rPr>
          <w:lang w:val="en-US"/>
        </w:rPr>
        <w:t>alleged violation of the guarantee of reasonable time</w:t>
      </w:r>
      <w:bookmarkEnd w:id="78"/>
    </w:p>
    <w:p w14:paraId="539FD4F0" w14:textId="77777777" w:rsidR="00F85D5F" w:rsidRPr="00C837DD" w:rsidRDefault="00F85D5F" w:rsidP="00F85D5F">
      <w:pPr>
        <w:pStyle w:val="Prrafodelista"/>
        <w:tabs>
          <w:tab w:val="left" w:pos="142"/>
        </w:tabs>
        <w:ind w:left="0"/>
        <w:rPr>
          <w:sz w:val="20"/>
          <w:szCs w:val="20"/>
          <w:lang w:eastAsia="es-ES"/>
        </w:rPr>
      </w:pPr>
    </w:p>
    <w:p w14:paraId="35B8E4D6" w14:textId="42D7B28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 Court ha</w:t>
      </w:r>
      <w:r w:rsidR="002E7F6C" w:rsidRPr="00C837DD">
        <w:rPr>
          <w:sz w:val="20"/>
          <w:szCs w:val="20"/>
        </w:rPr>
        <w:t>s</w:t>
      </w:r>
      <w:r w:rsidRPr="00C837DD">
        <w:rPr>
          <w:sz w:val="20"/>
          <w:szCs w:val="20"/>
        </w:rPr>
        <w:t xml:space="preserve"> indicated that the right of access to justice in cases of human rights violations </w:t>
      </w:r>
      <w:r w:rsidR="00802CA4" w:rsidRPr="00C837DD">
        <w:rPr>
          <w:sz w:val="20"/>
          <w:szCs w:val="20"/>
        </w:rPr>
        <w:t>must ensure</w:t>
      </w:r>
      <w:r w:rsidRPr="00C837DD">
        <w:rPr>
          <w:sz w:val="20"/>
          <w:szCs w:val="20"/>
        </w:rPr>
        <w:t xml:space="preserve">, </w:t>
      </w:r>
      <w:r w:rsidR="00523151" w:rsidRPr="00C837DD">
        <w:rPr>
          <w:sz w:val="20"/>
          <w:szCs w:val="20"/>
        </w:rPr>
        <w:t>with</w:t>
      </w:r>
      <w:r w:rsidRPr="00C837DD">
        <w:rPr>
          <w:sz w:val="20"/>
          <w:szCs w:val="20"/>
        </w:rPr>
        <w:t xml:space="preserve">in </w:t>
      </w:r>
      <w:r w:rsidR="00523151" w:rsidRPr="00C837DD">
        <w:rPr>
          <w:sz w:val="20"/>
          <w:szCs w:val="20"/>
        </w:rPr>
        <w:t xml:space="preserve">a </w:t>
      </w:r>
      <w:r w:rsidRPr="00C837DD">
        <w:rPr>
          <w:sz w:val="20"/>
          <w:szCs w:val="20"/>
        </w:rPr>
        <w:t>reasonable</w:t>
      </w:r>
      <w:r w:rsidR="00523151" w:rsidRPr="00C837DD">
        <w:rPr>
          <w:sz w:val="20"/>
          <w:szCs w:val="20"/>
        </w:rPr>
        <w:t xml:space="preserve"> time</w:t>
      </w:r>
      <w:r w:rsidRPr="00C837DD">
        <w:rPr>
          <w:sz w:val="20"/>
          <w:szCs w:val="20"/>
        </w:rPr>
        <w:t xml:space="preserve">, the right of the alleged victims or their next of kin </w:t>
      </w:r>
      <w:r w:rsidR="00AB441A" w:rsidRPr="00C837DD">
        <w:rPr>
          <w:sz w:val="20"/>
          <w:szCs w:val="20"/>
        </w:rPr>
        <w:t xml:space="preserve">to learn </w:t>
      </w:r>
      <w:r w:rsidRPr="00C837DD">
        <w:rPr>
          <w:sz w:val="20"/>
          <w:szCs w:val="20"/>
        </w:rPr>
        <w:t xml:space="preserve">the truth of what happened and </w:t>
      </w:r>
      <w:r w:rsidR="00AB441A" w:rsidRPr="00C837DD">
        <w:rPr>
          <w:sz w:val="20"/>
          <w:szCs w:val="20"/>
        </w:rPr>
        <w:t xml:space="preserve">for those responsible to be </w:t>
      </w:r>
      <w:r w:rsidRPr="00C837DD">
        <w:rPr>
          <w:sz w:val="20"/>
          <w:szCs w:val="20"/>
        </w:rPr>
        <w:t>inves</w:t>
      </w:r>
      <w:r w:rsidR="009E25A4" w:rsidRPr="00C837DD">
        <w:rPr>
          <w:sz w:val="20"/>
          <w:szCs w:val="20"/>
        </w:rPr>
        <w:t>tigate</w:t>
      </w:r>
      <w:r w:rsidR="00AB441A" w:rsidRPr="00C837DD">
        <w:rPr>
          <w:sz w:val="20"/>
          <w:szCs w:val="20"/>
        </w:rPr>
        <w:t>d</w:t>
      </w:r>
      <w:r w:rsidR="009E25A4" w:rsidRPr="00C837DD">
        <w:rPr>
          <w:sz w:val="20"/>
          <w:szCs w:val="20"/>
        </w:rPr>
        <w:t xml:space="preserve">, </w:t>
      </w:r>
      <w:r w:rsidR="00AB441A" w:rsidRPr="00C837DD">
        <w:rPr>
          <w:sz w:val="20"/>
          <w:szCs w:val="20"/>
        </w:rPr>
        <w:t xml:space="preserve">prosecuted </w:t>
      </w:r>
      <w:r w:rsidR="009E25A4" w:rsidRPr="00C837DD">
        <w:rPr>
          <w:sz w:val="20"/>
          <w:szCs w:val="20"/>
        </w:rPr>
        <w:t>and</w:t>
      </w:r>
      <w:r w:rsidRPr="00C837DD">
        <w:rPr>
          <w:sz w:val="20"/>
          <w:szCs w:val="20"/>
        </w:rPr>
        <w:t xml:space="preserve"> </w:t>
      </w:r>
      <w:r w:rsidR="00E433B6" w:rsidRPr="00C837DD">
        <w:rPr>
          <w:sz w:val="20"/>
          <w:szCs w:val="20"/>
        </w:rPr>
        <w:t>punish</w:t>
      </w:r>
      <w:r w:rsidR="00EE15B3" w:rsidRPr="00C837DD">
        <w:rPr>
          <w:sz w:val="20"/>
          <w:szCs w:val="20"/>
        </w:rPr>
        <w:t>ed.</w:t>
      </w:r>
      <w:r w:rsidRPr="00C837DD">
        <w:rPr>
          <w:sz w:val="20"/>
          <w:szCs w:val="20"/>
          <w:vertAlign w:val="superscript"/>
        </w:rPr>
        <w:footnoteReference w:id="237"/>
      </w:r>
      <w:r w:rsidRPr="00C837DD">
        <w:rPr>
          <w:sz w:val="20"/>
          <w:szCs w:val="20"/>
        </w:rPr>
        <w:t xml:space="preserve"> </w:t>
      </w:r>
      <w:r w:rsidR="00EE15B3" w:rsidRPr="00C837DD">
        <w:rPr>
          <w:sz w:val="20"/>
          <w:szCs w:val="20"/>
        </w:rPr>
        <w:t>Moreover</w:t>
      </w:r>
      <w:r w:rsidRPr="00C837DD">
        <w:rPr>
          <w:sz w:val="20"/>
          <w:szCs w:val="20"/>
        </w:rPr>
        <w:t>,</w:t>
      </w:r>
      <w:r w:rsidRPr="00C837DD">
        <w:rPr>
          <w:bCs/>
          <w:sz w:val="20"/>
          <w:szCs w:val="20"/>
        </w:rPr>
        <w:t xml:space="preserve"> a prolonged delay in the proces</w:t>
      </w:r>
      <w:r w:rsidR="00014395" w:rsidRPr="00C837DD">
        <w:rPr>
          <w:bCs/>
          <w:sz w:val="20"/>
          <w:szCs w:val="20"/>
        </w:rPr>
        <w:t>s</w:t>
      </w:r>
      <w:r w:rsidRPr="00C837DD">
        <w:rPr>
          <w:bCs/>
          <w:sz w:val="20"/>
          <w:szCs w:val="20"/>
        </w:rPr>
        <w:t xml:space="preserve"> </w:t>
      </w:r>
      <w:r w:rsidR="00014395" w:rsidRPr="00C837DD">
        <w:rPr>
          <w:bCs/>
          <w:sz w:val="20"/>
          <w:szCs w:val="20"/>
        </w:rPr>
        <w:t xml:space="preserve">may </w:t>
      </w:r>
      <w:r w:rsidR="00EE15B3" w:rsidRPr="00C837DD">
        <w:rPr>
          <w:bCs/>
          <w:sz w:val="20"/>
          <w:szCs w:val="20"/>
        </w:rPr>
        <w:t xml:space="preserve">in itself </w:t>
      </w:r>
      <w:r w:rsidR="00014395" w:rsidRPr="00C837DD">
        <w:rPr>
          <w:bCs/>
          <w:sz w:val="20"/>
          <w:szCs w:val="20"/>
        </w:rPr>
        <w:t>constitute</w:t>
      </w:r>
      <w:r w:rsidR="00EE15B3" w:rsidRPr="00C837DD">
        <w:rPr>
          <w:bCs/>
          <w:sz w:val="20"/>
          <w:szCs w:val="20"/>
        </w:rPr>
        <w:t xml:space="preserve"> </w:t>
      </w:r>
      <w:r w:rsidRPr="00C837DD">
        <w:rPr>
          <w:bCs/>
          <w:sz w:val="20"/>
          <w:szCs w:val="20"/>
        </w:rPr>
        <w:t xml:space="preserve"> a </w:t>
      </w:r>
      <w:r w:rsidRPr="00C837DD">
        <w:rPr>
          <w:sz w:val="20"/>
          <w:szCs w:val="20"/>
        </w:rPr>
        <w:t>violation</w:t>
      </w:r>
      <w:r w:rsidRPr="00C837DD">
        <w:rPr>
          <w:bCs/>
          <w:sz w:val="20"/>
          <w:szCs w:val="20"/>
        </w:rPr>
        <w:t xml:space="preserve"> of judicial guarantees.</w:t>
      </w:r>
      <w:r w:rsidRPr="00C837DD">
        <w:rPr>
          <w:bCs/>
          <w:sz w:val="20"/>
          <w:szCs w:val="20"/>
          <w:vertAlign w:val="superscript"/>
        </w:rPr>
        <w:footnoteReference w:id="238"/>
      </w:r>
    </w:p>
    <w:p w14:paraId="112FC3EE" w14:textId="77777777" w:rsidR="00F85D5F" w:rsidRPr="00C837DD" w:rsidRDefault="00F85D5F" w:rsidP="00F85D5F">
      <w:pPr>
        <w:pStyle w:val="Prrafodelista"/>
        <w:tabs>
          <w:tab w:val="left" w:pos="142"/>
        </w:tabs>
        <w:ind w:left="0"/>
        <w:rPr>
          <w:sz w:val="20"/>
          <w:szCs w:val="20"/>
        </w:rPr>
      </w:pPr>
    </w:p>
    <w:p w14:paraId="707C414C" w14:textId="72609DA6"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the </w:t>
      </w:r>
      <w:r w:rsidR="00EE4721" w:rsidRPr="00C837DD">
        <w:rPr>
          <w:sz w:val="20"/>
          <w:szCs w:val="20"/>
        </w:rPr>
        <w:t xml:space="preserve">instant </w:t>
      </w:r>
      <w:r w:rsidRPr="00C837DD">
        <w:rPr>
          <w:sz w:val="20"/>
          <w:szCs w:val="20"/>
        </w:rPr>
        <w:t xml:space="preserve">case, the Court </w:t>
      </w:r>
      <w:r w:rsidR="00C474B6">
        <w:rPr>
          <w:sz w:val="20"/>
          <w:szCs w:val="20"/>
        </w:rPr>
        <w:t xml:space="preserve">does not find it </w:t>
      </w:r>
      <w:r w:rsidRPr="00C837DD">
        <w:rPr>
          <w:sz w:val="20"/>
          <w:szCs w:val="20"/>
        </w:rPr>
        <w:t xml:space="preserve">necessary </w:t>
      </w:r>
      <w:r w:rsidR="00EE4721" w:rsidRPr="00C837DD">
        <w:rPr>
          <w:sz w:val="20"/>
          <w:szCs w:val="20"/>
        </w:rPr>
        <w:t xml:space="preserve">to </w:t>
      </w:r>
      <w:r w:rsidRPr="00C837DD">
        <w:rPr>
          <w:sz w:val="20"/>
          <w:szCs w:val="20"/>
        </w:rPr>
        <w:t xml:space="preserve">analyze the guarantee </w:t>
      </w:r>
      <w:r w:rsidR="00014395" w:rsidRPr="00C837DD">
        <w:rPr>
          <w:sz w:val="20"/>
          <w:szCs w:val="20"/>
        </w:rPr>
        <w:t xml:space="preserve">of </w:t>
      </w:r>
      <w:r w:rsidRPr="00C837DD">
        <w:rPr>
          <w:sz w:val="20"/>
          <w:szCs w:val="20"/>
        </w:rPr>
        <w:t xml:space="preserve">reasonable time </w:t>
      </w:r>
      <w:r w:rsidR="00014395" w:rsidRPr="00C837DD">
        <w:rPr>
          <w:sz w:val="20"/>
          <w:szCs w:val="20"/>
        </w:rPr>
        <w:t xml:space="preserve">in light </w:t>
      </w:r>
      <w:r w:rsidRPr="00C837DD">
        <w:rPr>
          <w:sz w:val="20"/>
          <w:szCs w:val="20"/>
        </w:rPr>
        <w:t xml:space="preserve">of the elements established in </w:t>
      </w:r>
      <w:r w:rsidR="00014395" w:rsidRPr="00C837DD">
        <w:rPr>
          <w:sz w:val="20"/>
          <w:szCs w:val="20"/>
        </w:rPr>
        <w:t xml:space="preserve">its </w:t>
      </w:r>
      <w:r w:rsidRPr="00C837DD">
        <w:rPr>
          <w:sz w:val="20"/>
          <w:szCs w:val="20"/>
        </w:rPr>
        <w:t>jurisprudence</w:t>
      </w:r>
      <w:r w:rsidR="00014395" w:rsidRPr="00C837DD">
        <w:rPr>
          <w:sz w:val="20"/>
          <w:szCs w:val="20"/>
        </w:rPr>
        <w:t>.</w:t>
      </w:r>
      <w:r w:rsidRPr="00C837DD">
        <w:rPr>
          <w:rStyle w:val="Refdenotaalpie"/>
          <w:sz w:val="20"/>
          <w:szCs w:val="20"/>
        </w:rPr>
        <w:footnoteReference w:id="239"/>
      </w:r>
      <w:r w:rsidR="00014395" w:rsidRPr="00C837DD">
        <w:rPr>
          <w:sz w:val="20"/>
          <w:szCs w:val="20"/>
        </w:rPr>
        <w:t xml:space="preserve"> Indeed</w:t>
      </w:r>
      <w:r w:rsidRPr="00C837DD">
        <w:rPr>
          <w:sz w:val="20"/>
          <w:szCs w:val="20"/>
        </w:rPr>
        <w:t xml:space="preserve">, the Court </w:t>
      </w:r>
      <w:r w:rsidR="00F64747" w:rsidRPr="00C837DD">
        <w:rPr>
          <w:sz w:val="20"/>
          <w:szCs w:val="20"/>
        </w:rPr>
        <w:t xml:space="preserve">notes </w:t>
      </w:r>
      <w:r w:rsidRPr="00C837DD">
        <w:rPr>
          <w:sz w:val="20"/>
          <w:szCs w:val="20"/>
        </w:rPr>
        <w:t>that the del</w:t>
      </w:r>
      <w:r w:rsidR="00F64747" w:rsidRPr="00C837DD">
        <w:rPr>
          <w:sz w:val="20"/>
          <w:szCs w:val="20"/>
        </w:rPr>
        <w:t>ay in the process</w:t>
      </w:r>
      <w:r w:rsidRPr="00C837DD">
        <w:rPr>
          <w:sz w:val="20"/>
          <w:szCs w:val="20"/>
        </w:rPr>
        <w:t xml:space="preserve"> </w:t>
      </w:r>
      <w:r w:rsidR="00F64747" w:rsidRPr="00C837DD">
        <w:rPr>
          <w:sz w:val="20"/>
          <w:szCs w:val="20"/>
        </w:rPr>
        <w:t xml:space="preserve">was due mainly to </w:t>
      </w:r>
      <w:r w:rsidRPr="00C837DD">
        <w:rPr>
          <w:sz w:val="20"/>
          <w:szCs w:val="20"/>
        </w:rPr>
        <w:t xml:space="preserve">the </w:t>
      </w:r>
      <w:r w:rsidR="00F64747" w:rsidRPr="00C837DD">
        <w:rPr>
          <w:sz w:val="20"/>
          <w:szCs w:val="20"/>
        </w:rPr>
        <w:t xml:space="preserve">nearly five </w:t>
      </w:r>
      <w:r w:rsidRPr="00C837DD">
        <w:rPr>
          <w:sz w:val="20"/>
          <w:szCs w:val="20"/>
        </w:rPr>
        <w:t xml:space="preserve">years during which the </w:t>
      </w:r>
      <w:r w:rsidR="00F64747" w:rsidRPr="00C837DD">
        <w:rPr>
          <w:sz w:val="20"/>
          <w:szCs w:val="20"/>
        </w:rPr>
        <w:t xml:space="preserve">criminal </w:t>
      </w:r>
      <w:r w:rsidRPr="00C837DD">
        <w:rPr>
          <w:sz w:val="20"/>
          <w:szCs w:val="20"/>
        </w:rPr>
        <w:t xml:space="preserve">action </w:t>
      </w:r>
      <w:r w:rsidR="00F64747" w:rsidRPr="00C837DD">
        <w:rPr>
          <w:sz w:val="20"/>
          <w:szCs w:val="20"/>
        </w:rPr>
        <w:t>could not be initiated</w:t>
      </w:r>
      <w:r w:rsidR="009E43F9" w:rsidRPr="00C837DD">
        <w:rPr>
          <w:sz w:val="20"/>
          <w:szCs w:val="20"/>
        </w:rPr>
        <w:t>, owing to</w:t>
      </w:r>
      <w:r w:rsidR="00F64747" w:rsidRPr="00C837DD">
        <w:rPr>
          <w:sz w:val="20"/>
          <w:szCs w:val="20"/>
        </w:rPr>
        <w:t xml:space="preserve"> the arbitrary refusal by </w:t>
      </w:r>
      <w:r w:rsidRPr="00C837DD">
        <w:rPr>
          <w:sz w:val="20"/>
          <w:szCs w:val="20"/>
        </w:rPr>
        <w:t xml:space="preserve">the Legislative Assembly </w:t>
      </w:r>
      <w:r w:rsidR="00C474B6">
        <w:rPr>
          <w:sz w:val="20"/>
          <w:szCs w:val="20"/>
        </w:rPr>
        <w:t xml:space="preserve">of Paraiba </w:t>
      </w:r>
      <w:r w:rsidR="00F64747" w:rsidRPr="00C837DD">
        <w:rPr>
          <w:sz w:val="20"/>
          <w:szCs w:val="20"/>
        </w:rPr>
        <w:t xml:space="preserve">to </w:t>
      </w:r>
      <w:r w:rsidR="00523151" w:rsidRPr="00C837DD">
        <w:rPr>
          <w:sz w:val="20"/>
          <w:szCs w:val="20"/>
        </w:rPr>
        <w:t xml:space="preserve">grant prior authorization </w:t>
      </w:r>
      <w:r w:rsidRPr="00C837DD">
        <w:rPr>
          <w:sz w:val="20"/>
          <w:szCs w:val="20"/>
        </w:rPr>
        <w:t xml:space="preserve">for the </w:t>
      </w:r>
      <w:r w:rsidR="00F64747" w:rsidRPr="00C837DD">
        <w:rPr>
          <w:sz w:val="20"/>
          <w:szCs w:val="20"/>
        </w:rPr>
        <w:t xml:space="preserve">criminal  </w:t>
      </w:r>
      <w:r w:rsidR="009E43F9" w:rsidRPr="00C837DD">
        <w:rPr>
          <w:sz w:val="20"/>
          <w:szCs w:val="20"/>
        </w:rPr>
        <w:t xml:space="preserve">prosecution </w:t>
      </w:r>
      <w:r w:rsidR="00F64747" w:rsidRPr="00C837DD">
        <w:rPr>
          <w:sz w:val="20"/>
          <w:szCs w:val="20"/>
        </w:rPr>
        <w:t xml:space="preserve">of the </w:t>
      </w:r>
      <w:r w:rsidRPr="00C837DD">
        <w:rPr>
          <w:sz w:val="20"/>
          <w:szCs w:val="20"/>
        </w:rPr>
        <w:t xml:space="preserve">then deputy Aércio Pereira de Lima, in application of parliamentary immunity. </w:t>
      </w:r>
    </w:p>
    <w:p w14:paraId="69E1F785" w14:textId="77777777" w:rsidR="00F85D5F" w:rsidRPr="00C837DD" w:rsidRDefault="00F85D5F" w:rsidP="00F85D5F">
      <w:pPr>
        <w:rPr>
          <w:dstrike/>
          <w:sz w:val="20"/>
          <w:szCs w:val="20"/>
        </w:rPr>
      </w:pPr>
    </w:p>
    <w:p w14:paraId="1CE18D59" w14:textId="558E042C"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considers that the arbitrary application </w:t>
      </w:r>
      <w:r w:rsidR="002E7F6C" w:rsidRPr="00C837DD">
        <w:rPr>
          <w:sz w:val="20"/>
          <w:szCs w:val="20"/>
        </w:rPr>
        <w:t xml:space="preserve">of parliamentary immunity, the </w:t>
      </w:r>
      <w:r w:rsidRPr="00C837DD">
        <w:rPr>
          <w:sz w:val="20"/>
          <w:szCs w:val="20"/>
        </w:rPr>
        <w:t>exce</w:t>
      </w:r>
      <w:r w:rsidR="002E7F6C" w:rsidRPr="00C837DD">
        <w:rPr>
          <w:sz w:val="20"/>
          <w:szCs w:val="20"/>
        </w:rPr>
        <w:t>s</w:t>
      </w:r>
      <w:r w:rsidRPr="00C837DD">
        <w:rPr>
          <w:sz w:val="20"/>
          <w:szCs w:val="20"/>
        </w:rPr>
        <w:t>siv</w:t>
      </w:r>
      <w:r w:rsidR="002E7F6C" w:rsidRPr="00C837DD">
        <w:rPr>
          <w:sz w:val="20"/>
          <w:szCs w:val="20"/>
        </w:rPr>
        <w:t xml:space="preserve">e delay </w:t>
      </w:r>
      <w:r w:rsidRPr="00C837DD">
        <w:rPr>
          <w:sz w:val="20"/>
          <w:szCs w:val="20"/>
        </w:rPr>
        <w:t>and the sens</w:t>
      </w:r>
      <w:r w:rsidR="00984DA0" w:rsidRPr="00C837DD">
        <w:rPr>
          <w:sz w:val="20"/>
          <w:szCs w:val="20"/>
        </w:rPr>
        <w:t xml:space="preserve">e </w:t>
      </w:r>
      <w:r w:rsidRPr="00C837DD">
        <w:rPr>
          <w:sz w:val="20"/>
          <w:szCs w:val="20"/>
        </w:rPr>
        <w:t xml:space="preserve">of impunity generated by the lack of </w:t>
      </w:r>
      <w:r w:rsidR="002E7F6C" w:rsidRPr="00C837DD">
        <w:rPr>
          <w:sz w:val="20"/>
          <w:szCs w:val="20"/>
        </w:rPr>
        <w:t xml:space="preserve">a </w:t>
      </w:r>
      <w:r w:rsidRPr="00C837DD">
        <w:rPr>
          <w:sz w:val="20"/>
          <w:szCs w:val="20"/>
        </w:rPr>
        <w:t xml:space="preserve">judicial </w:t>
      </w:r>
      <w:r w:rsidR="002E7F6C" w:rsidRPr="00C837DD">
        <w:rPr>
          <w:sz w:val="20"/>
          <w:szCs w:val="20"/>
        </w:rPr>
        <w:t xml:space="preserve">response aggravated </w:t>
      </w:r>
      <w:r w:rsidRPr="00C837DD">
        <w:rPr>
          <w:sz w:val="20"/>
          <w:szCs w:val="20"/>
        </w:rPr>
        <w:t xml:space="preserve">the situation of </w:t>
      </w:r>
      <w:r w:rsidR="00B8009F" w:rsidRPr="00C837DD">
        <w:rPr>
          <w:sz w:val="20"/>
          <w:szCs w:val="20"/>
        </w:rPr>
        <w:t>Márcia</w:t>
      </w:r>
      <w:r w:rsidRPr="00C837DD">
        <w:rPr>
          <w:sz w:val="20"/>
          <w:szCs w:val="20"/>
        </w:rPr>
        <w:t xml:space="preserve"> Barbosa</w:t>
      </w:r>
      <w:r w:rsidR="00984DA0" w:rsidRPr="00C837DD">
        <w:rPr>
          <w:sz w:val="20"/>
          <w:szCs w:val="20"/>
        </w:rPr>
        <w:t>’s next of kin</w:t>
      </w:r>
      <w:r w:rsidRPr="00C837DD">
        <w:rPr>
          <w:sz w:val="20"/>
          <w:szCs w:val="20"/>
        </w:rPr>
        <w:t xml:space="preserve">, especially </w:t>
      </w:r>
      <w:r w:rsidR="00C474B6">
        <w:rPr>
          <w:sz w:val="20"/>
          <w:szCs w:val="20"/>
        </w:rPr>
        <w:t xml:space="preserve">given </w:t>
      </w:r>
      <w:r w:rsidR="00F64747" w:rsidRPr="00C837DD">
        <w:rPr>
          <w:sz w:val="20"/>
          <w:szCs w:val="20"/>
        </w:rPr>
        <w:t>the asym</w:t>
      </w:r>
      <w:r w:rsidRPr="00C837DD">
        <w:rPr>
          <w:sz w:val="20"/>
          <w:szCs w:val="20"/>
        </w:rPr>
        <w:t>metr</w:t>
      </w:r>
      <w:r w:rsidR="002E7F6C" w:rsidRPr="00C837DD">
        <w:rPr>
          <w:sz w:val="20"/>
          <w:szCs w:val="20"/>
        </w:rPr>
        <w:t xml:space="preserve">y </w:t>
      </w:r>
      <w:r w:rsidRPr="00C837DD">
        <w:rPr>
          <w:sz w:val="20"/>
          <w:szCs w:val="20"/>
        </w:rPr>
        <w:t>of economic and political power existing between the accused and the next of kin.</w:t>
      </w:r>
    </w:p>
    <w:p w14:paraId="13F8559E" w14:textId="77777777" w:rsidR="00F85D5F" w:rsidRPr="00C837DD" w:rsidRDefault="00F85D5F" w:rsidP="00F85D5F">
      <w:pPr>
        <w:pStyle w:val="Prrafodelista"/>
        <w:tabs>
          <w:tab w:val="left" w:pos="142"/>
        </w:tabs>
        <w:ind w:left="0"/>
        <w:rPr>
          <w:sz w:val="20"/>
          <w:szCs w:val="20"/>
        </w:rPr>
      </w:pPr>
    </w:p>
    <w:p w14:paraId="38F95069" w14:textId="03B08E1E"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Therefore, taking into account the foregoing considerations and </w:t>
      </w:r>
      <w:r w:rsidR="00984DA0" w:rsidRPr="00C837DD">
        <w:rPr>
          <w:sz w:val="20"/>
          <w:szCs w:val="20"/>
        </w:rPr>
        <w:t xml:space="preserve">given that </w:t>
      </w:r>
      <w:r w:rsidRPr="00C837DD">
        <w:rPr>
          <w:sz w:val="20"/>
          <w:szCs w:val="20"/>
        </w:rPr>
        <w:t xml:space="preserve">almost 10 years elapsed </w:t>
      </w:r>
      <w:r w:rsidR="00984DA0" w:rsidRPr="00C837DD">
        <w:rPr>
          <w:sz w:val="20"/>
          <w:szCs w:val="20"/>
        </w:rPr>
        <w:t xml:space="preserve">from </w:t>
      </w:r>
      <w:r w:rsidRPr="00C837DD">
        <w:rPr>
          <w:sz w:val="20"/>
          <w:szCs w:val="20"/>
        </w:rPr>
        <w:t xml:space="preserve">the facts of this case </w:t>
      </w:r>
      <w:r w:rsidR="00571802" w:rsidRPr="00C837DD">
        <w:rPr>
          <w:sz w:val="20"/>
          <w:szCs w:val="20"/>
        </w:rPr>
        <w:t xml:space="preserve">until </w:t>
      </w:r>
      <w:r w:rsidRPr="00C837DD">
        <w:rPr>
          <w:sz w:val="20"/>
          <w:szCs w:val="20"/>
        </w:rPr>
        <w:t xml:space="preserve">the </w:t>
      </w:r>
      <w:r w:rsidR="00571802" w:rsidRPr="00C837DD">
        <w:rPr>
          <w:sz w:val="20"/>
          <w:szCs w:val="20"/>
        </w:rPr>
        <w:t xml:space="preserve">criminal conviction </w:t>
      </w:r>
      <w:r w:rsidRPr="00C837DD">
        <w:rPr>
          <w:sz w:val="20"/>
          <w:szCs w:val="20"/>
        </w:rPr>
        <w:t xml:space="preserve">in </w:t>
      </w:r>
      <w:r w:rsidR="00984DA0" w:rsidRPr="00C837DD">
        <w:rPr>
          <w:sz w:val="20"/>
          <w:szCs w:val="20"/>
        </w:rPr>
        <w:t xml:space="preserve">the court of </w:t>
      </w:r>
      <w:r w:rsidRPr="00C837DD">
        <w:rPr>
          <w:sz w:val="20"/>
          <w:szCs w:val="20"/>
        </w:rPr>
        <w:t xml:space="preserve">first instance, the Court concludes that Brazil violated the </w:t>
      </w:r>
      <w:r w:rsidR="00984DA0" w:rsidRPr="00C837DD">
        <w:rPr>
          <w:sz w:val="20"/>
          <w:szCs w:val="20"/>
        </w:rPr>
        <w:t xml:space="preserve">guarantee of </w:t>
      </w:r>
      <w:r w:rsidRPr="00C837DD">
        <w:rPr>
          <w:sz w:val="20"/>
          <w:szCs w:val="20"/>
        </w:rPr>
        <w:t xml:space="preserve">reasonable time in the investigation and criminal proceedings related to the </w:t>
      </w:r>
      <w:r w:rsidR="00984DA0" w:rsidRPr="00C837DD">
        <w:rPr>
          <w:sz w:val="20"/>
          <w:szCs w:val="20"/>
        </w:rPr>
        <w:t xml:space="preserve">homicide </w:t>
      </w:r>
      <w:r w:rsidRPr="00C837DD">
        <w:rPr>
          <w:sz w:val="20"/>
          <w:szCs w:val="20"/>
        </w:rPr>
        <w:t xml:space="preserve">of </w:t>
      </w:r>
      <w:r w:rsidR="00B8009F" w:rsidRPr="00C837DD">
        <w:rPr>
          <w:sz w:val="20"/>
          <w:szCs w:val="20"/>
        </w:rPr>
        <w:t>Márcia</w:t>
      </w:r>
      <w:r w:rsidRPr="00C837DD">
        <w:rPr>
          <w:sz w:val="20"/>
          <w:szCs w:val="20"/>
        </w:rPr>
        <w:t xml:space="preserve"> Barbosa de Souza.</w:t>
      </w:r>
    </w:p>
    <w:p w14:paraId="4F8EA6F5" w14:textId="77777777" w:rsidR="00F85D5F" w:rsidRPr="00C837DD" w:rsidRDefault="00F85D5F" w:rsidP="00F85D5F">
      <w:pPr>
        <w:pStyle w:val="Prrafodelista"/>
        <w:tabs>
          <w:tab w:val="left" w:pos="142"/>
        </w:tabs>
        <w:ind w:left="0"/>
        <w:rPr>
          <w:sz w:val="20"/>
          <w:szCs w:val="20"/>
          <w:lang w:eastAsia="es-ES"/>
        </w:rPr>
      </w:pPr>
    </w:p>
    <w:p w14:paraId="2EA7E48A" w14:textId="1A1B5BE2" w:rsidR="00F85D5F" w:rsidRPr="00C837DD" w:rsidRDefault="00F85D5F" w:rsidP="00F85D5F">
      <w:pPr>
        <w:pStyle w:val="Ttulo4"/>
        <w:numPr>
          <w:ilvl w:val="0"/>
          <w:numId w:val="31"/>
        </w:numPr>
        <w:ind w:left="1560" w:hanging="709"/>
        <w:rPr>
          <w:lang w:val="en-US"/>
        </w:rPr>
      </w:pPr>
      <w:bookmarkStart w:id="79" w:name="_Toc85001892"/>
      <w:r w:rsidRPr="00C837DD">
        <w:rPr>
          <w:lang w:val="en-US"/>
        </w:rPr>
        <w:t>The alleged use of gender stereotypes in the investigations</w:t>
      </w:r>
      <w:bookmarkEnd w:id="79"/>
      <w:r w:rsidRPr="00C837DD">
        <w:rPr>
          <w:lang w:val="en-US"/>
        </w:rPr>
        <w:t xml:space="preserve"> </w:t>
      </w:r>
    </w:p>
    <w:p w14:paraId="79F74C4F" w14:textId="77777777" w:rsidR="00F85D5F" w:rsidRPr="00C837DD" w:rsidRDefault="00F85D5F" w:rsidP="00F85D5F">
      <w:pPr>
        <w:tabs>
          <w:tab w:val="left" w:pos="142"/>
        </w:tabs>
        <w:ind w:firstLine="720"/>
        <w:jc w:val="both"/>
        <w:rPr>
          <w:sz w:val="20"/>
          <w:szCs w:val="20"/>
          <w:lang w:eastAsia="es-ES"/>
        </w:rPr>
      </w:pPr>
    </w:p>
    <w:p w14:paraId="1F376C29" w14:textId="17C2E8FE"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Regarding the principle of equality before the law and non-discrimination, the Court has indicated that the </w:t>
      </w:r>
      <w:r w:rsidR="004C0B40" w:rsidRPr="00C837DD">
        <w:rPr>
          <w:sz w:val="20"/>
          <w:szCs w:val="20"/>
        </w:rPr>
        <w:t xml:space="preserve">notion of equality springs directly from the oneness of the human family and is linked to the essential dignity of the individual. Thus it is incompatible with any situation in which </w:t>
      </w:r>
      <w:r w:rsidR="001D0E29" w:rsidRPr="00C837DD">
        <w:rPr>
          <w:sz w:val="20"/>
          <w:szCs w:val="20"/>
        </w:rPr>
        <w:t xml:space="preserve">a </w:t>
      </w:r>
      <w:r w:rsidR="004D49BE">
        <w:rPr>
          <w:sz w:val="20"/>
          <w:szCs w:val="20"/>
        </w:rPr>
        <w:t xml:space="preserve">specific </w:t>
      </w:r>
      <w:r w:rsidR="001D0E29" w:rsidRPr="00C837DD">
        <w:rPr>
          <w:sz w:val="20"/>
          <w:szCs w:val="20"/>
        </w:rPr>
        <w:t xml:space="preserve">group is </w:t>
      </w:r>
      <w:r w:rsidR="004D49BE">
        <w:rPr>
          <w:sz w:val="20"/>
          <w:szCs w:val="20"/>
        </w:rPr>
        <w:t xml:space="preserve">considered </w:t>
      </w:r>
      <w:r w:rsidR="001D0E29" w:rsidRPr="00C837DD">
        <w:rPr>
          <w:sz w:val="20"/>
          <w:szCs w:val="20"/>
        </w:rPr>
        <w:t>superior</w:t>
      </w:r>
      <w:r w:rsidR="004D49BE">
        <w:rPr>
          <w:sz w:val="20"/>
          <w:szCs w:val="20"/>
        </w:rPr>
        <w:t xml:space="preserve"> and</w:t>
      </w:r>
      <w:r w:rsidR="001D0E29" w:rsidRPr="00C837DD">
        <w:rPr>
          <w:sz w:val="20"/>
          <w:szCs w:val="20"/>
        </w:rPr>
        <w:t xml:space="preserve"> is given privileged treatment; or, to the contrary, that </w:t>
      </w:r>
      <w:r w:rsidR="004D49BE">
        <w:rPr>
          <w:sz w:val="20"/>
          <w:szCs w:val="20"/>
        </w:rPr>
        <w:t xml:space="preserve">it is </w:t>
      </w:r>
      <w:r w:rsidR="001D0E29" w:rsidRPr="00C837DD">
        <w:rPr>
          <w:sz w:val="20"/>
          <w:szCs w:val="20"/>
        </w:rPr>
        <w:t>consider</w:t>
      </w:r>
      <w:r w:rsidR="004D49BE">
        <w:rPr>
          <w:sz w:val="20"/>
          <w:szCs w:val="20"/>
        </w:rPr>
        <w:t>ed</w:t>
      </w:r>
      <w:r w:rsidR="001D0E29" w:rsidRPr="00C837DD">
        <w:rPr>
          <w:sz w:val="20"/>
          <w:szCs w:val="20"/>
        </w:rPr>
        <w:t xml:space="preserve"> inferior</w:t>
      </w:r>
      <w:r w:rsidR="004D49BE">
        <w:rPr>
          <w:sz w:val="20"/>
          <w:szCs w:val="20"/>
        </w:rPr>
        <w:t xml:space="preserve"> and</w:t>
      </w:r>
      <w:r w:rsidR="001D0E29" w:rsidRPr="00C837DD">
        <w:rPr>
          <w:sz w:val="20"/>
          <w:szCs w:val="20"/>
        </w:rPr>
        <w:t xml:space="preserve"> is treated with hostility or otherwise subjected to discrimination in the enjoyment of rights which are accorded to others not so classified.</w:t>
      </w:r>
      <w:r w:rsidRPr="00C837DD">
        <w:rPr>
          <w:sz w:val="20"/>
          <w:szCs w:val="20"/>
          <w:vertAlign w:val="superscript"/>
        </w:rPr>
        <w:footnoteReference w:id="240"/>
      </w:r>
      <w:r w:rsidRPr="00C837DD">
        <w:rPr>
          <w:sz w:val="20"/>
          <w:szCs w:val="20"/>
        </w:rPr>
        <w:t xml:space="preserve"> </w:t>
      </w:r>
      <w:r w:rsidR="001D0E29" w:rsidRPr="00C837DD">
        <w:rPr>
          <w:sz w:val="20"/>
          <w:szCs w:val="20"/>
        </w:rPr>
        <w:t xml:space="preserve">At the current stage of evolution of international law, the fundamental principle of equality and non-discrimination has entered the domain of </w:t>
      </w:r>
      <w:r w:rsidR="001D0E29" w:rsidRPr="00C837DD">
        <w:rPr>
          <w:i/>
          <w:iCs/>
          <w:sz w:val="20"/>
          <w:szCs w:val="20"/>
        </w:rPr>
        <w:t>jus cogens</w:t>
      </w:r>
      <w:r w:rsidR="001D0E29" w:rsidRPr="00C837DD">
        <w:rPr>
          <w:sz w:val="20"/>
          <w:szCs w:val="20"/>
        </w:rPr>
        <w:t>, and the juridical framework of the entire legal system rests on it</w:t>
      </w:r>
      <w:r w:rsidRPr="00C837DD">
        <w:rPr>
          <w:sz w:val="20"/>
          <w:szCs w:val="20"/>
        </w:rPr>
        <w:t xml:space="preserve">. </w:t>
      </w:r>
      <w:r w:rsidR="001D0E29" w:rsidRPr="00C837DD">
        <w:rPr>
          <w:sz w:val="20"/>
          <w:szCs w:val="20"/>
        </w:rPr>
        <w:t>Consequently,</w:t>
      </w:r>
      <w:r w:rsidRPr="00C837DD">
        <w:rPr>
          <w:sz w:val="20"/>
          <w:szCs w:val="20"/>
        </w:rPr>
        <w:t xml:space="preserve"> </w:t>
      </w:r>
      <w:r w:rsidR="001D0E29" w:rsidRPr="00C837DD">
        <w:rPr>
          <w:sz w:val="20"/>
          <w:szCs w:val="20"/>
        </w:rPr>
        <w:t>States must refrain from carrying out actions that, in any way, directly or indirectly</w:t>
      </w:r>
      <w:r w:rsidR="004D49BE">
        <w:rPr>
          <w:sz w:val="20"/>
          <w:szCs w:val="20"/>
        </w:rPr>
        <w:t>,</w:t>
      </w:r>
      <w:r w:rsidR="001D0E29" w:rsidRPr="00C837DD">
        <w:rPr>
          <w:sz w:val="20"/>
          <w:szCs w:val="20"/>
        </w:rPr>
        <w:t xml:space="preserve"> create situations of discrimination </w:t>
      </w:r>
      <w:r w:rsidR="001D0E29" w:rsidRPr="00C837DD">
        <w:rPr>
          <w:i/>
          <w:iCs/>
          <w:sz w:val="20"/>
          <w:szCs w:val="20"/>
        </w:rPr>
        <w:t xml:space="preserve">de jure </w:t>
      </w:r>
      <w:r w:rsidR="001D0E29" w:rsidRPr="00C837DD">
        <w:rPr>
          <w:sz w:val="20"/>
          <w:szCs w:val="20"/>
        </w:rPr>
        <w:t>or</w:t>
      </w:r>
      <w:r w:rsidR="001D0E29" w:rsidRPr="00C837DD">
        <w:rPr>
          <w:i/>
          <w:iCs/>
          <w:sz w:val="20"/>
          <w:szCs w:val="20"/>
        </w:rPr>
        <w:t xml:space="preserve"> de facto</w:t>
      </w:r>
      <w:r w:rsidRPr="00C837DD">
        <w:rPr>
          <w:i/>
          <w:sz w:val="20"/>
          <w:szCs w:val="20"/>
        </w:rPr>
        <w:t>.</w:t>
      </w:r>
      <w:r w:rsidRPr="00C837DD">
        <w:rPr>
          <w:sz w:val="20"/>
          <w:szCs w:val="20"/>
          <w:vertAlign w:val="superscript"/>
        </w:rPr>
        <w:footnoteReference w:id="241"/>
      </w:r>
    </w:p>
    <w:p w14:paraId="2C3D254E" w14:textId="77777777" w:rsidR="00F85D5F" w:rsidRPr="00C837DD" w:rsidRDefault="00F85D5F" w:rsidP="00F85D5F">
      <w:pPr>
        <w:pStyle w:val="Prrafodelista"/>
        <w:tabs>
          <w:tab w:val="left" w:pos="142"/>
        </w:tabs>
        <w:ind w:left="0"/>
        <w:rPr>
          <w:sz w:val="20"/>
          <w:szCs w:val="20"/>
        </w:rPr>
      </w:pPr>
    </w:p>
    <w:p w14:paraId="40CCF4F5" w14:textId="0A0E60A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has </w:t>
      </w:r>
      <w:r w:rsidR="004D49BE">
        <w:rPr>
          <w:sz w:val="20"/>
          <w:szCs w:val="20"/>
        </w:rPr>
        <w:t xml:space="preserve">also </w:t>
      </w:r>
      <w:r w:rsidRPr="00C837DD">
        <w:rPr>
          <w:sz w:val="20"/>
          <w:szCs w:val="20"/>
        </w:rPr>
        <w:t xml:space="preserve">indicated that, while the general obligation under Article 1(1) of the American Convention refers to the </w:t>
      </w:r>
      <w:r w:rsidR="008C22B7" w:rsidRPr="00C837DD">
        <w:rPr>
          <w:sz w:val="20"/>
          <w:szCs w:val="20"/>
        </w:rPr>
        <w:t xml:space="preserve">obligation </w:t>
      </w:r>
      <w:r w:rsidRPr="00C837DD">
        <w:rPr>
          <w:sz w:val="20"/>
          <w:szCs w:val="20"/>
        </w:rPr>
        <w:t xml:space="preserve">of the State to respect and </w:t>
      </w:r>
      <w:r w:rsidR="008C22B7" w:rsidRPr="00C837DD">
        <w:rPr>
          <w:sz w:val="20"/>
          <w:szCs w:val="20"/>
        </w:rPr>
        <w:t xml:space="preserve">to ensure </w:t>
      </w:r>
      <w:r w:rsidRPr="00C837DD">
        <w:rPr>
          <w:sz w:val="20"/>
          <w:szCs w:val="20"/>
        </w:rPr>
        <w:t>“without discrimination” the rights contained in that treaty, Article 24 protect</w:t>
      </w:r>
      <w:r w:rsidR="001D0E29" w:rsidRPr="00C837DD">
        <w:rPr>
          <w:sz w:val="20"/>
          <w:szCs w:val="20"/>
        </w:rPr>
        <w:t>s</w:t>
      </w:r>
      <w:r w:rsidRPr="00C837DD">
        <w:rPr>
          <w:sz w:val="20"/>
          <w:szCs w:val="20"/>
        </w:rPr>
        <w:t xml:space="preserve"> the right to “equal </w:t>
      </w:r>
      <w:r w:rsidRPr="00C837DD">
        <w:rPr>
          <w:sz w:val="20"/>
          <w:szCs w:val="20"/>
        </w:rPr>
        <w:lastRenderedPageBreak/>
        <w:t>protection of the law.”</w:t>
      </w:r>
      <w:r w:rsidRPr="00C837DD">
        <w:rPr>
          <w:sz w:val="20"/>
          <w:szCs w:val="20"/>
          <w:vertAlign w:val="superscript"/>
        </w:rPr>
        <w:footnoteReference w:id="242"/>
      </w:r>
      <w:r w:rsidRPr="00C837DD">
        <w:rPr>
          <w:sz w:val="20"/>
          <w:szCs w:val="20"/>
        </w:rPr>
        <w:t xml:space="preserve"> </w:t>
      </w:r>
      <w:r w:rsidR="008C22B7" w:rsidRPr="00C837DD">
        <w:rPr>
          <w:sz w:val="20"/>
          <w:szCs w:val="20"/>
        </w:rPr>
        <w:t xml:space="preserve">Thus, </w:t>
      </w:r>
      <w:r w:rsidRPr="00C837DD">
        <w:rPr>
          <w:sz w:val="20"/>
          <w:szCs w:val="20"/>
        </w:rPr>
        <w:t xml:space="preserve">Article 24 of the American Convention prohibits discrimination </w:t>
      </w:r>
      <w:r w:rsidRPr="00C837DD">
        <w:rPr>
          <w:i/>
          <w:sz w:val="20"/>
          <w:szCs w:val="20"/>
        </w:rPr>
        <w:t>de iure</w:t>
      </w:r>
      <w:r w:rsidRPr="00C837DD">
        <w:rPr>
          <w:sz w:val="20"/>
          <w:szCs w:val="20"/>
        </w:rPr>
        <w:t xml:space="preserve"> or </w:t>
      </w:r>
      <w:r w:rsidRPr="00C837DD">
        <w:rPr>
          <w:i/>
          <w:sz w:val="20"/>
          <w:szCs w:val="20"/>
        </w:rPr>
        <w:t>de facto</w:t>
      </w:r>
      <w:r w:rsidRPr="00C837DD">
        <w:rPr>
          <w:sz w:val="20"/>
          <w:szCs w:val="20"/>
        </w:rPr>
        <w:t xml:space="preserve">, </w:t>
      </w:r>
      <w:r w:rsidR="005F5F1C" w:rsidRPr="00C837DD">
        <w:rPr>
          <w:sz w:val="20"/>
          <w:szCs w:val="20"/>
        </w:rPr>
        <w:t>not only with regard to the rights embodied therein</w:t>
      </w:r>
      <w:r w:rsidRPr="00C837DD">
        <w:rPr>
          <w:sz w:val="20"/>
          <w:szCs w:val="20"/>
        </w:rPr>
        <w:t xml:space="preserve">, </w:t>
      </w:r>
      <w:r w:rsidR="005F5F1C" w:rsidRPr="00C837DD">
        <w:rPr>
          <w:sz w:val="20"/>
          <w:szCs w:val="20"/>
        </w:rPr>
        <w:t xml:space="preserve">but also with respect to all the laws </w:t>
      </w:r>
      <w:r w:rsidR="004D49BE">
        <w:rPr>
          <w:sz w:val="20"/>
          <w:szCs w:val="20"/>
        </w:rPr>
        <w:t xml:space="preserve">adopted by </w:t>
      </w:r>
      <w:r w:rsidR="005F5F1C" w:rsidRPr="00C837DD">
        <w:rPr>
          <w:sz w:val="20"/>
          <w:szCs w:val="20"/>
        </w:rPr>
        <w:t>the State and their application</w:t>
      </w:r>
      <w:r w:rsidRPr="00C837DD">
        <w:rPr>
          <w:sz w:val="20"/>
          <w:szCs w:val="20"/>
        </w:rPr>
        <w:t xml:space="preserve">. </w:t>
      </w:r>
      <w:r w:rsidR="005F5F1C" w:rsidRPr="00C837DD">
        <w:rPr>
          <w:sz w:val="20"/>
          <w:szCs w:val="20"/>
        </w:rPr>
        <w:t xml:space="preserve">In other words, </w:t>
      </w:r>
      <w:r w:rsidR="004D49BE">
        <w:rPr>
          <w:sz w:val="20"/>
          <w:szCs w:val="20"/>
        </w:rPr>
        <w:t xml:space="preserve">this </w:t>
      </w:r>
      <w:r w:rsidR="008C22B7" w:rsidRPr="00C837DD">
        <w:rPr>
          <w:sz w:val="20"/>
          <w:szCs w:val="20"/>
        </w:rPr>
        <w:t>a</w:t>
      </w:r>
      <w:r w:rsidR="005F5F1C" w:rsidRPr="00C837DD">
        <w:rPr>
          <w:sz w:val="20"/>
          <w:szCs w:val="20"/>
        </w:rPr>
        <w:t>rticle does not merely reiterate the provisions of Article 1(1) of the Convention concerning the obligation of States to respect and ensure, without discrimination, the rights recognized therein, but, in addition, establishes a right that also entails obligations for the State to respect and ensure the principle of equality and non-discrimination in safeguard</w:t>
      </w:r>
      <w:r w:rsidR="008C22B7" w:rsidRPr="00C837DD">
        <w:rPr>
          <w:sz w:val="20"/>
          <w:szCs w:val="20"/>
        </w:rPr>
        <w:t>ing</w:t>
      </w:r>
      <w:r w:rsidR="005F5F1C" w:rsidRPr="00C837DD">
        <w:rPr>
          <w:sz w:val="20"/>
          <w:szCs w:val="20"/>
        </w:rPr>
        <w:t xml:space="preserve"> other rights and in all </w:t>
      </w:r>
      <w:r w:rsidR="008C22B7" w:rsidRPr="00C837DD">
        <w:rPr>
          <w:sz w:val="20"/>
          <w:szCs w:val="20"/>
        </w:rPr>
        <w:t xml:space="preserve">the </w:t>
      </w:r>
      <w:r w:rsidR="005F5F1C" w:rsidRPr="00C837DD">
        <w:rPr>
          <w:sz w:val="20"/>
          <w:szCs w:val="20"/>
        </w:rPr>
        <w:t>domestic laws that it adopts.</w:t>
      </w:r>
      <w:r w:rsidRPr="00C837DD">
        <w:rPr>
          <w:sz w:val="20"/>
          <w:szCs w:val="20"/>
          <w:vertAlign w:val="superscript"/>
        </w:rPr>
        <w:footnoteReference w:id="243"/>
      </w:r>
      <w:r w:rsidRPr="00C837DD">
        <w:rPr>
          <w:sz w:val="20"/>
          <w:szCs w:val="20"/>
        </w:rPr>
        <w:t xml:space="preserve"> Finally, the Court has affirmed that, if a State discriminates </w:t>
      </w:r>
      <w:r w:rsidR="008C22B7" w:rsidRPr="00C837DD">
        <w:rPr>
          <w:sz w:val="20"/>
          <w:szCs w:val="20"/>
        </w:rPr>
        <w:t xml:space="preserve">with regard to the </w:t>
      </w:r>
      <w:r w:rsidRPr="00C837DD">
        <w:rPr>
          <w:sz w:val="20"/>
          <w:szCs w:val="20"/>
        </w:rPr>
        <w:t xml:space="preserve">respect </w:t>
      </w:r>
      <w:r w:rsidR="008C22B7" w:rsidRPr="00C837DD">
        <w:rPr>
          <w:sz w:val="20"/>
          <w:szCs w:val="20"/>
        </w:rPr>
        <w:t>and</w:t>
      </w:r>
      <w:r w:rsidRPr="00C837DD">
        <w:rPr>
          <w:sz w:val="20"/>
          <w:szCs w:val="20"/>
        </w:rPr>
        <w:t xml:space="preserve"> guarantee of a conventional right, it would </w:t>
      </w:r>
      <w:r w:rsidR="008C22B7" w:rsidRPr="00C837DD">
        <w:rPr>
          <w:sz w:val="20"/>
          <w:szCs w:val="20"/>
        </w:rPr>
        <w:t xml:space="preserve">be in </w:t>
      </w:r>
      <w:r w:rsidR="00150359" w:rsidRPr="00C837DD">
        <w:rPr>
          <w:sz w:val="20"/>
          <w:szCs w:val="20"/>
        </w:rPr>
        <w:t>breach of its</w:t>
      </w:r>
      <w:r w:rsidR="008C22B7" w:rsidRPr="00C837DD">
        <w:rPr>
          <w:sz w:val="20"/>
          <w:szCs w:val="20"/>
        </w:rPr>
        <w:t xml:space="preserve"> obligation </w:t>
      </w:r>
      <w:r w:rsidR="00150359" w:rsidRPr="00C837DD">
        <w:rPr>
          <w:sz w:val="20"/>
          <w:szCs w:val="20"/>
        </w:rPr>
        <w:t xml:space="preserve">under </w:t>
      </w:r>
      <w:r w:rsidRPr="00C837DD">
        <w:rPr>
          <w:sz w:val="20"/>
          <w:szCs w:val="20"/>
        </w:rPr>
        <w:t xml:space="preserve">Article 1(1) and the </w:t>
      </w:r>
      <w:r w:rsidR="00150359" w:rsidRPr="00C837DD">
        <w:rPr>
          <w:sz w:val="20"/>
          <w:szCs w:val="20"/>
        </w:rPr>
        <w:t xml:space="preserve">substantive </w:t>
      </w:r>
      <w:r w:rsidRPr="00C837DD">
        <w:rPr>
          <w:sz w:val="20"/>
          <w:szCs w:val="20"/>
        </w:rPr>
        <w:t xml:space="preserve">right in question. If, on the contrary, the discrimination refers to </w:t>
      </w:r>
      <w:r w:rsidR="00150359" w:rsidRPr="00C837DD">
        <w:rPr>
          <w:sz w:val="20"/>
          <w:szCs w:val="20"/>
        </w:rPr>
        <w:t xml:space="preserve">an </w:t>
      </w:r>
      <w:r w:rsidRPr="00C837DD">
        <w:rPr>
          <w:sz w:val="20"/>
          <w:szCs w:val="20"/>
        </w:rPr>
        <w:t xml:space="preserve">unequal protection </w:t>
      </w:r>
      <w:r w:rsidR="00150359" w:rsidRPr="00C837DD">
        <w:rPr>
          <w:sz w:val="20"/>
          <w:szCs w:val="20"/>
        </w:rPr>
        <w:t>by</w:t>
      </w:r>
      <w:r w:rsidRPr="00C837DD">
        <w:rPr>
          <w:sz w:val="20"/>
          <w:szCs w:val="20"/>
        </w:rPr>
        <w:t xml:space="preserve"> </w:t>
      </w:r>
      <w:r w:rsidR="002E7F6C" w:rsidRPr="00C837DD">
        <w:rPr>
          <w:sz w:val="20"/>
          <w:szCs w:val="20"/>
        </w:rPr>
        <w:t xml:space="preserve">domestic </w:t>
      </w:r>
      <w:r w:rsidRPr="00C837DD">
        <w:rPr>
          <w:sz w:val="20"/>
          <w:szCs w:val="20"/>
        </w:rPr>
        <w:t xml:space="preserve">law or </w:t>
      </w:r>
      <w:r w:rsidR="002E7F6C" w:rsidRPr="00C837DD">
        <w:rPr>
          <w:sz w:val="20"/>
          <w:szCs w:val="20"/>
        </w:rPr>
        <w:t xml:space="preserve">its </w:t>
      </w:r>
      <w:r w:rsidRPr="00C837DD">
        <w:rPr>
          <w:sz w:val="20"/>
          <w:szCs w:val="20"/>
        </w:rPr>
        <w:t xml:space="preserve">application, the </w:t>
      </w:r>
      <w:r w:rsidR="002E7F6C" w:rsidRPr="00C837DD">
        <w:rPr>
          <w:sz w:val="20"/>
          <w:szCs w:val="20"/>
        </w:rPr>
        <w:t xml:space="preserve">fact </w:t>
      </w:r>
      <w:r w:rsidR="00150359" w:rsidRPr="00C837DD">
        <w:rPr>
          <w:sz w:val="20"/>
          <w:szCs w:val="20"/>
        </w:rPr>
        <w:t xml:space="preserve">must be examined </w:t>
      </w:r>
      <w:r w:rsidRPr="00C837DD">
        <w:rPr>
          <w:sz w:val="20"/>
          <w:szCs w:val="20"/>
        </w:rPr>
        <w:t>in light of Article 24 of the American Convention</w:t>
      </w:r>
      <w:r w:rsidR="002E7F6C" w:rsidRPr="00C837DD">
        <w:rPr>
          <w:sz w:val="20"/>
          <w:szCs w:val="20"/>
        </w:rPr>
        <w:t>.</w:t>
      </w:r>
      <w:r w:rsidRPr="00C837DD">
        <w:rPr>
          <w:sz w:val="20"/>
          <w:szCs w:val="20"/>
          <w:vertAlign w:val="superscript"/>
        </w:rPr>
        <w:footnoteReference w:id="244"/>
      </w:r>
    </w:p>
    <w:p w14:paraId="11DE29C2" w14:textId="77777777" w:rsidR="00F85D5F" w:rsidRPr="00C837DD" w:rsidRDefault="00F85D5F" w:rsidP="00F85D5F">
      <w:pPr>
        <w:pStyle w:val="Prrafodelista"/>
        <w:tabs>
          <w:tab w:val="left" w:pos="142"/>
        </w:tabs>
        <w:ind w:left="0"/>
        <w:rPr>
          <w:sz w:val="20"/>
          <w:szCs w:val="20"/>
        </w:rPr>
      </w:pPr>
    </w:p>
    <w:p w14:paraId="12F4A749" w14:textId="308DE8B6" w:rsidR="00F85D5F" w:rsidRPr="00C837DD" w:rsidRDefault="0028410E" w:rsidP="00F85D5F">
      <w:pPr>
        <w:pStyle w:val="Prrafodelista"/>
        <w:numPr>
          <w:ilvl w:val="0"/>
          <w:numId w:val="6"/>
        </w:numPr>
        <w:tabs>
          <w:tab w:val="left" w:pos="142"/>
        </w:tabs>
        <w:ind w:left="0" w:firstLine="0"/>
        <w:rPr>
          <w:sz w:val="20"/>
          <w:szCs w:val="20"/>
        </w:rPr>
      </w:pPr>
      <w:r w:rsidRPr="00C837DD">
        <w:rPr>
          <w:sz w:val="20"/>
          <w:szCs w:val="20"/>
        </w:rPr>
        <w:t>Accor</w:t>
      </w:r>
      <w:r w:rsidR="00F85D5F" w:rsidRPr="00C837DD">
        <w:rPr>
          <w:sz w:val="20"/>
          <w:szCs w:val="20"/>
        </w:rPr>
        <w:t>d</w:t>
      </w:r>
      <w:r w:rsidR="002E7F6C" w:rsidRPr="00C837DD">
        <w:rPr>
          <w:sz w:val="20"/>
          <w:szCs w:val="20"/>
        </w:rPr>
        <w:t>i</w:t>
      </w:r>
      <w:r w:rsidR="00F85D5F" w:rsidRPr="00C837DD">
        <w:rPr>
          <w:sz w:val="20"/>
          <w:szCs w:val="20"/>
        </w:rPr>
        <w:t xml:space="preserve">ng to the Court’s </w:t>
      </w:r>
      <w:r w:rsidR="004D49BE">
        <w:rPr>
          <w:sz w:val="20"/>
          <w:szCs w:val="20"/>
        </w:rPr>
        <w:t>case law</w:t>
      </w:r>
      <w:r w:rsidR="00F85D5F" w:rsidRPr="00C837DD">
        <w:rPr>
          <w:sz w:val="20"/>
          <w:szCs w:val="20"/>
        </w:rPr>
        <w:t xml:space="preserve">, Article 24 of the Convention also </w:t>
      </w:r>
      <w:r w:rsidR="002E7F6C" w:rsidRPr="00C837DD">
        <w:rPr>
          <w:sz w:val="20"/>
          <w:szCs w:val="20"/>
        </w:rPr>
        <w:t xml:space="preserve">contains </w:t>
      </w:r>
      <w:r w:rsidR="00F85D5F" w:rsidRPr="00C837DD">
        <w:rPr>
          <w:sz w:val="20"/>
          <w:szCs w:val="20"/>
        </w:rPr>
        <w:t xml:space="preserve">a </w:t>
      </w:r>
      <w:r w:rsidR="009366E5" w:rsidRPr="00C837DD">
        <w:rPr>
          <w:sz w:val="20"/>
          <w:szCs w:val="20"/>
        </w:rPr>
        <w:t>mandate</w:t>
      </w:r>
      <w:r w:rsidR="00F85D5F" w:rsidRPr="00C837DD">
        <w:rPr>
          <w:sz w:val="20"/>
          <w:szCs w:val="20"/>
        </w:rPr>
        <w:t xml:space="preserve"> </w:t>
      </w:r>
      <w:r w:rsidR="002E7F6C" w:rsidRPr="00C837DD">
        <w:rPr>
          <w:sz w:val="20"/>
          <w:szCs w:val="20"/>
        </w:rPr>
        <w:t xml:space="preserve">aimed at </w:t>
      </w:r>
      <w:r w:rsidR="005E7200" w:rsidRPr="00C837DD">
        <w:rPr>
          <w:sz w:val="20"/>
          <w:szCs w:val="20"/>
        </w:rPr>
        <w:t xml:space="preserve">ensuring </w:t>
      </w:r>
      <w:r w:rsidR="00F85D5F" w:rsidRPr="00C837DD">
        <w:rPr>
          <w:sz w:val="20"/>
          <w:szCs w:val="20"/>
        </w:rPr>
        <w:t>material</w:t>
      </w:r>
      <w:r w:rsidR="002E7F6C" w:rsidRPr="00C837DD">
        <w:rPr>
          <w:sz w:val="20"/>
          <w:szCs w:val="20"/>
        </w:rPr>
        <w:t xml:space="preserve"> equality</w:t>
      </w:r>
      <w:r w:rsidR="00F85D5F" w:rsidRPr="00C837DD">
        <w:rPr>
          <w:sz w:val="20"/>
          <w:szCs w:val="20"/>
        </w:rPr>
        <w:t xml:space="preserve">. Thus, the right to equality </w:t>
      </w:r>
      <w:r w:rsidR="005E7200" w:rsidRPr="00C837DD">
        <w:rPr>
          <w:sz w:val="20"/>
          <w:szCs w:val="20"/>
        </w:rPr>
        <w:t xml:space="preserve">established in </w:t>
      </w:r>
      <w:r w:rsidR="00014395" w:rsidRPr="00C837DD">
        <w:rPr>
          <w:sz w:val="20"/>
          <w:szCs w:val="20"/>
        </w:rPr>
        <w:t xml:space="preserve">said </w:t>
      </w:r>
      <w:r w:rsidR="00F85D5F" w:rsidRPr="00C837DD">
        <w:rPr>
          <w:sz w:val="20"/>
          <w:szCs w:val="20"/>
        </w:rPr>
        <w:t xml:space="preserve">provision </w:t>
      </w:r>
      <w:r w:rsidRPr="00C837DD">
        <w:rPr>
          <w:sz w:val="20"/>
          <w:szCs w:val="20"/>
        </w:rPr>
        <w:t xml:space="preserve">has a formal </w:t>
      </w:r>
      <w:r w:rsidR="00F85D5F" w:rsidRPr="00C837DD">
        <w:rPr>
          <w:sz w:val="20"/>
          <w:szCs w:val="20"/>
        </w:rPr>
        <w:t>dimension, which protects equality before the law, and a material or substantial</w:t>
      </w:r>
      <w:r w:rsidR="005E7200" w:rsidRPr="00C837DD">
        <w:rPr>
          <w:sz w:val="20"/>
          <w:szCs w:val="20"/>
        </w:rPr>
        <w:t xml:space="preserve"> dimension</w:t>
      </w:r>
      <w:r w:rsidR="00F85D5F" w:rsidRPr="00C837DD">
        <w:rPr>
          <w:sz w:val="20"/>
          <w:szCs w:val="20"/>
        </w:rPr>
        <w:t xml:space="preserve">, </w:t>
      </w:r>
      <w:r w:rsidR="005E7200" w:rsidRPr="00C837DD">
        <w:rPr>
          <w:sz w:val="20"/>
          <w:szCs w:val="20"/>
        </w:rPr>
        <w:t xml:space="preserve">which requires </w:t>
      </w:r>
      <w:r w:rsidR="00F85D5F" w:rsidRPr="00C837DD">
        <w:rPr>
          <w:sz w:val="20"/>
          <w:szCs w:val="20"/>
        </w:rPr>
        <w:t xml:space="preserve">“the adoption of positive measures in favor of groups that have historically </w:t>
      </w:r>
      <w:r w:rsidR="00EE789A" w:rsidRPr="00C837DD">
        <w:rPr>
          <w:sz w:val="20"/>
          <w:szCs w:val="20"/>
        </w:rPr>
        <w:t xml:space="preserve">been discriminated against or marginalized </w:t>
      </w:r>
      <w:r w:rsidR="00F85D5F" w:rsidRPr="00C837DD">
        <w:rPr>
          <w:sz w:val="20"/>
          <w:szCs w:val="20"/>
        </w:rPr>
        <w:t xml:space="preserve">due to the factors </w:t>
      </w:r>
      <w:r w:rsidR="00EE789A" w:rsidRPr="00C837DD">
        <w:rPr>
          <w:sz w:val="20"/>
          <w:szCs w:val="20"/>
        </w:rPr>
        <w:t xml:space="preserve">referred to </w:t>
      </w:r>
      <w:r w:rsidR="00F85D5F" w:rsidRPr="00C837DD">
        <w:rPr>
          <w:sz w:val="20"/>
          <w:szCs w:val="20"/>
        </w:rPr>
        <w:t>in Article 1(1) of the American Convention.”</w:t>
      </w:r>
      <w:r w:rsidR="00F85D5F" w:rsidRPr="00C837DD">
        <w:rPr>
          <w:vertAlign w:val="superscript"/>
        </w:rPr>
        <w:footnoteReference w:id="245"/>
      </w:r>
    </w:p>
    <w:p w14:paraId="4EC24AA6" w14:textId="77777777" w:rsidR="00F85D5F" w:rsidRPr="00C837DD" w:rsidRDefault="00F85D5F" w:rsidP="00F85D5F">
      <w:pPr>
        <w:pStyle w:val="Prrafodelista"/>
        <w:tabs>
          <w:tab w:val="left" w:pos="142"/>
        </w:tabs>
        <w:ind w:left="0"/>
        <w:rPr>
          <w:sz w:val="20"/>
          <w:szCs w:val="20"/>
        </w:rPr>
      </w:pPr>
    </w:p>
    <w:p w14:paraId="0EB6A5D0" w14:textId="45071FC8"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Convention on the </w:t>
      </w:r>
      <w:r w:rsidR="00EE789A" w:rsidRPr="00C837DD">
        <w:rPr>
          <w:sz w:val="20"/>
          <w:szCs w:val="20"/>
        </w:rPr>
        <w:t>E</w:t>
      </w:r>
      <w:r w:rsidRPr="00C837DD">
        <w:rPr>
          <w:sz w:val="20"/>
          <w:szCs w:val="20"/>
        </w:rPr>
        <w:t xml:space="preserve">limination of </w:t>
      </w:r>
      <w:r w:rsidR="00EE789A" w:rsidRPr="00C837DD">
        <w:rPr>
          <w:sz w:val="20"/>
          <w:szCs w:val="20"/>
        </w:rPr>
        <w:t>A</w:t>
      </w:r>
      <w:r w:rsidRPr="00C837DD">
        <w:rPr>
          <w:sz w:val="20"/>
          <w:szCs w:val="20"/>
        </w:rPr>
        <w:t xml:space="preserve">ll </w:t>
      </w:r>
      <w:r w:rsidR="00EE789A" w:rsidRPr="00C837DD">
        <w:rPr>
          <w:sz w:val="20"/>
          <w:szCs w:val="20"/>
        </w:rPr>
        <w:t>F</w:t>
      </w:r>
      <w:r w:rsidRPr="00C837DD">
        <w:rPr>
          <w:sz w:val="20"/>
          <w:szCs w:val="20"/>
        </w:rPr>
        <w:t xml:space="preserve">orms of </w:t>
      </w:r>
      <w:r w:rsidR="00EE789A" w:rsidRPr="00C837DD">
        <w:rPr>
          <w:sz w:val="20"/>
          <w:szCs w:val="20"/>
        </w:rPr>
        <w:t>D</w:t>
      </w:r>
      <w:r w:rsidRPr="00C837DD">
        <w:rPr>
          <w:sz w:val="20"/>
          <w:szCs w:val="20"/>
        </w:rPr>
        <w:t xml:space="preserve">iscrimination against </w:t>
      </w:r>
      <w:r w:rsidR="00EE789A" w:rsidRPr="00C837DD">
        <w:rPr>
          <w:sz w:val="20"/>
          <w:szCs w:val="20"/>
        </w:rPr>
        <w:t>W</w:t>
      </w:r>
      <w:r w:rsidRPr="00C837DD">
        <w:rPr>
          <w:sz w:val="20"/>
          <w:szCs w:val="20"/>
        </w:rPr>
        <w:t xml:space="preserve">omen </w:t>
      </w:r>
      <w:r w:rsidR="00014395" w:rsidRPr="00C837DD">
        <w:rPr>
          <w:sz w:val="20"/>
          <w:szCs w:val="20"/>
        </w:rPr>
        <w:t xml:space="preserve">establishes </w:t>
      </w:r>
      <w:r w:rsidRPr="00C837DD">
        <w:rPr>
          <w:sz w:val="20"/>
          <w:szCs w:val="20"/>
        </w:rPr>
        <w:t xml:space="preserve">the obligation of </w:t>
      </w:r>
      <w:r w:rsidR="008A24E5" w:rsidRPr="00C837DD">
        <w:rPr>
          <w:sz w:val="20"/>
          <w:szCs w:val="20"/>
        </w:rPr>
        <w:t>States Parties to “modify</w:t>
      </w:r>
      <w:r w:rsidRPr="00C837DD">
        <w:rPr>
          <w:sz w:val="20"/>
          <w:szCs w:val="20"/>
        </w:rPr>
        <w:t xml:space="preserve"> </w:t>
      </w:r>
      <w:r w:rsidR="00EE789A" w:rsidRPr="00C837DD">
        <w:rPr>
          <w:sz w:val="20"/>
          <w:szCs w:val="20"/>
        </w:rPr>
        <w:t xml:space="preserve">the </w:t>
      </w:r>
      <w:r w:rsidRPr="00C837DD">
        <w:rPr>
          <w:sz w:val="20"/>
          <w:szCs w:val="20"/>
        </w:rPr>
        <w:t>soci</w:t>
      </w:r>
      <w:r w:rsidR="00601121" w:rsidRPr="00C837DD">
        <w:rPr>
          <w:sz w:val="20"/>
          <w:szCs w:val="20"/>
        </w:rPr>
        <w:t xml:space="preserve">al and </w:t>
      </w:r>
      <w:r w:rsidRPr="00C837DD">
        <w:rPr>
          <w:sz w:val="20"/>
          <w:szCs w:val="20"/>
        </w:rPr>
        <w:t xml:space="preserve">cultural patterns of </w:t>
      </w:r>
      <w:r w:rsidR="00601121" w:rsidRPr="00C837DD">
        <w:rPr>
          <w:sz w:val="20"/>
          <w:szCs w:val="20"/>
        </w:rPr>
        <w:t xml:space="preserve">conduct </w:t>
      </w:r>
      <w:r w:rsidRPr="00C837DD">
        <w:rPr>
          <w:sz w:val="20"/>
          <w:szCs w:val="20"/>
        </w:rPr>
        <w:t xml:space="preserve">of men and women, with </w:t>
      </w:r>
      <w:r w:rsidR="00014395" w:rsidRPr="00C837DD">
        <w:rPr>
          <w:sz w:val="20"/>
          <w:szCs w:val="20"/>
        </w:rPr>
        <w:t xml:space="preserve">a view to achieving </w:t>
      </w:r>
      <w:r w:rsidRPr="00C837DD">
        <w:rPr>
          <w:sz w:val="20"/>
          <w:szCs w:val="20"/>
        </w:rPr>
        <w:t xml:space="preserve">the elimination of </w:t>
      </w:r>
      <w:r w:rsidR="00601121" w:rsidRPr="00C837DD">
        <w:rPr>
          <w:color w:val="000000"/>
          <w:sz w:val="19"/>
          <w:szCs w:val="19"/>
          <w:shd w:val="clear" w:color="auto" w:fill="FFFFFF"/>
        </w:rPr>
        <w:t>prejudices and customary and all other practices which are based on the idea of the inferiority or the superiority of either of the sexes or on stereotyped roles for men and women</w:t>
      </w:r>
      <w:r w:rsidRPr="00C837DD">
        <w:rPr>
          <w:sz w:val="20"/>
          <w:szCs w:val="20"/>
        </w:rPr>
        <w:t>.”</w:t>
      </w:r>
      <w:r w:rsidRPr="00C837DD">
        <w:rPr>
          <w:rStyle w:val="Refdenotaalpie"/>
          <w:sz w:val="20"/>
          <w:szCs w:val="20"/>
        </w:rPr>
        <w:t xml:space="preserve"> </w:t>
      </w:r>
      <w:r w:rsidRPr="00C837DD">
        <w:rPr>
          <w:rStyle w:val="Refdenotaalpie"/>
          <w:sz w:val="20"/>
          <w:szCs w:val="20"/>
        </w:rPr>
        <w:footnoteReference w:id="246"/>
      </w:r>
      <w:r w:rsidRPr="00C837DD">
        <w:rPr>
          <w:sz w:val="20"/>
          <w:szCs w:val="20"/>
        </w:rPr>
        <w:t xml:space="preserve"> On th</w:t>
      </w:r>
      <w:r w:rsidR="00571802" w:rsidRPr="00C837DD">
        <w:rPr>
          <w:sz w:val="20"/>
          <w:szCs w:val="20"/>
        </w:rPr>
        <w:t>is point</w:t>
      </w:r>
      <w:r w:rsidRPr="00C837DD">
        <w:rPr>
          <w:sz w:val="20"/>
          <w:szCs w:val="20"/>
        </w:rPr>
        <w:t xml:space="preserve">, the CEDAW Committee </w:t>
      </w:r>
      <w:r w:rsidR="00571802" w:rsidRPr="00C837DD">
        <w:rPr>
          <w:sz w:val="20"/>
          <w:szCs w:val="20"/>
        </w:rPr>
        <w:t xml:space="preserve">has stated </w:t>
      </w:r>
      <w:r w:rsidRPr="00C837DD">
        <w:rPr>
          <w:sz w:val="20"/>
          <w:szCs w:val="20"/>
        </w:rPr>
        <w:t xml:space="preserve">that the presence of gender stereotypes in the judicial system </w:t>
      </w:r>
      <w:r w:rsidR="0028410E" w:rsidRPr="00C837DD">
        <w:rPr>
          <w:sz w:val="20"/>
          <w:szCs w:val="20"/>
        </w:rPr>
        <w:t xml:space="preserve">severely impacts </w:t>
      </w:r>
      <w:r w:rsidR="00581481" w:rsidRPr="00C837DD">
        <w:rPr>
          <w:sz w:val="20"/>
          <w:szCs w:val="20"/>
        </w:rPr>
        <w:t xml:space="preserve">the full enjoyment of </w:t>
      </w:r>
      <w:r w:rsidRPr="00C837DD">
        <w:rPr>
          <w:sz w:val="20"/>
          <w:szCs w:val="20"/>
        </w:rPr>
        <w:t xml:space="preserve">women’s human rights, </w:t>
      </w:r>
      <w:r w:rsidR="00571802" w:rsidRPr="00C837DD">
        <w:rPr>
          <w:sz w:val="20"/>
          <w:szCs w:val="20"/>
        </w:rPr>
        <w:t xml:space="preserve">given </w:t>
      </w:r>
      <w:r w:rsidR="00581481" w:rsidRPr="00C837DD">
        <w:rPr>
          <w:sz w:val="20"/>
          <w:szCs w:val="20"/>
        </w:rPr>
        <w:t xml:space="preserve">that </w:t>
      </w:r>
      <w:r w:rsidR="00601121" w:rsidRPr="00C837DD">
        <w:rPr>
          <w:sz w:val="20"/>
          <w:szCs w:val="20"/>
        </w:rPr>
        <w:t xml:space="preserve">these </w:t>
      </w:r>
      <w:r w:rsidR="00581481" w:rsidRPr="00C837DD">
        <w:rPr>
          <w:sz w:val="20"/>
          <w:szCs w:val="20"/>
        </w:rPr>
        <w:t>“</w:t>
      </w:r>
      <w:r w:rsidR="00601121" w:rsidRPr="00C837DD">
        <w:rPr>
          <w:sz w:val="20"/>
          <w:szCs w:val="20"/>
        </w:rPr>
        <w:t>impede women’s access to justice in all areas of law, and may particularly impact women victims and survivors of violence</w:t>
      </w:r>
      <w:r w:rsidRPr="00C837DD">
        <w:rPr>
          <w:sz w:val="20"/>
          <w:szCs w:val="20"/>
        </w:rPr>
        <w:t>.”</w:t>
      </w:r>
      <w:r w:rsidRPr="00C837DD">
        <w:rPr>
          <w:rStyle w:val="Refdenotaalpie"/>
          <w:sz w:val="20"/>
          <w:szCs w:val="20"/>
        </w:rPr>
        <w:footnoteReference w:id="247"/>
      </w:r>
      <w:r w:rsidRPr="00C837DD">
        <w:rPr>
          <w:sz w:val="20"/>
          <w:szCs w:val="20"/>
        </w:rPr>
        <w:t xml:space="preserve"> </w:t>
      </w:r>
    </w:p>
    <w:p w14:paraId="1003D86F" w14:textId="77777777" w:rsidR="00F85D5F" w:rsidRPr="00C837DD" w:rsidRDefault="00F85D5F" w:rsidP="00F85D5F">
      <w:pPr>
        <w:pStyle w:val="Prrafodelista"/>
        <w:rPr>
          <w:sz w:val="20"/>
          <w:szCs w:val="20"/>
        </w:rPr>
      </w:pPr>
    </w:p>
    <w:p w14:paraId="7E92D2D1" w14:textId="6F15636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the inter-American sphere, the </w:t>
      </w:r>
      <w:r w:rsidR="001623FE" w:rsidRPr="00C837DD">
        <w:rPr>
          <w:sz w:val="20"/>
          <w:szCs w:val="20"/>
        </w:rPr>
        <w:t xml:space="preserve">preamble of the </w:t>
      </w:r>
      <w:r w:rsidRPr="00C837DD">
        <w:rPr>
          <w:sz w:val="20"/>
          <w:szCs w:val="20"/>
        </w:rPr>
        <w:t xml:space="preserve">Belém do Pará </w:t>
      </w:r>
      <w:r w:rsidR="00581481" w:rsidRPr="00C837DD">
        <w:rPr>
          <w:sz w:val="20"/>
          <w:szCs w:val="20"/>
        </w:rPr>
        <w:t xml:space="preserve">Convention </w:t>
      </w:r>
      <w:r w:rsidRPr="00C837DD">
        <w:rPr>
          <w:sz w:val="20"/>
          <w:szCs w:val="20"/>
        </w:rPr>
        <w:t>s</w:t>
      </w:r>
      <w:r w:rsidR="001623FE" w:rsidRPr="00C837DD">
        <w:rPr>
          <w:sz w:val="20"/>
          <w:szCs w:val="20"/>
        </w:rPr>
        <w:t xml:space="preserve">tates </w:t>
      </w:r>
      <w:r w:rsidRPr="00C837DD">
        <w:rPr>
          <w:sz w:val="20"/>
          <w:szCs w:val="20"/>
        </w:rPr>
        <w:t xml:space="preserve">that </w:t>
      </w:r>
      <w:r w:rsidR="001623FE" w:rsidRPr="00C837DD">
        <w:rPr>
          <w:sz w:val="20"/>
          <w:szCs w:val="20"/>
        </w:rPr>
        <w:t>v</w:t>
      </w:r>
      <w:r w:rsidRPr="00C837DD">
        <w:rPr>
          <w:sz w:val="20"/>
          <w:szCs w:val="20"/>
        </w:rPr>
        <w:t xml:space="preserve">iolence against women is “a manifestation of the historically unequal relations of power between women and men” and, in addition, </w:t>
      </w:r>
      <w:r w:rsidR="00B90902">
        <w:rPr>
          <w:sz w:val="20"/>
          <w:szCs w:val="20"/>
        </w:rPr>
        <w:t xml:space="preserve">it </w:t>
      </w:r>
      <w:r w:rsidRPr="00C837DD">
        <w:rPr>
          <w:bCs/>
          <w:sz w:val="20"/>
          <w:szCs w:val="20"/>
        </w:rPr>
        <w:t>recognizes that the right of every woman to a life free of violence includes the right to be free from all forms of discrimination.</w:t>
      </w:r>
      <w:r w:rsidRPr="00C837DD">
        <w:rPr>
          <w:sz w:val="20"/>
          <w:szCs w:val="20"/>
          <w:vertAlign w:val="superscript"/>
        </w:rPr>
        <w:footnoteReference w:id="248"/>
      </w:r>
      <w:r w:rsidRPr="00C837DD">
        <w:rPr>
          <w:sz w:val="20"/>
          <w:szCs w:val="20"/>
        </w:rPr>
        <w:t xml:space="preserve"> </w:t>
      </w:r>
    </w:p>
    <w:p w14:paraId="61AE9A7A" w14:textId="77777777" w:rsidR="00F85D5F" w:rsidRPr="00C837DD" w:rsidRDefault="00F85D5F" w:rsidP="00F85D5F">
      <w:pPr>
        <w:pStyle w:val="Prrafodelista"/>
        <w:tabs>
          <w:tab w:val="left" w:pos="142"/>
        </w:tabs>
        <w:ind w:left="0"/>
        <w:rPr>
          <w:sz w:val="20"/>
          <w:szCs w:val="20"/>
        </w:rPr>
      </w:pPr>
    </w:p>
    <w:p w14:paraId="02693296" w14:textId="5C411EAE"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In the case of</w:t>
      </w:r>
      <w:r w:rsidRPr="00C837DD">
        <w:rPr>
          <w:i/>
          <w:sz w:val="20"/>
          <w:szCs w:val="20"/>
        </w:rPr>
        <w:t xml:space="preserve"> Velásquez Paiz et al. v. Guatemala</w:t>
      </w:r>
      <w:r w:rsidR="00581481" w:rsidRPr="00C837DD">
        <w:rPr>
          <w:sz w:val="20"/>
          <w:szCs w:val="20"/>
        </w:rPr>
        <w:t>, the Court reiterate</w:t>
      </w:r>
      <w:r w:rsidR="002B101C" w:rsidRPr="00C837DD">
        <w:rPr>
          <w:sz w:val="20"/>
          <w:szCs w:val="20"/>
        </w:rPr>
        <w:t>d</w:t>
      </w:r>
      <w:r w:rsidRPr="00C837DD">
        <w:rPr>
          <w:sz w:val="20"/>
          <w:szCs w:val="20"/>
        </w:rPr>
        <w:t xml:space="preserve"> that gender stereotypes refer to a </w:t>
      </w:r>
      <w:r w:rsidR="002B101C" w:rsidRPr="00C837DD">
        <w:rPr>
          <w:sz w:val="20"/>
          <w:szCs w:val="20"/>
        </w:rPr>
        <w:t>preconception of the respective attributes, conduct</w:t>
      </w:r>
      <w:r w:rsidR="00B90902">
        <w:rPr>
          <w:sz w:val="20"/>
          <w:szCs w:val="20"/>
        </w:rPr>
        <w:t>s,</w:t>
      </w:r>
      <w:r w:rsidR="002B101C" w:rsidRPr="00C837DD">
        <w:rPr>
          <w:sz w:val="20"/>
          <w:szCs w:val="20"/>
        </w:rPr>
        <w:t xml:space="preserve"> characteristics or roles that are</w:t>
      </w:r>
      <w:r w:rsidR="00B90902">
        <w:rPr>
          <w:sz w:val="20"/>
          <w:szCs w:val="20"/>
        </w:rPr>
        <w:t>,</w:t>
      </w:r>
      <w:r w:rsidR="002B101C" w:rsidRPr="00C837DD">
        <w:rPr>
          <w:sz w:val="20"/>
          <w:szCs w:val="20"/>
        </w:rPr>
        <w:t xml:space="preserve"> or should be</w:t>
      </w:r>
      <w:r w:rsidR="00B90902">
        <w:rPr>
          <w:sz w:val="20"/>
          <w:szCs w:val="20"/>
        </w:rPr>
        <w:t>,</w:t>
      </w:r>
      <w:r w:rsidR="002B101C" w:rsidRPr="00C837DD">
        <w:rPr>
          <w:sz w:val="20"/>
          <w:szCs w:val="20"/>
        </w:rPr>
        <w:t xml:space="preserve"> played by men and women</w:t>
      </w:r>
      <w:r w:rsidRPr="00C837DD">
        <w:rPr>
          <w:sz w:val="20"/>
          <w:szCs w:val="20"/>
        </w:rPr>
        <w:t>,</w:t>
      </w:r>
      <w:r w:rsidRPr="00C837DD">
        <w:rPr>
          <w:rStyle w:val="Refdenotaalpie"/>
          <w:sz w:val="20"/>
          <w:szCs w:val="20"/>
        </w:rPr>
        <w:footnoteReference w:id="249"/>
      </w:r>
      <w:r w:rsidRPr="00C837DD">
        <w:rPr>
          <w:sz w:val="20"/>
          <w:szCs w:val="20"/>
        </w:rPr>
        <w:t xml:space="preserve"> </w:t>
      </w:r>
      <w:r w:rsidR="002B101C" w:rsidRPr="00C837DD">
        <w:rPr>
          <w:sz w:val="20"/>
          <w:szCs w:val="20"/>
        </w:rPr>
        <w:t xml:space="preserve">and that it is possible to associate </w:t>
      </w:r>
      <w:r w:rsidR="002B101C" w:rsidRPr="00C837DD">
        <w:rPr>
          <w:sz w:val="20"/>
          <w:szCs w:val="20"/>
        </w:rPr>
        <w:lastRenderedPageBreak/>
        <w:t>the subordination of women to practices based on socially-dominant and socially-persistent gender stereotypes</w:t>
      </w:r>
      <w:r w:rsidRPr="00C837DD">
        <w:rPr>
          <w:sz w:val="20"/>
          <w:szCs w:val="20"/>
        </w:rPr>
        <w:t xml:space="preserve">. </w:t>
      </w:r>
      <w:r w:rsidR="00247668" w:rsidRPr="00C837DD">
        <w:rPr>
          <w:sz w:val="20"/>
          <w:szCs w:val="20"/>
        </w:rPr>
        <w:t>In this regard, their conception and use becomes one of the causes and consequences of gender-based violence against women, conditions that are exacerbated when they are reflected, implicitly or explicitly, in policies and practices, and particularly in the reasoning and language of the State authorities</w:t>
      </w:r>
      <w:r w:rsidRPr="00C837DD">
        <w:rPr>
          <w:sz w:val="20"/>
          <w:szCs w:val="20"/>
        </w:rPr>
        <w:t>.</w:t>
      </w:r>
      <w:r w:rsidRPr="00C837DD">
        <w:rPr>
          <w:rStyle w:val="Refdenotaalpie"/>
          <w:sz w:val="20"/>
          <w:szCs w:val="20"/>
        </w:rPr>
        <w:footnoteReference w:id="250"/>
      </w:r>
    </w:p>
    <w:p w14:paraId="18C64610" w14:textId="77777777" w:rsidR="00F85D5F" w:rsidRPr="00C837DD" w:rsidRDefault="00F85D5F" w:rsidP="00F85D5F">
      <w:pPr>
        <w:pStyle w:val="Prrafodelista"/>
        <w:tabs>
          <w:tab w:val="left" w:pos="142"/>
        </w:tabs>
        <w:ind w:left="0"/>
        <w:rPr>
          <w:sz w:val="20"/>
          <w:szCs w:val="20"/>
        </w:rPr>
      </w:pPr>
    </w:p>
    <w:p w14:paraId="097A95AE" w14:textId="62EA4758"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particular, the Court has recognized that personal prejudices and gender stereotypes affect the objectivity of State officials in charge of investigating complaints </w:t>
      </w:r>
      <w:r w:rsidR="00B90902">
        <w:rPr>
          <w:sz w:val="20"/>
          <w:szCs w:val="20"/>
        </w:rPr>
        <w:t xml:space="preserve">submitted </w:t>
      </w:r>
      <w:r w:rsidR="00581481" w:rsidRPr="00C837DD">
        <w:rPr>
          <w:sz w:val="20"/>
          <w:szCs w:val="20"/>
        </w:rPr>
        <w:t>to them</w:t>
      </w:r>
      <w:r w:rsidRPr="00C837DD">
        <w:rPr>
          <w:sz w:val="20"/>
          <w:szCs w:val="20"/>
        </w:rPr>
        <w:t xml:space="preserve">, influencing their perception </w:t>
      </w:r>
      <w:r w:rsidR="00F62581" w:rsidRPr="00C837DD">
        <w:rPr>
          <w:sz w:val="20"/>
          <w:szCs w:val="20"/>
        </w:rPr>
        <w:t xml:space="preserve">in determining </w:t>
      </w:r>
      <w:r w:rsidRPr="00C837DD">
        <w:rPr>
          <w:sz w:val="20"/>
          <w:szCs w:val="20"/>
        </w:rPr>
        <w:t xml:space="preserve">whether or not an act of violence occurred, </w:t>
      </w:r>
      <w:r w:rsidR="00F62581" w:rsidRPr="00C837DD">
        <w:rPr>
          <w:sz w:val="20"/>
          <w:szCs w:val="20"/>
        </w:rPr>
        <w:t xml:space="preserve">and </w:t>
      </w:r>
      <w:r w:rsidR="009B745E" w:rsidRPr="00C837DD">
        <w:rPr>
          <w:sz w:val="20"/>
          <w:szCs w:val="20"/>
        </w:rPr>
        <w:t xml:space="preserve">their assessment </w:t>
      </w:r>
      <w:r w:rsidRPr="00C837DD">
        <w:rPr>
          <w:sz w:val="20"/>
          <w:szCs w:val="20"/>
        </w:rPr>
        <w:t xml:space="preserve">of the credibility of witnesses and of the victim herself. </w:t>
      </w:r>
      <w:r w:rsidR="009B745E" w:rsidRPr="00C837DD">
        <w:rPr>
          <w:sz w:val="20"/>
          <w:szCs w:val="20"/>
        </w:rPr>
        <w:t>Such s</w:t>
      </w:r>
      <w:r w:rsidRPr="00C837DD">
        <w:rPr>
          <w:sz w:val="20"/>
          <w:szCs w:val="20"/>
        </w:rPr>
        <w:t>tereotyp</w:t>
      </w:r>
      <w:r w:rsidR="009B745E" w:rsidRPr="00C837DD">
        <w:rPr>
          <w:sz w:val="20"/>
          <w:szCs w:val="20"/>
        </w:rPr>
        <w:t xml:space="preserve">ing </w:t>
      </w:r>
      <w:r w:rsidRPr="00C837DD">
        <w:rPr>
          <w:sz w:val="20"/>
          <w:szCs w:val="20"/>
        </w:rPr>
        <w:t>“distort</w:t>
      </w:r>
      <w:r w:rsidR="009B745E" w:rsidRPr="00C837DD">
        <w:rPr>
          <w:sz w:val="20"/>
          <w:szCs w:val="20"/>
        </w:rPr>
        <w:t>s</w:t>
      </w:r>
      <w:r w:rsidRPr="00C837DD">
        <w:rPr>
          <w:sz w:val="20"/>
          <w:szCs w:val="20"/>
        </w:rPr>
        <w:t xml:space="preserve"> perceptions and </w:t>
      </w:r>
      <w:r w:rsidR="009B745E" w:rsidRPr="00C837DD">
        <w:rPr>
          <w:sz w:val="20"/>
          <w:szCs w:val="20"/>
        </w:rPr>
        <w:t xml:space="preserve">results in </w:t>
      </w:r>
      <w:r w:rsidRPr="00C837DD">
        <w:rPr>
          <w:sz w:val="20"/>
          <w:szCs w:val="20"/>
        </w:rPr>
        <w:t xml:space="preserve">decisions based on preconceived </w:t>
      </w:r>
      <w:r w:rsidR="000C0A25" w:rsidRPr="00C837DD">
        <w:rPr>
          <w:sz w:val="20"/>
          <w:szCs w:val="20"/>
        </w:rPr>
        <w:t xml:space="preserve">beliefs </w:t>
      </w:r>
      <w:r w:rsidRPr="00C837DD">
        <w:rPr>
          <w:sz w:val="20"/>
          <w:szCs w:val="20"/>
        </w:rPr>
        <w:t xml:space="preserve">and myths, </w:t>
      </w:r>
      <w:r w:rsidR="009B745E" w:rsidRPr="00C837DD">
        <w:rPr>
          <w:sz w:val="20"/>
          <w:szCs w:val="20"/>
        </w:rPr>
        <w:t xml:space="preserve">rather that relevant </w:t>
      </w:r>
      <w:r w:rsidRPr="00C837DD">
        <w:rPr>
          <w:sz w:val="20"/>
          <w:szCs w:val="20"/>
        </w:rPr>
        <w:t>facts,” which in turn may give rise to the denial of justice, and the revictimization of the complainants.</w:t>
      </w:r>
      <w:r w:rsidRPr="00C837DD">
        <w:rPr>
          <w:sz w:val="20"/>
          <w:szCs w:val="20"/>
          <w:vertAlign w:val="superscript"/>
        </w:rPr>
        <w:footnoteReference w:id="251"/>
      </w:r>
    </w:p>
    <w:p w14:paraId="3ECCF1BA" w14:textId="77777777" w:rsidR="00F85D5F" w:rsidRPr="00C837DD" w:rsidRDefault="00F85D5F" w:rsidP="00F85D5F">
      <w:pPr>
        <w:pStyle w:val="Prrafodelista"/>
        <w:tabs>
          <w:tab w:val="left" w:pos="142"/>
        </w:tabs>
        <w:ind w:left="0"/>
        <w:rPr>
          <w:sz w:val="20"/>
          <w:szCs w:val="20"/>
        </w:rPr>
      </w:pPr>
    </w:p>
    <w:p w14:paraId="57624B47" w14:textId="5AB0EFB4"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 Court has already expressed its position</w:t>
      </w:r>
      <w:r w:rsidR="002E7F6C" w:rsidRPr="00C837DD">
        <w:rPr>
          <w:sz w:val="20"/>
          <w:szCs w:val="20"/>
        </w:rPr>
        <w:t xml:space="preserve"> </w:t>
      </w:r>
      <w:r w:rsidRPr="00C837DD">
        <w:rPr>
          <w:sz w:val="20"/>
          <w:szCs w:val="20"/>
        </w:rPr>
        <w:t xml:space="preserve">on the importance of recognizing, </w:t>
      </w:r>
      <w:r w:rsidR="00F62581" w:rsidRPr="00C837DD">
        <w:rPr>
          <w:sz w:val="20"/>
          <w:szCs w:val="20"/>
        </w:rPr>
        <w:t xml:space="preserve">making visible and rejecting gender stereotypes which, </w:t>
      </w:r>
      <w:r w:rsidRPr="00C837DD">
        <w:rPr>
          <w:sz w:val="20"/>
          <w:szCs w:val="20"/>
        </w:rPr>
        <w:t>in cases of violence against women</w:t>
      </w:r>
      <w:r w:rsidR="00F62581" w:rsidRPr="00C837DD">
        <w:rPr>
          <w:sz w:val="20"/>
          <w:szCs w:val="20"/>
        </w:rPr>
        <w:t>, often result in</w:t>
      </w:r>
      <w:r w:rsidRPr="00C837DD">
        <w:rPr>
          <w:sz w:val="20"/>
          <w:szCs w:val="20"/>
        </w:rPr>
        <w:t xml:space="preserve"> the victims </w:t>
      </w:r>
      <w:r w:rsidR="00F62581" w:rsidRPr="00C837DD">
        <w:rPr>
          <w:sz w:val="20"/>
          <w:szCs w:val="20"/>
        </w:rPr>
        <w:t xml:space="preserve">being associated with the </w:t>
      </w:r>
      <w:r w:rsidRPr="00C837DD">
        <w:rPr>
          <w:sz w:val="20"/>
          <w:szCs w:val="20"/>
        </w:rPr>
        <w:t xml:space="preserve">profile of a </w:t>
      </w:r>
      <w:r w:rsidR="00F62581" w:rsidRPr="00C837DD">
        <w:rPr>
          <w:sz w:val="20"/>
          <w:szCs w:val="20"/>
        </w:rPr>
        <w:t xml:space="preserve">gang member </w:t>
      </w:r>
      <w:r w:rsidRPr="00C837DD">
        <w:rPr>
          <w:sz w:val="20"/>
          <w:szCs w:val="20"/>
        </w:rPr>
        <w:t xml:space="preserve">and/or a prostitute </w:t>
      </w:r>
      <w:r w:rsidR="00F62581" w:rsidRPr="00C837DD">
        <w:rPr>
          <w:sz w:val="20"/>
          <w:szCs w:val="20"/>
        </w:rPr>
        <w:t>or a “whore”</w:t>
      </w:r>
      <w:r w:rsidRPr="00C837DD">
        <w:rPr>
          <w:sz w:val="20"/>
          <w:szCs w:val="20"/>
        </w:rPr>
        <w:t xml:space="preserve">, </w:t>
      </w:r>
      <w:r w:rsidR="004E2AB1" w:rsidRPr="00C837DD">
        <w:rPr>
          <w:sz w:val="20"/>
          <w:szCs w:val="20"/>
        </w:rPr>
        <w:t xml:space="preserve">and </w:t>
      </w:r>
      <w:r w:rsidR="00363A98">
        <w:rPr>
          <w:sz w:val="20"/>
          <w:szCs w:val="20"/>
        </w:rPr>
        <w:t xml:space="preserve">are </w:t>
      </w:r>
      <w:r w:rsidR="004E2AB1" w:rsidRPr="00C837DD">
        <w:rPr>
          <w:sz w:val="20"/>
          <w:szCs w:val="20"/>
        </w:rPr>
        <w:t>not considered important enough to be investigated, making the woman responsible or deserving of having been attacked</w:t>
      </w:r>
      <w:r w:rsidRPr="00C837DD">
        <w:rPr>
          <w:sz w:val="20"/>
          <w:szCs w:val="20"/>
        </w:rPr>
        <w:t xml:space="preserve">. In this </w:t>
      </w:r>
      <w:r w:rsidR="00363A98">
        <w:rPr>
          <w:sz w:val="20"/>
          <w:szCs w:val="20"/>
        </w:rPr>
        <w:t>regard</w:t>
      </w:r>
      <w:r w:rsidRPr="00C837DD">
        <w:rPr>
          <w:sz w:val="20"/>
          <w:szCs w:val="20"/>
        </w:rPr>
        <w:t xml:space="preserve">, it has rejected </w:t>
      </w:r>
      <w:r w:rsidR="00AC4729" w:rsidRPr="00C837DD">
        <w:rPr>
          <w:sz w:val="20"/>
          <w:szCs w:val="20"/>
        </w:rPr>
        <w:t>any State practice that justifies violence against women and blames them for it, since assessments of this nature show a discretionary and discriminatory criterion based on the origin, condition and/or behavior of the victim simply because she is a woman.</w:t>
      </w:r>
      <w:r w:rsidRPr="00C837DD">
        <w:rPr>
          <w:sz w:val="20"/>
          <w:szCs w:val="20"/>
        </w:rPr>
        <w:t xml:space="preserve"> Consequently, </w:t>
      </w:r>
      <w:r w:rsidR="00AC4729" w:rsidRPr="00C837DD">
        <w:rPr>
          <w:sz w:val="20"/>
          <w:szCs w:val="20"/>
        </w:rPr>
        <w:t>the Court has considered that these harmful or prejudicial gender stereotypes are incompatible with international human rights law and that measures must be taken to eradicate them wherever they occur</w:t>
      </w:r>
      <w:r w:rsidRPr="00C837DD">
        <w:rPr>
          <w:sz w:val="20"/>
          <w:szCs w:val="20"/>
        </w:rPr>
        <w:t>.</w:t>
      </w:r>
      <w:r w:rsidRPr="00C837DD">
        <w:rPr>
          <w:rStyle w:val="Refdenotaalpie"/>
          <w:sz w:val="20"/>
          <w:szCs w:val="20"/>
        </w:rPr>
        <w:footnoteReference w:id="252"/>
      </w:r>
    </w:p>
    <w:p w14:paraId="70EED368" w14:textId="77777777" w:rsidR="00F85D5F" w:rsidRPr="00C837DD" w:rsidRDefault="00F85D5F" w:rsidP="00F85D5F">
      <w:pPr>
        <w:pStyle w:val="Prrafodelista"/>
        <w:tabs>
          <w:tab w:val="left" w:pos="142"/>
        </w:tabs>
        <w:ind w:left="0"/>
        <w:rPr>
          <w:sz w:val="20"/>
          <w:szCs w:val="20"/>
        </w:rPr>
      </w:pPr>
    </w:p>
    <w:p w14:paraId="15313D36" w14:textId="5C5CD2F0"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the case </w:t>
      </w:r>
      <w:r w:rsidRPr="00C837DD">
        <w:rPr>
          <w:i/>
          <w:sz w:val="20"/>
          <w:szCs w:val="20"/>
        </w:rPr>
        <w:t>sub judice</w:t>
      </w:r>
      <w:r w:rsidRPr="00C837DD">
        <w:rPr>
          <w:sz w:val="20"/>
          <w:szCs w:val="20"/>
        </w:rPr>
        <w:t>,</w:t>
      </w:r>
      <w:r w:rsidR="00510F1A" w:rsidRPr="00C837DD">
        <w:rPr>
          <w:sz w:val="20"/>
          <w:szCs w:val="20"/>
        </w:rPr>
        <w:t xml:space="preserve"> </w:t>
      </w:r>
      <w:r w:rsidRPr="00C837DD">
        <w:rPr>
          <w:sz w:val="20"/>
          <w:szCs w:val="20"/>
        </w:rPr>
        <w:t xml:space="preserve">the Court </w:t>
      </w:r>
      <w:r w:rsidR="00014395" w:rsidRPr="00C837DD">
        <w:rPr>
          <w:sz w:val="20"/>
          <w:szCs w:val="20"/>
        </w:rPr>
        <w:t xml:space="preserve">finds </w:t>
      </w:r>
      <w:r w:rsidRPr="00C837DD">
        <w:rPr>
          <w:sz w:val="20"/>
          <w:szCs w:val="20"/>
        </w:rPr>
        <w:t xml:space="preserve">that </w:t>
      </w:r>
      <w:r w:rsidR="001A2A97" w:rsidRPr="00C837DD">
        <w:rPr>
          <w:sz w:val="20"/>
          <w:szCs w:val="20"/>
        </w:rPr>
        <w:t xml:space="preserve">there was an intention </w:t>
      </w:r>
      <w:r w:rsidR="00E92BB7" w:rsidRPr="00C837DD">
        <w:rPr>
          <w:sz w:val="20"/>
          <w:szCs w:val="20"/>
        </w:rPr>
        <w:t xml:space="preserve"> to devalue the victim by neutralizing </w:t>
      </w:r>
      <w:r w:rsidR="00363A98">
        <w:rPr>
          <w:sz w:val="20"/>
          <w:szCs w:val="20"/>
        </w:rPr>
        <w:t xml:space="preserve">her </w:t>
      </w:r>
      <w:r w:rsidR="00E92BB7" w:rsidRPr="00C837DD">
        <w:rPr>
          <w:sz w:val="20"/>
          <w:szCs w:val="20"/>
        </w:rPr>
        <w:t>value. Indeed, throughout the investigation and criminal proceedings, the behavior and sexuality of Márcia Barbosa became a subject of special attention</w:t>
      </w:r>
      <w:r w:rsidRPr="00C837DD">
        <w:rPr>
          <w:sz w:val="20"/>
          <w:szCs w:val="20"/>
          <w:lang w:eastAsia="es-ES"/>
        </w:rPr>
        <w:t xml:space="preserve">, </w:t>
      </w:r>
      <w:r w:rsidR="00363A98">
        <w:rPr>
          <w:sz w:val="20"/>
          <w:szCs w:val="20"/>
          <w:lang w:eastAsia="es-ES"/>
        </w:rPr>
        <w:t xml:space="preserve">resulting in </w:t>
      </w:r>
      <w:r w:rsidRPr="00C837DD">
        <w:rPr>
          <w:sz w:val="20"/>
          <w:szCs w:val="20"/>
          <w:lang w:eastAsia="es-ES"/>
        </w:rPr>
        <w:t>the construction of a</w:t>
      </w:r>
      <w:r w:rsidR="002E7F6C" w:rsidRPr="00C837DD">
        <w:rPr>
          <w:sz w:val="20"/>
          <w:szCs w:val="20"/>
          <w:lang w:eastAsia="es-ES"/>
        </w:rPr>
        <w:t>n</w:t>
      </w:r>
      <w:r w:rsidRPr="00C837DD">
        <w:rPr>
          <w:sz w:val="20"/>
          <w:szCs w:val="20"/>
          <w:lang w:eastAsia="es-ES"/>
        </w:rPr>
        <w:t xml:space="preserve"> image of </w:t>
      </w:r>
      <w:r w:rsidR="00B8009F" w:rsidRPr="00C837DD">
        <w:rPr>
          <w:sz w:val="20"/>
          <w:szCs w:val="20"/>
          <w:lang w:eastAsia="es-ES"/>
        </w:rPr>
        <w:t>Márcia</w:t>
      </w:r>
      <w:r w:rsidRPr="00C837DD">
        <w:rPr>
          <w:sz w:val="20"/>
          <w:szCs w:val="20"/>
          <w:lang w:eastAsia="es-ES"/>
        </w:rPr>
        <w:t xml:space="preserve"> as </w:t>
      </w:r>
      <w:r w:rsidR="003573B5" w:rsidRPr="00C837DD">
        <w:rPr>
          <w:sz w:val="20"/>
          <w:szCs w:val="20"/>
          <w:lang w:eastAsia="es-ES"/>
        </w:rPr>
        <w:t xml:space="preserve">causing </w:t>
      </w:r>
      <w:r w:rsidRPr="00C837DD">
        <w:rPr>
          <w:sz w:val="20"/>
          <w:szCs w:val="20"/>
          <w:lang w:eastAsia="es-ES"/>
        </w:rPr>
        <w:t xml:space="preserve">or deserving </w:t>
      </w:r>
      <w:r w:rsidR="003573B5" w:rsidRPr="00C837DD">
        <w:rPr>
          <w:sz w:val="20"/>
          <w:szCs w:val="20"/>
          <w:lang w:eastAsia="es-ES"/>
        </w:rPr>
        <w:t xml:space="preserve">what happened </w:t>
      </w:r>
      <w:r w:rsidR="002E7F6C" w:rsidRPr="00C837DD">
        <w:rPr>
          <w:sz w:val="20"/>
          <w:szCs w:val="20"/>
          <w:lang w:eastAsia="es-ES"/>
        </w:rPr>
        <w:t>and shifting the focus of the investigation</w:t>
      </w:r>
      <w:r w:rsidR="00E92BB7" w:rsidRPr="00C837DD">
        <w:rPr>
          <w:sz w:val="20"/>
          <w:szCs w:val="20"/>
          <w:lang w:eastAsia="es-ES"/>
        </w:rPr>
        <w:t xml:space="preserve">s through stereotypes related to aspects of Márcia Barbosa's personal life, which in turn were used as relevant facts </w:t>
      </w:r>
      <w:r w:rsidR="00363A98">
        <w:rPr>
          <w:sz w:val="20"/>
          <w:szCs w:val="20"/>
          <w:lang w:eastAsia="es-ES"/>
        </w:rPr>
        <w:t xml:space="preserve">in </w:t>
      </w:r>
      <w:r w:rsidR="00E92BB7" w:rsidRPr="00C837DD">
        <w:rPr>
          <w:sz w:val="20"/>
          <w:szCs w:val="20"/>
          <w:lang w:eastAsia="es-ES"/>
        </w:rPr>
        <w:t>the trial itself</w:t>
      </w:r>
      <w:r w:rsidR="00095566" w:rsidRPr="00C837DD">
        <w:rPr>
          <w:sz w:val="20"/>
          <w:szCs w:val="20"/>
          <w:lang w:eastAsia="es-ES"/>
        </w:rPr>
        <w:t>.</w:t>
      </w:r>
      <w:r w:rsidRPr="00C837DD">
        <w:rPr>
          <w:rStyle w:val="Refdenotaalpie"/>
          <w:sz w:val="20"/>
          <w:szCs w:val="20"/>
          <w:lang w:eastAsia="es-ES"/>
        </w:rPr>
        <w:footnoteReference w:id="253"/>
      </w:r>
      <w:r w:rsidRPr="00C837DD">
        <w:rPr>
          <w:sz w:val="20"/>
          <w:szCs w:val="20"/>
          <w:lang w:eastAsia="es-ES"/>
        </w:rPr>
        <w:t xml:space="preserve"> The fact that she was a woman wa</w:t>
      </w:r>
      <w:r w:rsidR="00581481" w:rsidRPr="00C837DD">
        <w:rPr>
          <w:sz w:val="20"/>
          <w:szCs w:val="20"/>
          <w:lang w:eastAsia="es-ES"/>
        </w:rPr>
        <w:t xml:space="preserve">s a facilitating factor </w:t>
      </w:r>
      <w:r w:rsidR="00D63A20" w:rsidRPr="00C837DD">
        <w:rPr>
          <w:sz w:val="20"/>
          <w:szCs w:val="20"/>
          <w:lang w:eastAsia="es-ES"/>
        </w:rPr>
        <w:t xml:space="preserve">in </w:t>
      </w:r>
      <w:r w:rsidR="00A918E7" w:rsidRPr="00C837DD">
        <w:rPr>
          <w:sz w:val="20"/>
          <w:szCs w:val="20"/>
          <w:lang w:eastAsia="es-ES"/>
        </w:rPr>
        <w:t xml:space="preserve">that </w:t>
      </w:r>
      <w:r w:rsidR="00D63A20" w:rsidRPr="00C837DD">
        <w:rPr>
          <w:sz w:val="20"/>
          <w:szCs w:val="20"/>
          <w:lang w:eastAsia="es-ES"/>
        </w:rPr>
        <w:t>“</w:t>
      </w:r>
      <w:r w:rsidR="00A918E7" w:rsidRPr="00C837DD">
        <w:rPr>
          <w:sz w:val="20"/>
          <w:szCs w:val="20"/>
          <w:lang w:eastAsia="es-ES"/>
        </w:rPr>
        <w:t xml:space="preserve">the </w:t>
      </w:r>
      <w:r w:rsidR="00D63A20" w:rsidRPr="00C837DD">
        <w:rPr>
          <w:sz w:val="20"/>
          <w:szCs w:val="20"/>
          <w:lang w:eastAsia="es-ES"/>
        </w:rPr>
        <w:t xml:space="preserve">significance </w:t>
      </w:r>
      <w:r w:rsidR="00A918E7" w:rsidRPr="00C837DD">
        <w:rPr>
          <w:sz w:val="20"/>
          <w:szCs w:val="20"/>
          <w:lang w:eastAsia="es-ES"/>
        </w:rPr>
        <w:t xml:space="preserve">of </w:t>
      </w:r>
      <w:r w:rsidR="00D63A20" w:rsidRPr="00C837DD">
        <w:rPr>
          <w:sz w:val="20"/>
          <w:szCs w:val="20"/>
          <w:lang w:eastAsia="es-ES"/>
        </w:rPr>
        <w:t xml:space="preserve">the facts </w:t>
      </w:r>
      <w:r w:rsidR="00A918E7" w:rsidRPr="00C837DD">
        <w:rPr>
          <w:sz w:val="20"/>
          <w:szCs w:val="20"/>
          <w:lang w:eastAsia="es-ES"/>
        </w:rPr>
        <w:t>was b</w:t>
      </w:r>
      <w:r w:rsidR="00D63A20" w:rsidRPr="00C837DD">
        <w:rPr>
          <w:sz w:val="20"/>
          <w:szCs w:val="20"/>
          <w:lang w:eastAsia="es-ES"/>
        </w:rPr>
        <w:t xml:space="preserve">ased </w:t>
      </w:r>
      <w:r w:rsidR="00A918E7" w:rsidRPr="00C837DD">
        <w:rPr>
          <w:sz w:val="20"/>
          <w:szCs w:val="20"/>
          <w:lang w:eastAsia="es-ES"/>
        </w:rPr>
        <w:t>on general cultural stereotypes, rather than focusing on the context of what happened and the objective results of the investigation</w:t>
      </w:r>
      <w:r w:rsidR="00581481" w:rsidRPr="00C837DD">
        <w:rPr>
          <w:sz w:val="20"/>
          <w:szCs w:val="20"/>
          <w:lang w:eastAsia="es-ES"/>
        </w:rPr>
        <w:t>.</w:t>
      </w:r>
      <w:r w:rsidRPr="00C837DD">
        <w:rPr>
          <w:sz w:val="20"/>
          <w:szCs w:val="20"/>
          <w:lang w:eastAsia="es-ES"/>
        </w:rPr>
        <w:t>”</w:t>
      </w:r>
      <w:r w:rsidRPr="00C837DD">
        <w:rPr>
          <w:rStyle w:val="Refdenotaalpie"/>
          <w:sz w:val="20"/>
          <w:szCs w:val="20"/>
          <w:lang w:eastAsia="es-ES"/>
        </w:rPr>
        <w:footnoteReference w:id="254"/>
      </w:r>
    </w:p>
    <w:p w14:paraId="1D0600FC" w14:textId="77777777" w:rsidR="00F85D5F" w:rsidRPr="00C837DD" w:rsidRDefault="00F85D5F" w:rsidP="00F85D5F">
      <w:pPr>
        <w:pStyle w:val="Prrafodelista"/>
        <w:tabs>
          <w:tab w:val="left" w:pos="142"/>
        </w:tabs>
        <w:ind w:left="0"/>
        <w:rPr>
          <w:sz w:val="20"/>
          <w:szCs w:val="20"/>
        </w:rPr>
      </w:pPr>
    </w:p>
    <w:p w14:paraId="0A607826" w14:textId="3D06DB12" w:rsidR="00F85D5F" w:rsidRPr="00C837DD" w:rsidRDefault="00E433B6" w:rsidP="00F85D5F">
      <w:pPr>
        <w:pStyle w:val="Prrafodelista"/>
        <w:numPr>
          <w:ilvl w:val="0"/>
          <w:numId w:val="6"/>
        </w:numPr>
        <w:tabs>
          <w:tab w:val="left" w:pos="142"/>
        </w:tabs>
        <w:ind w:left="0" w:firstLine="0"/>
        <w:rPr>
          <w:sz w:val="20"/>
          <w:szCs w:val="20"/>
        </w:rPr>
      </w:pPr>
      <w:r w:rsidRPr="00C837DD">
        <w:rPr>
          <w:sz w:val="20"/>
          <w:szCs w:val="20"/>
          <w:lang w:eastAsia="es-ES"/>
        </w:rPr>
        <w:t>In</w:t>
      </w:r>
      <w:r w:rsidR="003C64D7">
        <w:rPr>
          <w:sz w:val="20"/>
          <w:szCs w:val="20"/>
          <w:lang w:eastAsia="es-ES"/>
        </w:rPr>
        <w:t xml:space="preserve"> fact</w:t>
      </w:r>
      <w:r w:rsidR="00F85D5F" w:rsidRPr="00C837DD">
        <w:rPr>
          <w:sz w:val="20"/>
          <w:szCs w:val="20"/>
          <w:lang w:eastAsia="es-ES"/>
        </w:rPr>
        <w:t xml:space="preserve">, </w:t>
      </w:r>
      <w:r w:rsidR="00D63A20" w:rsidRPr="00C837DD">
        <w:rPr>
          <w:sz w:val="20"/>
          <w:szCs w:val="20"/>
          <w:lang w:eastAsia="es-ES"/>
        </w:rPr>
        <w:t xml:space="preserve">in the various witness statements taken </w:t>
      </w:r>
      <w:r w:rsidR="003C64D7">
        <w:rPr>
          <w:sz w:val="20"/>
          <w:szCs w:val="20"/>
          <w:lang w:eastAsia="es-ES"/>
        </w:rPr>
        <w:t xml:space="preserve">in </w:t>
      </w:r>
      <w:r w:rsidR="00D63A20" w:rsidRPr="00C837DD">
        <w:rPr>
          <w:sz w:val="20"/>
          <w:szCs w:val="20"/>
          <w:lang w:eastAsia="es-ES"/>
        </w:rPr>
        <w:t>the course of the police investigation and the criminal proceedings, the reiteration of questions about Márcia Barbosa's sexuality was evident</w:t>
      </w:r>
      <w:r w:rsidR="00F85D5F" w:rsidRPr="00C837DD">
        <w:rPr>
          <w:sz w:val="20"/>
          <w:szCs w:val="20"/>
          <w:lang w:eastAsia="es-ES"/>
        </w:rPr>
        <w:t xml:space="preserve">. </w:t>
      </w:r>
      <w:r w:rsidR="00D63A20" w:rsidRPr="00C837DD">
        <w:rPr>
          <w:sz w:val="20"/>
          <w:szCs w:val="20"/>
          <w:lang w:eastAsia="es-ES"/>
        </w:rPr>
        <w:t xml:space="preserve">Similarly, questions about her </w:t>
      </w:r>
      <w:r w:rsidR="003C64D7">
        <w:rPr>
          <w:sz w:val="20"/>
          <w:szCs w:val="20"/>
          <w:lang w:eastAsia="es-ES"/>
        </w:rPr>
        <w:t xml:space="preserve">alleged </w:t>
      </w:r>
      <w:r w:rsidR="00D63A20" w:rsidRPr="00C837DD">
        <w:rPr>
          <w:sz w:val="20"/>
          <w:szCs w:val="20"/>
          <w:lang w:eastAsia="es-ES"/>
        </w:rPr>
        <w:t>drug and alcohol consumption were raised</w:t>
      </w:r>
      <w:r w:rsidR="00F85D5F" w:rsidRPr="00C837DD">
        <w:rPr>
          <w:sz w:val="20"/>
          <w:szCs w:val="20"/>
          <w:lang w:eastAsia="es-ES"/>
        </w:rPr>
        <w:t xml:space="preserve">, </w:t>
      </w:r>
      <w:r w:rsidR="00D63A20" w:rsidRPr="00C837DD">
        <w:rPr>
          <w:sz w:val="20"/>
          <w:szCs w:val="20"/>
          <w:lang w:eastAsia="es-ES"/>
        </w:rPr>
        <w:t xml:space="preserve">even </w:t>
      </w:r>
      <w:r w:rsidR="00F85D5F" w:rsidRPr="00C837DD">
        <w:rPr>
          <w:sz w:val="20"/>
          <w:szCs w:val="20"/>
          <w:lang w:eastAsia="es-ES"/>
        </w:rPr>
        <w:t xml:space="preserve">though the </w:t>
      </w:r>
      <w:r w:rsidR="00D63A20" w:rsidRPr="00C837DD">
        <w:rPr>
          <w:sz w:val="20"/>
          <w:szCs w:val="20"/>
          <w:lang w:eastAsia="es-ES"/>
        </w:rPr>
        <w:t>chemical toxicological tests carried out in the first days of the investigations, parallel to the autopsy,</w:t>
      </w:r>
      <w:r w:rsidR="00F85D5F" w:rsidRPr="00C837DD">
        <w:rPr>
          <w:sz w:val="20"/>
          <w:szCs w:val="20"/>
          <w:lang w:eastAsia="es-ES"/>
        </w:rPr>
        <w:t xml:space="preserve"> had </w:t>
      </w:r>
      <w:r w:rsidR="00AA439D" w:rsidRPr="00C837DD">
        <w:rPr>
          <w:sz w:val="20"/>
          <w:szCs w:val="20"/>
          <w:lang w:eastAsia="es-ES"/>
        </w:rPr>
        <w:t xml:space="preserve">found </w:t>
      </w:r>
      <w:r w:rsidR="003C64D7">
        <w:rPr>
          <w:sz w:val="20"/>
          <w:szCs w:val="20"/>
          <w:lang w:eastAsia="es-ES"/>
        </w:rPr>
        <w:t xml:space="preserve">only </w:t>
      </w:r>
      <w:r w:rsidR="00F85D5F" w:rsidRPr="00C837DD">
        <w:rPr>
          <w:sz w:val="20"/>
          <w:szCs w:val="20"/>
          <w:lang w:eastAsia="es-ES"/>
        </w:rPr>
        <w:t xml:space="preserve">an insignificant amount of substances in her blood that </w:t>
      </w:r>
      <w:r w:rsidR="00AA439D" w:rsidRPr="00C837DD">
        <w:rPr>
          <w:sz w:val="20"/>
          <w:szCs w:val="20"/>
          <w:lang w:eastAsia="es-ES"/>
        </w:rPr>
        <w:t xml:space="preserve">would allow Mrs. Barbosa de Souza to </w:t>
      </w:r>
      <w:r w:rsidR="003C64D7">
        <w:rPr>
          <w:sz w:val="20"/>
          <w:szCs w:val="20"/>
          <w:lang w:eastAsia="es-ES"/>
        </w:rPr>
        <w:t xml:space="preserve">preserve </w:t>
      </w:r>
      <w:r w:rsidR="00AA439D" w:rsidRPr="00C837DD">
        <w:rPr>
          <w:sz w:val="20"/>
          <w:szCs w:val="20"/>
          <w:lang w:eastAsia="es-ES"/>
        </w:rPr>
        <w:t>her normal reflex faculties</w:t>
      </w:r>
      <w:r w:rsidR="00F85D5F" w:rsidRPr="00C837DD">
        <w:rPr>
          <w:sz w:val="20"/>
          <w:szCs w:val="20"/>
          <w:lang w:eastAsia="es-ES"/>
        </w:rPr>
        <w:t>.</w:t>
      </w:r>
      <w:r w:rsidR="00F85D5F" w:rsidRPr="00C837DD">
        <w:rPr>
          <w:rStyle w:val="Refdenotaalpie"/>
          <w:sz w:val="20"/>
          <w:szCs w:val="20"/>
          <w:lang w:eastAsia="es-ES"/>
        </w:rPr>
        <w:footnoteReference w:id="255"/>
      </w:r>
      <w:r w:rsidR="00F85D5F" w:rsidRPr="00C837DD">
        <w:rPr>
          <w:sz w:val="20"/>
          <w:szCs w:val="20"/>
          <w:lang w:eastAsia="es-ES"/>
        </w:rPr>
        <w:t xml:space="preserve"> In this </w:t>
      </w:r>
      <w:r w:rsidR="00AA439D" w:rsidRPr="00C837DD">
        <w:rPr>
          <w:sz w:val="20"/>
          <w:szCs w:val="20"/>
          <w:lang w:eastAsia="es-ES"/>
        </w:rPr>
        <w:t>regard</w:t>
      </w:r>
      <w:r w:rsidR="00F85D5F" w:rsidRPr="00C837DD">
        <w:rPr>
          <w:sz w:val="20"/>
          <w:szCs w:val="20"/>
          <w:lang w:eastAsia="es-ES"/>
        </w:rPr>
        <w:t xml:space="preserve">, the </w:t>
      </w:r>
      <w:r w:rsidR="00F85D5F" w:rsidRPr="00C837DD">
        <w:rPr>
          <w:sz w:val="20"/>
          <w:szCs w:val="20"/>
          <w:lang w:eastAsia="es-ES"/>
        </w:rPr>
        <w:lastRenderedPageBreak/>
        <w:t xml:space="preserve">expert witness Soraia Mendes </w:t>
      </w:r>
      <w:r w:rsidR="00AA439D" w:rsidRPr="00C837DD">
        <w:rPr>
          <w:sz w:val="20"/>
          <w:szCs w:val="20"/>
          <w:lang w:eastAsia="es-ES"/>
        </w:rPr>
        <w:t xml:space="preserve">pointed out </w:t>
      </w:r>
      <w:r w:rsidR="00F85D5F" w:rsidRPr="00C837DD">
        <w:rPr>
          <w:sz w:val="20"/>
          <w:szCs w:val="20"/>
          <w:lang w:eastAsia="es-ES"/>
        </w:rPr>
        <w:t>that, of the 12 witnesses who testified, seven knew Ms. Barbosa de Souza</w:t>
      </w:r>
      <w:r w:rsidR="003C64D7">
        <w:rPr>
          <w:sz w:val="20"/>
          <w:szCs w:val="20"/>
          <w:lang w:eastAsia="es-ES"/>
        </w:rPr>
        <w:t>,</w:t>
      </w:r>
      <w:r w:rsidR="00F85D5F" w:rsidRPr="00C837DD">
        <w:rPr>
          <w:sz w:val="20"/>
          <w:szCs w:val="20"/>
          <w:lang w:eastAsia="es-ES"/>
        </w:rPr>
        <w:t xml:space="preserve"> all of them were asked about her possible use of drugs, and two were asked about her sexuality.</w:t>
      </w:r>
      <w:r w:rsidR="00F85D5F" w:rsidRPr="00C837DD">
        <w:rPr>
          <w:rStyle w:val="Refdenotaalpie"/>
          <w:sz w:val="20"/>
          <w:szCs w:val="20"/>
          <w:lang w:eastAsia="es-ES"/>
        </w:rPr>
        <w:footnoteReference w:id="256"/>
      </w:r>
      <w:r w:rsidR="00F85D5F" w:rsidRPr="00C837DD">
        <w:rPr>
          <w:sz w:val="20"/>
          <w:szCs w:val="20"/>
          <w:lang w:eastAsia="es-ES"/>
        </w:rPr>
        <w:t xml:space="preserve"> </w:t>
      </w:r>
    </w:p>
    <w:p w14:paraId="31EE10EA" w14:textId="77777777" w:rsidR="00F85D5F" w:rsidRPr="00C837DD" w:rsidRDefault="00F85D5F" w:rsidP="00F85D5F">
      <w:pPr>
        <w:pStyle w:val="Prrafodelista"/>
        <w:tabs>
          <w:tab w:val="left" w:pos="142"/>
        </w:tabs>
        <w:ind w:left="0"/>
        <w:rPr>
          <w:sz w:val="20"/>
          <w:szCs w:val="20"/>
          <w:lang w:eastAsia="es-ES"/>
        </w:rPr>
      </w:pPr>
    </w:p>
    <w:p w14:paraId="150BA2F3" w14:textId="6438F47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According to the expert witness Soraia Mendes, the repetition of testimonial evidence sought to construct an image of </w:t>
      </w:r>
      <w:r w:rsidR="00B8009F" w:rsidRPr="00C837DD">
        <w:rPr>
          <w:sz w:val="20"/>
          <w:szCs w:val="20"/>
          <w:lang w:eastAsia="es-ES"/>
        </w:rPr>
        <w:t>Márcia</w:t>
      </w:r>
      <w:r w:rsidRPr="00C837DD">
        <w:rPr>
          <w:sz w:val="20"/>
          <w:szCs w:val="20"/>
          <w:lang w:eastAsia="es-ES"/>
        </w:rPr>
        <w:t xml:space="preserve"> Ba</w:t>
      </w:r>
      <w:r w:rsidR="00581481" w:rsidRPr="00C837DD">
        <w:rPr>
          <w:sz w:val="20"/>
          <w:szCs w:val="20"/>
          <w:lang w:eastAsia="es-ES"/>
        </w:rPr>
        <w:t>r</w:t>
      </w:r>
      <w:r w:rsidRPr="00C837DD">
        <w:rPr>
          <w:sz w:val="20"/>
          <w:szCs w:val="20"/>
          <w:lang w:eastAsia="es-ES"/>
        </w:rPr>
        <w:t xml:space="preserve">bosa </w:t>
      </w:r>
      <w:r w:rsidR="002F46C5" w:rsidRPr="00C837DD">
        <w:rPr>
          <w:sz w:val="20"/>
          <w:szCs w:val="20"/>
          <w:lang w:eastAsia="es-ES"/>
        </w:rPr>
        <w:t xml:space="preserve">in order </w:t>
      </w:r>
      <w:r w:rsidRPr="00C837DD">
        <w:rPr>
          <w:sz w:val="20"/>
          <w:szCs w:val="20"/>
          <w:lang w:eastAsia="es-ES"/>
        </w:rPr>
        <w:t>to c</w:t>
      </w:r>
      <w:r w:rsidR="002F46C5" w:rsidRPr="00C837DD">
        <w:rPr>
          <w:sz w:val="20"/>
          <w:szCs w:val="20"/>
          <w:lang w:eastAsia="es-ES"/>
        </w:rPr>
        <w:t xml:space="preserve">ast </w:t>
      </w:r>
      <w:r w:rsidRPr="00C837DD">
        <w:rPr>
          <w:sz w:val="20"/>
          <w:szCs w:val="20"/>
          <w:lang w:eastAsia="es-ES"/>
        </w:rPr>
        <w:t xml:space="preserve">doubt </w:t>
      </w:r>
      <w:r w:rsidR="002F46C5" w:rsidRPr="00C837DD">
        <w:rPr>
          <w:sz w:val="20"/>
          <w:szCs w:val="20"/>
          <w:lang w:eastAsia="es-ES"/>
        </w:rPr>
        <w:t xml:space="preserve">on the criminal responsibility of </w:t>
      </w:r>
      <w:r w:rsidRPr="00C837DD">
        <w:rPr>
          <w:sz w:val="20"/>
          <w:szCs w:val="20"/>
          <w:lang w:eastAsia="es-ES"/>
        </w:rPr>
        <w:t>the then deputy</w:t>
      </w:r>
      <w:r w:rsidR="002F46C5" w:rsidRPr="00C837DD">
        <w:rPr>
          <w:sz w:val="20"/>
          <w:szCs w:val="20"/>
          <w:lang w:eastAsia="es-ES"/>
        </w:rPr>
        <w:t xml:space="preserve"> </w:t>
      </w:r>
      <w:r w:rsidRPr="00C837DD">
        <w:rPr>
          <w:sz w:val="20"/>
          <w:szCs w:val="20"/>
          <w:lang w:eastAsia="es-ES"/>
        </w:rPr>
        <w:t>for her homicide.</w:t>
      </w:r>
      <w:r w:rsidRPr="00C837DD">
        <w:rPr>
          <w:rStyle w:val="Refdenotaalpie"/>
          <w:sz w:val="20"/>
          <w:szCs w:val="20"/>
          <w:lang w:eastAsia="es-ES"/>
        </w:rPr>
        <w:footnoteReference w:id="257"/>
      </w:r>
      <w:r w:rsidRPr="00C837DD">
        <w:rPr>
          <w:sz w:val="20"/>
          <w:szCs w:val="20"/>
          <w:lang w:eastAsia="es-ES"/>
        </w:rPr>
        <w:t xml:space="preserve"> Mendes </w:t>
      </w:r>
      <w:r w:rsidR="00581481" w:rsidRPr="00C837DD">
        <w:rPr>
          <w:sz w:val="20"/>
          <w:szCs w:val="20"/>
          <w:lang w:eastAsia="es-ES"/>
        </w:rPr>
        <w:t xml:space="preserve">stressed </w:t>
      </w:r>
      <w:r w:rsidRPr="00C837DD">
        <w:rPr>
          <w:sz w:val="20"/>
          <w:szCs w:val="20"/>
          <w:lang w:eastAsia="es-ES"/>
        </w:rPr>
        <w:t>that not only were the witne</w:t>
      </w:r>
      <w:r w:rsidR="00581481" w:rsidRPr="00C837DD">
        <w:rPr>
          <w:sz w:val="20"/>
          <w:szCs w:val="20"/>
          <w:lang w:eastAsia="es-ES"/>
        </w:rPr>
        <w:t>s</w:t>
      </w:r>
      <w:r w:rsidRPr="00C837DD">
        <w:rPr>
          <w:sz w:val="20"/>
          <w:szCs w:val="20"/>
          <w:lang w:eastAsia="es-ES"/>
        </w:rPr>
        <w:t xml:space="preserve">ses </w:t>
      </w:r>
      <w:r w:rsidR="002F46C5" w:rsidRPr="00C837DD">
        <w:rPr>
          <w:sz w:val="20"/>
          <w:szCs w:val="20"/>
          <w:lang w:eastAsia="es-ES"/>
        </w:rPr>
        <w:t xml:space="preserve">questioned about the facts, but also about the social behavior, personality and sexuality of Márcia Barbosa, </w:t>
      </w:r>
      <w:r w:rsidRPr="00C837DD">
        <w:rPr>
          <w:sz w:val="20"/>
          <w:szCs w:val="20"/>
          <w:lang w:eastAsia="es-ES"/>
        </w:rPr>
        <w:t xml:space="preserve">which would indicate an “investigation of the victim, her behavior, her reputation. </w:t>
      </w:r>
      <w:r w:rsidR="00581481" w:rsidRPr="00C837DD">
        <w:rPr>
          <w:sz w:val="20"/>
          <w:szCs w:val="20"/>
          <w:lang w:eastAsia="es-ES"/>
        </w:rPr>
        <w:t xml:space="preserve">This is something </w:t>
      </w:r>
      <w:r w:rsidRPr="00C837DD">
        <w:rPr>
          <w:sz w:val="20"/>
          <w:szCs w:val="20"/>
          <w:lang w:eastAsia="es-ES"/>
        </w:rPr>
        <w:t xml:space="preserve">that </w:t>
      </w:r>
      <w:r w:rsidR="002F46C5" w:rsidRPr="00C837DD">
        <w:rPr>
          <w:sz w:val="20"/>
          <w:szCs w:val="20"/>
          <w:lang w:eastAsia="es-ES"/>
        </w:rPr>
        <w:t xml:space="preserve">fills </w:t>
      </w:r>
      <w:r w:rsidRPr="00C837DD">
        <w:rPr>
          <w:sz w:val="20"/>
          <w:szCs w:val="20"/>
          <w:lang w:eastAsia="es-ES"/>
        </w:rPr>
        <w:t>the p</w:t>
      </w:r>
      <w:r w:rsidR="00581481" w:rsidRPr="00C837DD">
        <w:rPr>
          <w:sz w:val="20"/>
          <w:szCs w:val="20"/>
          <w:lang w:eastAsia="es-ES"/>
        </w:rPr>
        <w:t xml:space="preserve">ages </w:t>
      </w:r>
      <w:r w:rsidRPr="00C837DD">
        <w:rPr>
          <w:sz w:val="20"/>
          <w:szCs w:val="20"/>
          <w:lang w:eastAsia="es-ES"/>
        </w:rPr>
        <w:t xml:space="preserve">of the newspapers and </w:t>
      </w:r>
      <w:r w:rsidR="00581481" w:rsidRPr="00C837DD">
        <w:rPr>
          <w:sz w:val="20"/>
          <w:szCs w:val="20"/>
          <w:lang w:eastAsia="es-ES"/>
        </w:rPr>
        <w:t xml:space="preserve">is projected </w:t>
      </w:r>
      <w:r w:rsidR="003C64D7">
        <w:rPr>
          <w:sz w:val="20"/>
          <w:szCs w:val="20"/>
          <w:lang w:eastAsia="es-ES"/>
        </w:rPr>
        <w:t xml:space="preserve">even more forcefully </w:t>
      </w:r>
      <w:r w:rsidR="00070520" w:rsidRPr="00C837DD">
        <w:rPr>
          <w:sz w:val="20"/>
          <w:szCs w:val="20"/>
          <w:lang w:eastAsia="es-ES"/>
        </w:rPr>
        <w:t>in the case file</w:t>
      </w:r>
      <w:r w:rsidR="005F5F1C" w:rsidRPr="00C837DD">
        <w:rPr>
          <w:sz w:val="20"/>
          <w:szCs w:val="20"/>
          <w:lang w:eastAsia="es-ES"/>
        </w:rPr>
        <w:t>.</w:t>
      </w:r>
      <w:r w:rsidRPr="00C837DD">
        <w:rPr>
          <w:sz w:val="20"/>
          <w:szCs w:val="20"/>
          <w:lang w:eastAsia="es-ES"/>
        </w:rPr>
        <w:t>”</w:t>
      </w:r>
      <w:r w:rsidRPr="00C837DD">
        <w:rPr>
          <w:rStyle w:val="Refdenotaalpie"/>
          <w:sz w:val="20"/>
          <w:szCs w:val="20"/>
          <w:lang w:eastAsia="es-ES"/>
        </w:rPr>
        <w:footnoteReference w:id="258"/>
      </w:r>
    </w:p>
    <w:p w14:paraId="7A76F1C1" w14:textId="77777777" w:rsidR="00F85D5F" w:rsidRPr="00C837DD" w:rsidRDefault="00F85D5F" w:rsidP="00F85D5F">
      <w:pPr>
        <w:pStyle w:val="Prrafodelista"/>
        <w:tabs>
          <w:tab w:val="left" w:pos="142"/>
        </w:tabs>
        <w:ind w:left="0"/>
        <w:rPr>
          <w:sz w:val="20"/>
          <w:szCs w:val="20"/>
        </w:rPr>
      </w:pPr>
    </w:p>
    <w:p w14:paraId="40258322" w14:textId="69EF728B" w:rsidR="00F85D5F" w:rsidRPr="00C837DD" w:rsidRDefault="003C64D7" w:rsidP="00F85D5F">
      <w:pPr>
        <w:pStyle w:val="Prrafodelista"/>
        <w:numPr>
          <w:ilvl w:val="0"/>
          <w:numId w:val="6"/>
        </w:numPr>
        <w:tabs>
          <w:tab w:val="left" w:pos="142"/>
        </w:tabs>
        <w:ind w:left="0" w:firstLine="0"/>
        <w:rPr>
          <w:sz w:val="20"/>
          <w:szCs w:val="20"/>
        </w:rPr>
      </w:pPr>
      <w:r>
        <w:rPr>
          <w:sz w:val="20"/>
          <w:szCs w:val="20"/>
          <w:lang w:eastAsia="es-ES"/>
        </w:rPr>
        <w:t>Similarly</w:t>
      </w:r>
      <w:r w:rsidR="00F85D5F" w:rsidRPr="00C837DD">
        <w:rPr>
          <w:sz w:val="20"/>
          <w:szCs w:val="20"/>
          <w:lang w:eastAsia="es-ES"/>
        </w:rPr>
        <w:t xml:space="preserve">, </w:t>
      </w:r>
      <w:r w:rsidR="00070520" w:rsidRPr="00C837DD">
        <w:rPr>
          <w:sz w:val="20"/>
          <w:szCs w:val="20"/>
          <w:lang w:eastAsia="es-ES"/>
        </w:rPr>
        <w:t>during the criminal proceedings against Aércio Pereira de Lima before the</w:t>
      </w:r>
      <w:r w:rsidR="00F85D5F" w:rsidRPr="00C837DD">
        <w:rPr>
          <w:sz w:val="20"/>
          <w:szCs w:val="20"/>
          <w:lang w:eastAsia="es-ES"/>
        </w:rPr>
        <w:t xml:space="preserve"> </w:t>
      </w:r>
      <w:r w:rsidR="000C0A25" w:rsidRPr="00C837DD">
        <w:rPr>
          <w:sz w:val="20"/>
          <w:szCs w:val="20"/>
          <w:lang w:eastAsia="es-ES"/>
        </w:rPr>
        <w:t xml:space="preserve">Jury </w:t>
      </w:r>
      <w:r w:rsidR="00F85D5F" w:rsidRPr="00C837DD">
        <w:rPr>
          <w:sz w:val="20"/>
          <w:szCs w:val="20"/>
          <w:lang w:eastAsia="es-ES"/>
        </w:rPr>
        <w:t xml:space="preserve">Court, the </w:t>
      </w:r>
      <w:r w:rsidR="000C0A25" w:rsidRPr="00C837DD">
        <w:rPr>
          <w:sz w:val="20"/>
          <w:szCs w:val="20"/>
          <w:lang w:eastAsia="es-ES"/>
        </w:rPr>
        <w:t xml:space="preserve">defense attorney </w:t>
      </w:r>
      <w:r w:rsidR="00F85D5F" w:rsidRPr="00C837DD">
        <w:rPr>
          <w:iCs/>
          <w:sz w:val="20"/>
          <w:szCs w:val="20"/>
        </w:rPr>
        <w:t>requested the inc</w:t>
      </w:r>
      <w:r w:rsidR="00070520" w:rsidRPr="00C837DD">
        <w:rPr>
          <w:iCs/>
          <w:sz w:val="20"/>
          <w:szCs w:val="20"/>
        </w:rPr>
        <w:t xml:space="preserve">lusion </w:t>
      </w:r>
      <w:r w:rsidR="000C0A25" w:rsidRPr="00C837DD">
        <w:rPr>
          <w:iCs/>
          <w:sz w:val="20"/>
          <w:szCs w:val="20"/>
        </w:rPr>
        <w:t xml:space="preserve">in the case </w:t>
      </w:r>
      <w:r w:rsidR="00F85D5F" w:rsidRPr="00C837DD">
        <w:rPr>
          <w:iCs/>
          <w:sz w:val="20"/>
          <w:szCs w:val="20"/>
        </w:rPr>
        <w:t xml:space="preserve">file </w:t>
      </w:r>
      <w:r w:rsidR="000C0A25" w:rsidRPr="00C837DD">
        <w:rPr>
          <w:iCs/>
          <w:sz w:val="20"/>
          <w:szCs w:val="20"/>
        </w:rPr>
        <w:t xml:space="preserve">of </w:t>
      </w:r>
      <w:r w:rsidR="00F85D5F" w:rsidRPr="00C837DD">
        <w:rPr>
          <w:iCs/>
          <w:sz w:val="20"/>
          <w:szCs w:val="20"/>
        </w:rPr>
        <w:t xml:space="preserve">more than 150 pages of newspaper articles </w:t>
      </w:r>
      <w:r w:rsidR="00070520" w:rsidRPr="00C837DD">
        <w:rPr>
          <w:iCs/>
          <w:sz w:val="20"/>
          <w:szCs w:val="20"/>
        </w:rPr>
        <w:t xml:space="preserve">referring </w:t>
      </w:r>
      <w:r w:rsidR="00F85D5F" w:rsidRPr="00C837DD">
        <w:rPr>
          <w:iCs/>
          <w:sz w:val="20"/>
          <w:szCs w:val="20"/>
        </w:rPr>
        <w:t xml:space="preserve">to prostitution, </w:t>
      </w:r>
      <w:r w:rsidR="00127E62">
        <w:rPr>
          <w:iCs/>
          <w:sz w:val="20"/>
          <w:szCs w:val="20"/>
        </w:rPr>
        <w:t xml:space="preserve">drug </w:t>
      </w:r>
      <w:r w:rsidR="00F85D5F" w:rsidRPr="00C837DD">
        <w:rPr>
          <w:iCs/>
          <w:sz w:val="20"/>
          <w:szCs w:val="20"/>
        </w:rPr>
        <w:t>overdoses and a</w:t>
      </w:r>
      <w:r w:rsidR="00070520" w:rsidRPr="00C837DD">
        <w:rPr>
          <w:iCs/>
          <w:sz w:val="20"/>
          <w:szCs w:val="20"/>
        </w:rPr>
        <w:t xml:space="preserve">lleged </w:t>
      </w:r>
      <w:r w:rsidR="00F85D5F" w:rsidRPr="00C837DD">
        <w:rPr>
          <w:iCs/>
          <w:sz w:val="20"/>
          <w:szCs w:val="20"/>
        </w:rPr>
        <w:t>suicide (</w:t>
      </w:r>
      <w:r w:rsidR="00F85D5F" w:rsidRPr="00C837DD">
        <w:rPr>
          <w:i/>
          <w:iCs/>
          <w:sz w:val="20"/>
          <w:szCs w:val="20"/>
        </w:rPr>
        <w:t>supra</w:t>
      </w:r>
      <w:r w:rsidR="00F85D5F" w:rsidRPr="00C837DD">
        <w:rPr>
          <w:iCs/>
          <w:sz w:val="20"/>
          <w:szCs w:val="20"/>
        </w:rPr>
        <w:t xml:space="preserve"> para. 71), </w:t>
      </w:r>
      <w:r w:rsidR="00070520" w:rsidRPr="00C837DD">
        <w:rPr>
          <w:iCs/>
          <w:sz w:val="20"/>
          <w:szCs w:val="20"/>
        </w:rPr>
        <w:t xml:space="preserve">in order </w:t>
      </w:r>
      <w:r w:rsidR="000C0A25" w:rsidRPr="00C837DD">
        <w:rPr>
          <w:iCs/>
          <w:sz w:val="20"/>
          <w:szCs w:val="20"/>
        </w:rPr>
        <w:t>to link the</w:t>
      </w:r>
      <w:r w:rsidR="00070520" w:rsidRPr="00C837DD">
        <w:rPr>
          <w:iCs/>
          <w:sz w:val="20"/>
          <w:szCs w:val="20"/>
        </w:rPr>
        <w:t>m</w:t>
      </w:r>
      <w:r w:rsidR="000C0A25" w:rsidRPr="00C837DD">
        <w:rPr>
          <w:iCs/>
          <w:sz w:val="20"/>
          <w:szCs w:val="20"/>
        </w:rPr>
        <w:t xml:space="preserve"> to </w:t>
      </w:r>
      <w:r w:rsidR="00B8009F" w:rsidRPr="00C837DD">
        <w:rPr>
          <w:iCs/>
          <w:sz w:val="20"/>
          <w:szCs w:val="20"/>
        </w:rPr>
        <w:t>Márcia</w:t>
      </w:r>
      <w:r w:rsidR="00F85D5F" w:rsidRPr="00C837DD">
        <w:rPr>
          <w:iCs/>
          <w:sz w:val="20"/>
          <w:szCs w:val="20"/>
        </w:rPr>
        <w:t xml:space="preserve"> Barbosa with the intention </w:t>
      </w:r>
      <w:r w:rsidR="000C0A25" w:rsidRPr="00C837DD">
        <w:rPr>
          <w:iCs/>
          <w:sz w:val="20"/>
          <w:szCs w:val="20"/>
        </w:rPr>
        <w:t xml:space="preserve">of </w:t>
      </w:r>
      <w:r w:rsidR="00F85D5F" w:rsidRPr="00C837DD">
        <w:rPr>
          <w:iCs/>
          <w:sz w:val="20"/>
          <w:szCs w:val="20"/>
        </w:rPr>
        <w:t>affect</w:t>
      </w:r>
      <w:r w:rsidR="000C0A25" w:rsidRPr="00C837DD">
        <w:rPr>
          <w:iCs/>
          <w:sz w:val="20"/>
          <w:szCs w:val="20"/>
        </w:rPr>
        <w:t>ing</w:t>
      </w:r>
      <w:r w:rsidR="00F85D5F" w:rsidRPr="00C837DD">
        <w:rPr>
          <w:iCs/>
          <w:sz w:val="20"/>
          <w:szCs w:val="20"/>
        </w:rPr>
        <w:t xml:space="preserve"> her image. </w:t>
      </w:r>
      <w:r w:rsidR="00070520" w:rsidRPr="00C837DD">
        <w:rPr>
          <w:iCs/>
          <w:sz w:val="20"/>
          <w:szCs w:val="20"/>
        </w:rPr>
        <w:t>In a</w:t>
      </w:r>
      <w:r w:rsidR="00F85D5F" w:rsidRPr="00C837DD">
        <w:rPr>
          <w:iCs/>
          <w:sz w:val="20"/>
          <w:szCs w:val="20"/>
        </w:rPr>
        <w:t xml:space="preserve">ddition, </w:t>
      </w:r>
      <w:r w:rsidR="00127E62">
        <w:rPr>
          <w:iCs/>
          <w:sz w:val="20"/>
          <w:szCs w:val="20"/>
        </w:rPr>
        <w:t xml:space="preserve">during the proceedings </w:t>
      </w:r>
      <w:r w:rsidR="00F85D5F" w:rsidRPr="00C837DD">
        <w:rPr>
          <w:iCs/>
          <w:sz w:val="20"/>
          <w:szCs w:val="20"/>
        </w:rPr>
        <w:t>the defens</w:t>
      </w:r>
      <w:r w:rsidR="000C0A25" w:rsidRPr="00C837DD">
        <w:rPr>
          <w:iCs/>
          <w:sz w:val="20"/>
          <w:szCs w:val="20"/>
        </w:rPr>
        <w:t xml:space="preserve">e attorney made </w:t>
      </w:r>
      <w:r w:rsidR="00070520" w:rsidRPr="00C837DD">
        <w:rPr>
          <w:iCs/>
          <w:sz w:val="20"/>
          <w:szCs w:val="20"/>
        </w:rPr>
        <w:t xml:space="preserve">various </w:t>
      </w:r>
      <w:r w:rsidR="000C0A25" w:rsidRPr="00C837DD">
        <w:rPr>
          <w:iCs/>
          <w:sz w:val="20"/>
          <w:szCs w:val="20"/>
        </w:rPr>
        <w:t xml:space="preserve">references </w:t>
      </w:r>
      <w:r w:rsidR="00FE516A" w:rsidRPr="00C837DD">
        <w:rPr>
          <w:sz w:val="20"/>
          <w:szCs w:val="20"/>
        </w:rPr>
        <w:t xml:space="preserve">to </w:t>
      </w:r>
      <w:r w:rsidR="00F85D5F" w:rsidRPr="00C837DD">
        <w:rPr>
          <w:sz w:val="20"/>
          <w:szCs w:val="20"/>
        </w:rPr>
        <w:t xml:space="preserve">the victim’s sexual orientation, </w:t>
      </w:r>
      <w:r w:rsidR="00FE516A" w:rsidRPr="00C837DD">
        <w:rPr>
          <w:sz w:val="20"/>
          <w:szCs w:val="20"/>
        </w:rPr>
        <w:t xml:space="preserve">alleged </w:t>
      </w:r>
      <w:r w:rsidR="00F85D5F" w:rsidRPr="00C837DD">
        <w:rPr>
          <w:sz w:val="20"/>
          <w:szCs w:val="20"/>
        </w:rPr>
        <w:t>drug addiction, suicidal behavior and depression.</w:t>
      </w:r>
      <w:r w:rsidR="00F85D5F" w:rsidRPr="00C837DD">
        <w:rPr>
          <w:sz w:val="20"/>
          <w:szCs w:val="20"/>
          <w:vertAlign w:val="superscript"/>
        </w:rPr>
        <w:footnoteReference w:id="259"/>
      </w:r>
      <w:r w:rsidR="00F85D5F" w:rsidRPr="00C837DD">
        <w:rPr>
          <w:sz w:val="20"/>
          <w:szCs w:val="20"/>
        </w:rPr>
        <w:t xml:space="preserve"> </w:t>
      </w:r>
      <w:r w:rsidR="00FE516A" w:rsidRPr="00C837DD">
        <w:rPr>
          <w:sz w:val="20"/>
          <w:szCs w:val="20"/>
        </w:rPr>
        <w:t xml:space="preserve">He also </w:t>
      </w:r>
      <w:r w:rsidR="00F85D5F" w:rsidRPr="00C837DD">
        <w:rPr>
          <w:sz w:val="20"/>
          <w:szCs w:val="20"/>
        </w:rPr>
        <w:t xml:space="preserve">described </w:t>
      </w:r>
      <w:r w:rsidR="00B8009F" w:rsidRPr="00C837DD">
        <w:rPr>
          <w:sz w:val="20"/>
          <w:szCs w:val="20"/>
        </w:rPr>
        <w:t>Márcia</w:t>
      </w:r>
      <w:r w:rsidR="00F85D5F" w:rsidRPr="00C837DD">
        <w:rPr>
          <w:sz w:val="20"/>
          <w:szCs w:val="20"/>
        </w:rPr>
        <w:t xml:space="preserve"> as a “prostitute” and Aércio as “</w:t>
      </w:r>
      <w:r w:rsidR="00127E62">
        <w:rPr>
          <w:sz w:val="20"/>
          <w:szCs w:val="20"/>
        </w:rPr>
        <w:t>a</w:t>
      </w:r>
      <w:r w:rsidR="00F85D5F" w:rsidRPr="00C837DD">
        <w:rPr>
          <w:sz w:val="20"/>
          <w:szCs w:val="20"/>
        </w:rPr>
        <w:t xml:space="preserve"> family man and father” who was “seduced by the charms of a young woman” and </w:t>
      </w:r>
      <w:r w:rsidR="00FE516A" w:rsidRPr="00C837DD">
        <w:rPr>
          <w:sz w:val="20"/>
          <w:szCs w:val="20"/>
        </w:rPr>
        <w:t>who</w:t>
      </w:r>
      <w:r w:rsidR="00F85D5F" w:rsidRPr="00C837DD">
        <w:rPr>
          <w:sz w:val="20"/>
          <w:szCs w:val="20"/>
        </w:rPr>
        <w:t>, in a moment of rage, had “made a mistake.”</w:t>
      </w:r>
      <w:r w:rsidR="00F85D5F" w:rsidRPr="00C837DD">
        <w:rPr>
          <w:sz w:val="20"/>
          <w:szCs w:val="20"/>
          <w:vertAlign w:val="superscript"/>
        </w:rPr>
        <w:footnoteReference w:id="260"/>
      </w:r>
      <w:r w:rsidR="00F85D5F" w:rsidRPr="00C837DD">
        <w:rPr>
          <w:sz w:val="20"/>
          <w:szCs w:val="20"/>
        </w:rPr>
        <w:t xml:space="preserve"> </w:t>
      </w:r>
    </w:p>
    <w:p w14:paraId="7A24794D" w14:textId="77777777" w:rsidR="00F85D5F" w:rsidRPr="00C837DD" w:rsidRDefault="00F85D5F" w:rsidP="00F85D5F">
      <w:pPr>
        <w:pStyle w:val="Prrafodelista"/>
        <w:tabs>
          <w:tab w:val="left" w:pos="142"/>
        </w:tabs>
        <w:ind w:left="0"/>
        <w:rPr>
          <w:strike/>
          <w:sz w:val="20"/>
          <w:szCs w:val="20"/>
        </w:rPr>
      </w:pPr>
    </w:p>
    <w:p w14:paraId="644E89E3" w14:textId="2265CB04" w:rsidR="00F85D5F" w:rsidRPr="00C837DD" w:rsidRDefault="006842E3" w:rsidP="00F85D5F">
      <w:pPr>
        <w:pStyle w:val="Prrafodelista"/>
        <w:numPr>
          <w:ilvl w:val="0"/>
          <w:numId w:val="6"/>
        </w:numPr>
        <w:tabs>
          <w:tab w:val="left" w:pos="142"/>
        </w:tabs>
        <w:ind w:left="0" w:firstLine="0"/>
        <w:rPr>
          <w:sz w:val="20"/>
          <w:szCs w:val="20"/>
        </w:rPr>
      </w:pPr>
      <w:r w:rsidRPr="00C837DD">
        <w:rPr>
          <w:sz w:val="20"/>
          <w:szCs w:val="20"/>
        </w:rPr>
        <w:t>Therefore</w:t>
      </w:r>
      <w:r w:rsidR="00F85D5F" w:rsidRPr="00C837DD">
        <w:rPr>
          <w:sz w:val="20"/>
          <w:szCs w:val="20"/>
        </w:rPr>
        <w:t xml:space="preserve">, the Court concludes that the investigation and </w:t>
      </w:r>
      <w:r w:rsidR="00376517" w:rsidRPr="00C837DD">
        <w:rPr>
          <w:sz w:val="20"/>
          <w:szCs w:val="20"/>
        </w:rPr>
        <w:t xml:space="preserve">the </w:t>
      </w:r>
      <w:r w:rsidR="00F85D5F" w:rsidRPr="00C837DD">
        <w:rPr>
          <w:sz w:val="20"/>
          <w:szCs w:val="20"/>
        </w:rPr>
        <w:t xml:space="preserve">criminal proceedings </w:t>
      </w:r>
      <w:r w:rsidR="00E433B6" w:rsidRPr="00C837DD">
        <w:rPr>
          <w:sz w:val="20"/>
          <w:szCs w:val="20"/>
        </w:rPr>
        <w:t xml:space="preserve">for the events </w:t>
      </w:r>
      <w:r w:rsidR="00F85D5F" w:rsidRPr="00C837DD">
        <w:rPr>
          <w:sz w:val="20"/>
          <w:szCs w:val="20"/>
        </w:rPr>
        <w:t xml:space="preserve">related to the homicide of </w:t>
      </w:r>
      <w:r w:rsidR="00B8009F" w:rsidRPr="00C837DD">
        <w:rPr>
          <w:sz w:val="20"/>
          <w:szCs w:val="20"/>
        </w:rPr>
        <w:t>Márcia</w:t>
      </w:r>
      <w:r w:rsidR="00F85D5F" w:rsidRPr="00C837DD">
        <w:rPr>
          <w:sz w:val="20"/>
          <w:szCs w:val="20"/>
        </w:rPr>
        <w:t xml:space="preserve"> Barbosa de Souza </w:t>
      </w:r>
      <w:r w:rsidR="00E433B6" w:rsidRPr="00C837DD">
        <w:rPr>
          <w:sz w:val="20"/>
          <w:szCs w:val="20"/>
        </w:rPr>
        <w:t xml:space="preserve">had a </w:t>
      </w:r>
      <w:r w:rsidR="00376517" w:rsidRPr="00C837DD">
        <w:rPr>
          <w:sz w:val="20"/>
          <w:szCs w:val="20"/>
        </w:rPr>
        <w:t>gender</w:t>
      </w:r>
      <w:r w:rsidR="00127E62">
        <w:rPr>
          <w:sz w:val="20"/>
          <w:szCs w:val="20"/>
        </w:rPr>
        <w:t>-</w:t>
      </w:r>
      <w:r w:rsidR="00F85D5F" w:rsidRPr="00C837DD">
        <w:rPr>
          <w:sz w:val="20"/>
          <w:szCs w:val="20"/>
        </w:rPr>
        <w:t xml:space="preserve">discriminatory </w:t>
      </w:r>
      <w:r w:rsidR="00376517" w:rsidRPr="00C837DD">
        <w:rPr>
          <w:sz w:val="20"/>
          <w:szCs w:val="20"/>
        </w:rPr>
        <w:t xml:space="preserve">character </w:t>
      </w:r>
      <w:r w:rsidR="00F85D5F" w:rsidRPr="00C837DD">
        <w:rPr>
          <w:sz w:val="20"/>
          <w:szCs w:val="20"/>
        </w:rPr>
        <w:t xml:space="preserve">and </w:t>
      </w:r>
      <w:r w:rsidR="00E433B6" w:rsidRPr="00C837DD">
        <w:rPr>
          <w:sz w:val="20"/>
          <w:szCs w:val="20"/>
        </w:rPr>
        <w:t xml:space="preserve">were not conducted </w:t>
      </w:r>
      <w:r w:rsidR="00F85D5F" w:rsidRPr="00C837DD">
        <w:rPr>
          <w:bCs/>
          <w:sz w:val="20"/>
          <w:szCs w:val="20"/>
        </w:rPr>
        <w:t xml:space="preserve">with a gender perspective </w:t>
      </w:r>
      <w:r w:rsidR="000C0A25" w:rsidRPr="00C837DD">
        <w:rPr>
          <w:bCs/>
          <w:sz w:val="20"/>
          <w:szCs w:val="20"/>
        </w:rPr>
        <w:t xml:space="preserve">in accordance with </w:t>
      </w:r>
      <w:r w:rsidR="00F85D5F" w:rsidRPr="00C837DD">
        <w:rPr>
          <w:bCs/>
          <w:sz w:val="20"/>
          <w:szCs w:val="20"/>
        </w:rPr>
        <w:t xml:space="preserve">the special obligations </w:t>
      </w:r>
      <w:r w:rsidR="00127E62">
        <w:rPr>
          <w:bCs/>
          <w:sz w:val="20"/>
          <w:szCs w:val="20"/>
        </w:rPr>
        <w:t xml:space="preserve">established </w:t>
      </w:r>
      <w:r w:rsidR="00F85D5F" w:rsidRPr="00C837DD">
        <w:rPr>
          <w:bCs/>
          <w:sz w:val="20"/>
          <w:szCs w:val="20"/>
        </w:rPr>
        <w:t xml:space="preserve">by the </w:t>
      </w:r>
      <w:r w:rsidR="00F85D5F" w:rsidRPr="00C837DD">
        <w:rPr>
          <w:sz w:val="20"/>
          <w:szCs w:val="20"/>
        </w:rPr>
        <w:t>Convention</w:t>
      </w:r>
      <w:r w:rsidR="00F85D5F" w:rsidRPr="00C837DD">
        <w:rPr>
          <w:bCs/>
          <w:sz w:val="20"/>
          <w:szCs w:val="20"/>
        </w:rPr>
        <w:t xml:space="preserve"> of Belém do Pará</w:t>
      </w:r>
      <w:r w:rsidR="00F85D5F" w:rsidRPr="00C837DD">
        <w:rPr>
          <w:sz w:val="20"/>
          <w:szCs w:val="20"/>
        </w:rPr>
        <w:t xml:space="preserve">. </w:t>
      </w:r>
      <w:r w:rsidR="00376517" w:rsidRPr="00C837DD">
        <w:rPr>
          <w:sz w:val="20"/>
          <w:szCs w:val="20"/>
        </w:rPr>
        <w:t>T</w:t>
      </w:r>
      <w:r w:rsidR="00F85D5F" w:rsidRPr="00C837DD">
        <w:rPr>
          <w:sz w:val="20"/>
          <w:szCs w:val="20"/>
        </w:rPr>
        <w:t xml:space="preserve">he State did not adopt measures aimed at </w:t>
      </w:r>
      <w:r w:rsidR="00376517" w:rsidRPr="00C837DD">
        <w:rPr>
          <w:sz w:val="20"/>
          <w:szCs w:val="20"/>
        </w:rPr>
        <w:t xml:space="preserve">ensuring material </w:t>
      </w:r>
      <w:r w:rsidR="00F85D5F" w:rsidRPr="00C837DD">
        <w:rPr>
          <w:sz w:val="20"/>
          <w:szCs w:val="20"/>
        </w:rPr>
        <w:t xml:space="preserve">equality in the right of access to justice </w:t>
      </w:r>
      <w:r w:rsidR="002515DC" w:rsidRPr="00C837DD">
        <w:rPr>
          <w:sz w:val="20"/>
          <w:szCs w:val="20"/>
        </w:rPr>
        <w:t xml:space="preserve">with respect to </w:t>
      </w:r>
      <w:r w:rsidR="00F85D5F" w:rsidRPr="00C837DD">
        <w:rPr>
          <w:sz w:val="20"/>
          <w:szCs w:val="20"/>
        </w:rPr>
        <w:t xml:space="preserve">cases related to violence against women, to the detriment of the next of kin of </w:t>
      </w:r>
      <w:r w:rsidR="00B8009F" w:rsidRPr="00C837DD">
        <w:rPr>
          <w:sz w:val="20"/>
          <w:szCs w:val="20"/>
        </w:rPr>
        <w:t>Márcia</w:t>
      </w:r>
      <w:r w:rsidR="00F85D5F" w:rsidRPr="00C837DD">
        <w:rPr>
          <w:sz w:val="20"/>
          <w:szCs w:val="20"/>
        </w:rPr>
        <w:t xml:space="preserve"> Barbosa de Souza. This situation </w:t>
      </w:r>
      <w:r w:rsidR="002515DC" w:rsidRPr="00C837DD">
        <w:rPr>
          <w:sz w:val="20"/>
          <w:szCs w:val="20"/>
        </w:rPr>
        <w:t xml:space="preserve">implies </w:t>
      </w:r>
      <w:r w:rsidR="00F85D5F" w:rsidRPr="00C837DD">
        <w:rPr>
          <w:sz w:val="20"/>
          <w:szCs w:val="20"/>
        </w:rPr>
        <w:t xml:space="preserve">that, </w:t>
      </w:r>
      <w:r w:rsidR="002515DC" w:rsidRPr="00C837DD">
        <w:rPr>
          <w:sz w:val="20"/>
          <w:szCs w:val="20"/>
        </w:rPr>
        <w:t>in the instant case, the right of access to justice without discrimination was not guaranteed, a</w:t>
      </w:r>
      <w:r w:rsidR="00127E62">
        <w:rPr>
          <w:sz w:val="20"/>
          <w:szCs w:val="20"/>
        </w:rPr>
        <w:t xml:space="preserve">long with </w:t>
      </w:r>
      <w:r w:rsidR="002515DC" w:rsidRPr="00C837DD">
        <w:rPr>
          <w:sz w:val="20"/>
          <w:szCs w:val="20"/>
        </w:rPr>
        <w:t>the right to equality</w:t>
      </w:r>
      <w:r w:rsidR="00F85D5F" w:rsidRPr="00C837DD">
        <w:rPr>
          <w:sz w:val="20"/>
          <w:szCs w:val="20"/>
        </w:rPr>
        <w:t>.</w:t>
      </w:r>
    </w:p>
    <w:p w14:paraId="340CC0AD" w14:textId="77777777" w:rsidR="00F85D5F" w:rsidRPr="00C837DD" w:rsidRDefault="00F85D5F" w:rsidP="00F85D5F">
      <w:pPr>
        <w:pStyle w:val="Prrafodelista"/>
        <w:tabs>
          <w:tab w:val="left" w:pos="142"/>
        </w:tabs>
        <w:ind w:left="0"/>
        <w:rPr>
          <w:rFonts w:cs="Arial"/>
          <w:sz w:val="20"/>
          <w:szCs w:val="20"/>
          <w:lang w:eastAsia="es-CR"/>
        </w:rPr>
      </w:pPr>
    </w:p>
    <w:p w14:paraId="6848864F" w14:textId="77777777" w:rsidR="00F85D5F" w:rsidRPr="00C837DD" w:rsidRDefault="00F85D5F" w:rsidP="00F85D5F">
      <w:pPr>
        <w:pStyle w:val="Ttulo4"/>
        <w:numPr>
          <w:ilvl w:val="0"/>
          <w:numId w:val="31"/>
        </w:numPr>
        <w:ind w:left="1560" w:hanging="709"/>
        <w:rPr>
          <w:lang w:val="en-US"/>
        </w:rPr>
      </w:pPr>
      <w:bookmarkStart w:id="80" w:name="_Toc85001893"/>
      <w:r w:rsidRPr="00C837DD">
        <w:rPr>
          <w:lang w:val="en-US"/>
        </w:rPr>
        <w:t>Conclusion</w:t>
      </w:r>
      <w:bookmarkEnd w:id="80"/>
    </w:p>
    <w:p w14:paraId="41558042" w14:textId="77777777" w:rsidR="00F85D5F" w:rsidRPr="00C837DD" w:rsidRDefault="00F85D5F" w:rsidP="00F85D5F">
      <w:pPr>
        <w:pStyle w:val="Textoindependiente"/>
        <w:tabs>
          <w:tab w:val="left" w:pos="142"/>
        </w:tabs>
      </w:pPr>
    </w:p>
    <w:p w14:paraId="08262B9D" w14:textId="2499C651" w:rsidR="00F85D5F" w:rsidRPr="00C837DD" w:rsidRDefault="002515DC" w:rsidP="00F85D5F">
      <w:pPr>
        <w:pStyle w:val="Prrafodelista"/>
        <w:numPr>
          <w:ilvl w:val="0"/>
          <w:numId w:val="6"/>
        </w:numPr>
        <w:tabs>
          <w:tab w:val="left" w:pos="142"/>
        </w:tabs>
        <w:ind w:left="0" w:firstLine="0"/>
        <w:rPr>
          <w:sz w:val="20"/>
          <w:szCs w:val="20"/>
        </w:rPr>
      </w:pPr>
      <w:r w:rsidRPr="00C837DD">
        <w:rPr>
          <w:rFonts w:cs="Arial"/>
          <w:sz w:val="20"/>
          <w:szCs w:val="20"/>
          <w:lang w:eastAsia="es-CR"/>
        </w:rPr>
        <w:t xml:space="preserve">By virtue of what has been stated throughout this chapter, the Court finds that the State of Brazil violated the rights to judicial guarantees, to equality before the law and to judicial protection established in Articles 8(1), 24 and 25 of the American Convention, in relation to Articles 1(1) </w:t>
      </w:r>
      <w:r w:rsidR="00F85D5F" w:rsidRPr="00C837DD">
        <w:rPr>
          <w:rFonts w:cs="Arial"/>
          <w:sz w:val="20"/>
          <w:szCs w:val="20"/>
          <w:lang w:eastAsia="es-CR"/>
        </w:rPr>
        <w:t xml:space="preserve">and 2 </w:t>
      </w:r>
      <w:r w:rsidRPr="00C837DD">
        <w:rPr>
          <w:rFonts w:cs="Arial"/>
          <w:sz w:val="20"/>
          <w:szCs w:val="20"/>
          <w:lang w:eastAsia="es-CR"/>
        </w:rPr>
        <w:t xml:space="preserve">of said treaty, as well as the obligations </w:t>
      </w:r>
      <w:r w:rsidR="00127E62">
        <w:rPr>
          <w:rFonts w:cs="Arial"/>
          <w:sz w:val="20"/>
          <w:szCs w:val="20"/>
          <w:lang w:eastAsia="es-CR"/>
        </w:rPr>
        <w:t xml:space="preserve">set forth </w:t>
      </w:r>
      <w:r w:rsidRPr="00C837DD">
        <w:rPr>
          <w:rFonts w:cs="Arial"/>
          <w:sz w:val="20"/>
          <w:szCs w:val="20"/>
          <w:lang w:eastAsia="es-CR"/>
        </w:rPr>
        <w:t>in Article 7(b) of the Convention of Belem do Para, to the detriment of Mrs. M.B.S. and Mr. S.R.S.</w:t>
      </w:r>
      <w:r w:rsidR="00F85D5F" w:rsidRPr="00C837DD">
        <w:rPr>
          <w:rFonts w:cs="Arial"/>
          <w:sz w:val="20"/>
          <w:szCs w:val="20"/>
          <w:lang w:eastAsia="es-CR"/>
        </w:rPr>
        <w:t xml:space="preserve"> </w:t>
      </w:r>
    </w:p>
    <w:p w14:paraId="3B63CC06" w14:textId="77777777" w:rsidR="00581481" w:rsidRPr="00C837DD" w:rsidRDefault="00581481">
      <w:pPr>
        <w:widowControl/>
        <w:autoSpaceDE/>
        <w:autoSpaceDN/>
        <w:spacing w:after="160" w:line="259" w:lineRule="auto"/>
        <w:rPr>
          <w:sz w:val="20"/>
          <w:szCs w:val="20"/>
        </w:rPr>
      </w:pPr>
      <w:r w:rsidRPr="00C837DD">
        <w:br w:type="page"/>
      </w:r>
    </w:p>
    <w:p w14:paraId="7E96DF89" w14:textId="77777777" w:rsidR="00F85D5F" w:rsidRPr="00C837DD" w:rsidRDefault="00F85D5F" w:rsidP="00F85D5F">
      <w:pPr>
        <w:pStyle w:val="Textoindependiente"/>
        <w:tabs>
          <w:tab w:val="left" w:pos="142"/>
        </w:tabs>
      </w:pPr>
    </w:p>
    <w:p w14:paraId="7D0A9768" w14:textId="1A620478" w:rsidR="00F85D5F" w:rsidRPr="00C837DD" w:rsidRDefault="00F85D5F" w:rsidP="00F85D5F">
      <w:pPr>
        <w:pStyle w:val="Ttulo1"/>
        <w:tabs>
          <w:tab w:val="left" w:pos="142"/>
        </w:tabs>
        <w:rPr>
          <w:w w:val="100"/>
          <w:lang w:val="en-US"/>
        </w:rPr>
      </w:pPr>
      <w:bookmarkStart w:id="81" w:name="A._Alegatos_de_las_partes_y_de_la_Comisi"/>
      <w:bookmarkStart w:id="82" w:name="_bookmark153"/>
      <w:bookmarkStart w:id="83" w:name="_Toc85001894"/>
      <w:bookmarkEnd w:id="81"/>
      <w:bookmarkEnd w:id="82"/>
      <w:r w:rsidRPr="00C837DD">
        <w:rPr>
          <w:w w:val="100"/>
          <w:lang w:val="en-US"/>
        </w:rPr>
        <w:t>VIII-2</w:t>
      </w:r>
      <w:r w:rsidRPr="00C837DD">
        <w:rPr>
          <w:w w:val="100"/>
          <w:lang w:val="en-US"/>
        </w:rPr>
        <w:br/>
      </w:r>
      <w:r w:rsidRPr="00C837DD">
        <w:rPr>
          <w:rStyle w:val="Ttulo2Car"/>
          <w:b/>
          <w:w w:val="100"/>
          <w:lang w:val="en-US"/>
        </w:rPr>
        <w:t xml:space="preserve">RIGHT TO PERSONAL INTEGRITY OF THE NEXT OF KIN OF </w:t>
      </w:r>
      <w:r w:rsidR="00B8009F" w:rsidRPr="00C837DD">
        <w:rPr>
          <w:rStyle w:val="Ttulo2Car"/>
          <w:b/>
          <w:w w:val="100"/>
          <w:lang w:val="en-US"/>
        </w:rPr>
        <w:t>MÁRCIA</w:t>
      </w:r>
      <w:r w:rsidRPr="00C837DD">
        <w:rPr>
          <w:rStyle w:val="Ttulo2Car"/>
          <w:b/>
          <w:w w:val="100"/>
          <w:lang w:val="en-US"/>
        </w:rPr>
        <w:t xml:space="preserve"> BARBOSA DE SOUZA</w:t>
      </w:r>
      <w:r w:rsidRPr="00C837DD">
        <w:rPr>
          <w:w w:val="100"/>
          <w:vertAlign w:val="superscript"/>
          <w:lang w:val="en-US"/>
        </w:rPr>
        <w:footnoteReference w:id="261"/>
      </w:r>
      <w:bookmarkEnd w:id="83"/>
    </w:p>
    <w:p w14:paraId="1A5F6EBD" w14:textId="77777777" w:rsidR="00F85D5F" w:rsidRPr="00C837DD" w:rsidRDefault="00F85D5F" w:rsidP="00F85D5F">
      <w:pPr>
        <w:tabs>
          <w:tab w:val="left" w:pos="142"/>
        </w:tabs>
        <w:jc w:val="center"/>
        <w:rPr>
          <w:b/>
          <w:sz w:val="20"/>
          <w:szCs w:val="20"/>
        </w:rPr>
      </w:pPr>
    </w:p>
    <w:p w14:paraId="5A28092C" w14:textId="77777777" w:rsidR="00F85D5F" w:rsidRPr="00C837DD" w:rsidRDefault="00F85D5F" w:rsidP="00F85D5F">
      <w:pPr>
        <w:pStyle w:val="Ttulo2"/>
        <w:ind w:left="1134" w:hanging="567"/>
        <w:rPr>
          <w:lang w:val="en-US"/>
        </w:rPr>
      </w:pPr>
      <w:bookmarkStart w:id="84" w:name="_Toc85001895"/>
      <w:r w:rsidRPr="00C837DD">
        <w:rPr>
          <w:lang w:val="en-US"/>
        </w:rPr>
        <w:t>Arguments of the parties and of the Commission</w:t>
      </w:r>
      <w:bookmarkEnd w:id="84"/>
    </w:p>
    <w:p w14:paraId="4CF4C5E2" w14:textId="77777777" w:rsidR="00F85D5F" w:rsidRPr="00C837DD" w:rsidRDefault="00F85D5F" w:rsidP="00F85D5F">
      <w:pPr>
        <w:pStyle w:val="Textoindependiente"/>
        <w:tabs>
          <w:tab w:val="left" w:pos="142"/>
        </w:tabs>
      </w:pPr>
    </w:p>
    <w:p w14:paraId="65585454" w14:textId="08AA6096"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Commission</w:t>
      </w:r>
      <w:r w:rsidRPr="00C837DD">
        <w:rPr>
          <w:b/>
          <w:i/>
          <w:sz w:val="20"/>
          <w:szCs w:val="20"/>
        </w:rPr>
        <w:t xml:space="preserve"> </w:t>
      </w:r>
      <w:r w:rsidRPr="00C837DD">
        <w:rPr>
          <w:sz w:val="20"/>
          <w:szCs w:val="20"/>
        </w:rPr>
        <w:t xml:space="preserve">considered that the right to </w:t>
      </w:r>
      <w:r w:rsidR="005534D5" w:rsidRPr="00C837DD">
        <w:rPr>
          <w:sz w:val="20"/>
          <w:szCs w:val="20"/>
        </w:rPr>
        <w:t xml:space="preserve">psychological </w:t>
      </w:r>
      <w:r w:rsidRPr="00C837DD">
        <w:rPr>
          <w:sz w:val="20"/>
          <w:szCs w:val="20"/>
        </w:rPr>
        <w:t xml:space="preserve">and moral </w:t>
      </w:r>
      <w:r w:rsidR="00E433B6" w:rsidRPr="00C837DD">
        <w:rPr>
          <w:sz w:val="20"/>
          <w:szCs w:val="20"/>
        </w:rPr>
        <w:t xml:space="preserve">integrity </w:t>
      </w:r>
      <w:r w:rsidRPr="00C837DD">
        <w:rPr>
          <w:sz w:val="20"/>
          <w:szCs w:val="20"/>
        </w:rPr>
        <w:t>of the alleged victim</w:t>
      </w:r>
      <w:r w:rsidR="005534D5" w:rsidRPr="00C837DD">
        <w:rPr>
          <w:sz w:val="20"/>
          <w:szCs w:val="20"/>
        </w:rPr>
        <w:t>’s next of kin</w:t>
      </w:r>
      <w:r w:rsidRPr="00C837DD">
        <w:rPr>
          <w:sz w:val="20"/>
          <w:szCs w:val="20"/>
        </w:rPr>
        <w:t xml:space="preserve"> </w:t>
      </w:r>
      <w:r w:rsidR="002F0D05" w:rsidRPr="00C837DD">
        <w:rPr>
          <w:sz w:val="20"/>
          <w:szCs w:val="20"/>
        </w:rPr>
        <w:t xml:space="preserve">was violated </w:t>
      </w:r>
      <w:r w:rsidRPr="00C837DD">
        <w:rPr>
          <w:sz w:val="20"/>
          <w:szCs w:val="20"/>
        </w:rPr>
        <w:t xml:space="preserve">due to the following factors: i) the </w:t>
      </w:r>
      <w:r w:rsidR="005534D5" w:rsidRPr="00C837DD">
        <w:rPr>
          <w:sz w:val="20"/>
          <w:szCs w:val="20"/>
        </w:rPr>
        <w:t xml:space="preserve">murder </w:t>
      </w:r>
      <w:r w:rsidRPr="00C837DD">
        <w:rPr>
          <w:sz w:val="20"/>
          <w:szCs w:val="20"/>
        </w:rPr>
        <w:t xml:space="preserve">of the </w:t>
      </w:r>
      <w:r w:rsidR="005534D5" w:rsidRPr="00C837DD">
        <w:rPr>
          <w:sz w:val="20"/>
          <w:szCs w:val="20"/>
        </w:rPr>
        <w:t>alleged victim</w:t>
      </w:r>
      <w:r w:rsidRPr="00C837DD">
        <w:rPr>
          <w:sz w:val="20"/>
          <w:szCs w:val="20"/>
        </w:rPr>
        <w:t xml:space="preserve">; ii) the failure to investigate the other suspects; iii) the delay in opening the case against the then deputy; iv) the impunity in </w:t>
      </w:r>
      <w:r w:rsidR="00644736" w:rsidRPr="00C837DD">
        <w:rPr>
          <w:sz w:val="20"/>
          <w:szCs w:val="20"/>
        </w:rPr>
        <w:t xml:space="preserve">which </w:t>
      </w:r>
      <w:r w:rsidRPr="00C837DD">
        <w:rPr>
          <w:sz w:val="20"/>
          <w:szCs w:val="20"/>
        </w:rPr>
        <w:t>the then deputy</w:t>
      </w:r>
      <w:r w:rsidR="00644736" w:rsidRPr="00C837DD">
        <w:rPr>
          <w:sz w:val="20"/>
          <w:szCs w:val="20"/>
        </w:rPr>
        <w:t xml:space="preserve"> </w:t>
      </w:r>
      <w:r w:rsidR="005534D5" w:rsidRPr="00C837DD">
        <w:rPr>
          <w:sz w:val="20"/>
          <w:szCs w:val="20"/>
        </w:rPr>
        <w:t xml:space="preserve">allegedly </w:t>
      </w:r>
      <w:r w:rsidR="00644736" w:rsidRPr="00C837DD">
        <w:rPr>
          <w:sz w:val="20"/>
          <w:szCs w:val="20"/>
        </w:rPr>
        <w:t>lived</w:t>
      </w:r>
      <w:r w:rsidRPr="00C837DD">
        <w:rPr>
          <w:sz w:val="20"/>
          <w:szCs w:val="20"/>
        </w:rPr>
        <w:t xml:space="preserve">, and v) the duration of </w:t>
      </w:r>
      <w:r w:rsidR="00E433B6" w:rsidRPr="00C837DD">
        <w:rPr>
          <w:sz w:val="20"/>
          <w:szCs w:val="20"/>
        </w:rPr>
        <w:t>nearly ten years of the</w:t>
      </w:r>
      <w:r w:rsidRPr="00C837DD">
        <w:rPr>
          <w:sz w:val="20"/>
          <w:szCs w:val="20"/>
        </w:rPr>
        <w:t xml:space="preserve"> criminal proceedings.</w:t>
      </w:r>
    </w:p>
    <w:p w14:paraId="08A80392" w14:textId="77777777" w:rsidR="00F85D5F" w:rsidRPr="00C837DD" w:rsidRDefault="00F85D5F" w:rsidP="00F85D5F">
      <w:pPr>
        <w:pStyle w:val="Prrafodelista"/>
        <w:tabs>
          <w:tab w:val="left" w:pos="142"/>
        </w:tabs>
        <w:ind w:left="0"/>
        <w:rPr>
          <w:sz w:val="20"/>
          <w:szCs w:val="20"/>
        </w:rPr>
      </w:pPr>
    </w:p>
    <w:p w14:paraId="309D9E7B" w14:textId="20588A3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representatives</w:t>
      </w:r>
      <w:r w:rsidRPr="00C837DD">
        <w:rPr>
          <w:b/>
          <w:i/>
          <w:sz w:val="20"/>
          <w:szCs w:val="20"/>
        </w:rPr>
        <w:t xml:space="preserve"> </w:t>
      </w:r>
      <w:r w:rsidR="00E433B6" w:rsidRPr="00C837DD">
        <w:rPr>
          <w:sz w:val="20"/>
          <w:szCs w:val="20"/>
        </w:rPr>
        <w:t xml:space="preserve">agreed </w:t>
      </w:r>
      <w:r w:rsidRPr="00C837DD">
        <w:rPr>
          <w:sz w:val="20"/>
          <w:szCs w:val="20"/>
        </w:rPr>
        <w:t xml:space="preserve">with the Commission </w:t>
      </w:r>
      <w:r w:rsidR="00E433B6" w:rsidRPr="00C837DD">
        <w:rPr>
          <w:sz w:val="20"/>
          <w:szCs w:val="20"/>
        </w:rPr>
        <w:t>that the State violated</w:t>
      </w:r>
      <w:r w:rsidRPr="00C837DD">
        <w:rPr>
          <w:sz w:val="20"/>
          <w:szCs w:val="20"/>
        </w:rPr>
        <w:t xml:space="preserve"> the right to personal integrity of </w:t>
      </w:r>
      <w:r w:rsidR="00B8009F" w:rsidRPr="00C837DD">
        <w:rPr>
          <w:sz w:val="20"/>
          <w:szCs w:val="20"/>
        </w:rPr>
        <w:t>Márcia</w:t>
      </w:r>
      <w:r w:rsidRPr="00C837DD">
        <w:rPr>
          <w:sz w:val="20"/>
          <w:szCs w:val="20"/>
        </w:rPr>
        <w:t xml:space="preserve"> Barbosa de Souza</w:t>
      </w:r>
      <w:r w:rsidR="005534D5" w:rsidRPr="00C837DD">
        <w:rPr>
          <w:sz w:val="20"/>
          <w:szCs w:val="20"/>
        </w:rPr>
        <w:t xml:space="preserve">’s next of kin </w:t>
      </w:r>
      <w:r w:rsidR="00DF52F3">
        <w:rPr>
          <w:sz w:val="20"/>
          <w:szCs w:val="20"/>
        </w:rPr>
        <w:t xml:space="preserve">owing </w:t>
      </w:r>
      <w:r w:rsidR="005534D5" w:rsidRPr="00C837DD">
        <w:rPr>
          <w:sz w:val="20"/>
          <w:szCs w:val="20"/>
        </w:rPr>
        <w:t>to</w:t>
      </w:r>
      <w:r w:rsidRPr="00C837DD">
        <w:rPr>
          <w:sz w:val="20"/>
          <w:szCs w:val="20"/>
        </w:rPr>
        <w:t xml:space="preserve"> the suffering </w:t>
      </w:r>
      <w:r w:rsidR="008A24E5" w:rsidRPr="00C837DD">
        <w:rPr>
          <w:sz w:val="20"/>
          <w:szCs w:val="20"/>
        </w:rPr>
        <w:t xml:space="preserve">caused by </w:t>
      </w:r>
      <w:r w:rsidRPr="00C837DD">
        <w:rPr>
          <w:sz w:val="20"/>
          <w:szCs w:val="20"/>
        </w:rPr>
        <w:t>the impunity of the facts</w:t>
      </w:r>
      <w:r w:rsidR="005534D5" w:rsidRPr="00C837DD">
        <w:rPr>
          <w:sz w:val="20"/>
          <w:szCs w:val="20"/>
        </w:rPr>
        <w:t xml:space="preserve"> of the case</w:t>
      </w:r>
      <w:r w:rsidRPr="00C837DD">
        <w:rPr>
          <w:sz w:val="20"/>
          <w:szCs w:val="20"/>
        </w:rPr>
        <w:t xml:space="preserve">. </w:t>
      </w:r>
      <w:r w:rsidR="008A24E5" w:rsidRPr="00C837DD">
        <w:rPr>
          <w:sz w:val="20"/>
          <w:szCs w:val="20"/>
        </w:rPr>
        <w:t>They emphasized the statements made by</w:t>
      </w:r>
      <w:r w:rsidRPr="00C837DD">
        <w:rPr>
          <w:sz w:val="20"/>
          <w:szCs w:val="20"/>
        </w:rPr>
        <w:t xml:space="preserve"> </w:t>
      </w:r>
      <w:r w:rsidR="008A24E5" w:rsidRPr="00C837DD">
        <w:rPr>
          <w:sz w:val="20"/>
          <w:szCs w:val="20"/>
        </w:rPr>
        <w:t xml:space="preserve">her </w:t>
      </w:r>
      <w:r w:rsidRPr="00C837DD">
        <w:rPr>
          <w:sz w:val="20"/>
          <w:szCs w:val="20"/>
        </w:rPr>
        <w:t>parents, wh</w:t>
      </w:r>
      <w:r w:rsidR="008A24E5" w:rsidRPr="00C837DD">
        <w:rPr>
          <w:sz w:val="20"/>
          <w:szCs w:val="20"/>
        </w:rPr>
        <w:t>o stated</w:t>
      </w:r>
      <w:r w:rsidRPr="00C837DD">
        <w:rPr>
          <w:sz w:val="20"/>
          <w:szCs w:val="20"/>
        </w:rPr>
        <w:t>: “I only believe in God’s justice, because I’ve never seen important people arrested for killing poor people” and “it’s the rich people against the poor people […]</w:t>
      </w:r>
      <w:r w:rsidR="008A24E5" w:rsidRPr="00C837DD">
        <w:rPr>
          <w:sz w:val="20"/>
          <w:szCs w:val="20"/>
        </w:rPr>
        <w:t>.”</w:t>
      </w:r>
      <w:r w:rsidRPr="00C837DD">
        <w:rPr>
          <w:sz w:val="20"/>
          <w:szCs w:val="20"/>
        </w:rPr>
        <w:t xml:space="preserve"> </w:t>
      </w:r>
      <w:r w:rsidR="00780408" w:rsidRPr="00C837DD">
        <w:rPr>
          <w:sz w:val="20"/>
          <w:szCs w:val="20"/>
        </w:rPr>
        <w:t>Therefore</w:t>
      </w:r>
      <w:r w:rsidR="00E433B6" w:rsidRPr="00C837DD">
        <w:rPr>
          <w:sz w:val="20"/>
          <w:szCs w:val="20"/>
        </w:rPr>
        <w:t xml:space="preserve">, </w:t>
      </w:r>
      <w:r w:rsidR="00780408" w:rsidRPr="00C837DD">
        <w:rPr>
          <w:sz w:val="20"/>
          <w:szCs w:val="20"/>
        </w:rPr>
        <w:t xml:space="preserve">they alleged </w:t>
      </w:r>
      <w:r w:rsidR="00E433B6" w:rsidRPr="00C837DD">
        <w:rPr>
          <w:sz w:val="20"/>
          <w:szCs w:val="20"/>
        </w:rPr>
        <w:t xml:space="preserve">that the asymmetry </w:t>
      </w:r>
      <w:r w:rsidRPr="00C837DD">
        <w:rPr>
          <w:sz w:val="20"/>
          <w:szCs w:val="20"/>
        </w:rPr>
        <w:t>of powers in t</w:t>
      </w:r>
      <w:r w:rsidR="00350BC2" w:rsidRPr="00C837DD">
        <w:rPr>
          <w:sz w:val="20"/>
          <w:szCs w:val="20"/>
        </w:rPr>
        <w:t xml:space="preserve">his case would have </w:t>
      </w:r>
      <w:r w:rsidRPr="00C837DD">
        <w:rPr>
          <w:sz w:val="20"/>
          <w:szCs w:val="20"/>
        </w:rPr>
        <w:t xml:space="preserve">aggravated the suffering of the alleged victim’s family. </w:t>
      </w:r>
    </w:p>
    <w:p w14:paraId="29D58F21" w14:textId="77777777" w:rsidR="00F85D5F" w:rsidRPr="00C837DD" w:rsidRDefault="00F85D5F" w:rsidP="00F85D5F">
      <w:pPr>
        <w:pStyle w:val="Prrafodelista"/>
        <w:tabs>
          <w:tab w:val="left" w:pos="142"/>
        </w:tabs>
        <w:ind w:left="0"/>
        <w:rPr>
          <w:sz w:val="20"/>
          <w:szCs w:val="20"/>
        </w:rPr>
      </w:pPr>
    </w:p>
    <w:p w14:paraId="00E0B28B" w14:textId="319BF8BF"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State</w:t>
      </w:r>
      <w:r w:rsidRPr="00C837DD">
        <w:rPr>
          <w:b/>
          <w:sz w:val="20"/>
          <w:szCs w:val="20"/>
        </w:rPr>
        <w:t xml:space="preserve"> </w:t>
      </w:r>
      <w:r w:rsidRPr="00C837DD">
        <w:rPr>
          <w:sz w:val="20"/>
          <w:szCs w:val="20"/>
        </w:rPr>
        <w:t>argued</w:t>
      </w:r>
      <w:r w:rsidRPr="00C837DD">
        <w:rPr>
          <w:b/>
          <w:sz w:val="20"/>
          <w:szCs w:val="20"/>
        </w:rPr>
        <w:t xml:space="preserve"> </w:t>
      </w:r>
      <w:r w:rsidRPr="00C837DD">
        <w:rPr>
          <w:sz w:val="20"/>
          <w:szCs w:val="20"/>
        </w:rPr>
        <w:t xml:space="preserve">that the criminal </w:t>
      </w:r>
      <w:r w:rsidR="00445E40" w:rsidRPr="00C837DD">
        <w:rPr>
          <w:sz w:val="20"/>
          <w:szCs w:val="20"/>
        </w:rPr>
        <w:t xml:space="preserve">prosecution </w:t>
      </w:r>
      <w:r w:rsidRPr="00C837DD">
        <w:rPr>
          <w:sz w:val="20"/>
          <w:szCs w:val="20"/>
        </w:rPr>
        <w:t xml:space="preserve">was conducted in accordance with due process and </w:t>
      </w:r>
      <w:r w:rsidR="00A95A59">
        <w:rPr>
          <w:sz w:val="20"/>
          <w:szCs w:val="20"/>
        </w:rPr>
        <w:t xml:space="preserve">with </w:t>
      </w:r>
      <w:r w:rsidRPr="00C837DD">
        <w:rPr>
          <w:sz w:val="20"/>
          <w:szCs w:val="20"/>
        </w:rPr>
        <w:t xml:space="preserve">the corresponding procedural guarantees, as established in the American Convention and the Constitution of Brazil. </w:t>
      </w:r>
      <w:r w:rsidR="00362DF6" w:rsidRPr="00C837DD">
        <w:rPr>
          <w:sz w:val="20"/>
          <w:szCs w:val="20"/>
        </w:rPr>
        <w:t xml:space="preserve">It further argued </w:t>
      </w:r>
      <w:r w:rsidRPr="00C837DD">
        <w:rPr>
          <w:sz w:val="20"/>
          <w:szCs w:val="20"/>
        </w:rPr>
        <w:t xml:space="preserve">that all phases </w:t>
      </w:r>
      <w:r w:rsidR="00350BC2" w:rsidRPr="00C837DD">
        <w:rPr>
          <w:sz w:val="20"/>
          <w:szCs w:val="20"/>
        </w:rPr>
        <w:t xml:space="preserve">were characterized by </w:t>
      </w:r>
      <w:r w:rsidRPr="00C837DD">
        <w:rPr>
          <w:sz w:val="20"/>
          <w:szCs w:val="20"/>
        </w:rPr>
        <w:t xml:space="preserve">respect </w:t>
      </w:r>
      <w:r w:rsidR="00350BC2" w:rsidRPr="00C837DD">
        <w:rPr>
          <w:sz w:val="20"/>
          <w:szCs w:val="20"/>
        </w:rPr>
        <w:t xml:space="preserve">for </w:t>
      </w:r>
      <w:r w:rsidRPr="00C837DD">
        <w:rPr>
          <w:sz w:val="20"/>
          <w:szCs w:val="20"/>
        </w:rPr>
        <w:t xml:space="preserve">the principles </w:t>
      </w:r>
      <w:r w:rsidR="00BC54A4" w:rsidRPr="00C837DD">
        <w:rPr>
          <w:sz w:val="20"/>
          <w:szCs w:val="20"/>
        </w:rPr>
        <w:t xml:space="preserve">of </w:t>
      </w:r>
      <w:r w:rsidR="00445E40" w:rsidRPr="00C837DD">
        <w:rPr>
          <w:sz w:val="20"/>
          <w:szCs w:val="20"/>
        </w:rPr>
        <w:t>adversarial proceedings and broad defense.</w:t>
      </w:r>
      <w:r w:rsidRPr="00C837DD">
        <w:rPr>
          <w:sz w:val="20"/>
          <w:szCs w:val="20"/>
        </w:rPr>
        <w:t xml:space="preserve"> However, </w:t>
      </w:r>
      <w:r w:rsidR="00BC54A4" w:rsidRPr="00C837DD">
        <w:rPr>
          <w:sz w:val="20"/>
          <w:szCs w:val="20"/>
        </w:rPr>
        <w:t xml:space="preserve">it </w:t>
      </w:r>
      <w:r w:rsidR="00445E40" w:rsidRPr="00C837DD">
        <w:rPr>
          <w:sz w:val="20"/>
          <w:szCs w:val="20"/>
        </w:rPr>
        <w:t xml:space="preserve">indicated </w:t>
      </w:r>
      <w:r w:rsidR="00BC54A4" w:rsidRPr="00C837DD">
        <w:rPr>
          <w:sz w:val="20"/>
          <w:szCs w:val="20"/>
        </w:rPr>
        <w:t>that, owing to the complexity of the</w:t>
      </w:r>
      <w:r w:rsidRPr="00C837DD">
        <w:rPr>
          <w:sz w:val="20"/>
          <w:szCs w:val="20"/>
        </w:rPr>
        <w:t xml:space="preserve"> judicial </w:t>
      </w:r>
      <w:r w:rsidR="00BC54A4" w:rsidRPr="00C837DD">
        <w:rPr>
          <w:sz w:val="20"/>
          <w:szCs w:val="20"/>
        </w:rPr>
        <w:t>procedure</w:t>
      </w:r>
      <w:r w:rsidR="00A95A59">
        <w:rPr>
          <w:sz w:val="20"/>
          <w:szCs w:val="20"/>
        </w:rPr>
        <w:t>s</w:t>
      </w:r>
      <w:r w:rsidR="00BC54A4" w:rsidRPr="00C837DD">
        <w:rPr>
          <w:sz w:val="20"/>
          <w:szCs w:val="20"/>
        </w:rPr>
        <w:t xml:space="preserve"> established for </w:t>
      </w:r>
      <w:r w:rsidRPr="00C837DD">
        <w:rPr>
          <w:sz w:val="20"/>
          <w:szCs w:val="20"/>
        </w:rPr>
        <w:t xml:space="preserve">crimes of homicide, the </w:t>
      </w:r>
      <w:r w:rsidR="00350BC2" w:rsidRPr="00C837DD">
        <w:rPr>
          <w:sz w:val="20"/>
          <w:szCs w:val="20"/>
        </w:rPr>
        <w:t xml:space="preserve">processing of the case </w:t>
      </w:r>
      <w:r w:rsidR="00445E40" w:rsidRPr="00C837DD">
        <w:rPr>
          <w:sz w:val="20"/>
          <w:szCs w:val="20"/>
        </w:rPr>
        <w:t>took longer</w:t>
      </w:r>
      <w:r w:rsidRPr="00C837DD">
        <w:rPr>
          <w:sz w:val="20"/>
          <w:szCs w:val="20"/>
        </w:rPr>
        <w:t xml:space="preserve">, </w:t>
      </w:r>
      <w:r w:rsidR="008A24E5" w:rsidRPr="00C837DD">
        <w:rPr>
          <w:sz w:val="20"/>
          <w:szCs w:val="20"/>
        </w:rPr>
        <w:t xml:space="preserve">but that this did not </w:t>
      </w:r>
      <w:r w:rsidRPr="00C837DD">
        <w:rPr>
          <w:sz w:val="20"/>
          <w:szCs w:val="20"/>
        </w:rPr>
        <w:t>impl</w:t>
      </w:r>
      <w:r w:rsidR="008A24E5" w:rsidRPr="00C837DD">
        <w:rPr>
          <w:sz w:val="20"/>
          <w:szCs w:val="20"/>
        </w:rPr>
        <w:t xml:space="preserve">y </w:t>
      </w:r>
      <w:r w:rsidRPr="00C837DD">
        <w:rPr>
          <w:sz w:val="20"/>
          <w:szCs w:val="20"/>
        </w:rPr>
        <w:t xml:space="preserve">impunity </w:t>
      </w:r>
      <w:r w:rsidR="00445E40" w:rsidRPr="00C837DD">
        <w:rPr>
          <w:sz w:val="20"/>
          <w:szCs w:val="20"/>
        </w:rPr>
        <w:t xml:space="preserve">for </w:t>
      </w:r>
      <w:r w:rsidR="008A24E5" w:rsidRPr="00C837DD">
        <w:rPr>
          <w:sz w:val="20"/>
          <w:szCs w:val="20"/>
        </w:rPr>
        <w:t>the accused</w:t>
      </w:r>
      <w:r w:rsidR="00780408" w:rsidRPr="00C837DD">
        <w:rPr>
          <w:sz w:val="20"/>
          <w:szCs w:val="20"/>
        </w:rPr>
        <w:t>. It considered that the conduct</w:t>
      </w:r>
      <w:r w:rsidRPr="00C837DD">
        <w:rPr>
          <w:sz w:val="20"/>
          <w:szCs w:val="20"/>
        </w:rPr>
        <w:t xml:space="preserve"> of the </w:t>
      </w:r>
      <w:r w:rsidR="00780408" w:rsidRPr="00C837DD">
        <w:rPr>
          <w:sz w:val="20"/>
          <w:szCs w:val="20"/>
        </w:rPr>
        <w:t xml:space="preserve">police and judicial </w:t>
      </w:r>
      <w:r w:rsidRPr="00C837DD">
        <w:rPr>
          <w:sz w:val="20"/>
          <w:szCs w:val="20"/>
        </w:rPr>
        <w:t>authorities</w:t>
      </w:r>
      <w:r w:rsidR="00A95A59">
        <w:rPr>
          <w:sz w:val="20"/>
          <w:szCs w:val="20"/>
        </w:rPr>
        <w:t>,</w:t>
      </w:r>
      <w:r w:rsidRPr="00C837DD">
        <w:rPr>
          <w:sz w:val="20"/>
          <w:szCs w:val="20"/>
        </w:rPr>
        <w:t xml:space="preserve"> </w:t>
      </w:r>
      <w:r w:rsidR="00780408" w:rsidRPr="00C837DD">
        <w:rPr>
          <w:sz w:val="20"/>
          <w:szCs w:val="20"/>
        </w:rPr>
        <w:t>from</w:t>
      </w:r>
      <w:r w:rsidRPr="00C837DD">
        <w:rPr>
          <w:sz w:val="20"/>
          <w:szCs w:val="20"/>
        </w:rPr>
        <w:t xml:space="preserve"> the </w:t>
      </w:r>
      <w:r w:rsidR="00A95A59">
        <w:rPr>
          <w:sz w:val="20"/>
          <w:szCs w:val="20"/>
        </w:rPr>
        <w:t xml:space="preserve">time of the </w:t>
      </w:r>
      <w:r w:rsidRPr="00C837DD">
        <w:rPr>
          <w:sz w:val="20"/>
          <w:szCs w:val="20"/>
        </w:rPr>
        <w:t xml:space="preserve">homicide of the alleged victim </w:t>
      </w:r>
      <w:r w:rsidR="00780408" w:rsidRPr="00C837DD">
        <w:rPr>
          <w:sz w:val="20"/>
          <w:szCs w:val="20"/>
        </w:rPr>
        <w:t>until the death of the accused</w:t>
      </w:r>
      <w:r w:rsidR="00A95A59">
        <w:rPr>
          <w:sz w:val="20"/>
          <w:szCs w:val="20"/>
        </w:rPr>
        <w:t>,</w:t>
      </w:r>
      <w:r w:rsidR="00780408" w:rsidRPr="00C837DD">
        <w:rPr>
          <w:sz w:val="20"/>
          <w:szCs w:val="20"/>
        </w:rPr>
        <w:t xml:space="preserve"> </w:t>
      </w:r>
      <w:r w:rsidRPr="00C837DD">
        <w:rPr>
          <w:sz w:val="20"/>
          <w:szCs w:val="20"/>
        </w:rPr>
        <w:t>wa</w:t>
      </w:r>
      <w:r w:rsidR="00350BC2" w:rsidRPr="00C837DD">
        <w:rPr>
          <w:sz w:val="20"/>
          <w:szCs w:val="20"/>
        </w:rPr>
        <w:t>s entirely satisfactory</w:t>
      </w:r>
      <w:r w:rsidRPr="00C837DD">
        <w:rPr>
          <w:sz w:val="20"/>
          <w:szCs w:val="20"/>
        </w:rPr>
        <w:t xml:space="preserve">, </w:t>
      </w:r>
      <w:r w:rsidR="00362DF6" w:rsidRPr="00C837DD">
        <w:rPr>
          <w:sz w:val="20"/>
          <w:szCs w:val="20"/>
        </w:rPr>
        <w:t xml:space="preserve">and that there were no </w:t>
      </w:r>
      <w:r w:rsidR="00E433B6" w:rsidRPr="00C837DD">
        <w:rPr>
          <w:sz w:val="20"/>
          <w:szCs w:val="20"/>
        </w:rPr>
        <w:t xml:space="preserve">undue delays or actions </w:t>
      </w:r>
      <w:r w:rsidRPr="00C837DD">
        <w:rPr>
          <w:sz w:val="20"/>
          <w:szCs w:val="20"/>
        </w:rPr>
        <w:t>that den</w:t>
      </w:r>
      <w:r w:rsidR="00E433B6" w:rsidRPr="00C837DD">
        <w:rPr>
          <w:sz w:val="20"/>
          <w:szCs w:val="20"/>
        </w:rPr>
        <w:t xml:space="preserve">ied </w:t>
      </w:r>
      <w:r w:rsidRPr="00C837DD">
        <w:rPr>
          <w:sz w:val="20"/>
          <w:szCs w:val="20"/>
        </w:rPr>
        <w:t xml:space="preserve">justice. </w:t>
      </w:r>
      <w:r w:rsidR="00780408" w:rsidRPr="00C837DD">
        <w:rPr>
          <w:sz w:val="20"/>
          <w:szCs w:val="20"/>
        </w:rPr>
        <w:t>It a</w:t>
      </w:r>
      <w:r w:rsidR="00136E4E" w:rsidRPr="00C837DD">
        <w:rPr>
          <w:sz w:val="20"/>
          <w:szCs w:val="20"/>
        </w:rPr>
        <w:t xml:space="preserve">lleged </w:t>
      </w:r>
      <w:r w:rsidRPr="00C837DD">
        <w:rPr>
          <w:sz w:val="20"/>
          <w:szCs w:val="20"/>
        </w:rPr>
        <w:t xml:space="preserve">that </w:t>
      </w:r>
      <w:r w:rsidR="00780408" w:rsidRPr="00C837DD">
        <w:rPr>
          <w:sz w:val="20"/>
          <w:szCs w:val="20"/>
        </w:rPr>
        <w:t xml:space="preserve">there is no evidence </w:t>
      </w:r>
      <w:r w:rsidRPr="00C837DD">
        <w:rPr>
          <w:sz w:val="20"/>
          <w:szCs w:val="20"/>
        </w:rPr>
        <w:t xml:space="preserve">that the State </w:t>
      </w:r>
      <w:r w:rsidR="00780408" w:rsidRPr="00C837DD">
        <w:rPr>
          <w:sz w:val="20"/>
          <w:szCs w:val="20"/>
        </w:rPr>
        <w:t xml:space="preserve">caused </w:t>
      </w:r>
      <w:r w:rsidRPr="00C837DD">
        <w:rPr>
          <w:sz w:val="20"/>
          <w:szCs w:val="20"/>
        </w:rPr>
        <w:t>an unjustified delay in the criminal proceedings</w:t>
      </w:r>
      <w:r w:rsidR="00E433B6" w:rsidRPr="00C837DD">
        <w:rPr>
          <w:sz w:val="20"/>
          <w:szCs w:val="20"/>
        </w:rPr>
        <w:t xml:space="preserve"> </w:t>
      </w:r>
      <w:r w:rsidR="00350BC2" w:rsidRPr="00C837DD">
        <w:rPr>
          <w:sz w:val="20"/>
          <w:szCs w:val="20"/>
        </w:rPr>
        <w:t xml:space="preserve">or that it was </w:t>
      </w:r>
      <w:r w:rsidR="00E433B6" w:rsidRPr="00C837DD">
        <w:rPr>
          <w:sz w:val="20"/>
          <w:szCs w:val="20"/>
        </w:rPr>
        <w:t>negligent</w:t>
      </w:r>
      <w:r w:rsidRPr="00C837DD">
        <w:rPr>
          <w:sz w:val="20"/>
          <w:szCs w:val="20"/>
        </w:rPr>
        <w:t xml:space="preserve"> in </w:t>
      </w:r>
      <w:r w:rsidR="00E433B6" w:rsidRPr="00C837DD">
        <w:rPr>
          <w:sz w:val="20"/>
          <w:szCs w:val="20"/>
        </w:rPr>
        <w:t xml:space="preserve">its duty to </w:t>
      </w:r>
      <w:r w:rsidRPr="00C837DD">
        <w:rPr>
          <w:sz w:val="20"/>
          <w:szCs w:val="20"/>
        </w:rPr>
        <w:t>investigate, pro</w:t>
      </w:r>
      <w:r w:rsidR="00E433B6" w:rsidRPr="00C837DD">
        <w:rPr>
          <w:sz w:val="20"/>
          <w:szCs w:val="20"/>
        </w:rPr>
        <w:t xml:space="preserve">secute </w:t>
      </w:r>
      <w:r w:rsidRPr="00C837DD">
        <w:rPr>
          <w:sz w:val="20"/>
          <w:szCs w:val="20"/>
        </w:rPr>
        <w:t xml:space="preserve">and </w:t>
      </w:r>
      <w:r w:rsidR="00E433B6" w:rsidRPr="00C837DD">
        <w:rPr>
          <w:sz w:val="20"/>
          <w:szCs w:val="20"/>
        </w:rPr>
        <w:t>punish</w:t>
      </w:r>
      <w:r w:rsidRPr="00C837DD">
        <w:rPr>
          <w:sz w:val="20"/>
          <w:szCs w:val="20"/>
        </w:rPr>
        <w:t xml:space="preserve"> </w:t>
      </w:r>
      <w:r w:rsidR="00350BC2" w:rsidRPr="00C837DD">
        <w:rPr>
          <w:sz w:val="20"/>
          <w:szCs w:val="20"/>
        </w:rPr>
        <w:t xml:space="preserve">those </w:t>
      </w:r>
      <w:r w:rsidRPr="00C837DD">
        <w:rPr>
          <w:sz w:val="20"/>
          <w:szCs w:val="20"/>
        </w:rPr>
        <w:t xml:space="preserve">responsible </w:t>
      </w:r>
      <w:r w:rsidR="00136E4E" w:rsidRPr="00C837DD">
        <w:rPr>
          <w:sz w:val="20"/>
          <w:szCs w:val="20"/>
        </w:rPr>
        <w:t xml:space="preserve">for </w:t>
      </w:r>
      <w:r w:rsidRPr="00C837DD">
        <w:rPr>
          <w:sz w:val="20"/>
          <w:szCs w:val="20"/>
        </w:rPr>
        <w:t xml:space="preserve">the death of the alleged victim. </w:t>
      </w:r>
      <w:r w:rsidR="00350BC2" w:rsidRPr="00C837DD">
        <w:rPr>
          <w:sz w:val="20"/>
          <w:szCs w:val="20"/>
        </w:rPr>
        <w:t xml:space="preserve">It </w:t>
      </w:r>
      <w:r w:rsidR="00136E4E" w:rsidRPr="00C837DD">
        <w:rPr>
          <w:sz w:val="20"/>
          <w:szCs w:val="20"/>
        </w:rPr>
        <w:t xml:space="preserve">pointed out that the State offered a judicial response to the facts considered to violate the rights of the next of kin of Márcia Barbosa de Souza, and that </w:t>
      </w:r>
      <w:r w:rsidRPr="00C837DD">
        <w:rPr>
          <w:sz w:val="20"/>
          <w:szCs w:val="20"/>
        </w:rPr>
        <w:t xml:space="preserve">the </w:t>
      </w:r>
      <w:r w:rsidR="00136E4E" w:rsidRPr="00C837DD">
        <w:rPr>
          <w:sz w:val="20"/>
          <w:szCs w:val="20"/>
        </w:rPr>
        <w:t xml:space="preserve">punishment of the perpetrator could not be carried out </w:t>
      </w:r>
      <w:r w:rsidR="00BC54A4" w:rsidRPr="00C837DD">
        <w:rPr>
          <w:sz w:val="20"/>
          <w:szCs w:val="20"/>
        </w:rPr>
        <w:t xml:space="preserve">for reasons beyond the control of the </w:t>
      </w:r>
      <w:r w:rsidRPr="00C837DD">
        <w:rPr>
          <w:sz w:val="20"/>
          <w:szCs w:val="20"/>
        </w:rPr>
        <w:t xml:space="preserve">State, </w:t>
      </w:r>
      <w:r w:rsidR="00136E4E" w:rsidRPr="00C837DD">
        <w:rPr>
          <w:sz w:val="20"/>
          <w:szCs w:val="20"/>
        </w:rPr>
        <w:t xml:space="preserve">namely </w:t>
      </w:r>
      <w:r w:rsidRPr="00C837DD">
        <w:rPr>
          <w:sz w:val="20"/>
          <w:szCs w:val="20"/>
        </w:rPr>
        <w:t xml:space="preserve">the death </w:t>
      </w:r>
      <w:r w:rsidR="008A24E5" w:rsidRPr="00C837DD">
        <w:rPr>
          <w:sz w:val="20"/>
          <w:szCs w:val="20"/>
        </w:rPr>
        <w:t xml:space="preserve">of Mr. Pereira de Lima in February </w:t>
      </w:r>
      <w:r w:rsidRPr="00C837DD">
        <w:rPr>
          <w:sz w:val="20"/>
          <w:szCs w:val="20"/>
        </w:rPr>
        <w:t xml:space="preserve">2008. Finally, </w:t>
      </w:r>
      <w:r w:rsidR="00FE582A" w:rsidRPr="00C837DD">
        <w:rPr>
          <w:sz w:val="20"/>
          <w:szCs w:val="20"/>
        </w:rPr>
        <w:t xml:space="preserve">it stressed </w:t>
      </w:r>
      <w:r w:rsidRPr="00C837DD">
        <w:rPr>
          <w:sz w:val="20"/>
          <w:szCs w:val="20"/>
        </w:rPr>
        <w:t xml:space="preserve">that the State </w:t>
      </w:r>
      <w:r w:rsidR="00350BC2" w:rsidRPr="00C837DD">
        <w:rPr>
          <w:sz w:val="20"/>
          <w:szCs w:val="20"/>
        </w:rPr>
        <w:t>must ensure equal protection of the law to</w:t>
      </w:r>
      <w:r w:rsidRPr="00C837DD">
        <w:rPr>
          <w:sz w:val="20"/>
          <w:szCs w:val="20"/>
        </w:rPr>
        <w:t xml:space="preserve"> all </w:t>
      </w:r>
      <w:r w:rsidR="00350BC2" w:rsidRPr="00C837DD">
        <w:rPr>
          <w:sz w:val="20"/>
          <w:szCs w:val="20"/>
        </w:rPr>
        <w:t>person</w:t>
      </w:r>
      <w:r w:rsidRPr="00C837DD">
        <w:rPr>
          <w:sz w:val="20"/>
          <w:szCs w:val="20"/>
        </w:rPr>
        <w:t xml:space="preserve">s and that </w:t>
      </w:r>
      <w:r w:rsidR="00BC54A4" w:rsidRPr="00C837DD">
        <w:rPr>
          <w:sz w:val="20"/>
          <w:szCs w:val="20"/>
        </w:rPr>
        <w:t xml:space="preserve">it could not have </w:t>
      </w:r>
      <w:r w:rsidR="00136E4E" w:rsidRPr="00C837DD">
        <w:rPr>
          <w:sz w:val="20"/>
          <w:szCs w:val="20"/>
        </w:rPr>
        <w:t xml:space="preserve">expedited </w:t>
      </w:r>
      <w:r w:rsidR="00BC54A4" w:rsidRPr="00C837DD">
        <w:rPr>
          <w:sz w:val="20"/>
          <w:szCs w:val="20"/>
        </w:rPr>
        <w:t xml:space="preserve">the process if this implied </w:t>
      </w:r>
      <w:r w:rsidRPr="00C837DD">
        <w:rPr>
          <w:sz w:val="20"/>
          <w:szCs w:val="20"/>
        </w:rPr>
        <w:t>viola</w:t>
      </w:r>
      <w:r w:rsidR="00BC54A4" w:rsidRPr="00C837DD">
        <w:rPr>
          <w:sz w:val="20"/>
          <w:szCs w:val="20"/>
        </w:rPr>
        <w:t>ting</w:t>
      </w:r>
      <w:r w:rsidR="008A24E5" w:rsidRPr="00C837DD">
        <w:rPr>
          <w:sz w:val="20"/>
          <w:szCs w:val="20"/>
        </w:rPr>
        <w:t xml:space="preserve"> </w:t>
      </w:r>
      <w:r w:rsidRPr="00C837DD">
        <w:rPr>
          <w:sz w:val="20"/>
          <w:szCs w:val="20"/>
        </w:rPr>
        <w:t>the procedural guarantees of the parties.</w:t>
      </w:r>
    </w:p>
    <w:p w14:paraId="472E31E6" w14:textId="77777777" w:rsidR="00F85D5F" w:rsidRPr="00C837DD" w:rsidRDefault="00F85D5F" w:rsidP="00F85D5F">
      <w:pPr>
        <w:pStyle w:val="Textoindependiente"/>
        <w:tabs>
          <w:tab w:val="left" w:pos="142"/>
        </w:tabs>
      </w:pPr>
    </w:p>
    <w:p w14:paraId="523D0F42" w14:textId="77777777" w:rsidR="00F85D5F" w:rsidRPr="00C837DD" w:rsidRDefault="00F85D5F" w:rsidP="00F85D5F">
      <w:pPr>
        <w:pStyle w:val="Ttulo3"/>
        <w:numPr>
          <w:ilvl w:val="0"/>
          <w:numId w:val="23"/>
        </w:numPr>
        <w:ind w:left="1134" w:hanging="567"/>
        <w:rPr>
          <w:b/>
          <w:i w:val="0"/>
          <w:sz w:val="20"/>
          <w:szCs w:val="20"/>
        </w:rPr>
      </w:pPr>
      <w:bookmarkStart w:id="85" w:name="B._Consideraciones_de_la_Corte"/>
      <w:bookmarkStart w:id="86" w:name="_bookmark159"/>
      <w:bookmarkStart w:id="87" w:name="_Toc85001896"/>
      <w:bookmarkEnd w:id="85"/>
      <w:bookmarkEnd w:id="86"/>
      <w:r w:rsidRPr="00C837DD">
        <w:rPr>
          <w:b/>
          <w:i w:val="0"/>
          <w:sz w:val="20"/>
          <w:szCs w:val="20"/>
        </w:rPr>
        <w:t>Considerations of the Court</w:t>
      </w:r>
      <w:bookmarkEnd w:id="87"/>
    </w:p>
    <w:p w14:paraId="0B7F3FF4" w14:textId="77777777" w:rsidR="00F85D5F" w:rsidRPr="00C837DD" w:rsidRDefault="00F85D5F" w:rsidP="00F85D5F">
      <w:pPr>
        <w:pStyle w:val="Prrafodelista"/>
        <w:tabs>
          <w:tab w:val="left" w:pos="142"/>
        </w:tabs>
        <w:ind w:left="0"/>
        <w:rPr>
          <w:sz w:val="20"/>
          <w:szCs w:val="20"/>
        </w:rPr>
      </w:pPr>
      <w:bookmarkStart w:id="88" w:name="B.1._Derecho_a_la_protección_judicial_y_"/>
      <w:bookmarkStart w:id="89" w:name="_bookmark160"/>
      <w:bookmarkEnd w:id="88"/>
      <w:bookmarkEnd w:id="89"/>
    </w:p>
    <w:p w14:paraId="2BC5397A" w14:textId="0A82BC6C" w:rsidR="00F85D5F" w:rsidRPr="00C837DD" w:rsidRDefault="008A24E5" w:rsidP="00F85D5F">
      <w:pPr>
        <w:pStyle w:val="Prrafodelista"/>
        <w:numPr>
          <w:ilvl w:val="0"/>
          <w:numId w:val="6"/>
        </w:numPr>
        <w:tabs>
          <w:tab w:val="left" w:pos="142"/>
        </w:tabs>
        <w:ind w:left="0" w:firstLine="0"/>
        <w:rPr>
          <w:sz w:val="20"/>
          <w:szCs w:val="20"/>
        </w:rPr>
      </w:pPr>
      <w:r w:rsidRPr="00C837DD">
        <w:rPr>
          <w:sz w:val="20"/>
          <w:szCs w:val="20"/>
        </w:rPr>
        <w:t xml:space="preserve">The Court has </w:t>
      </w:r>
      <w:r w:rsidR="00C57DA3" w:rsidRPr="00C837DD">
        <w:rPr>
          <w:sz w:val="20"/>
          <w:szCs w:val="20"/>
        </w:rPr>
        <w:t>repeatedly held that the next of kin of victims of human rights violations may themselves be victims</w:t>
      </w:r>
      <w:r w:rsidR="00350BC2" w:rsidRPr="00C837DD">
        <w:rPr>
          <w:sz w:val="20"/>
          <w:szCs w:val="20"/>
        </w:rPr>
        <w:t>.</w:t>
      </w:r>
      <w:r w:rsidR="00F85D5F" w:rsidRPr="00C837DD">
        <w:rPr>
          <w:rStyle w:val="Refdenotaalpie"/>
          <w:sz w:val="20"/>
          <w:szCs w:val="20"/>
        </w:rPr>
        <w:footnoteReference w:id="262"/>
      </w:r>
      <w:r w:rsidR="00F85D5F" w:rsidRPr="00C837DD">
        <w:rPr>
          <w:sz w:val="20"/>
          <w:szCs w:val="20"/>
        </w:rPr>
        <w:t xml:space="preserve"> This Court has considered that </w:t>
      </w:r>
      <w:r w:rsidR="00C57DA3" w:rsidRPr="00C837DD">
        <w:rPr>
          <w:sz w:val="20"/>
          <w:szCs w:val="20"/>
        </w:rPr>
        <w:t xml:space="preserve">the right to </w:t>
      </w:r>
      <w:r w:rsidR="00A95A59">
        <w:rPr>
          <w:sz w:val="20"/>
          <w:szCs w:val="20"/>
        </w:rPr>
        <w:t xml:space="preserve">psychological </w:t>
      </w:r>
      <w:r w:rsidR="00C57DA3" w:rsidRPr="00C837DD">
        <w:rPr>
          <w:sz w:val="20"/>
          <w:szCs w:val="20"/>
        </w:rPr>
        <w:t xml:space="preserve">and moral integrity of the “next of kin” of victims and of other persons with close ties to </w:t>
      </w:r>
      <w:r w:rsidR="00A95A59">
        <w:rPr>
          <w:sz w:val="20"/>
          <w:szCs w:val="20"/>
        </w:rPr>
        <w:t>the</w:t>
      </w:r>
      <w:r w:rsidR="00C57DA3" w:rsidRPr="00C837DD">
        <w:rPr>
          <w:sz w:val="20"/>
          <w:szCs w:val="20"/>
        </w:rPr>
        <w:t xml:space="preserve"> victims</w:t>
      </w:r>
      <w:r w:rsidR="00F85D5F" w:rsidRPr="00C837DD">
        <w:rPr>
          <w:sz w:val="20"/>
          <w:szCs w:val="20"/>
        </w:rPr>
        <w:t xml:space="preserve">, </w:t>
      </w:r>
      <w:r w:rsidR="00C57DA3" w:rsidRPr="00C837DD">
        <w:rPr>
          <w:sz w:val="20"/>
          <w:szCs w:val="20"/>
        </w:rPr>
        <w:t>may be declared violated due to the additional suffering they have endured as a result of the particular circumstances of the violations perpetrated against their loved ones,</w:t>
      </w:r>
      <w:r w:rsidR="00F85D5F" w:rsidRPr="00C837DD">
        <w:rPr>
          <w:sz w:val="20"/>
          <w:szCs w:val="20"/>
        </w:rPr>
        <w:t xml:space="preserve"> </w:t>
      </w:r>
      <w:r w:rsidR="005C063C" w:rsidRPr="00C837DD">
        <w:rPr>
          <w:sz w:val="20"/>
          <w:szCs w:val="20"/>
        </w:rPr>
        <w:t xml:space="preserve">and due to the subsequent actions or omissions </w:t>
      </w:r>
      <w:r w:rsidR="00A95A59">
        <w:rPr>
          <w:sz w:val="20"/>
          <w:szCs w:val="20"/>
        </w:rPr>
        <w:t xml:space="preserve">by </w:t>
      </w:r>
      <w:r w:rsidR="005C063C" w:rsidRPr="00C837DD">
        <w:rPr>
          <w:sz w:val="20"/>
          <w:szCs w:val="20"/>
        </w:rPr>
        <w:t xml:space="preserve">the State authorities in response to these </w:t>
      </w:r>
      <w:r w:rsidR="00F85D5F" w:rsidRPr="00C837DD">
        <w:rPr>
          <w:sz w:val="20"/>
          <w:szCs w:val="20"/>
        </w:rPr>
        <w:t>facts</w:t>
      </w:r>
      <w:r w:rsidR="000C0A25" w:rsidRPr="00C837DD">
        <w:rPr>
          <w:sz w:val="20"/>
          <w:szCs w:val="20"/>
        </w:rPr>
        <w:t>,</w:t>
      </w:r>
      <w:r w:rsidR="00F85D5F" w:rsidRPr="00C837DD">
        <w:rPr>
          <w:sz w:val="20"/>
          <w:szCs w:val="20"/>
          <w:vertAlign w:val="superscript"/>
        </w:rPr>
        <w:footnoteReference w:id="263"/>
      </w:r>
      <w:r w:rsidR="00F85D5F" w:rsidRPr="00C837DD">
        <w:rPr>
          <w:sz w:val="20"/>
          <w:szCs w:val="20"/>
        </w:rPr>
        <w:t xml:space="preserve"> t</w:t>
      </w:r>
      <w:r w:rsidR="00BC54A4" w:rsidRPr="00C837DD">
        <w:rPr>
          <w:sz w:val="20"/>
          <w:szCs w:val="20"/>
        </w:rPr>
        <w:t xml:space="preserve">aking </w:t>
      </w:r>
      <w:r w:rsidR="00BC54A4" w:rsidRPr="00C837DD">
        <w:rPr>
          <w:sz w:val="20"/>
          <w:szCs w:val="20"/>
        </w:rPr>
        <w:lastRenderedPageBreak/>
        <w:t>into account</w:t>
      </w:r>
      <w:r w:rsidR="00F85D5F" w:rsidRPr="00C837DD">
        <w:rPr>
          <w:sz w:val="20"/>
          <w:szCs w:val="20"/>
        </w:rPr>
        <w:t xml:space="preserve">, </w:t>
      </w:r>
      <w:r w:rsidR="00BC54A4" w:rsidRPr="00C837DD">
        <w:rPr>
          <w:i/>
          <w:sz w:val="20"/>
          <w:szCs w:val="20"/>
        </w:rPr>
        <w:t>inter alia</w:t>
      </w:r>
      <w:r w:rsidR="00F85D5F" w:rsidRPr="00C837DD">
        <w:rPr>
          <w:sz w:val="20"/>
          <w:szCs w:val="20"/>
        </w:rPr>
        <w:t xml:space="preserve">, the </w:t>
      </w:r>
      <w:r w:rsidR="005C063C" w:rsidRPr="00C837DD">
        <w:rPr>
          <w:sz w:val="20"/>
          <w:szCs w:val="20"/>
        </w:rPr>
        <w:t xml:space="preserve">steps taken </w:t>
      </w:r>
      <w:r w:rsidR="00F85D5F" w:rsidRPr="00C837DD">
        <w:rPr>
          <w:sz w:val="20"/>
          <w:szCs w:val="20"/>
        </w:rPr>
        <w:t>to obtain justice and the existence of close family ties.</w:t>
      </w:r>
      <w:r w:rsidR="00F85D5F" w:rsidRPr="00C837DD">
        <w:rPr>
          <w:sz w:val="20"/>
          <w:szCs w:val="20"/>
          <w:vertAlign w:val="superscript"/>
        </w:rPr>
        <w:footnoteReference w:id="264"/>
      </w:r>
    </w:p>
    <w:p w14:paraId="483ABBE3" w14:textId="77777777" w:rsidR="00F85D5F" w:rsidRPr="00C837DD" w:rsidRDefault="00F85D5F" w:rsidP="00F85D5F">
      <w:pPr>
        <w:pStyle w:val="Prrafodelista"/>
        <w:tabs>
          <w:tab w:val="left" w:pos="142"/>
        </w:tabs>
        <w:ind w:left="0"/>
        <w:rPr>
          <w:sz w:val="20"/>
          <w:szCs w:val="20"/>
        </w:rPr>
      </w:pPr>
    </w:p>
    <w:p w14:paraId="1046C0A5" w14:textId="154C038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In</w:t>
      </w:r>
      <w:r w:rsidR="005C063C" w:rsidRPr="00C837DD">
        <w:rPr>
          <w:sz w:val="20"/>
          <w:szCs w:val="20"/>
        </w:rPr>
        <w:t xml:space="preserve"> fact</w:t>
      </w:r>
      <w:r w:rsidRPr="00C837DD">
        <w:rPr>
          <w:sz w:val="20"/>
          <w:szCs w:val="20"/>
        </w:rPr>
        <w:t xml:space="preserve">, the body of evidence </w:t>
      </w:r>
      <w:r w:rsidR="005E3647" w:rsidRPr="00C837DD">
        <w:rPr>
          <w:sz w:val="20"/>
          <w:szCs w:val="20"/>
        </w:rPr>
        <w:t xml:space="preserve">in this </w:t>
      </w:r>
      <w:r w:rsidRPr="00C837DD">
        <w:rPr>
          <w:sz w:val="20"/>
          <w:szCs w:val="20"/>
        </w:rPr>
        <w:t xml:space="preserve">case </w:t>
      </w:r>
      <w:r w:rsidR="005E3647" w:rsidRPr="00C837DD">
        <w:rPr>
          <w:sz w:val="20"/>
          <w:szCs w:val="20"/>
        </w:rPr>
        <w:t xml:space="preserve">confirms </w:t>
      </w:r>
      <w:r w:rsidRPr="00C837DD">
        <w:rPr>
          <w:sz w:val="20"/>
          <w:szCs w:val="20"/>
        </w:rPr>
        <w:t>tha</w:t>
      </w:r>
      <w:r w:rsidR="005E3647" w:rsidRPr="00C837DD">
        <w:rPr>
          <w:sz w:val="20"/>
          <w:szCs w:val="20"/>
        </w:rPr>
        <w:t xml:space="preserve">t Mrs. M.B.S. and Mr. S.R.S. endured </w:t>
      </w:r>
      <w:r w:rsidRPr="00C837DD">
        <w:rPr>
          <w:sz w:val="20"/>
          <w:szCs w:val="20"/>
        </w:rPr>
        <w:t>prof</w:t>
      </w:r>
      <w:r w:rsidR="005E3647" w:rsidRPr="00C837DD">
        <w:rPr>
          <w:sz w:val="20"/>
          <w:szCs w:val="20"/>
        </w:rPr>
        <w:t>ound</w:t>
      </w:r>
      <w:r w:rsidRPr="00C837DD">
        <w:rPr>
          <w:sz w:val="20"/>
          <w:szCs w:val="20"/>
        </w:rPr>
        <w:t xml:space="preserve"> suffering and anguish </w:t>
      </w:r>
      <w:r w:rsidR="005E3647" w:rsidRPr="00C837DD">
        <w:rPr>
          <w:sz w:val="20"/>
          <w:szCs w:val="20"/>
        </w:rPr>
        <w:t xml:space="preserve">to the </w:t>
      </w:r>
      <w:r w:rsidRPr="00C837DD">
        <w:rPr>
          <w:sz w:val="20"/>
          <w:szCs w:val="20"/>
        </w:rPr>
        <w:t xml:space="preserve">detriment of </w:t>
      </w:r>
      <w:r w:rsidR="005E3647" w:rsidRPr="00C837DD">
        <w:rPr>
          <w:sz w:val="20"/>
          <w:szCs w:val="20"/>
        </w:rPr>
        <w:t xml:space="preserve">their </w:t>
      </w:r>
      <w:r w:rsidR="00A95A59">
        <w:rPr>
          <w:sz w:val="20"/>
          <w:szCs w:val="20"/>
        </w:rPr>
        <w:t xml:space="preserve">psychological </w:t>
      </w:r>
      <w:r w:rsidR="005E3647" w:rsidRPr="00C837DD">
        <w:rPr>
          <w:sz w:val="20"/>
          <w:szCs w:val="20"/>
        </w:rPr>
        <w:t>and moral integrity</w:t>
      </w:r>
      <w:r w:rsidR="009A764F">
        <w:rPr>
          <w:sz w:val="20"/>
          <w:szCs w:val="20"/>
        </w:rPr>
        <w:t>,</w:t>
      </w:r>
      <w:r w:rsidRPr="00C837DD">
        <w:rPr>
          <w:sz w:val="20"/>
          <w:szCs w:val="20"/>
        </w:rPr>
        <w:t xml:space="preserve"> d</w:t>
      </w:r>
      <w:r w:rsidR="005E3647" w:rsidRPr="00C837DD">
        <w:rPr>
          <w:sz w:val="20"/>
          <w:szCs w:val="20"/>
        </w:rPr>
        <w:t>ue to the murder of their daughter</w:t>
      </w:r>
      <w:r w:rsidRPr="00C837DD">
        <w:rPr>
          <w:sz w:val="20"/>
          <w:szCs w:val="20"/>
        </w:rPr>
        <w:t xml:space="preserve">, </w:t>
      </w:r>
      <w:r w:rsidR="00B8009F" w:rsidRPr="00C837DD">
        <w:rPr>
          <w:sz w:val="20"/>
          <w:szCs w:val="20"/>
        </w:rPr>
        <w:t>Márcia</w:t>
      </w:r>
      <w:r w:rsidRPr="00C837DD">
        <w:rPr>
          <w:sz w:val="20"/>
          <w:szCs w:val="20"/>
        </w:rPr>
        <w:t xml:space="preserve"> Barbosa de Souza, and the </w:t>
      </w:r>
      <w:r w:rsidR="005C063C" w:rsidRPr="00C837DD">
        <w:rPr>
          <w:sz w:val="20"/>
          <w:szCs w:val="20"/>
        </w:rPr>
        <w:t xml:space="preserve">actions </w:t>
      </w:r>
      <w:r w:rsidR="005E3647" w:rsidRPr="00C837DD">
        <w:rPr>
          <w:sz w:val="20"/>
          <w:szCs w:val="20"/>
        </w:rPr>
        <w:t>of the State a</w:t>
      </w:r>
      <w:r w:rsidRPr="00C837DD">
        <w:rPr>
          <w:sz w:val="20"/>
          <w:szCs w:val="20"/>
        </w:rPr>
        <w:t xml:space="preserve">uthorities </w:t>
      </w:r>
      <w:r w:rsidR="005C063C" w:rsidRPr="00C837DD">
        <w:rPr>
          <w:sz w:val="20"/>
          <w:szCs w:val="20"/>
        </w:rPr>
        <w:t xml:space="preserve">with respect to </w:t>
      </w:r>
      <w:r w:rsidRPr="00C837DD">
        <w:rPr>
          <w:sz w:val="20"/>
          <w:szCs w:val="20"/>
        </w:rPr>
        <w:t xml:space="preserve">the investigation of </w:t>
      </w:r>
      <w:r w:rsidR="009A764F">
        <w:rPr>
          <w:sz w:val="20"/>
          <w:szCs w:val="20"/>
        </w:rPr>
        <w:t>the facts</w:t>
      </w:r>
      <w:r w:rsidRPr="00C837DD">
        <w:rPr>
          <w:sz w:val="20"/>
          <w:szCs w:val="20"/>
        </w:rPr>
        <w:t xml:space="preserve">. In this </w:t>
      </w:r>
      <w:r w:rsidR="005E3647" w:rsidRPr="00C837DD">
        <w:rPr>
          <w:sz w:val="20"/>
          <w:szCs w:val="20"/>
        </w:rPr>
        <w:t xml:space="preserve">regard </w:t>
      </w:r>
      <w:r w:rsidR="008F7577" w:rsidRPr="00C837DD">
        <w:rPr>
          <w:sz w:val="20"/>
          <w:szCs w:val="20"/>
        </w:rPr>
        <w:t xml:space="preserve">Márcia’s mother, </w:t>
      </w:r>
      <w:r w:rsidRPr="00C837DD">
        <w:rPr>
          <w:sz w:val="20"/>
          <w:szCs w:val="20"/>
        </w:rPr>
        <w:t>M.B.S.</w:t>
      </w:r>
      <w:r w:rsidR="008F7577" w:rsidRPr="00C837DD">
        <w:rPr>
          <w:sz w:val="20"/>
          <w:szCs w:val="20"/>
        </w:rPr>
        <w:t>,</w:t>
      </w:r>
      <w:r w:rsidRPr="00C837DD">
        <w:rPr>
          <w:sz w:val="20"/>
          <w:szCs w:val="20"/>
        </w:rPr>
        <w:t xml:space="preserve"> stated that:</w:t>
      </w:r>
    </w:p>
    <w:p w14:paraId="055930DE" w14:textId="77777777" w:rsidR="00F85D5F" w:rsidRPr="00C837DD" w:rsidRDefault="00F85D5F" w:rsidP="00F85D5F">
      <w:pPr>
        <w:pStyle w:val="Prrafodelista"/>
        <w:tabs>
          <w:tab w:val="left" w:pos="142"/>
        </w:tabs>
        <w:ind w:left="0"/>
        <w:rPr>
          <w:sz w:val="16"/>
          <w:szCs w:val="16"/>
        </w:rPr>
      </w:pPr>
    </w:p>
    <w:p w14:paraId="49B46D98" w14:textId="0A961195" w:rsidR="00F85D5F" w:rsidRPr="00C837DD" w:rsidRDefault="00BC54A4" w:rsidP="00F85D5F">
      <w:pPr>
        <w:pStyle w:val="Prrafodelista"/>
        <w:ind w:left="851" w:right="684"/>
        <w:rPr>
          <w:sz w:val="16"/>
          <w:szCs w:val="16"/>
        </w:rPr>
      </w:pPr>
      <w:r w:rsidRPr="00C837DD">
        <w:rPr>
          <w:sz w:val="16"/>
          <w:szCs w:val="16"/>
        </w:rPr>
        <w:t>I</w:t>
      </w:r>
      <w:r w:rsidR="00F85D5F" w:rsidRPr="00C837DD">
        <w:rPr>
          <w:sz w:val="16"/>
          <w:szCs w:val="16"/>
        </w:rPr>
        <w:t xml:space="preserve"> [...] really </w:t>
      </w:r>
      <w:r w:rsidRPr="00C837DD">
        <w:rPr>
          <w:sz w:val="16"/>
          <w:szCs w:val="16"/>
        </w:rPr>
        <w:t>got very sick</w:t>
      </w:r>
      <w:r w:rsidR="00F85D5F" w:rsidRPr="00C837DD">
        <w:rPr>
          <w:sz w:val="16"/>
          <w:szCs w:val="16"/>
        </w:rPr>
        <w:t xml:space="preserve">, I still have health problems, after […] </w:t>
      </w:r>
      <w:r w:rsidR="00B8009F" w:rsidRPr="00C837DD">
        <w:rPr>
          <w:sz w:val="16"/>
          <w:szCs w:val="16"/>
        </w:rPr>
        <w:t>Márcia</w:t>
      </w:r>
      <w:r w:rsidR="00F85D5F" w:rsidRPr="00C837DD">
        <w:rPr>
          <w:sz w:val="16"/>
          <w:szCs w:val="16"/>
        </w:rPr>
        <w:t xml:space="preserve">’s death, </w:t>
      </w:r>
      <w:r w:rsidRPr="00C837DD">
        <w:rPr>
          <w:sz w:val="16"/>
          <w:szCs w:val="16"/>
        </w:rPr>
        <w:t xml:space="preserve">I had </w:t>
      </w:r>
      <w:r w:rsidR="00F85D5F" w:rsidRPr="00C837DD">
        <w:rPr>
          <w:sz w:val="16"/>
          <w:szCs w:val="16"/>
        </w:rPr>
        <w:t>depression</w:t>
      </w:r>
      <w:r w:rsidRPr="00C837DD">
        <w:rPr>
          <w:sz w:val="16"/>
          <w:szCs w:val="16"/>
        </w:rPr>
        <w:t xml:space="preserve"> for a time</w:t>
      </w:r>
      <w:r w:rsidR="00F85D5F" w:rsidRPr="00C837DD">
        <w:rPr>
          <w:sz w:val="16"/>
          <w:szCs w:val="16"/>
        </w:rPr>
        <w:t xml:space="preserve">, </w:t>
      </w:r>
      <w:r w:rsidRPr="00C837DD">
        <w:rPr>
          <w:sz w:val="16"/>
          <w:szCs w:val="16"/>
        </w:rPr>
        <w:t>I still take medication for my blood pressure [...] [I</w:t>
      </w:r>
      <w:r w:rsidR="00F85D5F" w:rsidRPr="00C837DD">
        <w:rPr>
          <w:sz w:val="16"/>
          <w:szCs w:val="16"/>
        </w:rPr>
        <w:t xml:space="preserve">] no </w:t>
      </w:r>
      <w:r w:rsidRPr="00C837DD">
        <w:rPr>
          <w:sz w:val="16"/>
          <w:szCs w:val="16"/>
        </w:rPr>
        <w:t>longer enjoy life</w:t>
      </w:r>
      <w:r w:rsidR="00F85D5F" w:rsidRPr="00C837DD">
        <w:rPr>
          <w:sz w:val="16"/>
          <w:szCs w:val="16"/>
        </w:rPr>
        <w:t xml:space="preserve">. </w:t>
      </w:r>
      <w:r w:rsidRPr="00C837DD">
        <w:rPr>
          <w:sz w:val="16"/>
          <w:szCs w:val="16"/>
        </w:rPr>
        <w:t xml:space="preserve">Since they took my </w:t>
      </w:r>
      <w:r w:rsidR="00F85D5F" w:rsidRPr="00C837DD">
        <w:rPr>
          <w:sz w:val="16"/>
          <w:szCs w:val="16"/>
        </w:rPr>
        <w:t>daughter</w:t>
      </w:r>
      <w:r w:rsidR="008F7577" w:rsidRPr="00C837DD">
        <w:rPr>
          <w:sz w:val="16"/>
          <w:szCs w:val="16"/>
        </w:rPr>
        <w:t xml:space="preserve"> away</w:t>
      </w:r>
      <w:r w:rsidR="00F85D5F" w:rsidRPr="00C837DD">
        <w:rPr>
          <w:sz w:val="16"/>
          <w:szCs w:val="16"/>
        </w:rPr>
        <w:t xml:space="preserve">, </w:t>
      </w:r>
      <w:r w:rsidR="005E3647" w:rsidRPr="00C837DD">
        <w:rPr>
          <w:sz w:val="16"/>
          <w:szCs w:val="16"/>
        </w:rPr>
        <w:t>since they took her life</w:t>
      </w:r>
      <w:r w:rsidR="00F85D5F" w:rsidRPr="00C837DD">
        <w:rPr>
          <w:sz w:val="16"/>
          <w:szCs w:val="16"/>
        </w:rPr>
        <w:t xml:space="preserve">, </w:t>
      </w:r>
      <w:r w:rsidR="005E3647" w:rsidRPr="00C837DD">
        <w:rPr>
          <w:sz w:val="16"/>
          <w:szCs w:val="16"/>
        </w:rPr>
        <w:t>I have no desire to live</w:t>
      </w:r>
      <w:r w:rsidR="008F7577" w:rsidRPr="00C837DD">
        <w:rPr>
          <w:sz w:val="16"/>
          <w:szCs w:val="16"/>
        </w:rPr>
        <w:t xml:space="preserve"> anymore</w:t>
      </w:r>
      <w:r w:rsidR="00F85D5F" w:rsidRPr="00C837DD">
        <w:rPr>
          <w:sz w:val="16"/>
          <w:szCs w:val="16"/>
        </w:rPr>
        <w:t>. My life is just suffering</w:t>
      </w:r>
      <w:r w:rsidR="00F85D5F" w:rsidRPr="00C837DD">
        <w:rPr>
          <w:rStyle w:val="Refdenotaalpie"/>
          <w:sz w:val="16"/>
          <w:szCs w:val="16"/>
        </w:rPr>
        <w:footnoteReference w:id="265"/>
      </w:r>
      <w:r w:rsidR="00F85D5F" w:rsidRPr="00C837DD">
        <w:rPr>
          <w:sz w:val="16"/>
          <w:szCs w:val="16"/>
        </w:rPr>
        <w:t>.</w:t>
      </w:r>
    </w:p>
    <w:p w14:paraId="29DD3BDC" w14:textId="77777777" w:rsidR="00F85D5F" w:rsidRPr="00C837DD" w:rsidRDefault="00F85D5F" w:rsidP="00F85D5F">
      <w:pPr>
        <w:pStyle w:val="Prrafodelista"/>
        <w:tabs>
          <w:tab w:val="left" w:pos="142"/>
        </w:tabs>
        <w:ind w:left="0"/>
        <w:rPr>
          <w:sz w:val="16"/>
          <w:szCs w:val="16"/>
        </w:rPr>
      </w:pPr>
    </w:p>
    <w:p w14:paraId="274E2005" w14:textId="425CF337" w:rsidR="00F85D5F" w:rsidRPr="00C837DD" w:rsidRDefault="008F7577" w:rsidP="00F85D5F">
      <w:pPr>
        <w:pStyle w:val="Prrafodelista"/>
        <w:numPr>
          <w:ilvl w:val="0"/>
          <w:numId w:val="6"/>
        </w:numPr>
        <w:tabs>
          <w:tab w:val="left" w:pos="142"/>
        </w:tabs>
        <w:ind w:left="0" w:firstLine="0"/>
        <w:rPr>
          <w:sz w:val="20"/>
          <w:szCs w:val="20"/>
        </w:rPr>
      </w:pPr>
      <w:r w:rsidRPr="00C837DD">
        <w:rPr>
          <w:sz w:val="20"/>
          <w:szCs w:val="20"/>
        </w:rPr>
        <w:t xml:space="preserve">She also stated </w:t>
      </w:r>
      <w:r w:rsidR="00F85D5F" w:rsidRPr="00C837DD">
        <w:rPr>
          <w:sz w:val="20"/>
          <w:szCs w:val="20"/>
        </w:rPr>
        <w:t xml:space="preserve">that </w:t>
      </w:r>
      <w:r w:rsidRPr="00C837DD">
        <w:rPr>
          <w:sz w:val="20"/>
          <w:szCs w:val="20"/>
        </w:rPr>
        <w:t xml:space="preserve">the </w:t>
      </w:r>
      <w:r w:rsidR="00F85D5F" w:rsidRPr="00C837DD">
        <w:rPr>
          <w:sz w:val="20"/>
          <w:szCs w:val="20"/>
        </w:rPr>
        <w:t xml:space="preserve">father of </w:t>
      </w:r>
      <w:r w:rsidR="00B8009F" w:rsidRPr="00C837DD">
        <w:rPr>
          <w:sz w:val="20"/>
          <w:szCs w:val="20"/>
        </w:rPr>
        <w:t>Márcia</w:t>
      </w:r>
      <w:r w:rsidR="00F85D5F" w:rsidRPr="00C837DD">
        <w:rPr>
          <w:sz w:val="20"/>
          <w:szCs w:val="20"/>
        </w:rPr>
        <w:t xml:space="preserve"> Barbosa de Souza</w:t>
      </w:r>
      <w:r w:rsidR="009A764F">
        <w:rPr>
          <w:sz w:val="20"/>
          <w:szCs w:val="20"/>
        </w:rPr>
        <w:t xml:space="preserve"> experienced similar feelings</w:t>
      </w:r>
      <w:r w:rsidR="00F85D5F" w:rsidRPr="00C837DD">
        <w:rPr>
          <w:sz w:val="20"/>
          <w:szCs w:val="20"/>
        </w:rPr>
        <w:t xml:space="preserve">, </w:t>
      </w:r>
      <w:r w:rsidR="009A764F">
        <w:rPr>
          <w:sz w:val="20"/>
          <w:szCs w:val="20"/>
        </w:rPr>
        <w:t xml:space="preserve">and </w:t>
      </w:r>
      <w:r w:rsidR="006842E3" w:rsidRPr="00C837DD">
        <w:rPr>
          <w:sz w:val="20"/>
          <w:szCs w:val="20"/>
        </w:rPr>
        <w:t xml:space="preserve">become ill </w:t>
      </w:r>
      <w:r w:rsidR="00F85D5F" w:rsidRPr="00C837DD">
        <w:rPr>
          <w:sz w:val="20"/>
          <w:szCs w:val="20"/>
        </w:rPr>
        <w:t xml:space="preserve">and died as a result of </w:t>
      </w:r>
      <w:r w:rsidR="00F85D5F" w:rsidRPr="00C837DD">
        <w:rPr>
          <w:bCs/>
          <w:sz w:val="20"/>
          <w:szCs w:val="20"/>
        </w:rPr>
        <w:t>alcoholism</w:t>
      </w:r>
      <w:r w:rsidR="00C65EED" w:rsidRPr="00C837DD">
        <w:rPr>
          <w:bCs/>
          <w:sz w:val="20"/>
          <w:szCs w:val="20"/>
        </w:rPr>
        <w:t>, which</w:t>
      </w:r>
      <w:r w:rsidR="00F85D5F" w:rsidRPr="00C837DD">
        <w:rPr>
          <w:sz w:val="20"/>
          <w:szCs w:val="20"/>
        </w:rPr>
        <w:t xml:space="preserve"> began during his search for justice for the death of his daughter.</w:t>
      </w:r>
      <w:r w:rsidR="00F85D5F" w:rsidRPr="00C837DD">
        <w:rPr>
          <w:rStyle w:val="Refdenotaalpie"/>
          <w:sz w:val="20"/>
          <w:szCs w:val="20"/>
        </w:rPr>
        <w:footnoteReference w:id="266"/>
      </w:r>
      <w:r w:rsidR="00F85D5F" w:rsidRPr="00C837DD">
        <w:rPr>
          <w:sz w:val="20"/>
          <w:szCs w:val="20"/>
        </w:rPr>
        <w:t xml:space="preserve"> </w:t>
      </w:r>
    </w:p>
    <w:p w14:paraId="7B2F2306" w14:textId="77777777" w:rsidR="00F85D5F" w:rsidRPr="00C837DD" w:rsidRDefault="00F85D5F" w:rsidP="00F85D5F">
      <w:pPr>
        <w:pStyle w:val="Prrafodelista"/>
        <w:tabs>
          <w:tab w:val="left" w:pos="142"/>
        </w:tabs>
        <w:ind w:left="0"/>
        <w:rPr>
          <w:sz w:val="20"/>
          <w:szCs w:val="20"/>
        </w:rPr>
      </w:pPr>
    </w:p>
    <w:p w14:paraId="5A5F9AC2" w14:textId="5B52EB6A" w:rsidR="00F85D5F" w:rsidRPr="00C837DD" w:rsidRDefault="009A764F" w:rsidP="00F85D5F">
      <w:pPr>
        <w:pStyle w:val="Prrafodelista"/>
        <w:numPr>
          <w:ilvl w:val="0"/>
          <w:numId w:val="6"/>
        </w:numPr>
        <w:tabs>
          <w:tab w:val="left" w:pos="142"/>
        </w:tabs>
        <w:ind w:left="0" w:firstLine="0"/>
        <w:rPr>
          <w:sz w:val="20"/>
          <w:szCs w:val="20"/>
        </w:rPr>
      </w:pPr>
      <w:r>
        <w:rPr>
          <w:sz w:val="20"/>
          <w:szCs w:val="20"/>
        </w:rPr>
        <w:t>Likewise</w:t>
      </w:r>
      <w:r w:rsidR="00F85D5F" w:rsidRPr="00C837DD">
        <w:rPr>
          <w:sz w:val="20"/>
          <w:szCs w:val="20"/>
        </w:rPr>
        <w:t xml:space="preserve">, </w:t>
      </w:r>
      <w:r w:rsidR="00B8009F" w:rsidRPr="00C837DD">
        <w:rPr>
          <w:sz w:val="20"/>
          <w:szCs w:val="20"/>
        </w:rPr>
        <w:t>Márcia</w:t>
      </w:r>
      <w:r w:rsidR="00F85D5F" w:rsidRPr="00C837DD">
        <w:rPr>
          <w:sz w:val="20"/>
          <w:szCs w:val="20"/>
        </w:rPr>
        <w:t xml:space="preserve"> Barbosa de Souza’s sister, Mt.B.S., stated that:</w:t>
      </w:r>
    </w:p>
    <w:p w14:paraId="20C0EECD" w14:textId="77777777" w:rsidR="00F85D5F" w:rsidRPr="00C837DD" w:rsidRDefault="00F85D5F" w:rsidP="00F85D5F">
      <w:pPr>
        <w:pStyle w:val="Prrafodelista"/>
        <w:tabs>
          <w:tab w:val="left" w:pos="142"/>
        </w:tabs>
        <w:ind w:left="0"/>
        <w:rPr>
          <w:sz w:val="16"/>
          <w:szCs w:val="16"/>
        </w:rPr>
      </w:pPr>
    </w:p>
    <w:p w14:paraId="2495FEA6" w14:textId="7FB98022" w:rsidR="00F85D5F" w:rsidRPr="00C837DD" w:rsidRDefault="00F85D5F" w:rsidP="00F85D5F">
      <w:pPr>
        <w:pStyle w:val="Prrafodelista"/>
        <w:ind w:left="851" w:right="684"/>
        <w:rPr>
          <w:sz w:val="16"/>
          <w:szCs w:val="16"/>
        </w:rPr>
      </w:pPr>
      <w:r w:rsidRPr="00C837DD">
        <w:rPr>
          <w:sz w:val="16"/>
          <w:szCs w:val="16"/>
        </w:rPr>
        <w:t>My mother</w:t>
      </w:r>
      <w:r w:rsidR="00E433B6" w:rsidRPr="00C837DD">
        <w:rPr>
          <w:sz w:val="16"/>
          <w:szCs w:val="16"/>
        </w:rPr>
        <w:t xml:space="preserve"> [...] is very </w:t>
      </w:r>
      <w:r w:rsidR="008A24E5" w:rsidRPr="00C837DD">
        <w:rPr>
          <w:sz w:val="16"/>
          <w:szCs w:val="16"/>
        </w:rPr>
        <w:t>fragile</w:t>
      </w:r>
      <w:r w:rsidR="00E433B6" w:rsidRPr="00C837DD">
        <w:rPr>
          <w:sz w:val="16"/>
          <w:szCs w:val="16"/>
        </w:rPr>
        <w:t xml:space="preserve"> b</w:t>
      </w:r>
      <w:r w:rsidR="005E3647" w:rsidRPr="00C837DD">
        <w:rPr>
          <w:sz w:val="16"/>
          <w:szCs w:val="16"/>
        </w:rPr>
        <w:t xml:space="preserve">ecause of </w:t>
      </w:r>
      <w:r w:rsidR="00C65EED" w:rsidRPr="00C837DD">
        <w:rPr>
          <w:sz w:val="16"/>
          <w:szCs w:val="16"/>
        </w:rPr>
        <w:t>this</w:t>
      </w:r>
      <w:r w:rsidR="00E433B6" w:rsidRPr="00C837DD">
        <w:rPr>
          <w:sz w:val="16"/>
          <w:szCs w:val="16"/>
        </w:rPr>
        <w:t>. [A</w:t>
      </w:r>
      <w:r w:rsidRPr="00C837DD">
        <w:rPr>
          <w:sz w:val="16"/>
          <w:szCs w:val="16"/>
        </w:rPr>
        <w:t>]</w:t>
      </w:r>
      <w:r w:rsidR="00E433B6" w:rsidRPr="00C837DD">
        <w:rPr>
          <w:sz w:val="16"/>
          <w:szCs w:val="16"/>
        </w:rPr>
        <w:t>ft</w:t>
      </w:r>
      <w:r w:rsidR="005E3647" w:rsidRPr="00C837DD">
        <w:rPr>
          <w:sz w:val="16"/>
          <w:szCs w:val="16"/>
        </w:rPr>
        <w:t>er my sister’s</w:t>
      </w:r>
      <w:r w:rsidR="00E433B6" w:rsidRPr="00C837DD">
        <w:rPr>
          <w:sz w:val="16"/>
          <w:szCs w:val="16"/>
        </w:rPr>
        <w:t xml:space="preserve"> death</w:t>
      </w:r>
      <w:r w:rsidRPr="00C837DD">
        <w:rPr>
          <w:sz w:val="16"/>
          <w:szCs w:val="16"/>
        </w:rPr>
        <w:t>, s</w:t>
      </w:r>
      <w:r w:rsidR="00E433B6" w:rsidRPr="00C837DD">
        <w:rPr>
          <w:sz w:val="16"/>
          <w:szCs w:val="16"/>
        </w:rPr>
        <w:t xml:space="preserve">he became </w:t>
      </w:r>
      <w:r w:rsidR="005E3647" w:rsidRPr="00C837DD">
        <w:rPr>
          <w:sz w:val="16"/>
          <w:szCs w:val="16"/>
        </w:rPr>
        <w:t xml:space="preserve">very </w:t>
      </w:r>
      <w:r w:rsidR="00E433B6" w:rsidRPr="00C837DD">
        <w:rPr>
          <w:sz w:val="16"/>
          <w:szCs w:val="16"/>
        </w:rPr>
        <w:t xml:space="preserve">ill and </w:t>
      </w:r>
      <w:r w:rsidR="005E3647" w:rsidRPr="00C837DD">
        <w:rPr>
          <w:sz w:val="16"/>
          <w:szCs w:val="16"/>
        </w:rPr>
        <w:t xml:space="preserve">had to </w:t>
      </w:r>
      <w:r w:rsidR="00E433B6" w:rsidRPr="00C837DD">
        <w:rPr>
          <w:sz w:val="16"/>
          <w:szCs w:val="16"/>
        </w:rPr>
        <w:t xml:space="preserve">take </w:t>
      </w:r>
      <w:r w:rsidRPr="00C837DD">
        <w:rPr>
          <w:sz w:val="16"/>
          <w:szCs w:val="16"/>
        </w:rPr>
        <w:t xml:space="preserve">sedatives to sleep, </w:t>
      </w:r>
      <w:r w:rsidR="005E3647" w:rsidRPr="00C837DD">
        <w:rPr>
          <w:sz w:val="16"/>
          <w:szCs w:val="16"/>
        </w:rPr>
        <w:t xml:space="preserve">she </w:t>
      </w:r>
      <w:r w:rsidR="00CA25DD" w:rsidRPr="00C837DD">
        <w:rPr>
          <w:sz w:val="16"/>
          <w:szCs w:val="16"/>
        </w:rPr>
        <w:t xml:space="preserve">developed </w:t>
      </w:r>
      <w:r w:rsidR="00362DF6" w:rsidRPr="00C837DD">
        <w:rPr>
          <w:sz w:val="16"/>
          <w:szCs w:val="16"/>
        </w:rPr>
        <w:t>[high</w:t>
      </w:r>
      <w:r w:rsidR="009A764F">
        <w:rPr>
          <w:sz w:val="16"/>
          <w:szCs w:val="16"/>
        </w:rPr>
        <w:t>]</w:t>
      </w:r>
      <w:r w:rsidR="00362DF6" w:rsidRPr="00C837DD">
        <w:rPr>
          <w:sz w:val="16"/>
          <w:szCs w:val="16"/>
        </w:rPr>
        <w:t xml:space="preserve"> </w:t>
      </w:r>
      <w:r w:rsidR="00CA25DD" w:rsidRPr="00C837DD">
        <w:rPr>
          <w:sz w:val="16"/>
          <w:szCs w:val="16"/>
        </w:rPr>
        <w:t xml:space="preserve">blood pressure </w:t>
      </w:r>
      <w:r w:rsidR="005E3647" w:rsidRPr="00C837DD">
        <w:rPr>
          <w:sz w:val="16"/>
          <w:szCs w:val="16"/>
        </w:rPr>
        <w:t>problem</w:t>
      </w:r>
      <w:r w:rsidR="00362DF6" w:rsidRPr="00C837DD">
        <w:rPr>
          <w:sz w:val="16"/>
          <w:szCs w:val="16"/>
        </w:rPr>
        <w:t>s</w:t>
      </w:r>
      <w:r w:rsidR="005E3647" w:rsidRPr="00C837DD">
        <w:rPr>
          <w:sz w:val="16"/>
          <w:szCs w:val="16"/>
        </w:rPr>
        <w:t xml:space="preserve"> [...] [M]y</w:t>
      </w:r>
      <w:r w:rsidRPr="00C837DD">
        <w:rPr>
          <w:sz w:val="16"/>
          <w:szCs w:val="16"/>
        </w:rPr>
        <w:t xml:space="preserve"> father </w:t>
      </w:r>
      <w:r w:rsidR="00E433B6" w:rsidRPr="00C837DD">
        <w:rPr>
          <w:sz w:val="16"/>
          <w:szCs w:val="16"/>
        </w:rPr>
        <w:t xml:space="preserve">became an alcoholic </w:t>
      </w:r>
      <w:r w:rsidRPr="00C837DD">
        <w:rPr>
          <w:sz w:val="16"/>
          <w:szCs w:val="16"/>
        </w:rPr>
        <w:t xml:space="preserve">[…] </w:t>
      </w:r>
      <w:r w:rsidR="00E433B6" w:rsidRPr="00C837DD">
        <w:rPr>
          <w:sz w:val="16"/>
          <w:szCs w:val="16"/>
        </w:rPr>
        <w:t xml:space="preserve">he died very early </w:t>
      </w:r>
      <w:r w:rsidRPr="00C837DD">
        <w:rPr>
          <w:sz w:val="16"/>
          <w:szCs w:val="16"/>
        </w:rPr>
        <w:t xml:space="preserve">[…] </w:t>
      </w:r>
      <w:r w:rsidR="005E3647" w:rsidRPr="00C837DD">
        <w:rPr>
          <w:sz w:val="16"/>
          <w:szCs w:val="16"/>
        </w:rPr>
        <w:t xml:space="preserve">because of his </w:t>
      </w:r>
      <w:r w:rsidR="00E433B6" w:rsidRPr="00C837DD">
        <w:rPr>
          <w:sz w:val="16"/>
          <w:szCs w:val="16"/>
        </w:rPr>
        <w:t>drinking.</w:t>
      </w:r>
      <w:r w:rsidRPr="00C837DD">
        <w:rPr>
          <w:rStyle w:val="Refdenotaalpie"/>
          <w:sz w:val="16"/>
          <w:szCs w:val="16"/>
        </w:rPr>
        <w:footnoteReference w:id="267"/>
      </w:r>
    </w:p>
    <w:p w14:paraId="2956E76B" w14:textId="77777777" w:rsidR="00F85D5F" w:rsidRPr="00C837DD" w:rsidRDefault="00F85D5F" w:rsidP="00F85D5F">
      <w:pPr>
        <w:pStyle w:val="Prrafodelista"/>
        <w:tabs>
          <w:tab w:val="left" w:pos="142"/>
        </w:tabs>
        <w:ind w:left="0"/>
        <w:rPr>
          <w:sz w:val="16"/>
          <w:szCs w:val="16"/>
        </w:rPr>
      </w:pPr>
    </w:p>
    <w:p w14:paraId="05F8C7CB" w14:textId="1E93331E"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w:t>
      </w:r>
      <w:r w:rsidR="001D7CEC" w:rsidRPr="00C837DD">
        <w:rPr>
          <w:sz w:val="20"/>
          <w:szCs w:val="20"/>
        </w:rPr>
        <w:t xml:space="preserve">addition, </w:t>
      </w:r>
      <w:r w:rsidRPr="00C837DD">
        <w:rPr>
          <w:sz w:val="20"/>
          <w:szCs w:val="20"/>
        </w:rPr>
        <w:t xml:space="preserve">the </w:t>
      </w:r>
      <w:r w:rsidR="00E433B6" w:rsidRPr="00C837DD">
        <w:rPr>
          <w:sz w:val="20"/>
          <w:szCs w:val="20"/>
        </w:rPr>
        <w:t xml:space="preserve">psychosocial </w:t>
      </w:r>
      <w:r w:rsidRPr="00C837DD">
        <w:rPr>
          <w:sz w:val="20"/>
          <w:szCs w:val="20"/>
        </w:rPr>
        <w:t>opinion ren</w:t>
      </w:r>
      <w:r w:rsidR="00E433B6" w:rsidRPr="00C837DD">
        <w:rPr>
          <w:sz w:val="20"/>
          <w:szCs w:val="20"/>
        </w:rPr>
        <w:t xml:space="preserve">dered </w:t>
      </w:r>
      <w:r w:rsidRPr="00C837DD">
        <w:rPr>
          <w:sz w:val="20"/>
          <w:szCs w:val="20"/>
        </w:rPr>
        <w:t xml:space="preserve">by the </w:t>
      </w:r>
      <w:r w:rsidR="003665CF" w:rsidRPr="00C837DD">
        <w:rPr>
          <w:sz w:val="20"/>
          <w:szCs w:val="20"/>
        </w:rPr>
        <w:t>expert</w:t>
      </w:r>
      <w:r w:rsidRPr="00C837DD">
        <w:rPr>
          <w:sz w:val="20"/>
          <w:szCs w:val="20"/>
        </w:rPr>
        <w:t xml:space="preserve"> </w:t>
      </w:r>
      <w:r w:rsidR="00E433B6" w:rsidRPr="00C837DD">
        <w:rPr>
          <w:sz w:val="20"/>
          <w:szCs w:val="20"/>
        </w:rPr>
        <w:t>witness Gilberta Santos Soares corroborated</w:t>
      </w:r>
      <w:r w:rsidRPr="00C837DD">
        <w:rPr>
          <w:sz w:val="20"/>
          <w:szCs w:val="20"/>
        </w:rPr>
        <w:t xml:space="preserve"> the statements </w:t>
      </w:r>
      <w:r w:rsidR="00E433B6" w:rsidRPr="00C837DD">
        <w:rPr>
          <w:sz w:val="20"/>
          <w:szCs w:val="20"/>
        </w:rPr>
        <w:t xml:space="preserve">made by </w:t>
      </w:r>
      <w:r w:rsidRPr="00C837DD">
        <w:rPr>
          <w:sz w:val="20"/>
          <w:szCs w:val="20"/>
        </w:rPr>
        <w:t>the mother and sist</w:t>
      </w:r>
      <w:r w:rsidR="00E433B6" w:rsidRPr="00C837DD">
        <w:rPr>
          <w:sz w:val="20"/>
          <w:szCs w:val="20"/>
        </w:rPr>
        <w:t xml:space="preserve">er of </w:t>
      </w:r>
      <w:r w:rsidR="00B8009F" w:rsidRPr="00C837DD">
        <w:rPr>
          <w:sz w:val="20"/>
          <w:szCs w:val="20"/>
        </w:rPr>
        <w:t>Márcia</w:t>
      </w:r>
      <w:r w:rsidR="00E433B6" w:rsidRPr="00C837DD">
        <w:rPr>
          <w:sz w:val="20"/>
          <w:szCs w:val="20"/>
        </w:rPr>
        <w:t xml:space="preserve"> Barbosa de Souza. T</w:t>
      </w:r>
      <w:r w:rsidRPr="00C837DD">
        <w:rPr>
          <w:sz w:val="20"/>
          <w:szCs w:val="20"/>
        </w:rPr>
        <w:t xml:space="preserve">he </w:t>
      </w:r>
      <w:r w:rsidR="003665CF" w:rsidRPr="00C837DD">
        <w:rPr>
          <w:sz w:val="20"/>
          <w:szCs w:val="20"/>
        </w:rPr>
        <w:t>expert</w:t>
      </w:r>
      <w:r w:rsidRPr="00C837DD">
        <w:rPr>
          <w:sz w:val="20"/>
          <w:szCs w:val="20"/>
        </w:rPr>
        <w:t xml:space="preserve"> concluded </w:t>
      </w:r>
      <w:r w:rsidR="00E433B6" w:rsidRPr="00C837DD">
        <w:rPr>
          <w:sz w:val="20"/>
          <w:szCs w:val="20"/>
        </w:rPr>
        <w:t>that</w:t>
      </w:r>
      <w:r w:rsidRPr="00C837DD">
        <w:rPr>
          <w:sz w:val="20"/>
          <w:szCs w:val="20"/>
        </w:rPr>
        <w:t>:</w:t>
      </w:r>
    </w:p>
    <w:p w14:paraId="34157B02" w14:textId="77777777" w:rsidR="00F85D5F" w:rsidRPr="00C837DD" w:rsidRDefault="00F85D5F" w:rsidP="00F85D5F">
      <w:pPr>
        <w:pStyle w:val="Prrafodelista"/>
        <w:tabs>
          <w:tab w:val="left" w:pos="142"/>
        </w:tabs>
        <w:ind w:left="0"/>
        <w:rPr>
          <w:sz w:val="16"/>
          <w:szCs w:val="16"/>
        </w:rPr>
      </w:pPr>
    </w:p>
    <w:p w14:paraId="371CC169" w14:textId="6AF8CA9D" w:rsidR="00F85D5F" w:rsidRPr="00C837DD" w:rsidRDefault="000C0A25" w:rsidP="00F85D5F">
      <w:pPr>
        <w:pStyle w:val="Prrafodelista"/>
        <w:ind w:left="851" w:right="684"/>
        <w:rPr>
          <w:sz w:val="16"/>
          <w:szCs w:val="16"/>
        </w:rPr>
      </w:pPr>
      <w:r w:rsidRPr="00C837DD">
        <w:rPr>
          <w:sz w:val="16"/>
          <w:szCs w:val="16"/>
        </w:rPr>
        <w:t>P</w:t>
      </w:r>
      <w:r w:rsidR="00F85D5F" w:rsidRPr="00C837DD">
        <w:rPr>
          <w:sz w:val="16"/>
          <w:szCs w:val="16"/>
        </w:rPr>
        <w:t xml:space="preserve">sychological </w:t>
      </w:r>
      <w:r w:rsidR="001D7CEC" w:rsidRPr="00C837DD">
        <w:rPr>
          <w:sz w:val="16"/>
          <w:szCs w:val="16"/>
        </w:rPr>
        <w:t xml:space="preserve">distress </w:t>
      </w:r>
      <w:r w:rsidR="00F85D5F" w:rsidRPr="00C837DD">
        <w:rPr>
          <w:sz w:val="16"/>
          <w:szCs w:val="16"/>
        </w:rPr>
        <w:t xml:space="preserve">is the </w:t>
      </w:r>
      <w:r w:rsidRPr="00C837DD">
        <w:rPr>
          <w:sz w:val="16"/>
          <w:szCs w:val="16"/>
        </w:rPr>
        <w:t xml:space="preserve">greatest </w:t>
      </w:r>
      <w:r w:rsidR="001D7CEC" w:rsidRPr="00C837DD">
        <w:rPr>
          <w:sz w:val="16"/>
          <w:szCs w:val="16"/>
        </w:rPr>
        <w:t xml:space="preserve">suffering endured by </w:t>
      </w:r>
      <w:r w:rsidR="00F85D5F" w:rsidRPr="00C837DD">
        <w:rPr>
          <w:sz w:val="16"/>
          <w:szCs w:val="16"/>
        </w:rPr>
        <w:t xml:space="preserve">Mrs. M.B.S., who lives with </w:t>
      </w:r>
      <w:r w:rsidR="001D7CEC" w:rsidRPr="00C837DD">
        <w:rPr>
          <w:sz w:val="16"/>
          <w:szCs w:val="16"/>
        </w:rPr>
        <w:t xml:space="preserve">feelings of </w:t>
      </w:r>
      <w:r w:rsidR="00F85D5F" w:rsidRPr="00C837DD">
        <w:rPr>
          <w:sz w:val="16"/>
          <w:szCs w:val="16"/>
        </w:rPr>
        <w:t xml:space="preserve">sadness, fear, anguish, </w:t>
      </w:r>
      <w:r w:rsidR="00E433B6" w:rsidRPr="00C837DD">
        <w:rPr>
          <w:sz w:val="16"/>
          <w:szCs w:val="16"/>
        </w:rPr>
        <w:t>despair</w:t>
      </w:r>
      <w:r w:rsidR="00F85D5F" w:rsidRPr="00C837DD">
        <w:rPr>
          <w:sz w:val="16"/>
          <w:szCs w:val="16"/>
        </w:rPr>
        <w:t xml:space="preserve">, </w:t>
      </w:r>
      <w:r w:rsidR="00466E1C" w:rsidRPr="00C837DD">
        <w:rPr>
          <w:sz w:val="16"/>
          <w:szCs w:val="16"/>
        </w:rPr>
        <w:t>loneliness</w:t>
      </w:r>
      <w:r w:rsidR="00F85D5F" w:rsidRPr="00C837DD">
        <w:rPr>
          <w:sz w:val="16"/>
          <w:szCs w:val="16"/>
        </w:rPr>
        <w:t xml:space="preserve">, </w:t>
      </w:r>
      <w:r w:rsidR="00E433B6" w:rsidRPr="00C837DD">
        <w:rPr>
          <w:sz w:val="16"/>
          <w:szCs w:val="16"/>
        </w:rPr>
        <w:t xml:space="preserve">feelings of emptiness, </w:t>
      </w:r>
      <w:r w:rsidR="00F85D5F" w:rsidRPr="00C837DD">
        <w:rPr>
          <w:sz w:val="16"/>
          <w:szCs w:val="16"/>
        </w:rPr>
        <w:t>fragili</w:t>
      </w:r>
      <w:r w:rsidR="00E433B6" w:rsidRPr="00C837DD">
        <w:rPr>
          <w:sz w:val="16"/>
          <w:szCs w:val="16"/>
        </w:rPr>
        <w:t xml:space="preserve">ty, isolation, </w:t>
      </w:r>
      <w:r w:rsidR="00F85D5F" w:rsidRPr="00C837DD">
        <w:rPr>
          <w:sz w:val="16"/>
          <w:szCs w:val="16"/>
        </w:rPr>
        <w:t xml:space="preserve">emotional </w:t>
      </w:r>
      <w:r w:rsidR="00E433B6" w:rsidRPr="00C837DD">
        <w:rPr>
          <w:sz w:val="16"/>
          <w:szCs w:val="16"/>
        </w:rPr>
        <w:t xml:space="preserve">instability </w:t>
      </w:r>
      <w:r w:rsidR="00F85D5F" w:rsidRPr="00C837DD">
        <w:rPr>
          <w:sz w:val="16"/>
          <w:szCs w:val="16"/>
        </w:rPr>
        <w:t xml:space="preserve">and </w:t>
      </w:r>
      <w:r w:rsidR="00E433B6" w:rsidRPr="00C837DD">
        <w:rPr>
          <w:sz w:val="16"/>
          <w:szCs w:val="16"/>
        </w:rPr>
        <w:t>loss of interest in life</w:t>
      </w:r>
      <w:r w:rsidR="00F85D5F" w:rsidRPr="00C837DD">
        <w:rPr>
          <w:sz w:val="16"/>
          <w:szCs w:val="16"/>
        </w:rPr>
        <w:t>. […]</w:t>
      </w:r>
    </w:p>
    <w:p w14:paraId="6534B022" w14:textId="77777777" w:rsidR="00F85D5F" w:rsidRPr="00C837DD" w:rsidRDefault="00F85D5F" w:rsidP="00F85D5F">
      <w:pPr>
        <w:pStyle w:val="Prrafodelista"/>
        <w:ind w:left="851" w:right="684"/>
        <w:rPr>
          <w:sz w:val="16"/>
          <w:szCs w:val="16"/>
        </w:rPr>
      </w:pPr>
    </w:p>
    <w:p w14:paraId="31560422" w14:textId="69DFE1C7" w:rsidR="00F85D5F" w:rsidRPr="00C837DD" w:rsidRDefault="00F85D5F" w:rsidP="00F85D5F">
      <w:pPr>
        <w:pStyle w:val="Prrafodelista"/>
        <w:ind w:left="851" w:right="684"/>
        <w:rPr>
          <w:sz w:val="16"/>
          <w:szCs w:val="16"/>
        </w:rPr>
      </w:pPr>
      <w:r w:rsidRPr="00C837DD">
        <w:rPr>
          <w:sz w:val="16"/>
          <w:szCs w:val="16"/>
        </w:rPr>
        <w:t>[…]</w:t>
      </w:r>
      <w:r w:rsidR="00362DF6" w:rsidRPr="00C837DD">
        <w:rPr>
          <w:sz w:val="16"/>
          <w:szCs w:val="16"/>
        </w:rPr>
        <w:t xml:space="preserve"> as for </w:t>
      </w:r>
      <w:r w:rsidR="00B8009F" w:rsidRPr="00C837DD">
        <w:rPr>
          <w:sz w:val="16"/>
          <w:szCs w:val="16"/>
        </w:rPr>
        <w:t>Márcia</w:t>
      </w:r>
      <w:r w:rsidR="00E433B6" w:rsidRPr="00C837DD">
        <w:rPr>
          <w:sz w:val="16"/>
          <w:szCs w:val="16"/>
        </w:rPr>
        <w:t>’s father</w:t>
      </w:r>
      <w:r w:rsidRPr="00C837DD">
        <w:rPr>
          <w:sz w:val="16"/>
          <w:szCs w:val="16"/>
        </w:rPr>
        <w:t xml:space="preserve">, </w:t>
      </w:r>
      <w:r w:rsidR="00362DF6" w:rsidRPr="00C837DD">
        <w:rPr>
          <w:sz w:val="16"/>
          <w:szCs w:val="16"/>
        </w:rPr>
        <w:t xml:space="preserve">his </w:t>
      </w:r>
      <w:r w:rsidRPr="00C837DD">
        <w:rPr>
          <w:sz w:val="16"/>
          <w:szCs w:val="16"/>
        </w:rPr>
        <w:t>ad</w:t>
      </w:r>
      <w:r w:rsidR="005E3647" w:rsidRPr="00C837DD">
        <w:rPr>
          <w:sz w:val="16"/>
          <w:szCs w:val="16"/>
        </w:rPr>
        <w:t>diction to</w:t>
      </w:r>
      <w:r w:rsidRPr="00C837DD">
        <w:rPr>
          <w:sz w:val="16"/>
          <w:szCs w:val="16"/>
        </w:rPr>
        <w:t xml:space="preserve"> alcohol</w:t>
      </w:r>
      <w:r w:rsidR="00362DF6" w:rsidRPr="00C837DD">
        <w:rPr>
          <w:sz w:val="16"/>
          <w:szCs w:val="16"/>
        </w:rPr>
        <w:t xml:space="preserve"> worsened</w:t>
      </w:r>
      <w:r w:rsidRPr="00C837DD">
        <w:rPr>
          <w:sz w:val="16"/>
          <w:szCs w:val="16"/>
        </w:rPr>
        <w:t xml:space="preserve">, </w:t>
      </w:r>
      <w:r w:rsidR="005E3647" w:rsidRPr="00C837DD">
        <w:rPr>
          <w:sz w:val="16"/>
          <w:szCs w:val="16"/>
        </w:rPr>
        <w:t>with a high level of dependence</w:t>
      </w:r>
      <w:r w:rsidRPr="00C837DD">
        <w:rPr>
          <w:sz w:val="16"/>
          <w:szCs w:val="16"/>
        </w:rPr>
        <w:t xml:space="preserve">. </w:t>
      </w:r>
      <w:r w:rsidR="008A24E5" w:rsidRPr="00C837DD">
        <w:rPr>
          <w:sz w:val="16"/>
          <w:szCs w:val="16"/>
        </w:rPr>
        <w:t>As a result</w:t>
      </w:r>
      <w:r w:rsidRPr="00C837DD">
        <w:rPr>
          <w:sz w:val="16"/>
          <w:szCs w:val="16"/>
        </w:rPr>
        <w:t xml:space="preserve">, </w:t>
      </w:r>
      <w:r w:rsidR="00362DF6" w:rsidRPr="00C837DD">
        <w:rPr>
          <w:sz w:val="16"/>
          <w:szCs w:val="16"/>
        </w:rPr>
        <w:t xml:space="preserve">he developed </w:t>
      </w:r>
      <w:r w:rsidRPr="00C837DD">
        <w:rPr>
          <w:sz w:val="16"/>
          <w:szCs w:val="16"/>
        </w:rPr>
        <w:t xml:space="preserve">the </w:t>
      </w:r>
      <w:r w:rsidR="005E3647" w:rsidRPr="00C837DD">
        <w:rPr>
          <w:sz w:val="16"/>
          <w:szCs w:val="16"/>
        </w:rPr>
        <w:t xml:space="preserve">disease </w:t>
      </w:r>
      <w:r w:rsidRPr="00C837DD">
        <w:rPr>
          <w:sz w:val="16"/>
          <w:szCs w:val="16"/>
        </w:rPr>
        <w:t xml:space="preserve">that </w:t>
      </w:r>
      <w:r w:rsidR="008A24E5" w:rsidRPr="00C837DD">
        <w:rPr>
          <w:sz w:val="16"/>
          <w:szCs w:val="16"/>
        </w:rPr>
        <w:t xml:space="preserve">caused his premature </w:t>
      </w:r>
      <w:r w:rsidRPr="00C837DD">
        <w:rPr>
          <w:sz w:val="16"/>
          <w:szCs w:val="16"/>
        </w:rPr>
        <w:t xml:space="preserve">death, </w:t>
      </w:r>
      <w:r w:rsidR="008A24E5" w:rsidRPr="00C837DD">
        <w:rPr>
          <w:sz w:val="16"/>
          <w:szCs w:val="16"/>
        </w:rPr>
        <w:t xml:space="preserve">at the age of </w:t>
      </w:r>
      <w:r w:rsidR="00200916" w:rsidRPr="00C837DD">
        <w:rPr>
          <w:sz w:val="16"/>
          <w:szCs w:val="16"/>
        </w:rPr>
        <w:t xml:space="preserve">only </w:t>
      </w:r>
      <w:r w:rsidRPr="00C837DD">
        <w:rPr>
          <w:sz w:val="16"/>
          <w:szCs w:val="16"/>
        </w:rPr>
        <w:t xml:space="preserve">50. </w:t>
      </w:r>
      <w:r w:rsidR="005E3647" w:rsidRPr="00C837DD">
        <w:rPr>
          <w:sz w:val="16"/>
          <w:szCs w:val="16"/>
        </w:rPr>
        <w:t xml:space="preserve">His </w:t>
      </w:r>
      <w:r w:rsidRPr="00C837DD">
        <w:rPr>
          <w:sz w:val="16"/>
          <w:szCs w:val="16"/>
        </w:rPr>
        <w:t xml:space="preserve">death </w:t>
      </w:r>
      <w:r w:rsidR="00200916" w:rsidRPr="00C837DD">
        <w:rPr>
          <w:sz w:val="16"/>
          <w:szCs w:val="16"/>
        </w:rPr>
        <w:t xml:space="preserve">occurred </w:t>
      </w:r>
      <w:r w:rsidRPr="00C837DD">
        <w:rPr>
          <w:sz w:val="16"/>
          <w:szCs w:val="16"/>
        </w:rPr>
        <w:t xml:space="preserve">11 years after </w:t>
      </w:r>
      <w:r w:rsidR="00B8009F" w:rsidRPr="00C837DD">
        <w:rPr>
          <w:sz w:val="16"/>
          <w:szCs w:val="16"/>
        </w:rPr>
        <w:t>Márcia</w:t>
      </w:r>
      <w:r w:rsidR="005E3647" w:rsidRPr="00C837DD">
        <w:rPr>
          <w:sz w:val="16"/>
          <w:szCs w:val="16"/>
        </w:rPr>
        <w:t xml:space="preserve">’s murder, </w:t>
      </w:r>
      <w:r w:rsidR="003F6A1E" w:rsidRPr="00C837DD">
        <w:rPr>
          <w:sz w:val="16"/>
          <w:szCs w:val="16"/>
        </w:rPr>
        <w:t xml:space="preserve">after the </w:t>
      </w:r>
      <w:r w:rsidR="005E3647" w:rsidRPr="00C837DD">
        <w:rPr>
          <w:sz w:val="16"/>
          <w:szCs w:val="16"/>
        </w:rPr>
        <w:t>trial</w:t>
      </w:r>
      <w:r w:rsidR="003F6A1E" w:rsidRPr="00C837DD">
        <w:rPr>
          <w:sz w:val="16"/>
          <w:szCs w:val="16"/>
        </w:rPr>
        <w:t xml:space="preserve"> was held</w:t>
      </w:r>
      <w:r w:rsidR="00200916" w:rsidRPr="00C837DD">
        <w:rPr>
          <w:sz w:val="16"/>
          <w:szCs w:val="16"/>
        </w:rPr>
        <w:t xml:space="preserve"> and</w:t>
      </w:r>
      <w:r w:rsidR="003F6A1E" w:rsidRPr="00C837DD">
        <w:rPr>
          <w:sz w:val="16"/>
          <w:szCs w:val="16"/>
        </w:rPr>
        <w:t xml:space="preserve"> the pris</w:t>
      </w:r>
      <w:r w:rsidRPr="00C837DD">
        <w:rPr>
          <w:sz w:val="16"/>
          <w:szCs w:val="16"/>
        </w:rPr>
        <w:t xml:space="preserve">on </w:t>
      </w:r>
      <w:r w:rsidR="003F6A1E" w:rsidRPr="00C837DD">
        <w:rPr>
          <w:sz w:val="16"/>
          <w:szCs w:val="16"/>
        </w:rPr>
        <w:t xml:space="preserve">sentence </w:t>
      </w:r>
      <w:r w:rsidR="00200916" w:rsidRPr="00C837DD">
        <w:rPr>
          <w:sz w:val="16"/>
          <w:szCs w:val="16"/>
        </w:rPr>
        <w:t>defined</w:t>
      </w:r>
      <w:r w:rsidRPr="00C837DD">
        <w:rPr>
          <w:sz w:val="16"/>
          <w:szCs w:val="16"/>
        </w:rPr>
        <w:t xml:space="preserve">, </w:t>
      </w:r>
      <w:r w:rsidR="003F6A1E" w:rsidRPr="00C837DD">
        <w:rPr>
          <w:sz w:val="16"/>
          <w:szCs w:val="16"/>
        </w:rPr>
        <w:t>f</w:t>
      </w:r>
      <w:r w:rsidR="00362DF6" w:rsidRPr="00C837DD">
        <w:rPr>
          <w:sz w:val="16"/>
          <w:szCs w:val="16"/>
        </w:rPr>
        <w:t>o</w:t>
      </w:r>
      <w:r w:rsidR="003F6A1E" w:rsidRPr="00C837DD">
        <w:rPr>
          <w:sz w:val="16"/>
          <w:szCs w:val="16"/>
        </w:rPr>
        <w:t>l</w:t>
      </w:r>
      <w:r w:rsidR="00362DF6" w:rsidRPr="00C837DD">
        <w:rPr>
          <w:sz w:val="16"/>
          <w:szCs w:val="16"/>
        </w:rPr>
        <w:t>l</w:t>
      </w:r>
      <w:r w:rsidR="003F6A1E" w:rsidRPr="00C837DD">
        <w:rPr>
          <w:sz w:val="16"/>
          <w:szCs w:val="16"/>
        </w:rPr>
        <w:t xml:space="preserve">owed by </w:t>
      </w:r>
      <w:r w:rsidR="00FE582A" w:rsidRPr="00C837DD">
        <w:rPr>
          <w:sz w:val="16"/>
          <w:szCs w:val="16"/>
        </w:rPr>
        <w:t xml:space="preserve">the deputy’s appeal to </w:t>
      </w:r>
      <w:r w:rsidR="008C1D8F">
        <w:rPr>
          <w:sz w:val="16"/>
          <w:szCs w:val="16"/>
        </w:rPr>
        <w:t xml:space="preserve">remain at liberty </w:t>
      </w:r>
      <w:r w:rsidR="005E3647" w:rsidRPr="00C837DD">
        <w:rPr>
          <w:sz w:val="16"/>
          <w:szCs w:val="16"/>
        </w:rPr>
        <w:t>and his</w:t>
      </w:r>
      <w:r w:rsidR="008A24E5" w:rsidRPr="00C837DD">
        <w:rPr>
          <w:sz w:val="16"/>
          <w:szCs w:val="16"/>
        </w:rPr>
        <w:t xml:space="preserve"> death. T</w:t>
      </w:r>
      <w:r w:rsidRPr="00C837DD">
        <w:rPr>
          <w:sz w:val="16"/>
          <w:szCs w:val="16"/>
        </w:rPr>
        <w:t>he a</w:t>
      </w:r>
      <w:r w:rsidR="008A24E5" w:rsidRPr="00C837DD">
        <w:rPr>
          <w:sz w:val="16"/>
          <w:szCs w:val="16"/>
        </w:rPr>
        <w:t>d</w:t>
      </w:r>
      <w:r w:rsidRPr="00C837DD">
        <w:rPr>
          <w:sz w:val="16"/>
          <w:szCs w:val="16"/>
        </w:rPr>
        <w:t xml:space="preserve">diction </w:t>
      </w:r>
      <w:r w:rsidR="00362DF6" w:rsidRPr="00C837DD">
        <w:rPr>
          <w:sz w:val="16"/>
          <w:szCs w:val="16"/>
        </w:rPr>
        <w:t xml:space="preserve">may </w:t>
      </w:r>
      <w:r w:rsidR="003F6A1E" w:rsidRPr="00C837DD">
        <w:rPr>
          <w:sz w:val="16"/>
          <w:szCs w:val="16"/>
        </w:rPr>
        <w:t xml:space="preserve">have </w:t>
      </w:r>
      <w:r w:rsidR="00200916" w:rsidRPr="00C837DD">
        <w:rPr>
          <w:sz w:val="16"/>
          <w:szCs w:val="16"/>
        </w:rPr>
        <w:t xml:space="preserve">contributed to alleviate his pain </w:t>
      </w:r>
      <w:r w:rsidRPr="00C837DD">
        <w:rPr>
          <w:sz w:val="16"/>
          <w:szCs w:val="16"/>
        </w:rPr>
        <w:t xml:space="preserve">and the </w:t>
      </w:r>
      <w:r w:rsidR="003F6A1E" w:rsidRPr="00C837DD">
        <w:rPr>
          <w:sz w:val="16"/>
          <w:szCs w:val="16"/>
        </w:rPr>
        <w:t xml:space="preserve">absence </w:t>
      </w:r>
      <w:r w:rsidR="00362DF6" w:rsidRPr="00C837DD">
        <w:rPr>
          <w:sz w:val="16"/>
          <w:szCs w:val="16"/>
        </w:rPr>
        <w:t xml:space="preserve">of </w:t>
      </w:r>
      <w:r w:rsidR="00B8009F" w:rsidRPr="00C837DD">
        <w:rPr>
          <w:sz w:val="16"/>
          <w:szCs w:val="16"/>
        </w:rPr>
        <w:t>Márcia</w:t>
      </w:r>
      <w:r w:rsidR="00362DF6" w:rsidRPr="00C837DD">
        <w:rPr>
          <w:sz w:val="16"/>
          <w:szCs w:val="16"/>
        </w:rPr>
        <w:t>, his</w:t>
      </w:r>
      <w:r w:rsidRPr="00C837DD">
        <w:rPr>
          <w:sz w:val="16"/>
          <w:szCs w:val="16"/>
        </w:rPr>
        <w:t xml:space="preserve"> </w:t>
      </w:r>
      <w:r w:rsidR="00362DF6" w:rsidRPr="00C837DD">
        <w:rPr>
          <w:sz w:val="16"/>
          <w:szCs w:val="16"/>
        </w:rPr>
        <w:t xml:space="preserve">distress </w:t>
      </w:r>
      <w:r w:rsidRPr="00C837DD">
        <w:rPr>
          <w:sz w:val="16"/>
          <w:szCs w:val="16"/>
        </w:rPr>
        <w:t xml:space="preserve">and </w:t>
      </w:r>
      <w:r w:rsidR="00E433B6" w:rsidRPr="00C837DD">
        <w:rPr>
          <w:sz w:val="16"/>
          <w:szCs w:val="16"/>
        </w:rPr>
        <w:t>feelings of impotence</w:t>
      </w:r>
      <w:r w:rsidRPr="00C837DD">
        <w:rPr>
          <w:sz w:val="16"/>
          <w:szCs w:val="16"/>
        </w:rPr>
        <w:t xml:space="preserve"> and </w:t>
      </w:r>
      <w:r w:rsidR="00362DF6" w:rsidRPr="00C837DD">
        <w:rPr>
          <w:sz w:val="16"/>
          <w:szCs w:val="16"/>
        </w:rPr>
        <w:t>futility</w:t>
      </w:r>
      <w:r w:rsidRPr="00C837DD">
        <w:rPr>
          <w:sz w:val="16"/>
          <w:szCs w:val="16"/>
        </w:rPr>
        <w:t>, deriv</w:t>
      </w:r>
      <w:r w:rsidR="00E433B6" w:rsidRPr="00C837DD">
        <w:rPr>
          <w:sz w:val="16"/>
          <w:szCs w:val="16"/>
        </w:rPr>
        <w:t xml:space="preserve">ed from </w:t>
      </w:r>
      <w:r w:rsidR="00E85156">
        <w:rPr>
          <w:sz w:val="16"/>
          <w:szCs w:val="16"/>
        </w:rPr>
        <w:t xml:space="preserve">observing </w:t>
      </w:r>
      <w:r w:rsidR="00E433B6" w:rsidRPr="00C837DD">
        <w:rPr>
          <w:sz w:val="16"/>
          <w:szCs w:val="16"/>
        </w:rPr>
        <w:t>the negligence</w:t>
      </w:r>
      <w:r w:rsidRPr="00C837DD">
        <w:rPr>
          <w:sz w:val="16"/>
          <w:szCs w:val="16"/>
        </w:rPr>
        <w:t xml:space="preserve"> of t</w:t>
      </w:r>
      <w:r w:rsidR="00E433B6" w:rsidRPr="00C837DD">
        <w:rPr>
          <w:sz w:val="16"/>
          <w:szCs w:val="16"/>
        </w:rPr>
        <w:t xml:space="preserve">he institutions </w:t>
      </w:r>
      <w:r w:rsidR="00FE582A" w:rsidRPr="00C837DD">
        <w:rPr>
          <w:sz w:val="16"/>
          <w:szCs w:val="16"/>
        </w:rPr>
        <w:t xml:space="preserve">towards </w:t>
      </w:r>
      <w:r w:rsidR="00E433B6" w:rsidRPr="00C837DD">
        <w:rPr>
          <w:sz w:val="16"/>
          <w:szCs w:val="16"/>
        </w:rPr>
        <w:t>the family</w:t>
      </w:r>
      <w:r w:rsidR="008A24E5" w:rsidRPr="00C837DD">
        <w:rPr>
          <w:sz w:val="16"/>
          <w:szCs w:val="16"/>
        </w:rPr>
        <w:t>, l</w:t>
      </w:r>
      <w:r w:rsidR="00362DF6" w:rsidRPr="00C837DD">
        <w:rPr>
          <w:sz w:val="16"/>
          <w:szCs w:val="16"/>
        </w:rPr>
        <w:t xml:space="preserve">eading him to </w:t>
      </w:r>
      <w:r w:rsidR="008A24E5" w:rsidRPr="00C837DD">
        <w:rPr>
          <w:sz w:val="16"/>
          <w:szCs w:val="16"/>
        </w:rPr>
        <w:t>a s</w:t>
      </w:r>
      <w:r w:rsidR="00FE582A" w:rsidRPr="00C837DD">
        <w:rPr>
          <w:sz w:val="16"/>
          <w:szCs w:val="16"/>
        </w:rPr>
        <w:t xml:space="preserve">tate of lethargy </w:t>
      </w:r>
      <w:r w:rsidRPr="00C837DD">
        <w:rPr>
          <w:sz w:val="16"/>
          <w:szCs w:val="16"/>
        </w:rPr>
        <w:t>and o</w:t>
      </w:r>
      <w:r w:rsidR="00FE582A" w:rsidRPr="00C837DD">
        <w:rPr>
          <w:sz w:val="16"/>
          <w:szCs w:val="16"/>
        </w:rPr>
        <w:t>blivion</w:t>
      </w:r>
      <w:r w:rsidRPr="00C837DD">
        <w:rPr>
          <w:sz w:val="16"/>
          <w:szCs w:val="16"/>
        </w:rPr>
        <w:t>.</w:t>
      </w:r>
      <w:r w:rsidRPr="00C837DD">
        <w:rPr>
          <w:rStyle w:val="Refdenotaalpie"/>
          <w:sz w:val="16"/>
          <w:szCs w:val="16"/>
        </w:rPr>
        <w:footnoteReference w:id="268"/>
      </w:r>
    </w:p>
    <w:p w14:paraId="4BE968E3" w14:textId="77777777" w:rsidR="00F85D5F" w:rsidRPr="00C837DD" w:rsidRDefault="00F85D5F" w:rsidP="00F85D5F">
      <w:pPr>
        <w:pStyle w:val="Prrafodelista"/>
        <w:tabs>
          <w:tab w:val="left" w:pos="142"/>
        </w:tabs>
        <w:ind w:left="0"/>
        <w:rPr>
          <w:sz w:val="18"/>
          <w:szCs w:val="18"/>
        </w:rPr>
      </w:pPr>
    </w:p>
    <w:p w14:paraId="5469B2D1" w14:textId="45151A8D" w:rsidR="00F85D5F" w:rsidRPr="00C837DD" w:rsidRDefault="00FE582A" w:rsidP="00F85D5F">
      <w:pPr>
        <w:pStyle w:val="Prrafodelista"/>
        <w:numPr>
          <w:ilvl w:val="0"/>
          <w:numId w:val="6"/>
        </w:numPr>
        <w:tabs>
          <w:tab w:val="left" w:pos="142"/>
        </w:tabs>
        <w:ind w:left="0" w:firstLine="0"/>
        <w:rPr>
          <w:sz w:val="20"/>
          <w:szCs w:val="20"/>
        </w:rPr>
      </w:pPr>
      <w:r w:rsidRPr="00C837DD">
        <w:rPr>
          <w:sz w:val="20"/>
          <w:szCs w:val="20"/>
        </w:rPr>
        <w:t>At the same time</w:t>
      </w:r>
      <w:r w:rsidR="00F85D5F" w:rsidRPr="00C837DD">
        <w:rPr>
          <w:sz w:val="20"/>
          <w:szCs w:val="20"/>
        </w:rPr>
        <w:t xml:space="preserve">, the evidence in the </w:t>
      </w:r>
      <w:r w:rsidR="00E433B6" w:rsidRPr="00C837DD">
        <w:rPr>
          <w:sz w:val="20"/>
          <w:szCs w:val="20"/>
        </w:rPr>
        <w:t xml:space="preserve">case </w:t>
      </w:r>
      <w:r w:rsidR="00F85D5F" w:rsidRPr="00C837DD">
        <w:rPr>
          <w:sz w:val="20"/>
          <w:szCs w:val="20"/>
        </w:rPr>
        <w:t xml:space="preserve">file </w:t>
      </w:r>
      <w:r w:rsidR="005E3647" w:rsidRPr="00C837DD">
        <w:rPr>
          <w:sz w:val="20"/>
          <w:szCs w:val="20"/>
        </w:rPr>
        <w:t xml:space="preserve">shows </w:t>
      </w:r>
      <w:r w:rsidR="00F85D5F" w:rsidRPr="00C837DD">
        <w:rPr>
          <w:sz w:val="20"/>
          <w:szCs w:val="20"/>
        </w:rPr>
        <w:t xml:space="preserve">that </w:t>
      </w:r>
      <w:r w:rsidR="003F6A1E" w:rsidRPr="00C837DD">
        <w:rPr>
          <w:sz w:val="20"/>
          <w:szCs w:val="20"/>
        </w:rPr>
        <w:t xml:space="preserve">this case </w:t>
      </w:r>
      <w:r w:rsidR="00984982" w:rsidRPr="00C837DD">
        <w:rPr>
          <w:sz w:val="20"/>
          <w:szCs w:val="20"/>
        </w:rPr>
        <w:t>received extensive media coverage</w:t>
      </w:r>
      <w:r w:rsidR="00F85D5F" w:rsidRPr="00C837DD">
        <w:rPr>
          <w:sz w:val="20"/>
          <w:szCs w:val="20"/>
        </w:rPr>
        <w:t>, with approximate</w:t>
      </w:r>
      <w:r w:rsidR="003F6A1E" w:rsidRPr="00C837DD">
        <w:rPr>
          <w:sz w:val="20"/>
          <w:szCs w:val="20"/>
        </w:rPr>
        <w:t xml:space="preserve">ly 320 newspaper articles </w:t>
      </w:r>
      <w:r w:rsidR="00F207F3" w:rsidRPr="00C837DD">
        <w:rPr>
          <w:sz w:val="20"/>
          <w:szCs w:val="20"/>
        </w:rPr>
        <w:t xml:space="preserve">published </w:t>
      </w:r>
      <w:r w:rsidR="003F6A1E" w:rsidRPr="00C837DD">
        <w:rPr>
          <w:sz w:val="20"/>
          <w:szCs w:val="20"/>
        </w:rPr>
        <w:t xml:space="preserve">over </w:t>
      </w:r>
      <w:r w:rsidR="00F85D5F" w:rsidRPr="00C837DD">
        <w:rPr>
          <w:sz w:val="20"/>
          <w:szCs w:val="20"/>
        </w:rPr>
        <w:t>a period of 10 years</w:t>
      </w:r>
      <w:r w:rsidR="003F6A1E" w:rsidRPr="00C837DD">
        <w:rPr>
          <w:sz w:val="20"/>
          <w:szCs w:val="20"/>
        </w:rPr>
        <w:t>.</w:t>
      </w:r>
      <w:r w:rsidR="00F85D5F" w:rsidRPr="00C837DD">
        <w:rPr>
          <w:sz w:val="20"/>
          <w:szCs w:val="20"/>
          <w:vertAlign w:val="superscript"/>
        </w:rPr>
        <w:footnoteReference w:id="269"/>
      </w:r>
      <w:r w:rsidR="00F85D5F" w:rsidRPr="00C837DD">
        <w:rPr>
          <w:sz w:val="20"/>
          <w:szCs w:val="20"/>
        </w:rPr>
        <w:t xml:space="preserve"> </w:t>
      </w:r>
      <w:r w:rsidR="00E85156">
        <w:rPr>
          <w:sz w:val="20"/>
          <w:szCs w:val="20"/>
        </w:rPr>
        <w:t>In its</w:t>
      </w:r>
      <w:r w:rsidR="00F85D5F" w:rsidRPr="00C837DD">
        <w:rPr>
          <w:sz w:val="20"/>
          <w:szCs w:val="20"/>
        </w:rPr>
        <w:t xml:space="preserve"> coverage of the case</w:t>
      </w:r>
      <w:r w:rsidR="00E85156">
        <w:rPr>
          <w:sz w:val="20"/>
          <w:szCs w:val="20"/>
        </w:rPr>
        <w:t>, the media</w:t>
      </w:r>
      <w:r w:rsidR="00F85D5F" w:rsidRPr="00C837DD">
        <w:rPr>
          <w:sz w:val="20"/>
          <w:szCs w:val="20"/>
        </w:rPr>
        <w:t xml:space="preserve"> speculated </w:t>
      </w:r>
      <w:r w:rsidR="00984982" w:rsidRPr="00C837DD">
        <w:rPr>
          <w:sz w:val="20"/>
          <w:szCs w:val="20"/>
        </w:rPr>
        <w:t>about Márcia's</w:t>
      </w:r>
      <w:r w:rsidR="00F85D5F" w:rsidRPr="00C837DD">
        <w:rPr>
          <w:sz w:val="20"/>
          <w:szCs w:val="20"/>
        </w:rPr>
        <w:t xml:space="preserve"> personal life and </w:t>
      </w:r>
      <w:r w:rsidR="00F85D5F" w:rsidRPr="00C837DD">
        <w:rPr>
          <w:sz w:val="20"/>
          <w:szCs w:val="20"/>
        </w:rPr>
        <w:lastRenderedPageBreak/>
        <w:t>sexuality</w:t>
      </w:r>
      <w:r w:rsidR="00F85D5F" w:rsidRPr="00C837DD">
        <w:rPr>
          <w:sz w:val="20"/>
          <w:szCs w:val="20"/>
          <w:vertAlign w:val="superscript"/>
        </w:rPr>
        <w:footnoteReference w:id="270"/>
      </w:r>
      <w:r w:rsidR="00F85D5F" w:rsidRPr="00C837DD">
        <w:rPr>
          <w:sz w:val="20"/>
          <w:szCs w:val="20"/>
        </w:rPr>
        <w:t xml:space="preserve"> and reinforced the gender stereotypes</w:t>
      </w:r>
      <w:r w:rsidR="00F85D5F" w:rsidRPr="00C837DD">
        <w:rPr>
          <w:rStyle w:val="Refdenotaalpie"/>
          <w:sz w:val="20"/>
          <w:szCs w:val="20"/>
        </w:rPr>
        <w:footnoteReference w:id="271"/>
      </w:r>
      <w:r w:rsidR="00F85D5F" w:rsidRPr="00C837DD">
        <w:rPr>
          <w:sz w:val="20"/>
          <w:szCs w:val="20"/>
        </w:rPr>
        <w:t xml:space="preserve"> contained in the investigations, </w:t>
      </w:r>
      <w:r w:rsidR="00984982" w:rsidRPr="00C837DD">
        <w:rPr>
          <w:sz w:val="20"/>
          <w:szCs w:val="20"/>
        </w:rPr>
        <w:t xml:space="preserve">thus </w:t>
      </w:r>
      <w:r w:rsidR="00F85D5F" w:rsidRPr="00C837DD">
        <w:rPr>
          <w:sz w:val="20"/>
          <w:szCs w:val="20"/>
        </w:rPr>
        <w:t>expos</w:t>
      </w:r>
      <w:r w:rsidR="00984982" w:rsidRPr="00C837DD">
        <w:rPr>
          <w:sz w:val="20"/>
          <w:szCs w:val="20"/>
        </w:rPr>
        <w:t>ing</w:t>
      </w:r>
      <w:r w:rsidR="00F85D5F" w:rsidRPr="00C837DD">
        <w:rPr>
          <w:sz w:val="20"/>
          <w:szCs w:val="20"/>
        </w:rPr>
        <w:t xml:space="preserve"> </w:t>
      </w:r>
      <w:r w:rsidR="00B8009F" w:rsidRPr="00C837DD">
        <w:rPr>
          <w:sz w:val="20"/>
          <w:szCs w:val="20"/>
        </w:rPr>
        <w:t>Márcia</w:t>
      </w:r>
      <w:r w:rsidR="00F85D5F" w:rsidRPr="00C837DD">
        <w:rPr>
          <w:sz w:val="20"/>
          <w:szCs w:val="20"/>
        </w:rPr>
        <w:t xml:space="preserve"> Ba</w:t>
      </w:r>
      <w:r w:rsidR="000C0A25" w:rsidRPr="00C837DD">
        <w:rPr>
          <w:sz w:val="20"/>
          <w:szCs w:val="20"/>
        </w:rPr>
        <w:t>r</w:t>
      </w:r>
      <w:r w:rsidR="00F85D5F" w:rsidRPr="00C837DD">
        <w:rPr>
          <w:sz w:val="20"/>
          <w:szCs w:val="20"/>
        </w:rPr>
        <w:t>bosa’s family to revictimization</w:t>
      </w:r>
      <w:r w:rsidR="00984982" w:rsidRPr="00C837DD">
        <w:rPr>
          <w:sz w:val="20"/>
          <w:szCs w:val="20"/>
        </w:rPr>
        <w:t xml:space="preserve"> and</w:t>
      </w:r>
      <w:r w:rsidR="00F85D5F" w:rsidRPr="00C837DD">
        <w:rPr>
          <w:sz w:val="20"/>
          <w:szCs w:val="20"/>
        </w:rPr>
        <w:t xml:space="preserve"> causing them additional </w:t>
      </w:r>
      <w:r w:rsidR="00E85156">
        <w:rPr>
          <w:sz w:val="20"/>
          <w:szCs w:val="20"/>
        </w:rPr>
        <w:t>distress</w:t>
      </w:r>
      <w:r w:rsidR="00F85D5F" w:rsidRPr="00C837DD">
        <w:rPr>
          <w:sz w:val="20"/>
          <w:szCs w:val="20"/>
        </w:rPr>
        <w:t>.</w:t>
      </w:r>
    </w:p>
    <w:p w14:paraId="75FDDA68" w14:textId="77777777" w:rsidR="00F85D5F" w:rsidRPr="00C837DD" w:rsidRDefault="00F85D5F" w:rsidP="00F85D5F">
      <w:pPr>
        <w:pStyle w:val="Prrafodelista"/>
        <w:tabs>
          <w:tab w:val="left" w:pos="142"/>
        </w:tabs>
        <w:ind w:left="0"/>
        <w:rPr>
          <w:sz w:val="20"/>
          <w:szCs w:val="20"/>
        </w:rPr>
      </w:pPr>
    </w:p>
    <w:p w14:paraId="26B0C9DC" w14:textId="5253BF76" w:rsidR="00F85D5F" w:rsidRPr="00C837DD" w:rsidRDefault="00565B37" w:rsidP="00F85D5F">
      <w:pPr>
        <w:pStyle w:val="Prrafodelista"/>
        <w:numPr>
          <w:ilvl w:val="0"/>
          <w:numId w:val="6"/>
        </w:numPr>
        <w:tabs>
          <w:tab w:val="left" w:pos="142"/>
        </w:tabs>
        <w:ind w:left="0" w:firstLine="0"/>
        <w:rPr>
          <w:sz w:val="20"/>
          <w:szCs w:val="20"/>
        </w:rPr>
      </w:pPr>
      <w:r w:rsidRPr="00C837DD">
        <w:rPr>
          <w:sz w:val="20"/>
          <w:szCs w:val="20"/>
        </w:rPr>
        <w:t>Finally</w:t>
      </w:r>
      <w:r w:rsidR="00F85D5F" w:rsidRPr="00C837DD">
        <w:rPr>
          <w:sz w:val="20"/>
          <w:szCs w:val="20"/>
        </w:rPr>
        <w:t xml:space="preserve">, the Court recalls that, despite the existence of a first instance </w:t>
      </w:r>
      <w:r w:rsidRPr="00C837DD">
        <w:rPr>
          <w:sz w:val="20"/>
          <w:szCs w:val="20"/>
        </w:rPr>
        <w:t xml:space="preserve">conviction </w:t>
      </w:r>
      <w:r w:rsidR="00F85D5F" w:rsidRPr="00C837DD">
        <w:rPr>
          <w:sz w:val="20"/>
          <w:szCs w:val="20"/>
        </w:rPr>
        <w:t xml:space="preserve">against Mr. Pereira de Lima for the murder of </w:t>
      </w:r>
      <w:r w:rsidR="00B8009F" w:rsidRPr="00C837DD">
        <w:rPr>
          <w:sz w:val="20"/>
          <w:szCs w:val="20"/>
        </w:rPr>
        <w:t>Márcia</w:t>
      </w:r>
      <w:r w:rsidR="00F85D5F" w:rsidRPr="00C837DD">
        <w:rPr>
          <w:sz w:val="20"/>
          <w:szCs w:val="20"/>
        </w:rPr>
        <w:t xml:space="preserve"> Barbosa de Souza, the Legislative Assembly of the state of Paraíba </w:t>
      </w:r>
      <w:r w:rsidRPr="00C837DD">
        <w:rPr>
          <w:sz w:val="20"/>
          <w:szCs w:val="20"/>
        </w:rPr>
        <w:t xml:space="preserve">deemed </w:t>
      </w:r>
      <w:r w:rsidR="00466E1C" w:rsidRPr="00C837DD">
        <w:rPr>
          <w:sz w:val="20"/>
          <w:szCs w:val="20"/>
        </w:rPr>
        <w:t xml:space="preserve">it appropriate to </w:t>
      </w:r>
      <w:r w:rsidRPr="00C837DD">
        <w:rPr>
          <w:sz w:val="20"/>
          <w:szCs w:val="20"/>
        </w:rPr>
        <w:t xml:space="preserve">pay </w:t>
      </w:r>
      <w:r w:rsidR="00F85D5F" w:rsidRPr="00C837DD">
        <w:rPr>
          <w:sz w:val="20"/>
          <w:szCs w:val="20"/>
        </w:rPr>
        <w:t xml:space="preserve">tribute to the </w:t>
      </w:r>
      <w:r w:rsidR="00466E1C" w:rsidRPr="00C837DD">
        <w:rPr>
          <w:sz w:val="20"/>
          <w:szCs w:val="20"/>
        </w:rPr>
        <w:t xml:space="preserve">former </w:t>
      </w:r>
      <w:r w:rsidR="00F85D5F" w:rsidRPr="00C837DD">
        <w:rPr>
          <w:sz w:val="20"/>
          <w:szCs w:val="20"/>
        </w:rPr>
        <w:t xml:space="preserve">deputy, so that </w:t>
      </w:r>
      <w:r w:rsidR="00466E1C" w:rsidRPr="00C837DD">
        <w:rPr>
          <w:sz w:val="20"/>
          <w:szCs w:val="20"/>
        </w:rPr>
        <w:t xml:space="preserve">his </w:t>
      </w:r>
      <w:r w:rsidR="00F85D5F" w:rsidRPr="00C837DD">
        <w:rPr>
          <w:sz w:val="20"/>
          <w:szCs w:val="20"/>
        </w:rPr>
        <w:t xml:space="preserve">body was </w:t>
      </w:r>
      <w:r w:rsidR="001A2A97" w:rsidRPr="00C837DD">
        <w:rPr>
          <w:sz w:val="20"/>
          <w:szCs w:val="20"/>
        </w:rPr>
        <w:t xml:space="preserve">laid to rest </w:t>
      </w:r>
      <w:r w:rsidR="00F85D5F" w:rsidRPr="00C837DD">
        <w:rPr>
          <w:sz w:val="20"/>
          <w:szCs w:val="20"/>
        </w:rPr>
        <w:t xml:space="preserve">in the </w:t>
      </w:r>
      <w:r w:rsidR="00F85D5F" w:rsidRPr="00C837DD">
        <w:rPr>
          <w:i/>
          <w:sz w:val="20"/>
          <w:szCs w:val="20"/>
        </w:rPr>
        <w:t>Salón Noble</w:t>
      </w:r>
      <w:r w:rsidR="00F85D5F" w:rsidRPr="00C837DD">
        <w:rPr>
          <w:sz w:val="20"/>
          <w:szCs w:val="20"/>
        </w:rPr>
        <w:t xml:space="preserve"> of the Assembly and official mourning </w:t>
      </w:r>
      <w:r w:rsidR="00A42BF0" w:rsidRPr="00C837DD">
        <w:rPr>
          <w:sz w:val="20"/>
          <w:szCs w:val="20"/>
        </w:rPr>
        <w:t xml:space="preserve">was decreed </w:t>
      </w:r>
      <w:r w:rsidR="00F85D5F" w:rsidRPr="00C837DD">
        <w:rPr>
          <w:sz w:val="20"/>
          <w:szCs w:val="20"/>
        </w:rPr>
        <w:t>for three days (</w:t>
      </w:r>
      <w:r w:rsidR="00F85D5F" w:rsidRPr="00C837DD">
        <w:rPr>
          <w:i/>
          <w:sz w:val="20"/>
          <w:szCs w:val="20"/>
        </w:rPr>
        <w:t>supra</w:t>
      </w:r>
      <w:r w:rsidR="00F85D5F" w:rsidRPr="00C837DD">
        <w:rPr>
          <w:sz w:val="20"/>
          <w:szCs w:val="20"/>
        </w:rPr>
        <w:t xml:space="preserve"> para. 81). </w:t>
      </w:r>
      <w:r w:rsidR="000A3C67" w:rsidRPr="00C837DD">
        <w:rPr>
          <w:sz w:val="20"/>
          <w:szCs w:val="20"/>
        </w:rPr>
        <w:t>In this regard, the Court considers that th</w:t>
      </w:r>
      <w:r w:rsidR="00E85156">
        <w:rPr>
          <w:sz w:val="20"/>
          <w:szCs w:val="20"/>
        </w:rPr>
        <w:t>is</w:t>
      </w:r>
      <w:r w:rsidR="000A3C67" w:rsidRPr="00C837DD">
        <w:rPr>
          <w:sz w:val="20"/>
          <w:szCs w:val="20"/>
        </w:rPr>
        <w:t xml:space="preserve"> event also had a serious impact on the personal integrity of Ms. Barbosa de Souza's next of kin, having caused them great suffering</w:t>
      </w:r>
      <w:r w:rsidR="00F85D5F" w:rsidRPr="00C837DD">
        <w:rPr>
          <w:sz w:val="20"/>
          <w:szCs w:val="20"/>
        </w:rPr>
        <w:t xml:space="preserve">. </w:t>
      </w:r>
    </w:p>
    <w:p w14:paraId="673CBCFC" w14:textId="77777777" w:rsidR="00F85D5F" w:rsidRPr="00C837DD" w:rsidRDefault="00F85D5F" w:rsidP="00F85D5F">
      <w:pPr>
        <w:pStyle w:val="Prrafodelista"/>
        <w:tabs>
          <w:tab w:val="left" w:pos="142"/>
        </w:tabs>
        <w:ind w:left="0"/>
        <w:rPr>
          <w:sz w:val="20"/>
          <w:szCs w:val="20"/>
        </w:rPr>
      </w:pPr>
    </w:p>
    <w:p w14:paraId="202AF501" w14:textId="21EC3DF5" w:rsidR="00F85D5F" w:rsidRPr="00C837DD" w:rsidRDefault="00E30771" w:rsidP="00F85D5F">
      <w:pPr>
        <w:pStyle w:val="Prrafodelista"/>
        <w:numPr>
          <w:ilvl w:val="0"/>
          <w:numId w:val="6"/>
        </w:numPr>
        <w:tabs>
          <w:tab w:val="left" w:pos="142"/>
        </w:tabs>
        <w:ind w:left="0" w:firstLine="0"/>
        <w:rPr>
          <w:sz w:val="20"/>
          <w:szCs w:val="20"/>
        </w:rPr>
      </w:pPr>
      <w:r>
        <w:rPr>
          <w:sz w:val="20"/>
          <w:szCs w:val="20"/>
        </w:rPr>
        <w:t xml:space="preserve">In light of </w:t>
      </w:r>
      <w:r w:rsidR="00F85D5F" w:rsidRPr="00C837DD">
        <w:rPr>
          <w:sz w:val="20"/>
          <w:szCs w:val="20"/>
        </w:rPr>
        <w:t>the foregoing considerations, the Court concludes that the State violated the right to personal integrity recognized in Article 5(1) of the American Convention, in relation to Article 1(1) of the same instrument, to the detriment of Mrs. M.B.S. and Mr. S.R.S.</w:t>
      </w:r>
    </w:p>
    <w:p w14:paraId="2B05D898" w14:textId="77777777" w:rsidR="00F85D5F" w:rsidRPr="00C837DD" w:rsidRDefault="00F85D5F" w:rsidP="00F85D5F">
      <w:pPr>
        <w:pStyle w:val="Textoindependiente"/>
        <w:tabs>
          <w:tab w:val="left" w:pos="142"/>
        </w:tabs>
      </w:pPr>
    </w:p>
    <w:p w14:paraId="1A52FFA9" w14:textId="77777777" w:rsidR="00F85D5F" w:rsidRPr="00C837DD" w:rsidRDefault="00F85D5F" w:rsidP="00F85D5F">
      <w:pPr>
        <w:pStyle w:val="Ttulo1"/>
        <w:tabs>
          <w:tab w:val="left" w:pos="142"/>
        </w:tabs>
        <w:rPr>
          <w:w w:val="100"/>
          <w:lang w:val="en-US"/>
        </w:rPr>
      </w:pPr>
      <w:bookmarkStart w:id="90" w:name="_Toc85001897"/>
      <w:r w:rsidRPr="00C837DD">
        <w:rPr>
          <w:w w:val="100"/>
          <w:lang w:val="en-US"/>
        </w:rPr>
        <w:t>IX</w:t>
      </w:r>
      <w:r w:rsidRPr="00C837DD">
        <w:rPr>
          <w:w w:val="100"/>
          <w:lang w:val="en-US"/>
        </w:rPr>
        <w:br/>
        <w:t>REPARATIONS</w:t>
      </w:r>
      <w:bookmarkEnd w:id="90"/>
    </w:p>
    <w:p w14:paraId="7D26B1F6" w14:textId="77777777" w:rsidR="00F85D5F" w:rsidRPr="00C837DD" w:rsidRDefault="00F85D5F" w:rsidP="00F85D5F">
      <w:pPr>
        <w:pStyle w:val="Textoindependiente"/>
        <w:tabs>
          <w:tab w:val="left" w:pos="142"/>
        </w:tabs>
      </w:pPr>
    </w:p>
    <w:p w14:paraId="508613B7" w14:textId="774CD94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Based on the provisions of Article 63(1) of the American Convention, the Court has indicated that any violation of an international obligation that has produced harm entails the obligation to make adequate reparation, and that this provision reflects a customary norm</w:t>
      </w:r>
      <w:r w:rsidRPr="00C837DD">
        <w:rPr>
          <w:spacing w:val="-2"/>
          <w:sz w:val="20"/>
          <w:szCs w:val="20"/>
        </w:rPr>
        <w:t xml:space="preserve"> </w:t>
      </w:r>
      <w:r w:rsidRPr="00C837DD">
        <w:rPr>
          <w:sz w:val="20"/>
          <w:szCs w:val="20"/>
        </w:rPr>
        <w:t>that constitutes one of the fundamental principles of contemporary international law on State responsibility.</w:t>
      </w:r>
      <w:r w:rsidRPr="00C837DD">
        <w:rPr>
          <w:sz w:val="20"/>
          <w:szCs w:val="20"/>
          <w:vertAlign w:val="superscript"/>
        </w:rPr>
        <w:footnoteReference w:id="272"/>
      </w:r>
      <w:r w:rsidRPr="00C837DD">
        <w:rPr>
          <w:sz w:val="20"/>
          <w:szCs w:val="20"/>
        </w:rPr>
        <w:t xml:space="preserve"> </w:t>
      </w:r>
    </w:p>
    <w:p w14:paraId="42AF3C4E" w14:textId="77777777" w:rsidR="00F85D5F" w:rsidRPr="00C837DD" w:rsidRDefault="00F85D5F" w:rsidP="00F85D5F">
      <w:pPr>
        <w:pStyle w:val="Prrafodelista"/>
        <w:tabs>
          <w:tab w:val="left" w:pos="142"/>
        </w:tabs>
        <w:ind w:left="0"/>
        <w:rPr>
          <w:sz w:val="20"/>
          <w:szCs w:val="20"/>
        </w:rPr>
      </w:pPr>
    </w:p>
    <w:p w14:paraId="57A95A98"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Reparation for the harm caused by the breach of an international obligation requires, whenever possible, full restitution (</w:t>
      </w:r>
      <w:r w:rsidRPr="00C837DD">
        <w:rPr>
          <w:i/>
          <w:sz w:val="20"/>
          <w:szCs w:val="20"/>
        </w:rPr>
        <w:t>restitutio in integrum</w:t>
      </w:r>
      <w:r w:rsidRPr="00C837DD">
        <w:rPr>
          <w:sz w:val="20"/>
          <w:szCs w:val="20"/>
        </w:rPr>
        <w:t>), which consists of reestablishing the situation prior to the violation. If this is not feasible, as</w:t>
      </w:r>
      <w:r w:rsidRPr="00C837DD">
        <w:rPr>
          <w:sz w:val="20"/>
        </w:rPr>
        <w:t xml:space="preserve"> occurs in the majority of cases of human rights violations, the Court may order measures to protect the violated rights and repair the harm caused by the violations</w:t>
      </w:r>
      <w:r w:rsidRPr="00C837DD">
        <w:rPr>
          <w:bCs/>
          <w:sz w:val="20"/>
          <w:szCs w:val="20"/>
        </w:rPr>
        <w:t>.</w:t>
      </w:r>
      <w:r w:rsidRPr="00C837DD">
        <w:rPr>
          <w:sz w:val="20"/>
          <w:szCs w:val="20"/>
          <w:vertAlign w:val="superscript"/>
        </w:rPr>
        <w:footnoteReference w:id="273"/>
      </w:r>
      <w:r w:rsidRPr="00C837DD">
        <w:rPr>
          <w:bCs/>
          <w:sz w:val="20"/>
          <w:szCs w:val="20"/>
        </w:rPr>
        <w:t xml:space="preserve"> In this regard, </w:t>
      </w:r>
      <w:r w:rsidRPr="00C837DD">
        <w:rPr>
          <w:sz w:val="20"/>
          <w:szCs w:val="20"/>
        </w:rPr>
        <w:t>the Court has considered the need to provide different types of reparation so as to fully redress the damage; therefore, in addition to pecuniary compensation, other measures such as satisfaction, restitution, rehabilitation, and guarantees of non-repetition have special relevance due to the harm caused.</w:t>
      </w:r>
      <w:r w:rsidRPr="00C837DD">
        <w:rPr>
          <w:sz w:val="20"/>
          <w:szCs w:val="20"/>
          <w:vertAlign w:val="superscript"/>
        </w:rPr>
        <w:footnoteReference w:id="274"/>
      </w:r>
    </w:p>
    <w:p w14:paraId="17056664" w14:textId="77777777" w:rsidR="00F85D5F" w:rsidRPr="00C837DD" w:rsidRDefault="00F85D5F" w:rsidP="00F85D5F">
      <w:pPr>
        <w:pStyle w:val="Prrafodelista"/>
        <w:tabs>
          <w:tab w:val="left" w:pos="142"/>
        </w:tabs>
        <w:ind w:left="0"/>
        <w:rPr>
          <w:sz w:val="20"/>
          <w:szCs w:val="20"/>
        </w:rPr>
      </w:pPr>
    </w:p>
    <w:p w14:paraId="4535D6C1" w14:textId="68E4AF54"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This Court has also established that </w:t>
      </w:r>
      <w:r w:rsidR="003161C1" w:rsidRPr="00C837DD">
        <w:rPr>
          <w:sz w:val="20"/>
          <w:szCs w:val="20"/>
        </w:rPr>
        <w:t xml:space="preserve">the </w:t>
      </w:r>
      <w:r w:rsidRPr="00C837DD">
        <w:rPr>
          <w:sz w:val="20"/>
          <w:szCs w:val="20"/>
        </w:rPr>
        <w:t xml:space="preserve">reparations </w:t>
      </w:r>
      <w:r w:rsidRPr="00C837DD">
        <w:rPr>
          <w:spacing w:val="-9"/>
          <w:sz w:val="20"/>
        </w:rPr>
        <w:t xml:space="preserve">must have a </w:t>
      </w:r>
      <w:r w:rsidRPr="00C837DD">
        <w:rPr>
          <w:sz w:val="20"/>
        </w:rPr>
        <w:t>causal</w:t>
      </w:r>
      <w:r w:rsidRPr="00C837DD">
        <w:rPr>
          <w:spacing w:val="-7"/>
          <w:sz w:val="20"/>
        </w:rPr>
        <w:t xml:space="preserve"> nexus with </w:t>
      </w:r>
      <w:r w:rsidRPr="00C837DD">
        <w:rPr>
          <w:sz w:val="20"/>
        </w:rPr>
        <w:t xml:space="preserve">the facts of the case, the violations </w:t>
      </w:r>
      <w:r w:rsidRPr="00C837DD">
        <w:rPr>
          <w:sz w:val="20"/>
          <w:szCs w:val="20"/>
        </w:rPr>
        <w:t>declared, the damage proven, and the measures requested to redress the respective harm. Therefore, the Court must analyze the concurrence of these factors in order to rule appropriately and according to the law.</w:t>
      </w:r>
      <w:r w:rsidRPr="00C837DD">
        <w:rPr>
          <w:sz w:val="20"/>
          <w:szCs w:val="20"/>
          <w:vertAlign w:val="superscript"/>
        </w:rPr>
        <w:footnoteReference w:id="275"/>
      </w:r>
      <w:r w:rsidRPr="00C837DD">
        <w:rPr>
          <w:sz w:val="20"/>
          <w:szCs w:val="20"/>
        </w:rPr>
        <w:t xml:space="preserve"> </w:t>
      </w:r>
      <w:r w:rsidR="003161C1" w:rsidRPr="00C837DD">
        <w:rPr>
          <w:sz w:val="20"/>
          <w:szCs w:val="20"/>
        </w:rPr>
        <w:t>T</w:t>
      </w:r>
      <w:r w:rsidRPr="00C837DD">
        <w:rPr>
          <w:sz w:val="20"/>
          <w:szCs w:val="20"/>
        </w:rPr>
        <w:t xml:space="preserve">he Court </w:t>
      </w:r>
      <w:r w:rsidR="003161C1" w:rsidRPr="00C837DD">
        <w:rPr>
          <w:sz w:val="20"/>
          <w:szCs w:val="20"/>
        </w:rPr>
        <w:t xml:space="preserve">likewise </w:t>
      </w:r>
      <w:r w:rsidRPr="00C837DD">
        <w:rPr>
          <w:sz w:val="20"/>
          <w:szCs w:val="20"/>
        </w:rPr>
        <w:t xml:space="preserve">considers that reparations should include an analysis not only </w:t>
      </w:r>
      <w:r w:rsidR="007F2DCB">
        <w:rPr>
          <w:sz w:val="20"/>
          <w:szCs w:val="20"/>
        </w:rPr>
        <w:t xml:space="preserve">of </w:t>
      </w:r>
      <w:r w:rsidRPr="00C837DD">
        <w:rPr>
          <w:sz w:val="20"/>
          <w:szCs w:val="20"/>
        </w:rPr>
        <w:t xml:space="preserve">the right of the victims to obtain reparation, but </w:t>
      </w:r>
      <w:r w:rsidR="007F2DCB">
        <w:rPr>
          <w:sz w:val="20"/>
          <w:szCs w:val="20"/>
        </w:rPr>
        <w:t xml:space="preserve">one </w:t>
      </w:r>
      <w:r w:rsidRPr="00C837DD">
        <w:rPr>
          <w:sz w:val="20"/>
          <w:szCs w:val="20"/>
        </w:rPr>
        <w:t xml:space="preserve">that also incorporates a gender perspective, both in its formulation and in </w:t>
      </w:r>
      <w:r w:rsidRPr="00C837DD">
        <w:rPr>
          <w:sz w:val="20"/>
          <w:szCs w:val="20"/>
        </w:rPr>
        <w:lastRenderedPageBreak/>
        <w:t>its implementation.</w:t>
      </w:r>
      <w:r w:rsidRPr="00C837DD">
        <w:rPr>
          <w:rStyle w:val="Refdenotaalpie"/>
          <w:sz w:val="20"/>
          <w:szCs w:val="20"/>
        </w:rPr>
        <w:footnoteReference w:id="276"/>
      </w:r>
    </w:p>
    <w:p w14:paraId="3D7C8E71" w14:textId="77777777" w:rsidR="00F85D5F" w:rsidRPr="00C837DD" w:rsidRDefault="00F85D5F" w:rsidP="00F85D5F">
      <w:pPr>
        <w:pStyle w:val="Prrafodelista"/>
        <w:tabs>
          <w:tab w:val="left" w:pos="142"/>
        </w:tabs>
        <w:ind w:left="0"/>
        <w:rPr>
          <w:sz w:val="20"/>
          <w:szCs w:val="20"/>
        </w:rPr>
      </w:pPr>
    </w:p>
    <w:p w14:paraId="6E716734" w14:textId="5C2A7F8E"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Therefore, taking into account the considerations </w:t>
      </w:r>
      <w:r w:rsidR="001E6F9F" w:rsidRPr="00C837DD">
        <w:rPr>
          <w:sz w:val="20"/>
          <w:szCs w:val="20"/>
        </w:rPr>
        <w:t xml:space="preserve">presented </w:t>
      </w:r>
      <w:r w:rsidRPr="00C837DD">
        <w:rPr>
          <w:sz w:val="20"/>
          <w:szCs w:val="20"/>
        </w:rPr>
        <w:t>on</w:t>
      </w:r>
      <w:r w:rsidR="001E6F9F" w:rsidRPr="00C837DD">
        <w:rPr>
          <w:sz w:val="20"/>
          <w:szCs w:val="20"/>
        </w:rPr>
        <w:t xml:space="preserve"> the merits and the violations of</w:t>
      </w:r>
      <w:r w:rsidRPr="00C837DD">
        <w:rPr>
          <w:sz w:val="20"/>
          <w:szCs w:val="20"/>
        </w:rPr>
        <w:t xml:space="preserve"> the American Convention and the Convention of Belém do Pará declared in this judgment, the Court </w:t>
      </w:r>
      <w:r w:rsidR="00FB6A92" w:rsidRPr="00C837DD">
        <w:rPr>
          <w:sz w:val="20"/>
          <w:szCs w:val="20"/>
        </w:rPr>
        <w:t xml:space="preserve">will </w:t>
      </w:r>
      <w:r w:rsidRPr="00C837DD">
        <w:rPr>
          <w:sz w:val="20"/>
          <w:szCs w:val="20"/>
        </w:rPr>
        <w:t xml:space="preserve">examine the claims presented by the Commission and the representatives of the victims, </w:t>
      </w:r>
      <w:r w:rsidRPr="00C837DD">
        <w:rPr>
          <w:sz w:val="20"/>
        </w:rPr>
        <w:t xml:space="preserve">together with the corresponding </w:t>
      </w:r>
      <w:r w:rsidRPr="00C837DD">
        <w:rPr>
          <w:sz w:val="20"/>
          <w:szCs w:val="20"/>
        </w:rPr>
        <w:t xml:space="preserve">observations of the State, </w:t>
      </w:r>
      <w:r w:rsidRPr="00C837DD">
        <w:rPr>
          <w:sz w:val="20"/>
        </w:rPr>
        <w:t>in light of the criteria established in the Court’s case law concerning the nature and scope of the obligation to make reparation</w:t>
      </w:r>
      <w:r w:rsidRPr="00C837DD">
        <w:rPr>
          <w:sz w:val="20"/>
          <w:szCs w:val="20"/>
        </w:rPr>
        <w:t xml:space="preserve">, </w:t>
      </w:r>
      <w:r w:rsidRPr="00C837DD">
        <w:rPr>
          <w:sz w:val="20"/>
        </w:rPr>
        <w:t xml:space="preserve">in order to establish measures aimed at redressing </w:t>
      </w:r>
      <w:r w:rsidRPr="00C837DD">
        <w:rPr>
          <w:sz w:val="20"/>
          <w:szCs w:val="20"/>
        </w:rPr>
        <w:t>the harm caused.</w:t>
      </w:r>
      <w:r w:rsidRPr="00C837DD">
        <w:rPr>
          <w:bCs/>
          <w:sz w:val="20"/>
          <w:szCs w:val="20"/>
          <w:vertAlign w:val="superscript"/>
        </w:rPr>
        <w:footnoteReference w:id="277"/>
      </w:r>
    </w:p>
    <w:p w14:paraId="0F913426" w14:textId="77777777" w:rsidR="00F85D5F" w:rsidRPr="00C837DD" w:rsidRDefault="00F85D5F" w:rsidP="00F85D5F">
      <w:pPr>
        <w:pStyle w:val="Textoindependiente"/>
        <w:tabs>
          <w:tab w:val="left" w:pos="142"/>
        </w:tabs>
        <w:jc w:val="both"/>
        <w:rPr>
          <w:b/>
        </w:rPr>
      </w:pPr>
    </w:p>
    <w:p w14:paraId="508A4BD4" w14:textId="77777777" w:rsidR="00F85D5F" w:rsidRPr="00C837DD" w:rsidRDefault="00F85D5F" w:rsidP="00F85D5F">
      <w:pPr>
        <w:pStyle w:val="Ttulo2"/>
        <w:ind w:left="1134" w:hanging="567"/>
        <w:rPr>
          <w:lang w:val="en-US"/>
        </w:rPr>
      </w:pPr>
      <w:bookmarkStart w:id="91" w:name="A._Parte_Lesionada"/>
      <w:bookmarkStart w:id="92" w:name="_bookmark185"/>
      <w:bookmarkStart w:id="93" w:name="_Toc85001898"/>
      <w:bookmarkEnd w:id="91"/>
      <w:bookmarkEnd w:id="92"/>
      <w:r w:rsidRPr="00C837DD">
        <w:rPr>
          <w:lang w:val="en-US"/>
        </w:rPr>
        <w:t xml:space="preserve">Injured party </w:t>
      </w:r>
      <w:bookmarkEnd w:id="93"/>
    </w:p>
    <w:p w14:paraId="648BDC6E" w14:textId="77777777" w:rsidR="00F85D5F" w:rsidRPr="00C837DD" w:rsidRDefault="00F85D5F" w:rsidP="00F85D5F">
      <w:pPr>
        <w:pStyle w:val="Textoindependiente"/>
        <w:tabs>
          <w:tab w:val="left" w:pos="142"/>
        </w:tabs>
        <w:jc w:val="both"/>
        <w:rPr>
          <w:b/>
        </w:rPr>
      </w:pPr>
    </w:p>
    <w:p w14:paraId="64944EB0" w14:textId="4E511ED0"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Pursuant to Article 63(1) of the Convention, the Court considers that anyone who has been declared a victim of the violation of any right recognized therein is an injured party. Therefore, this Court considers M.B.S. and S.R.S.,</w:t>
      </w:r>
      <w:r w:rsidRPr="00C837DD">
        <w:rPr>
          <w:rStyle w:val="Refdenotaalpie"/>
          <w:sz w:val="20"/>
          <w:szCs w:val="20"/>
        </w:rPr>
        <w:footnoteReference w:id="278"/>
      </w:r>
      <w:r w:rsidRPr="00C837DD">
        <w:rPr>
          <w:sz w:val="20"/>
          <w:szCs w:val="20"/>
        </w:rPr>
        <w:t xml:space="preserve"> the mother and the father of </w:t>
      </w:r>
      <w:r w:rsidR="00B8009F" w:rsidRPr="00C837DD">
        <w:rPr>
          <w:sz w:val="20"/>
          <w:szCs w:val="20"/>
        </w:rPr>
        <w:t>Márcia</w:t>
      </w:r>
      <w:r w:rsidRPr="00C837DD">
        <w:rPr>
          <w:sz w:val="20"/>
          <w:szCs w:val="20"/>
        </w:rPr>
        <w:t xml:space="preserve"> Barbosa de Souza, as </w:t>
      </w:r>
      <w:r w:rsidR="007F2DCB">
        <w:rPr>
          <w:sz w:val="20"/>
          <w:szCs w:val="20"/>
        </w:rPr>
        <w:t xml:space="preserve">the </w:t>
      </w:r>
      <w:r w:rsidRPr="00C837DD">
        <w:rPr>
          <w:sz w:val="20"/>
          <w:szCs w:val="20"/>
        </w:rPr>
        <w:t>“injured party” who</w:t>
      </w:r>
      <w:r w:rsidR="00FB6A92" w:rsidRPr="00C837DD">
        <w:rPr>
          <w:sz w:val="20"/>
          <w:szCs w:val="20"/>
        </w:rPr>
        <w:t>,</w:t>
      </w:r>
      <w:r w:rsidRPr="00C837DD">
        <w:rPr>
          <w:sz w:val="20"/>
          <w:szCs w:val="20"/>
        </w:rPr>
        <w:t xml:space="preserve"> as victims of the violations declared in Chapter VIII, shall be the beneficiaries of the reparations ordered by the Court.</w:t>
      </w:r>
    </w:p>
    <w:p w14:paraId="289B90E7" w14:textId="77777777" w:rsidR="00F85D5F" w:rsidRPr="00C837DD" w:rsidRDefault="00F85D5F" w:rsidP="00F85D5F">
      <w:pPr>
        <w:pStyle w:val="Textoindependiente"/>
        <w:tabs>
          <w:tab w:val="left" w:pos="142"/>
        </w:tabs>
        <w:jc w:val="both"/>
      </w:pPr>
    </w:p>
    <w:p w14:paraId="7312B506" w14:textId="77777777" w:rsidR="00F85D5F" w:rsidRPr="00C837DD" w:rsidRDefault="00F85D5F" w:rsidP="00F85D5F">
      <w:pPr>
        <w:pStyle w:val="Ttulo2"/>
        <w:numPr>
          <w:ilvl w:val="1"/>
          <w:numId w:val="8"/>
        </w:numPr>
        <w:ind w:left="1134" w:hanging="567"/>
        <w:rPr>
          <w:lang w:val="en-US"/>
        </w:rPr>
      </w:pPr>
      <w:bookmarkStart w:id="94" w:name="B._Medidas_de_restitución"/>
      <w:bookmarkStart w:id="95" w:name="_bookmark191"/>
      <w:bookmarkStart w:id="96" w:name="_Toc85001899"/>
      <w:bookmarkEnd w:id="94"/>
      <w:bookmarkEnd w:id="95"/>
      <w:r w:rsidRPr="00C837DD">
        <w:rPr>
          <w:lang w:val="en-US"/>
        </w:rPr>
        <w:t>Obligation to investigate the facts and identify, prosecute and, if appropriate, punish those responsible</w:t>
      </w:r>
      <w:bookmarkEnd w:id="96"/>
    </w:p>
    <w:p w14:paraId="2FB78F7B" w14:textId="77777777" w:rsidR="00F85D5F" w:rsidRPr="00C837DD" w:rsidRDefault="00F85D5F" w:rsidP="00F85D5F">
      <w:pPr>
        <w:pStyle w:val="Ttulo2"/>
        <w:numPr>
          <w:ilvl w:val="0"/>
          <w:numId w:val="0"/>
        </w:numPr>
        <w:rPr>
          <w:lang w:val="en-US"/>
        </w:rPr>
      </w:pPr>
    </w:p>
    <w:p w14:paraId="30083588" w14:textId="0A243DD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Commission</w:t>
      </w:r>
      <w:r w:rsidRPr="00C837DD">
        <w:rPr>
          <w:b/>
          <w:i/>
          <w:sz w:val="20"/>
          <w:szCs w:val="20"/>
        </w:rPr>
        <w:t xml:space="preserve"> </w:t>
      </w:r>
      <w:r w:rsidRPr="00C837DD">
        <w:rPr>
          <w:sz w:val="20"/>
          <w:szCs w:val="20"/>
        </w:rPr>
        <w:t xml:space="preserve">requested that the Court order </w:t>
      </w:r>
      <w:r w:rsidR="00F207F3" w:rsidRPr="00C837DD">
        <w:rPr>
          <w:sz w:val="20"/>
          <w:szCs w:val="20"/>
        </w:rPr>
        <w:t xml:space="preserve">the </w:t>
      </w:r>
      <w:r w:rsidRPr="00C837DD">
        <w:rPr>
          <w:sz w:val="20"/>
          <w:szCs w:val="20"/>
        </w:rPr>
        <w:t xml:space="preserve">State </w:t>
      </w:r>
      <w:r w:rsidR="00F207F3" w:rsidRPr="00C837DD">
        <w:rPr>
          <w:sz w:val="20"/>
          <w:szCs w:val="20"/>
        </w:rPr>
        <w:t xml:space="preserve">to reopen </w:t>
      </w:r>
      <w:r w:rsidRPr="00C837DD">
        <w:rPr>
          <w:sz w:val="20"/>
          <w:szCs w:val="20"/>
        </w:rPr>
        <w:t xml:space="preserve">the investigation in a diligent, effective manner and within a reasonable time in order to clarify the facts fully, identify all possible responsibilities in relation to the murder of </w:t>
      </w:r>
      <w:r w:rsidR="00B8009F" w:rsidRPr="00C837DD">
        <w:rPr>
          <w:sz w:val="20"/>
          <w:szCs w:val="20"/>
        </w:rPr>
        <w:t>Márcia</w:t>
      </w:r>
      <w:r w:rsidRPr="00C837DD">
        <w:rPr>
          <w:sz w:val="20"/>
          <w:szCs w:val="20"/>
        </w:rPr>
        <w:t xml:space="preserve"> Barbosa de Souza and the delays that resulted in impunity</w:t>
      </w:r>
      <w:r w:rsidR="007A17E1" w:rsidRPr="00C837DD">
        <w:rPr>
          <w:sz w:val="20"/>
          <w:szCs w:val="20"/>
        </w:rPr>
        <w:t>,</w:t>
      </w:r>
      <w:r w:rsidRPr="00C837DD">
        <w:rPr>
          <w:sz w:val="20"/>
          <w:szCs w:val="20"/>
        </w:rPr>
        <w:t xml:space="preserve"> and</w:t>
      </w:r>
      <w:r w:rsidR="007A17E1" w:rsidRPr="00C837DD">
        <w:rPr>
          <w:sz w:val="20"/>
          <w:szCs w:val="20"/>
        </w:rPr>
        <w:t xml:space="preserve"> to</w:t>
      </w:r>
      <w:r w:rsidRPr="00C837DD">
        <w:rPr>
          <w:sz w:val="20"/>
          <w:szCs w:val="20"/>
        </w:rPr>
        <w:t xml:space="preserve"> adopt the measu</w:t>
      </w:r>
      <w:r w:rsidR="00F207F3" w:rsidRPr="00C837DD">
        <w:rPr>
          <w:sz w:val="20"/>
          <w:szCs w:val="20"/>
        </w:rPr>
        <w:t>res necessary to remedy the o</w:t>
      </w:r>
      <w:r w:rsidRPr="00C837DD">
        <w:rPr>
          <w:sz w:val="20"/>
          <w:szCs w:val="20"/>
        </w:rPr>
        <w:t>mis</w:t>
      </w:r>
      <w:r w:rsidR="00F207F3" w:rsidRPr="00C837DD">
        <w:rPr>
          <w:sz w:val="20"/>
          <w:szCs w:val="20"/>
        </w:rPr>
        <w:t>s</w:t>
      </w:r>
      <w:r w:rsidRPr="00C837DD">
        <w:rPr>
          <w:sz w:val="20"/>
          <w:szCs w:val="20"/>
        </w:rPr>
        <w:t xml:space="preserve">ions </w:t>
      </w:r>
      <w:r w:rsidR="007A17E1" w:rsidRPr="00C837DD">
        <w:rPr>
          <w:sz w:val="20"/>
          <w:szCs w:val="20"/>
        </w:rPr>
        <w:t xml:space="preserve">that occurred in the investigation of the other possible perpetrators. </w:t>
      </w:r>
      <w:r w:rsidR="000C0A25" w:rsidRPr="00C837DD">
        <w:rPr>
          <w:sz w:val="20"/>
          <w:szCs w:val="20"/>
        </w:rPr>
        <w:t>In addition</w:t>
      </w:r>
      <w:r w:rsidRPr="00C837DD">
        <w:rPr>
          <w:sz w:val="20"/>
          <w:szCs w:val="20"/>
        </w:rPr>
        <w:t xml:space="preserve">, the Commission emphasized that the State </w:t>
      </w:r>
      <w:r w:rsidR="007F70D1" w:rsidRPr="00C837DD">
        <w:rPr>
          <w:sz w:val="20"/>
          <w:szCs w:val="20"/>
        </w:rPr>
        <w:t xml:space="preserve">could </w:t>
      </w:r>
      <w:r w:rsidR="007A17E1" w:rsidRPr="00C837DD">
        <w:rPr>
          <w:sz w:val="20"/>
          <w:szCs w:val="20"/>
        </w:rPr>
        <w:t xml:space="preserve">not invoke the guarantees of </w:t>
      </w:r>
      <w:r w:rsidR="007A17E1" w:rsidRPr="00C837DD">
        <w:rPr>
          <w:i/>
          <w:iCs/>
          <w:sz w:val="20"/>
          <w:szCs w:val="20"/>
        </w:rPr>
        <w:t>ne bis in idem</w:t>
      </w:r>
      <w:r w:rsidR="007A17E1" w:rsidRPr="00C837DD">
        <w:rPr>
          <w:sz w:val="20"/>
          <w:szCs w:val="20"/>
        </w:rPr>
        <w:t xml:space="preserve">, </w:t>
      </w:r>
      <w:r w:rsidR="007A17E1" w:rsidRPr="00C837DD">
        <w:rPr>
          <w:i/>
          <w:iCs/>
          <w:sz w:val="20"/>
          <w:szCs w:val="20"/>
        </w:rPr>
        <w:t>res judicata</w:t>
      </w:r>
      <w:r w:rsidR="007A17E1" w:rsidRPr="00C837DD">
        <w:rPr>
          <w:sz w:val="20"/>
          <w:szCs w:val="20"/>
        </w:rPr>
        <w:t xml:space="preserve"> or the statute of limitations to justify its failure to comply with the above-mentioned measures.</w:t>
      </w:r>
      <w:r w:rsidRPr="00C837DD">
        <w:rPr>
          <w:sz w:val="20"/>
          <w:szCs w:val="20"/>
        </w:rPr>
        <w:t xml:space="preserve"> </w:t>
      </w:r>
    </w:p>
    <w:p w14:paraId="45FA5FB3" w14:textId="77777777" w:rsidR="00F85D5F" w:rsidRPr="00C837DD" w:rsidRDefault="00F85D5F" w:rsidP="00F85D5F">
      <w:pPr>
        <w:pStyle w:val="Prrafodelista"/>
        <w:tabs>
          <w:tab w:val="left" w:pos="142"/>
        </w:tabs>
        <w:ind w:left="0"/>
        <w:rPr>
          <w:sz w:val="20"/>
          <w:szCs w:val="20"/>
        </w:rPr>
      </w:pPr>
    </w:p>
    <w:p w14:paraId="31361FD5" w14:textId="1917E6E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representatives</w:t>
      </w:r>
      <w:r w:rsidRPr="00C837DD">
        <w:rPr>
          <w:b/>
          <w:i/>
          <w:sz w:val="20"/>
          <w:szCs w:val="20"/>
        </w:rPr>
        <w:t xml:space="preserve"> </w:t>
      </w:r>
      <w:r w:rsidRPr="00C837DD">
        <w:rPr>
          <w:sz w:val="20"/>
          <w:szCs w:val="20"/>
        </w:rPr>
        <w:t xml:space="preserve">asked the Court to order the State to investigate, identify and punish “all those responsible” for the death of </w:t>
      </w:r>
      <w:r w:rsidR="00B8009F" w:rsidRPr="00C837DD">
        <w:rPr>
          <w:sz w:val="20"/>
          <w:szCs w:val="20"/>
        </w:rPr>
        <w:t>Márcia</w:t>
      </w:r>
      <w:r w:rsidRPr="00C837DD">
        <w:rPr>
          <w:sz w:val="20"/>
          <w:szCs w:val="20"/>
        </w:rPr>
        <w:t xml:space="preserve"> Barbosa de Souza. They argued that in this case, the State could not </w:t>
      </w:r>
      <w:r w:rsidR="00CB75A3" w:rsidRPr="00C837DD">
        <w:rPr>
          <w:sz w:val="20"/>
          <w:szCs w:val="20"/>
        </w:rPr>
        <w:t xml:space="preserve">invoke </w:t>
      </w:r>
      <w:r w:rsidRPr="00C837DD">
        <w:rPr>
          <w:sz w:val="20"/>
          <w:szCs w:val="20"/>
        </w:rPr>
        <w:t xml:space="preserve">the guarantee of </w:t>
      </w:r>
      <w:r w:rsidRPr="00C837DD">
        <w:rPr>
          <w:i/>
          <w:sz w:val="20"/>
          <w:szCs w:val="20"/>
        </w:rPr>
        <w:t>ne bis in idem</w:t>
      </w:r>
      <w:r w:rsidR="001E6F9F" w:rsidRPr="00C837DD">
        <w:rPr>
          <w:sz w:val="20"/>
          <w:szCs w:val="20"/>
        </w:rPr>
        <w:t xml:space="preserve">, since </w:t>
      </w:r>
      <w:r w:rsidR="005B3A49" w:rsidRPr="00C837DD">
        <w:rPr>
          <w:sz w:val="20"/>
          <w:szCs w:val="20"/>
        </w:rPr>
        <w:t xml:space="preserve">fraudulent </w:t>
      </w:r>
      <w:r w:rsidR="00CB75A3" w:rsidRPr="00C837DD">
        <w:rPr>
          <w:i/>
          <w:iCs/>
          <w:sz w:val="20"/>
          <w:szCs w:val="20"/>
        </w:rPr>
        <w:t>res</w:t>
      </w:r>
      <w:r w:rsidR="00CB75A3" w:rsidRPr="00C837DD">
        <w:rPr>
          <w:sz w:val="20"/>
          <w:szCs w:val="20"/>
        </w:rPr>
        <w:t xml:space="preserve"> </w:t>
      </w:r>
      <w:r w:rsidR="00CB75A3" w:rsidRPr="00C837DD">
        <w:rPr>
          <w:i/>
          <w:iCs/>
          <w:sz w:val="20"/>
          <w:szCs w:val="20"/>
        </w:rPr>
        <w:t>judicata</w:t>
      </w:r>
      <w:r w:rsidR="005B3A49" w:rsidRPr="00C837DD">
        <w:rPr>
          <w:i/>
          <w:iCs/>
          <w:sz w:val="20"/>
          <w:szCs w:val="20"/>
        </w:rPr>
        <w:t xml:space="preserve"> </w:t>
      </w:r>
      <w:r w:rsidR="005B3A49" w:rsidRPr="00C837DD">
        <w:rPr>
          <w:sz w:val="20"/>
          <w:szCs w:val="20"/>
        </w:rPr>
        <w:t>would have been established</w:t>
      </w:r>
      <w:r w:rsidRPr="00C837DD">
        <w:rPr>
          <w:sz w:val="20"/>
          <w:szCs w:val="20"/>
        </w:rPr>
        <w:t>.</w:t>
      </w:r>
    </w:p>
    <w:p w14:paraId="04700500" w14:textId="77777777" w:rsidR="00F85D5F" w:rsidRPr="00C837DD" w:rsidRDefault="00F85D5F" w:rsidP="00F85D5F">
      <w:pPr>
        <w:pStyle w:val="Prrafodelista"/>
        <w:tabs>
          <w:tab w:val="left" w:pos="142"/>
        </w:tabs>
        <w:ind w:left="0"/>
        <w:rPr>
          <w:sz w:val="20"/>
          <w:szCs w:val="20"/>
        </w:rPr>
      </w:pPr>
    </w:p>
    <w:p w14:paraId="587C8393" w14:textId="71CAF19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State</w:t>
      </w:r>
      <w:r w:rsidRPr="00C837DD">
        <w:rPr>
          <w:b/>
          <w:i/>
          <w:sz w:val="20"/>
          <w:szCs w:val="20"/>
        </w:rPr>
        <w:t xml:space="preserve"> </w:t>
      </w:r>
      <w:r w:rsidR="007F70D1" w:rsidRPr="00C837DD">
        <w:rPr>
          <w:sz w:val="20"/>
          <w:szCs w:val="20"/>
        </w:rPr>
        <w:t>a</w:t>
      </w:r>
      <w:r w:rsidR="005B3A49" w:rsidRPr="00C837DD">
        <w:rPr>
          <w:sz w:val="20"/>
          <w:szCs w:val="20"/>
        </w:rPr>
        <w:t xml:space="preserve">ffirmed </w:t>
      </w:r>
      <w:r w:rsidRPr="00C837DD">
        <w:rPr>
          <w:sz w:val="20"/>
          <w:szCs w:val="20"/>
        </w:rPr>
        <w:t xml:space="preserve">that </w:t>
      </w:r>
      <w:r w:rsidR="007F70D1" w:rsidRPr="00C837DD">
        <w:rPr>
          <w:sz w:val="20"/>
          <w:szCs w:val="20"/>
        </w:rPr>
        <w:t xml:space="preserve">it </w:t>
      </w:r>
      <w:r w:rsidRPr="00C837DD">
        <w:rPr>
          <w:sz w:val="20"/>
          <w:szCs w:val="20"/>
        </w:rPr>
        <w:t xml:space="preserve">acted diligently in the </w:t>
      </w:r>
      <w:r w:rsidR="007F70D1" w:rsidRPr="00C837DD">
        <w:rPr>
          <w:sz w:val="20"/>
          <w:szCs w:val="20"/>
        </w:rPr>
        <w:t xml:space="preserve">instant </w:t>
      </w:r>
      <w:r w:rsidRPr="00C837DD">
        <w:rPr>
          <w:sz w:val="20"/>
          <w:szCs w:val="20"/>
        </w:rPr>
        <w:t xml:space="preserve">case, </w:t>
      </w:r>
      <w:r w:rsidR="005B3A49" w:rsidRPr="00C837DD">
        <w:rPr>
          <w:sz w:val="20"/>
          <w:szCs w:val="20"/>
        </w:rPr>
        <w:t xml:space="preserve">inasmuch as </w:t>
      </w:r>
      <w:r w:rsidR="001E6F9F" w:rsidRPr="00C837DD">
        <w:rPr>
          <w:sz w:val="20"/>
          <w:szCs w:val="20"/>
        </w:rPr>
        <w:t xml:space="preserve">it conducted </w:t>
      </w:r>
      <w:r w:rsidRPr="00C837DD">
        <w:rPr>
          <w:sz w:val="20"/>
          <w:szCs w:val="20"/>
        </w:rPr>
        <w:t xml:space="preserve">the pertinent investigations, which even resulted in the conviction of the person responsible for the death of </w:t>
      </w:r>
      <w:r w:rsidR="00B8009F" w:rsidRPr="00C837DD">
        <w:rPr>
          <w:sz w:val="20"/>
          <w:szCs w:val="20"/>
        </w:rPr>
        <w:t>Márcia</w:t>
      </w:r>
      <w:r w:rsidRPr="00C837DD">
        <w:rPr>
          <w:sz w:val="20"/>
          <w:szCs w:val="20"/>
        </w:rPr>
        <w:t xml:space="preserve"> Barbosa de Souza. As for the suspects who have not been </w:t>
      </w:r>
      <w:r w:rsidR="007F70D1" w:rsidRPr="00C837DD">
        <w:rPr>
          <w:sz w:val="20"/>
          <w:szCs w:val="20"/>
        </w:rPr>
        <w:t>prosecuted</w:t>
      </w:r>
      <w:r w:rsidRPr="00C837DD">
        <w:rPr>
          <w:sz w:val="20"/>
          <w:szCs w:val="20"/>
        </w:rPr>
        <w:t>, i</w:t>
      </w:r>
      <w:r w:rsidR="007F70D1" w:rsidRPr="00C837DD">
        <w:rPr>
          <w:sz w:val="20"/>
          <w:szCs w:val="20"/>
        </w:rPr>
        <w:t>t i</w:t>
      </w:r>
      <w:r w:rsidRPr="00C837DD">
        <w:rPr>
          <w:sz w:val="20"/>
          <w:szCs w:val="20"/>
        </w:rPr>
        <w:t>ndicated that the proce</w:t>
      </w:r>
      <w:r w:rsidR="007F70D1" w:rsidRPr="00C837DD">
        <w:rPr>
          <w:sz w:val="20"/>
          <w:szCs w:val="20"/>
        </w:rPr>
        <w:t xml:space="preserve">edings were not initiated </w:t>
      </w:r>
      <w:r w:rsidRPr="00C837DD">
        <w:rPr>
          <w:sz w:val="20"/>
          <w:szCs w:val="20"/>
        </w:rPr>
        <w:t xml:space="preserve">due to </w:t>
      </w:r>
      <w:r w:rsidR="007F70D1" w:rsidRPr="00C837DD">
        <w:rPr>
          <w:sz w:val="20"/>
          <w:szCs w:val="20"/>
        </w:rPr>
        <w:t xml:space="preserve">a </w:t>
      </w:r>
      <w:r w:rsidRPr="00C837DD">
        <w:rPr>
          <w:sz w:val="20"/>
          <w:szCs w:val="20"/>
        </w:rPr>
        <w:t xml:space="preserve">lack of sufficient evidence </w:t>
      </w:r>
      <w:r w:rsidR="005B3A49" w:rsidRPr="00C837DD">
        <w:rPr>
          <w:sz w:val="20"/>
          <w:szCs w:val="20"/>
        </w:rPr>
        <w:t xml:space="preserve">for the Public Prosecutor's Office </w:t>
      </w:r>
      <w:r w:rsidRPr="00C837DD">
        <w:rPr>
          <w:sz w:val="20"/>
          <w:szCs w:val="20"/>
        </w:rPr>
        <w:t xml:space="preserve">to file a complaint. </w:t>
      </w:r>
      <w:r w:rsidR="006A1612">
        <w:rPr>
          <w:sz w:val="20"/>
          <w:szCs w:val="20"/>
        </w:rPr>
        <w:t>I</w:t>
      </w:r>
      <w:r w:rsidR="007F70D1" w:rsidRPr="00C837DD">
        <w:rPr>
          <w:sz w:val="20"/>
          <w:szCs w:val="20"/>
        </w:rPr>
        <w:t xml:space="preserve">t </w:t>
      </w:r>
      <w:r w:rsidR="006A1612">
        <w:rPr>
          <w:sz w:val="20"/>
          <w:szCs w:val="20"/>
        </w:rPr>
        <w:t xml:space="preserve">further </w:t>
      </w:r>
      <w:r w:rsidRPr="00C837DD">
        <w:rPr>
          <w:sz w:val="20"/>
          <w:szCs w:val="20"/>
        </w:rPr>
        <w:t xml:space="preserve">argued that, </w:t>
      </w:r>
      <w:r w:rsidR="005B3A49" w:rsidRPr="00C837DD">
        <w:rPr>
          <w:sz w:val="20"/>
          <w:szCs w:val="20"/>
        </w:rPr>
        <w:t xml:space="preserve">even if the Court considers it pertinent to analyze such domestic proceedings, </w:t>
      </w:r>
      <w:r w:rsidR="007F70D1" w:rsidRPr="00C837DD">
        <w:rPr>
          <w:sz w:val="20"/>
          <w:szCs w:val="20"/>
        </w:rPr>
        <w:t xml:space="preserve">it would not be </w:t>
      </w:r>
      <w:r w:rsidRPr="00C837DD">
        <w:rPr>
          <w:sz w:val="20"/>
          <w:szCs w:val="20"/>
        </w:rPr>
        <w:t xml:space="preserve">possible to determine that the State </w:t>
      </w:r>
      <w:r w:rsidR="00F312EE" w:rsidRPr="00C837DD">
        <w:rPr>
          <w:sz w:val="20"/>
          <w:szCs w:val="20"/>
        </w:rPr>
        <w:t xml:space="preserve">cannot invoke </w:t>
      </w:r>
      <w:r w:rsidRPr="00C837DD">
        <w:rPr>
          <w:sz w:val="20"/>
          <w:szCs w:val="20"/>
        </w:rPr>
        <w:t xml:space="preserve">the guarantee of </w:t>
      </w:r>
      <w:r w:rsidRPr="00C837DD">
        <w:rPr>
          <w:i/>
          <w:sz w:val="20"/>
          <w:szCs w:val="20"/>
        </w:rPr>
        <w:t>ne bis in idem</w:t>
      </w:r>
      <w:r w:rsidRPr="00C837DD">
        <w:rPr>
          <w:sz w:val="20"/>
          <w:szCs w:val="20"/>
        </w:rPr>
        <w:t xml:space="preserve"> </w:t>
      </w:r>
      <w:r w:rsidR="00F312EE" w:rsidRPr="00C837DD">
        <w:rPr>
          <w:sz w:val="20"/>
          <w:szCs w:val="20"/>
        </w:rPr>
        <w:t xml:space="preserve">because </w:t>
      </w:r>
      <w:r w:rsidRPr="00C837DD">
        <w:rPr>
          <w:sz w:val="20"/>
          <w:szCs w:val="20"/>
        </w:rPr>
        <w:t>the case does not concern serious human rights violations, such as torture or homicide</w:t>
      </w:r>
      <w:r w:rsidR="00F312EE" w:rsidRPr="00C837DD">
        <w:rPr>
          <w:sz w:val="20"/>
          <w:szCs w:val="20"/>
        </w:rPr>
        <w:t>s</w:t>
      </w:r>
      <w:r w:rsidRPr="00C837DD">
        <w:rPr>
          <w:sz w:val="20"/>
          <w:szCs w:val="20"/>
        </w:rPr>
        <w:t xml:space="preserve"> committed in contexts of massive or systematic human rights violations. </w:t>
      </w:r>
    </w:p>
    <w:p w14:paraId="3BD08F8B" w14:textId="77777777" w:rsidR="00F85D5F" w:rsidRPr="00C837DD" w:rsidRDefault="00F85D5F" w:rsidP="00F85D5F">
      <w:pPr>
        <w:pStyle w:val="Prrafodelista"/>
        <w:tabs>
          <w:tab w:val="left" w:pos="142"/>
        </w:tabs>
        <w:ind w:left="0"/>
        <w:rPr>
          <w:sz w:val="20"/>
          <w:szCs w:val="20"/>
        </w:rPr>
      </w:pPr>
    </w:p>
    <w:p w14:paraId="4B1FABF9" w14:textId="32F82170"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Court</w:t>
      </w:r>
      <w:r w:rsidRPr="00C837DD">
        <w:rPr>
          <w:sz w:val="20"/>
          <w:szCs w:val="20"/>
        </w:rPr>
        <w:t xml:space="preserve"> considers that the State is obliged to combat impunity by all available</w:t>
      </w:r>
      <w:r w:rsidR="00F312EE" w:rsidRPr="00C837DD">
        <w:rPr>
          <w:sz w:val="20"/>
          <w:szCs w:val="20"/>
        </w:rPr>
        <w:t xml:space="preserve"> means</w:t>
      </w:r>
      <w:r w:rsidRPr="00C837DD">
        <w:rPr>
          <w:sz w:val="20"/>
          <w:szCs w:val="20"/>
        </w:rPr>
        <w:t xml:space="preserve">, </w:t>
      </w:r>
      <w:r w:rsidRPr="00C837DD">
        <w:rPr>
          <w:sz w:val="20"/>
          <w:szCs w:val="20"/>
        </w:rPr>
        <w:lastRenderedPageBreak/>
        <w:t xml:space="preserve">since </w:t>
      </w:r>
      <w:r w:rsidR="00847645" w:rsidRPr="00C837DD">
        <w:rPr>
          <w:sz w:val="20"/>
          <w:szCs w:val="20"/>
        </w:rPr>
        <w:t>it</w:t>
      </w:r>
      <w:r w:rsidRPr="00C837DD">
        <w:rPr>
          <w:sz w:val="20"/>
          <w:szCs w:val="20"/>
        </w:rPr>
        <w:t xml:space="preserve"> </w:t>
      </w:r>
      <w:r w:rsidR="00847645" w:rsidRPr="00C837DD">
        <w:rPr>
          <w:sz w:val="20"/>
          <w:szCs w:val="20"/>
        </w:rPr>
        <w:t xml:space="preserve">fosters </w:t>
      </w:r>
      <w:r w:rsidRPr="00C837DD">
        <w:rPr>
          <w:sz w:val="20"/>
          <w:szCs w:val="20"/>
        </w:rPr>
        <w:t>the chronic repetition of human rights violations.</w:t>
      </w:r>
      <w:r w:rsidRPr="00C837DD">
        <w:rPr>
          <w:sz w:val="20"/>
          <w:szCs w:val="20"/>
          <w:vertAlign w:val="superscript"/>
        </w:rPr>
        <w:footnoteReference w:id="279"/>
      </w:r>
      <w:r w:rsidRPr="00C837DD">
        <w:rPr>
          <w:sz w:val="20"/>
          <w:szCs w:val="20"/>
        </w:rPr>
        <w:t xml:space="preserve"> The absence of a complete and effective investigation of the facts constitutes a</w:t>
      </w:r>
      <w:r w:rsidR="00847645" w:rsidRPr="00C837DD">
        <w:rPr>
          <w:sz w:val="20"/>
          <w:szCs w:val="20"/>
        </w:rPr>
        <w:t xml:space="preserve"> source of </w:t>
      </w:r>
      <w:r w:rsidRPr="00C837DD">
        <w:rPr>
          <w:sz w:val="20"/>
          <w:szCs w:val="20"/>
        </w:rPr>
        <w:t>additional suffering and anguish for the victims, who have the right to know the truth of what happened.</w:t>
      </w:r>
      <w:r w:rsidRPr="00C837DD">
        <w:rPr>
          <w:sz w:val="20"/>
          <w:szCs w:val="20"/>
          <w:vertAlign w:val="superscript"/>
        </w:rPr>
        <w:footnoteReference w:id="280"/>
      </w:r>
    </w:p>
    <w:p w14:paraId="19155F8D" w14:textId="77777777" w:rsidR="00F85D5F" w:rsidRPr="00C837DD" w:rsidRDefault="00F85D5F" w:rsidP="00F85D5F">
      <w:pPr>
        <w:tabs>
          <w:tab w:val="left" w:pos="142"/>
        </w:tabs>
        <w:jc w:val="both"/>
        <w:rPr>
          <w:sz w:val="20"/>
          <w:szCs w:val="20"/>
        </w:rPr>
      </w:pPr>
    </w:p>
    <w:p w14:paraId="63FF73DF" w14:textId="1F119ED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 Court recalls that in Chapter VIII-1 it declared that the inv</w:t>
      </w:r>
      <w:r w:rsidR="001A2A97" w:rsidRPr="00C837DD">
        <w:rPr>
          <w:sz w:val="20"/>
          <w:szCs w:val="20"/>
        </w:rPr>
        <w:t>estigation</w:t>
      </w:r>
      <w:r w:rsidR="00847645" w:rsidRPr="00C837DD">
        <w:rPr>
          <w:sz w:val="20"/>
          <w:szCs w:val="20"/>
        </w:rPr>
        <w:t>s</w:t>
      </w:r>
      <w:r w:rsidR="001A2A97" w:rsidRPr="00C837DD">
        <w:rPr>
          <w:sz w:val="20"/>
          <w:szCs w:val="20"/>
        </w:rPr>
        <w:t xml:space="preserve"> </w:t>
      </w:r>
      <w:r w:rsidR="00847645" w:rsidRPr="00C837DD">
        <w:rPr>
          <w:sz w:val="20"/>
          <w:szCs w:val="20"/>
        </w:rPr>
        <w:t xml:space="preserve">carried out into the </w:t>
      </w:r>
      <w:r w:rsidR="001A2A97" w:rsidRPr="00C837DD">
        <w:rPr>
          <w:sz w:val="20"/>
          <w:szCs w:val="20"/>
        </w:rPr>
        <w:t xml:space="preserve">murder </w:t>
      </w:r>
      <w:r w:rsidRPr="00C837DD">
        <w:rPr>
          <w:sz w:val="20"/>
          <w:szCs w:val="20"/>
        </w:rPr>
        <w:t xml:space="preserve">of </w:t>
      </w:r>
      <w:r w:rsidR="00B8009F" w:rsidRPr="00C837DD">
        <w:rPr>
          <w:sz w:val="20"/>
          <w:szCs w:val="20"/>
        </w:rPr>
        <w:t>Márcia</w:t>
      </w:r>
      <w:r w:rsidRPr="00C837DD">
        <w:rPr>
          <w:sz w:val="20"/>
          <w:szCs w:val="20"/>
        </w:rPr>
        <w:t xml:space="preserve"> Barbosa de Souza in June 1998, rela</w:t>
      </w:r>
      <w:r w:rsidR="001E6F9F" w:rsidRPr="00C837DD">
        <w:rPr>
          <w:sz w:val="20"/>
          <w:szCs w:val="20"/>
        </w:rPr>
        <w:t xml:space="preserve">ted to </w:t>
      </w:r>
      <w:r w:rsidRPr="00C837DD">
        <w:rPr>
          <w:sz w:val="20"/>
          <w:szCs w:val="20"/>
        </w:rPr>
        <w:t xml:space="preserve">the </w:t>
      </w:r>
      <w:r w:rsidR="00847645" w:rsidRPr="00C837DD">
        <w:rPr>
          <w:sz w:val="20"/>
          <w:szCs w:val="20"/>
        </w:rPr>
        <w:t xml:space="preserve">possible </w:t>
      </w:r>
      <w:r w:rsidRPr="00C837DD">
        <w:rPr>
          <w:sz w:val="20"/>
          <w:szCs w:val="20"/>
        </w:rPr>
        <w:t xml:space="preserve">participation of four other persons, </w:t>
      </w:r>
      <w:r w:rsidR="00847645" w:rsidRPr="00C837DD">
        <w:rPr>
          <w:sz w:val="20"/>
          <w:szCs w:val="20"/>
        </w:rPr>
        <w:t xml:space="preserve">did not comply with the minimum standards of due diligence by virtue of the failure to carry out a series of essential investigative procedures </w:t>
      </w:r>
      <w:r w:rsidRPr="00C837DD">
        <w:rPr>
          <w:sz w:val="20"/>
          <w:szCs w:val="20"/>
        </w:rPr>
        <w:t xml:space="preserve">requested by the </w:t>
      </w:r>
      <w:r w:rsidR="004E3A99" w:rsidRPr="00C837DD">
        <w:rPr>
          <w:sz w:val="20"/>
          <w:szCs w:val="20"/>
        </w:rPr>
        <w:t>Public Prosecutor’s Office</w:t>
      </w:r>
      <w:r w:rsidRPr="00C837DD">
        <w:rPr>
          <w:sz w:val="20"/>
          <w:szCs w:val="20"/>
        </w:rPr>
        <w:t xml:space="preserve"> (</w:t>
      </w:r>
      <w:r w:rsidRPr="00C837DD">
        <w:rPr>
          <w:i/>
          <w:sz w:val="20"/>
          <w:szCs w:val="20"/>
        </w:rPr>
        <w:t xml:space="preserve">supra </w:t>
      </w:r>
      <w:r w:rsidRPr="00C837DD">
        <w:rPr>
          <w:sz w:val="20"/>
          <w:szCs w:val="20"/>
        </w:rPr>
        <w:t>paras. 132 and 133) a</w:t>
      </w:r>
      <w:r w:rsidR="00F1104B">
        <w:rPr>
          <w:sz w:val="20"/>
          <w:szCs w:val="20"/>
        </w:rPr>
        <w:t xml:space="preserve">s well as </w:t>
      </w:r>
      <w:r w:rsidRPr="00C837DD">
        <w:rPr>
          <w:sz w:val="20"/>
          <w:szCs w:val="20"/>
        </w:rPr>
        <w:t>other</w:t>
      </w:r>
      <w:r w:rsidR="00F1104B">
        <w:rPr>
          <w:sz w:val="20"/>
          <w:szCs w:val="20"/>
        </w:rPr>
        <w:t xml:space="preserve"> action</w:t>
      </w:r>
      <w:r w:rsidR="001579BD" w:rsidRPr="00C837DD">
        <w:rPr>
          <w:sz w:val="20"/>
          <w:szCs w:val="20"/>
        </w:rPr>
        <w:t>s</w:t>
      </w:r>
      <w:r w:rsidRPr="00C837DD">
        <w:rPr>
          <w:sz w:val="20"/>
          <w:szCs w:val="20"/>
        </w:rPr>
        <w:t xml:space="preserve"> </w:t>
      </w:r>
      <w:r w:rsidR="001579BD" w:rsidRPr="00C837DD">
        <w:rPr>
          <w:sz w:val="20"/>
          <w:szCs w:val="20"/>
        </w:rPr>
        <w:t>that should have been carried out in order to establish whether the homicide of Mrs. Barbosa de Souza had been committed because of her gender.</w:t>
      </w:r>
      <w:r w:rsidRPr="00C837DD">
        <w:rPr>
          <w:sz w:val="20"/>
          <w:szCs w:val="20"/>
        </w:rPr>
        <w:t xml:space="preserve"> </w:t>
      </w:r>
      <w:r w:rsidR="001579BD" w:rsidRPr="00C837DD">
        <w:rPr>
          <w:sz w:val="20"/>
          <w:szCs w:val="20"/>
        </w:rPr>
        <w:t xml:space="preserve">In addition, it was determined that the investigations were permeated by gender stereotypes, which not only revictimized Márcia Barbosa de Souza's next of kin, but also </w:t>
      </w:r>
      <w:r w:rsidR="00A9777F">
        <w:rPr>
          <w:sz w:val="20"/>
          <w:szCs w:val="20"/>
        </w:rPr>
        <w:t xml:space="preserve">reflected </w:t>
      </w:r>
      <w:r w:rsidR="001579BD" w:rsidRPr="00C837DD">
        <w:rPr>
          <w:sz w:val="20"/>
          <w:szCs w:val="20"/>
        </w:rPr>
        <w:t>the absence of a gender perspective in the investigation</w:t>
      </w:r>
      <w:r w:rsidRPr="00C837DD">
        <w:rPr>
          <w:sz w:val="20"/>
          <w:szCs w:val="20"/>
        </w:rPr>
        <w:t xml:space="preserve">. </w:t>
      </w:r>
    </w:p>
    <w:p w14:paraId="5A0D0F12" w14:textId="77777777" w:rsidR="00F85D5F" w:rsidRPr="00C837DD" w:rsidRDefault="00F85D5F" w:rsidP="00F85D5F">
      <w:pPr>
        <w:rPr>
          <w:sz w:val="20"/>
          <w:szCs w:val="20"/>
        </w:rPr>
      </w:pPr>
    </w:p>
    <w:p w14:paraId="4208164E" w14:textId="5DEFF70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 Court considers that a</w:t>
      </w:r>
      <w:r w:rsidR="004725FC" w:rsidRPr="00C837DD">
        <w:rPr>
          <w:sz w:val="20"/>
          <w:szCs w:val="20"/>
        </w:rPr>
        <w:t xml:space="preserve"> possible </w:t>
      </w:r>
      <w:r w:rsidRPr="00C837DD">
        <w:rPr>
          <w:sz w:val="20"/>
          <w:szCs w:val="20"/>
        </w:rPr>
        <w:t>reopening of the investigations into the four possible part</w:t>
      </w:r>
      <w:r w:rsidR="004725FC" w:rsidRPr="00C837DD">
        <w:rPr>
          <w:sz w:val="20"/>
          <w:szCs w:val="20"/>
        </w:rPr>
        <w:t xml:space="preserve">icipants </w:t>
      </w:r>
      <w:r w:rsidRPr="00C837DD">
        <w:rPr>
          <w:sz w:val="20"/>
          <w:szCs w:val="20"/>
        </w:rPr>
        <w:t xml:space="preserve">in the homicide of </w:t>
      </w:r>
      <w:r w:rsidR="00B8009F" w:rsidRPr="00C837DD">
        <w:rPr>
          <w:sz w:val="20"/>
          <w:szCs w:val="20"/>
        </w:rPr>
        <w:t>Márcia</w:t>
      </w:r>
      <w:r w:rsidRPr="00C837DD">
        <w:rPr>
          <w:sz w:val="20"/>
          <w:szCs w:val="20"/>
        </w:rPr>
        <w:t xml:space="preserve"> Barbosa </w:t>
      </w:r>
      <w:r w:rsidR="001E6F9F" w:rsidRPr="00C837DD">
        <w:rPr>
          <w:sz w:val="20"/>
          <w:szCs w:val="20"/>
        </w:rPr>
        <w:t xml:space="preserve">is not </w:t>
      </w:r>
      <w:r w:rsidR="004725FC" w:rsidRPr="00C837DD">
        <w:rPr>
          <w:sz w:val="20"/>
          <w:szCs w:val="20"/>
        </w:rPr>
        <w:t>appropriate</w:t>
      </w:r>
      <w:r w:rsidRPr="00C837DD">
        <w:rPr>
          <w:sz w:val="20"/>
          <w:szCs w:val="20"/>
        </w:rPr>
        <w:t xml:space="preserve">. </w:t>
      </w:r>
      <w:r w:rsidR="001E6F9F" w:rsidRPr="00C837DD">
        <w:rPr>
          <w:sz w:val="20"/>
          <w:szCs w:val="20"/>
        </w:rPr>
        <w:t>N</w:t>
      </w:r>
      <w:r w:rsidR="004725FC" w:rsidRPr="00C837DD">
        <w:rPr>
          <w:sz w:val="20"/>
          <w:szCs w:val="20"/>
        </w:rPr>
        <w:t xml:space="preserve">evertheless, </w:t>
      </w:r>
      <w:r w:rsidRPr="00C837DD">
        <w:rPr>
          <w:sz w:val="20"/>
          <w:szCs w:val="20"/>
        </w:rPr>
        <w:t xml:space="preserve">the suffering </w:t>
      </w:r>
      <w:r w:rsidR="004725FC" w:rsidRPr="00C837DD">
        <w:rPr>
          <w:sz w:val="20"/>
          <w:szCs w:val="20"/>
        </w:rPr>
        <w:t xml:space="preserve">caused </w:t>
      </w:r>
      <w:r w:rsidRPr="00C837DD">
        <w:rPr>
          <w:sz w:val="20"/>
          <w:szCs w:val="20"/>
        </w:rPr>
        <w:t xml:space="preserve">by the impunity </w:t>
      </w:r>
      <w:r w:rsidR="004725FC" w:rsidRPr="00C837DD">
        <w:rPr>
          <w:sz w:val="20"/>
          <w:szCs w:val="20"/>
        </w:rPr>
        <w:t xml:space="preserve">resulting from </w:t>
      </w:r>
      <w:r w:rsidRPr="00C837DD">
        <w:rPr>
          <w:sz w:val="20"/>
          <w:szCs w:val="20"/>
        </w:rPr>
        <w:t xml:space="preserve">the flagrant lack of due diligence in conducting </w:t>
      </w:r>
      <w:r w:rsidR="004725FC" w:rsidRPr="00C837DD">
        <w:rPr>
          <w:sz w:val="20"/>
          <w:szCs w:val="20"/>
        </w:rPr>
        <w:t xml:space="preserve">essential </w:t>
      </w:r>
      <w:r w:rsidRPr="00C837DD">
        <w:rPr>
          <w:sz w:val="20"/>
          <w:szCs w:val="20"/>
        </w:rPr>
        <w:t>investigati</w:t>
      </w:r>
      <w:r w:rsidR="004725FC" w:rsidRPr="00C837DD">
        <w:rPr>
          <w:sz w:val="20"/>
          <w:szCs w:val="20"/>
        </w:rPr>
        <w:t xml:space="preserve">ve actions </w:t>
      </w:r>
      <w:r w:rsidRPr="00C837DD">
        <w:rPr>
          <w:sz w:val="20"/>
          <w:szCs w:val="20"/>
        </w:rPr>
        <w:t>to ascertain the possible participation of other persons in the serious crime in question, as well as the particular</w:t>
      </w:r>
      <w:r w:rsidR="006A454C" w:rsidRPr="00C837DD">
        <w:rPr>
          <w:sz w:val="20"/>
          <w:szCs w:val="20"/>
        </w:rPr>
        <w:t>ly</w:t>
      </w:r>
      <w:r w:rsidRPr="00C837DD">
        <w:rPr>
          <w:sz w:val="20"/>
          <w:szCs w:val="20"/>
        </w:rPr>
        <w:t xml:space="preserve"> negative effect of the prolonged impunity on persons in a situation of </w:t>
      </w:r>
      <w:r w:rsidR="006A454C" w:rsidRPr="00C837DD">
        <w:rPr>
          <w:sz w:val="20"/>
          <w:szCs w:val="20"/>
        </w:rPr>
        <w:t xml:space="preserve">great </w:t>
      </w:r>
      <w:r w:rsidR="001A2A97" w:rsidRPr="00C837DD">
        <w:rPr>
          <w:sz w:val="20"/>
          <w:szCs w:val="20"/>
        </w:rPr>
        <w:t xml:space="preserve">vulnerability, such as </w:t>
      </w:r>
      <w:r w:rsidR="00B8009F" w:rsidRPr="00C837DD">
        <w:rPr>
          <w:sz w:val="20"/>
          <w:szCs w:val="20"/>
        </w:rPr>
        <w:t>Márcia</w:t>
      </w:r>
      <w:r w:rsidR="001A2A97" w:rsidRPr="00C837DD">
        <w:rPr>
          <w:sz w:val="20"/>
          <w:szCs w:val="20"/>
        </w:rPr>
        <w:t>’</w:t>
      </w:r>
      <w:r w:rsidRPr="00C837DD">
        <w:rPr>
          <w:sz w:val="20"/>
          <w:szCs w:val="20"/>
        </w:rPr>
        <w:t>s mother, who is an elderly person,</w:t>
      </w:r>
      <w:r w:rsidRPr="00C837DD">
        <w:rPr>
          <w:rStyle w:val="Refdenotaalpie"/>
          <w:sz w:val="20"/>
          <w:szCs w:val="20"/>
        </w:rPr>
        <w:footnoteReference w:id="281"/>
      </w:r>
      <w:r w:rsidRPr="00C837DD">
        <w:rPr>
          <w:sz w:val="20"/>
          <w:szCs w:val="20"/>
        </w:rPr>
        <w:t xml:space="preserve"> will be duly considered in the section on compensation.</w:t>
      </w:r>
    </w:p>
    <w:p w14:paraId="4B4C9656" w14:textId="77777777" w:rsidR="00F85D5F" w:rsidRPr="00C837DD" w:rsidRDefault="00F85D5F" w:rsidP="00F85D5F">
      <w:pPr>
        <w:pStyle w:val="Prrafodelista"/>
        <w:tabs>
          <w:tab w:val="left" w:pos="142"/>
        </w:tabs>
        <w:ind w:left="0"/>
        <w:rPr>
          <w:sz w:val="20"/>
          <w:szCs w:val="20"/>
        </w:rPr>
      </w:pPr>
    </w:p>
    <w:p w14:paraId="54303F93" w14:textId="77777777" w:rsidR="00F85D5F" w:rsidRPr="00C837DD" w:rsidRDefault="00F85D5F" w:rsidP="00F85D5F">
      <w:pPr>
        <w:pStyle w:val="Ttulo2"/>
        <w:numPr>
          <w:ilvl w:val="1"/>
          <w:numId w:val="9"/>
        </w:numPr>
        <w:ind w:left="1134" w:hanging="567"/>
        <w:rPr>
          <w:lang w:val="en-US"/>
        </w:rPr>
      </w:pPr>
      <w:bookmarkStart w:id="97" w:name="C._Medidas_de_satisfacción"/>
      <w:bookmarkStart w:id="98" w:name="_bookmark192"/>
      <w:bookmarkStart w:id="99" w:name="_Toc85001900"/>
      <w:bookmarkEnd w:id="97"/>
      <w:bookmarkEnd w:id="98"/>
      <w:r w:rsidRPr="00C837DD">
        <w:rPr>
          <w:lang w:val="en-US"/>
        </w:rPr>
        <w:t>Measures of satisfaction</w:t>
      </w:r>
      <w:bookmarkEnd w:id="99"/>
    </w:p>
    <w:p w14:paraId="5A03DE8A" w14:textId="77777777" w:rsidR="00F85D5F" w:rsidRPr="00C837DD" w:rsidRDefault="00F85D5F" w:rsidP="00F85D5F">
      <w:pPr>
        <w:pStyle w:val="Textoindependiente"/>
        <w:tabs>
          <w:tab w:val="left" w:pos="142"/>
        </w:tabs>
      </w:pPr>
    </w:p>
    <w:p w14:paraId="1D78972E" w14:textId="5402883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representatives</w:t>
      </w:r>
      <w:r w:rsidRPr="00C837DD">
        <w:rPr>
          <w:b/>
          <w:i/>
          <w:sz w:val="20"/>
          <w:szCs w:val="20"/>
        </w:rPr>
        <w:t xml:space="preserve"> </w:t>
      </w:r>
      <w:r w:rsidRPr="00C837DD">
        <w:rPr>
          <w:sz w:val="20"/>
          <w:szCs w:val="20"/>
        </w:rPr>
        <w:t xml:space="preserve">requested that the Court order the State to publish the official summary of the judgment in two newspapers with widespread circulation and </w:t>
      </w:r>
      <w:r w:rsidR="006A454C" w:rsidRPr="00C837DD">
        <w:rPr>
          <w:sz w:val="20"/>
          <w:szCs w:val="20"/>
        </w:rPr>
        <w:t xml:space="preserve">to </w:t>
      </w:r>
      <w:r w:rsidRPr="00C837DD">
        <w:rPr>
          <w:sz w:val="20"/>
          <w:szCs w:val="20"/>
        </w:rPr>
        <w:t>publish the judgment in its entirety for a minimum period of one year on the main web sites of the Ministry of Foreign Relations, the Legislative Assembly of the state of Paraíba and the Judiciary. They also requested</w:t>
      </w:r>
      <w:r w:rsidR="001E6F9F" w:rsidRPr="00C837DD">
        <w:rPr>
          <w:sz w:val="20"/>
          <w:szCs w:val="20"/>
        </w:rPr>
        <w:t xml:space="preserve"> </w:t>
      </w:r>
      <w:r w:rsidRPr="00C837DD">
        <w:rPr>
          <w:sz w:val="20"/>
          <w:szCs w:val="20"/>
        </w:rPr>
        <w:t xml:space="preserve">that the Court order the State to: “hold an act of acknowledgement of responsibility, </w:t>
      </w:r>
      <w:r w:rsidR="001E6F9F" w:rsidRPr="00C837DD">
        <w:rPr>
          <w:sz w:val="20"/>
          <w:szCs w:val="20"/>
        </w:rPr>
        <w:t xml:space="preserve">the </w:t>
      </w:r>
      <w:r w:rsidRPr="00C837DD">
        <w:rPr>
          <w:sz w:val="20"/>
          <w:szCs w:val="20"/>
        </w:rPr>
        <w:t xml:space="preserve">terms </w:t>
      </w:r>
      <w:r w:rsidR="001E6F9F" w:rsidRPr="00C837DD">
        <w:rPr>
          <w:sz w:val="20"/>
          <w:szCs w:val="20"/>
        </w:rPr>
        <w:t xml:space="preserve">of which should be agreed </w:t>
      </w:r>
      <w:r w:rsidRPr="00C837DD">
        <w:rPr>
          <w:sz w:val="20"/>
          <w:szCs w:val="20"/>
        </w:rPr>
        <w:t>with the victims and their representatives”</w:t>
      </w:r>
      <w:r w:rsidR="0081113A" w:rsidRPr="00C837DD">
        <w:rPr>
          <w:sz w:val="20"/>
          <w:szCs w:val="20"/>
        </w:rPr>
        <w:t xml:space="preserve">; </w:t>
      </w:r>
      <w:r w:rsidRPr="00C837DD">
        <w:rPr>
          <w:sz w:val="20"/>
          <w:szCs w:val="20"/>
        </w:rPr>
        <w:t>that “th</w:t>
      </w:r>
      <w:r w:rsidR="0081113A" w:rsidRPr="00C837DD">
        <w:rPr>
          <w:sz w:val="20"/>
          <w:szCs w:val="20"/>
        </w:rPr>
        <w:t>e</w:t>
      </w:r>
      <w:r w:rsidRPr="00C837DD">
        <w:rPr>
          <w:sz w:val="20"/>
          <w:szCs w:val="20"/>
        </w:rPr>
        <w:t xml:space="preserve"> act should take place respecting the family’s right to privacy” and</w:t>
      </w:r>
      <w:r w:rsidR="00F329A8" w:rsidRPr="00C837DD">
        <w:rPr>
          <w:sz w:val="20"/>
          <w:szCs w:val="20"/>
        </w:rPr>
        <w:t xml:space="preserve"> that </w:t>
      </w:r>
      <w:r w:rsidRPr="00C837DD">
        <w:rPr>
          <w:sz w:val="20"/>
          <w:szCs w:val="20"/>
        </w:rPr>
        <w:t>“</w:t>
      </w:r>
      <w:r w:rsidR="00F329A8" w:rsidRPr="00C837DD">
        <w:rPr>
          <w:sz w:val="20"/>
          <w:szCs w:val="20"/>
        </w:rPr>
        <w:t>in order to have real meaning for the victims, it is essential that said act includes an apology to the relatives of Márcia Barbosa, and in particular to her parents, for all the suffering caused by the multiple omissions and obstacles</w:t>
      </w:r>
      <w:r w:rsidRPr="00C837DD">
        <w:rPr>
          <w:sz w:val="20"/>
          <w:szCs w:val="20"/>
        </w:rPr>
        <w:t xml:space="preserve">.” </w:t>
      </w:r>
      <w:r w:rsidR="00F329A8" w:rsidRPr="00C837DD">
        <w:rPr>
          <w:sz w:val="20"/>
          <w:szCs w:val="20"/>
        </w:rPr>
        <w:t>Furthermore, they requested that the event be attended by at least one high-ranking authority from the Ministry of Foreign Affairs and the Legislative Assembly of the state of Paraíba, that it be held in the state of Paraíba and that the other details be organized, discussed and agreed upon in advance with the victims and their representatives.</w:t>
      </w:r>
    </w:p>
    <w:p w14:paraId="0E8ED08D" w14:textId="77777777" w:rsidR="00F329A8" w:rsidRPr="00C837DD" w:rsidRDefault="00F329A8" w:rsidP="00F329A8">
      <w:pPr>
        <w:pStyle w:val="Prrafodelista"/>
        <w:tabs>
          <w:tab w:val="left" w:pos="142"/>
        </w:tabs>
        <w:ind w:left="0"/>
        <w:rPr>
          <w:sz w:val="20"/>
          <w:szCs w:val="20"/>
        </w:rPr>
      </w:pPr>
    </w:p>
    <w:p w14:paraId="364C77FC" w14:textId="02C8FE3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State</w:t>
      </w:r>
      <w:r w:rsidRPr="00C837DD">
        <w:rPr>
          <w:sz w:val="20"/>
          <w:szCs w:val="20"/>
        </w:rPr>
        <w:t xml:space="preserve"> argued that, if the Court </w:t>
      </w:r>
      <w:r w:rsidR="001E6F9F" w:rsidRPr="00C837DD">
        <w:rPr>
          <w:sz w:val="20"/>
          <w:szCs w:val="20"/>
        </w:rPr>
        <w:t xml:space="preserve">finds </w:t>
      </w:r>
      <w:r w:rsidRPr="00C837DD">
        <w:rPr>
          <w:sz w:val="20"/>
          <w:szCs w:val="20"/>
        </w:rPr>
        <w:t xml:space="preserve">any violation of the American Convention, “the </w:t>
      </w:r>
      <w:r w:rsidR="0028245C" w:rsidRPr="00C837DD">
        <w:rPr>
          <w:sz w:val="20"/>
          <w:szCs w:val="20"/>
        </w:rPr>
        <w:t xml:space="preserve">requirement to publish the official summary of the judgment and its full text on an official Brazilian website, in the manner traditionally adopted by the Court, would already achieve the purpose pursued </w:t>
      </w:r>
      <w:r w:rsidRPr="00C837DD">
        <w:rPr>
          <w:sz w:val="20"/>
          <w:szCs w:val="20"/>
        </w:rPr>
        <w:t xml:space="preserve">by the representatives, </w:t>
      </w:r>
      <w:r w:rsidR="0028245C" w:rsidRPr="00C837DD">
        <w:rPr>
          <w:sz w:val="20"/>
          <w:szCs w:val="20"/>
        </w:rPr>
        <w:t xml:space="preserve">so that any other request by the representatives in terms of symbolic reparations would not only be unreasonable, but also costly from the point </w:t>
      </w:r>
      <w:r w:rsidR="0028245C" w:rsidRPr="00C837DD">
        <w:rPr>
          <w:sz w:val="20"/>
          <w:szCs w:val="20"/>
        </w:rPr>
        <w:lastRenderedPageBreak/>
        <w:t>of view of the public coffers</w:t>
      </w:r>
      <w:r w:rsidRPr="00C837DD">
        <w:rPr>
          <w:sz w:val="20"/>
          <w:szCs w:val="20"/>
        </w:rPr>
        <w:t xml:space="preserve">.” </w:t>
      </w:r>
    </w:p>
    <w:p w14:paraId="2EA3C1D5" w14:textId="77777777" w:rsidR="00F85D5F" w:rsidRPr="00C837DD" w:rsidRDefault="00F85D5F" w:rsidP="00F85D5F">
      <w:pPr>
        <w:pStyle w:val="Prrafodelista"/>
        <w:tabs>
          <w:tab w:val="left" w:pos="142"/>
        </w:tabs>
        <w:ind w:left="0"/>
        <w:rPr>
          <w:sz w:val="20"/>
          <w:szCs w:val="20"/>
        </w:rPr>
      </w:pPr>
    </w:p>
    <w:p w14:paraId="5B4FE690" w14:textId="7763CA0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As it has done in other cases,</w:t>
      </w:r>
      <w:r w:rsidRPr="00C837DD">
        <w:rPr>
          <w:rStyle w:val="Refdenotaalpie"/>
          <w:sz w:val="20"/>
          <w:szCs w:val="20"/>
        </w:rPr>
        <w:footnoteReference w:id="282"/>
      </w:r>
      <w:r w:rsidRPr="00C837DD">
        <w:rPr>
          <w:sz w:val="20"/>
          <w:szCs w:val="20"/>
        </w:rPr>
        <w:t xml:space="preserve"> the </w:t>
      </w:r>
      <w:r w:rsidRPr="00C837DD">
        <w:rPr>
          <w:b/>
          <w:bCs/>
          <w:i/>
          <w:iCs/>
          <w:sz w:val="20"/>
          <w:szCs w:val="20"/>
        </w:rPr>
        <w:t>Court</w:t>
      </w:r>
      <w:r w:rsidRPr="00C837DD">
        <w:rPr>
          <w:sz w:val="20"/>
          <w:szCs w:val="20"/>
        </w:rPr>
        <w:t xml:space="preserve"> orders the State to publish, within six months from notification of this </w:t>
      </w:r>
      <w:r w:rsidR="0028245C" w:rsidRPr="00C837DD">
        <w:rPr>
          <w:sz w:val="20"/>
          <w:szCs w:val="20"/>
        </w:rPr>
        <w:t>j</w:t>
      </w:r>
      <w:r w:rsidRPr="00C837DD">
        <w:rPr>
          <w:sz w:val="20"/>
          <w:szCs w:val="20"/>
        </w:rPr>
        <w:t>udgment: a) the official summary</w:t>
      </w:r>
      <w:r w:rsidRPr="00C837DD">
        <w:rPr>
          <w:spacing w:val="-10"/>
          <w:sz w:val="20"/>
          <w:szCs w:val="20"/>
        </w:rPr>
        <w:t xml:space="preserve"> </w:t>
      </w:r>
      <w:r w:rsidRPr="00C837DD">
        <w:rPr>
          <w:sz w:val="20"/>
          <w:szCs w:val="20"/>
        </w:rPr>
        <w:t>of this judgment prepared by the Court,</w:t>
      </w:r>
      <w:r w:rsidRPr="00C837DD">
        <w:rPr>
          <w:spacing w:val="-13"/>
          <w:sz w:val="20"/>
          <w:szCs w:val="20"/>
        </w:rPr>
        <w:t xml:space="preserve"> once</w:t>
      </w:r>
      <w:r w:rsidRPr="00C837DD">
        <w:rPr>
          <w:sz w:val="20"/>
          <w:szCs w:val="20"/>
        </w:rPr>
        <w:t>,</w:t>
      </w:r>
      <w:r w:rsidRPr="00C837DD">
        <w:rPr>
          <w:spacing w:val="-12"/>
          <w:sz w:val="20"/>
          <w:szCs w:val="20"/>
        </w:rPr>
        <w:t xml:space="preserve"> </w:t>
      </w:r>
      <w:r w:rsidRPr="00C837DD">
        <w:rPr>
          <w:sz w:val="20"/>
          <w:szCs w:val="20"/>
        </w:rPr>
        <w:t>in the Official Gazette, as well as on the web pages of the Legislative Assembly of the state of Paraíba and the Judicia</w:t>
      </w:r>
      <w:r w:rsidR="00F60BFA" w:rsidRPr="00C837DD">
        <w:rPr>
          <w:sz w:val="20"/>
          <w:szCs w:val="20"/>
        </w:rPr>
        <w:t>ry</w:t>
      </w:r>
      <w:r w:rsidRPr="00C837DD">
        <w:rPr>
          <w:sz w:val="20"/>
          <w:szCs w:val="20"/>
        </w:rPr>
        <w:t xml:space="preserve"> of Paraíba, and in a newspaper with widespread national circulation, in a legible font of appropriate size, and b) this judgment in its entirety, available for at least one year, on the official web site of the state</w:t>
      </w:r>
      <w:r w:rsidRPr="00C837DD">
        <w:rPr>
          <w:spacing w:val="-14"/>
          <w:sz w:val="20"/>
          <w:szCs w:val="20"/>
        </w:rPr>
        <w:t xml:space="preserve"> of </w:t>
      </w:r>
      <w:r w:rsidRPr="00C837DD">
        <w:rPr>
          <w:sz w:val="20"/>
          <w:szCs w:val="20"/>
        </w:rPr>
        <w:t>Paraíba</w:t>
      </w:r>
      <w:r w:rsidRPr="00C837DD">
        <w:rPr>
          <w:spacing w:val="-12"/>
          <w:sz w:val="20"/>
          <w:szCs w:val="20"/>
        </w:rPr>
        <w:t xml:space="preserve"> and of the </w:t>
      </w:r>
      <w:r w:rsidRPr="00C837DD">
        <w:rPr>
          <w:sz w:val="20"/>
          <w:szCs w:val="20"/>
        </w:rPr>
        <w:t>Federal Government, in a manner acce</w:t>
      </w:r>
      <w:r w:rsidR="001E6F9F" w:rsidRPr="00C837DD">
        <w:rPr>
          <w:sz w:val="20"/>
          <w:szCs w:val="20"/>
        </w:rPr>
        <w:t>ss</w:t>
      </w:r>
      <w:r w:rsidRPr="00C837DD">
        <w:rPr>
          <w:sz w:val="20"/>
          <w:szCs w:val="20"/>
        </w:rPr>
        <w:t>ible to the public from the home page of the w</w:t>
      </w:r>
      <w:r w:rsidR="001E6F9F" w:rsidRPr="00C837DD">
        <w:rPr>
          <w:sz w:val="20"/>
          <w:szCs w:val="20"/>
        </w:rPr>
        <w:t>e</w:t>
      </w:r>
      <w:r w:rsidRPr="00C837DD">
        <w:rPr>
          <w:sz w:val="20"/>
          <w:szCs w:val="20"/>
        </w:rPr>
        <w:t xml:space="preserve">b site. The State shall advise the Court immediately when it has made each of the publications ordered, </w:t>
      </w:r>
      <w:r w:rsidR="00F60BFA" w:rsidRPr="00C837DD">
        <w:rPr>
          <w:sz w:val="20"/>
          <w:szCs w:val="20"/>
        </w:rPr>
        <w:t xml:space="preserve">regardless </w:t>
      </w:r>
      <w:r w:rsidRPr="00C837DD">
        <w:rPr>
          <w:sz w:val="20"/>
          <w:szCs w:val="20"/>
        </w:rPr>
        <w:t xml:space="preserve">of the one-year timeframe for presenting its first report, as established in the operative paragraphs of this judgment. </w:t>
      </w:r>
    </w:p>
    <w:p w14:paraId="234D0884" w14:textId="77777777" w:rsidR="00F85D5F" w:rsidRPr="00C837DD" w:rsidRDefault="00F85D5F" w:rsidP="00F85D5F">
      <w:pPr>
        <w:pStyle w:val="Prrafodelista"/>
        <w:tabs>
          <w:tab w:val="left" w:pos="142"/>
        </w:tabs>
        <w:ind w:left="0"/>
        <w:rPr>
          <w:sz w:val="20"/>
          <w:szCs w:val="20"/>
        </w:rPr>
      </w:pPr>
    </w:p>
    <w:p w14:paraId="5D4C8080" w14:textId="4479E1DB"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Furthermore, </w:t>
      </w:r>
      <w:r w:rsidR="00F60BFA" w:rsidRPr="00C837DD">
        <w:rPr>
          <w:sz w:val="20"/>
          <w:szCs w:val="20"/>
        </w:rPr>
        <w:t xml:space="preserve">in order to </w:t>
      </w:r>
      <w:r w:rsidRPr="00C837DD">
        <w:rPr>
          <w:sz w:val="20"/>
          <w:szCs w:val="20"/>
        </w:rPr>
        <w:t>repa</w:t>
      </w:r>
      <w:r w:rsidR="001E6F9F" w:rsidRPr="00C837DD">
        <w:rPr>
          <w:sz w:val="20"/>
          <w:szCs w:val="20"/>
        </w:rPr>
        <w:t xml:space="preserve">ir the </w:t>
      </w:r>
      <w:r w:rsidR="00F60BFA" w:rsidRPr="00C837DD">
        <w:rPr>
          <w:sz w:val="20"/>
          <w:szCs w:val="20"/>
        </w:rPr>
        <w:t xml:space="preserve">damage </w:t>
      </w:r>
      <w:r w:rsidRPr="00C837DD">
        <w:rPr>
          <w:sz w:val="20"/>
          <w:szCs w:val="20"/>
        </w:rPr>
        <w:t xml:space="preserve">caused to the victims and to prevent a repetition of the facts of this case, the Court deems it necessary to order the State </w:t>
      </w:r>
      <w:r w:rsidR="001E6F9F" w:rsidRPr="00C837DD">
        <w:rPr>
          <w:sz w:val="20"/>
          <w:szCs w:val="20"/>
        </w:rPr>
        <w:t xml:space="preserve">to </w:t>
      </w:r>
      <w:r w:rsidR="00F60BFA" w:rsidRPr="00C837DD">
        <w:rPr>
          <w:sz w:val="20"/>
          <w:szCs w:val="20"/>
        </w:rPr>
        <w:t xml:space="preserve">carry out </w:t>
      </w:r>
      <w:r w:rsidRPr="00C837DD">
        <w:rPr>
          <w:sz w:val="20"/>
          <w:szCs w:val="20"/>
        </w:rPr>
        <w:t>a</w:t>
      </w:r>
      <w:r w:rsidR="001E6F9F" w:rsidRPr="00C837DD">
        <w:rPr>
          <w:sz w:val="20"/>
          <w:szCs w:val="20"/>
        </w:rPr>
        <w:t>n</w:t>
      </w:r>
      <w:r w:rsidRPr="00C837DD">
        <w:rPr>
          <w:sz w:val="20"/>
          <w:szCs w:val="20"/>
        </w:rPr>
        <w:t xml:space="preserve"> act of acknowledgement of international responsibility in relation to the facts </w:t>
      </w:r>
      <w:r w:rsidR="001E6F9F" w:rsidRPr="00C837DD">
        <w:rPr>
          <w:sz w:val="20"/>
          <w:szCs w:val="20"/>
        </w:rPr>
        <w:t xml:space="preserve">of this </w:t>
      </w:r>
      <w:r w:rsidRPr="00C837DD">
        <w:rPr>
          <w:sz w:val="20"/>
          <w:szCs w:val="20"/>
        </w:rPr>
        <w:t xml:space="preserve">case within one year </w:t>
      </w:r>
      <w:r w:rsidR="0040559C">
        <w:rPr>
          <w:sz w:val="20"/>
          <w:szCs w:val="20"/>
        </w:rPr>
        <w:t>from</w:t>
      </w:r>
      <w:r w:rsidRPr="00C837DD">
        <w:rPr>
          <w:sz w:val="20"/>
          <w:szCs w:val="20"/>
        </w:rPr>
        <w:t xml:space="preserve"> notification of this judgment. </w:t>
      </w:r>
      <w:r w:rsidR="00254982" w:rsidRPr="00C837DD">
        <w:rPr>
          <w:sz w:val="20"/>
          <w:szCs w:val="20"/>
        </w:rPr>
        <w:t xml:space="preserve">The aforementioned event may even take place in the chamber of the Legislative Assembly of Paraíba, provided that the victims so </w:t>
      </w:r>
      <w:r w:rsidR="001E6F9F" w:rsidRPr="00C837DD">
        <w:rPr>
          <w:sz w:val="20"/>
          <w:szCs w:val="20"/>
        </w:rPr>
        <w:t>wish</w:t>
      </w:r>
      <w:r w:rsidRPr="00C837DD">
        <w:rPr>
          <w:sz w:val="20"/>
          <w:szCs w:val="20"/>
        </w:rPr>
        <w:t xml:space="preserve">. </w:t>
      </w:r>
      <w:r w:rsidR="0040559C">
        <w:rPr>
          <w:sz w:val="20"/>
          <w:szCs w:val="20"/>
        </w:rPr>
        <w:t>During</w:t>
      </w:r>
      <w:r w:rsidRPr="00C837DD">
        <w:rPr>
          <w:sz w:val="20"/>
          <w:szCs w:val="20"/>
        </w:rPr>
        <w:t xml:space="preserve"> </w:t>
      </w:r>
      <w:r w:rsidR="001E6F9F" w:rsidRPr="00C837DD">
        <w:rPr>
          <w:sz w:val="20"/>
          <w:szCs w:val="20"/>
        </w:rPr>
        <w:t xml:space="preserve">this </w:t>
      </w:r>
      <w:r w:rsidR="0040559C">
        <w:rPr>
          <w:sz w:val="20"/>
          <w:szCs w:val="20"/>
        </w:rPr>
        <w:t xml:space="preserve">act, </w:t>
      </w:r>
      <w:r w:rsidRPr="00C837DD">
        <w:rPr>
          <w:sz w:val="20"/>
          <w:szCs w:val="20"/>
        </w:rPr>
        <w:t xml:space="preserve">reference </w:t>
      </w:r>
      <w:r w:rsidR="001E6F9F" w:rsidRPr="00C837DD">
        <w:rPr>
          <w:sz w:val="20"/>
          <w:szCs w:val="20"/>
        </w:rPr>
        <w:t xml:space="preserve">should be made </w:t>
      </w:r>
      <w:r w:rsidRPr="00C837DD">
        <w:rPr>
          <w:sz w:val="20"/>
          <w:szCs w:val="20"/>
        </w:rPr>
        <w:t xml:space="preserve">to all the human rights violations declared in this judgment. </w:t>
      </w:r>
      <w:r w:rsidR="00254982" w:rsidRPr="00C837DD">
        <w:rPr>
          <w:sz w:val="20"/>
          <w:szCs w:val="20"/>
        </w:rPr>
        <w:t xml:space="preserve">The event should also be attended by at least one </w:t>
      </w:r>
      <w:r w:rsidR="0040559C">
        <w:rPr>
          <w:sz w:val="20"/>
          <w:szCs w:val="20"/>
        </w:rPr>
        <w:t xml:space="preserve">senior </w:t>
      </w:r>
      <w:r w:rsidR="00254982" w:rsidRPr="00C837DD">
        <w:rPr>
          <w:sz w:val="20"/>
          <w:szCs w:val="20"/>
        </w:rPr>
        <w:t xml:space="preserve">authority </w:t>
      </w:r>
      <w:r w:rsidR="0040559C">
        <w:rPr>
          <w:sz w:val="20"/>
          <w:szCs w:val="20"/>
        </w:rPr>
        <w:t xml:space="preserve">of </w:t>
      </w:r>
      <w:r w:rsidR="00254982" w:rsidRPr="00C837DD">
        <w:rPr>
          <w:sz w:val="20"/>
          <w:szCs w:val="20"/>
        </w:rPr>
        <w:t xml:space="preserve">the Ministry of Foreign Affairs and </w:t>
      </w:r>
      <w:r w:rsidR="0040559C">
        <w:rPr>
          <w:sz w:val="20"/>
          <w:szCs w:val="20"/>
        </w:rPr>
        <w:t xml:space="preserve">of </w:t>
      </w:r>
      <w:r w:rsidR="00254982" w:rsidRPr="00C837DD">
        <w:rPr>
          <w:sz w:val="20"/>
          <w:szCs w:val="20"/>
        </w:rPr>
        <w:t>the Legislative Assembly of the state of Paraíba</w:t>
      </w:r>
      <w:r w:rsidRPr="00C837DD">
        <w:rPr>
          <w:sz w:val="20"/>
          <w:szCs w:val="20"/>
        </w:rPr>
        <w:t>.</w:t>
      </w:r>
      <w:r w:rsidRPr="00C837DD">
        <w:rPr>
          <w:rStyle w:val="Refdenotaalpie"/>
          <w:sz w:val="20"/>
          <w:szCs w:val="20"/>
        </w:rPr>
        <w:footnoteReference w:id="283"/>
      </w:r>
    </w:p>
    <w:p w14:paraId="5AEA9274" w14:textId="77777777" w:rsidR="00F85D5F" w:rsidRPr="00C837DD" w:rsidRDefault="00F85D5F" w:rsidP="00F85D5F">
      <w:pPr>
        <w:pStyle w:val="Prrafodelista"/>
        <w:tabs>
          <w:tab w:val="left" w:pos="142"/>
        </w:tabs>
        <w:ind w:left="0"/>
        <w:rPr>
          <w:sz w:val="20"/>
          <w:szCs w:val="20"/>
        </w:rPr>
      </w:pPr>
    </w:p>
    <w:p w14:paraId="740151D1" w14:textId="35D6091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State and the mother of Ms. Barbosa de Souza, and/or her representatives, </w:t>
      </w:r>
      <w:r w:rsidR="00E42F67" w:rsidRPr="00C837DD">
        <w:rPr>
          <w:sz w:val="20"/>
          <w:szCs w:val="20"/>
        </w:rPr>
        <w:t xml:space="preserve">shall </w:t>
      </w:r>
      <w:r w:rsidRPr="00C837DD">
        <w:rPr>
          <w:sz w:val="20"/>
          <w:szCs w:val="20"/>
        </w:rPr>
        <w:t xml:space="preserve">agree on the </w:t>
      </w:r>
      <w:r w:rsidR="00344AE0" w:rsidRPr="00C837DD">
        <w:rPr>
          <w:sz w:val="20"/>
          <w:szCs w:val="20"/>
        </w:rPr>
        <w:t xml:space="preserve">manner of carrying out the act, as well as </w:t>
      </w:r>
      <w:r w:rsidR="00E42F67" w:rsidRPr="00C837DD">
        <w:rPr>
          <w:sz w:val="20"/>
          <w:szCs w:val="20"/>
        </w:rPr>
        <w:t xml:space="preserve">details </w:t>
      </w:r>
      <w:r w:rsidRPr="00C837DD">
        <w:rPr>
          <w:sz w:val="20"/>
          <w:szCs w:val="20"/>
        </w:rPr>
        <w:t xml:space="preserve">such as the place and </w:t>
      </w:r>
      <w:r w:rsidR="00344AE0" w:rsidRPr="00C837DD">
        <w:rPr>
          <w:sz w:val="20"/>
          <w:szCs w:val="20"/>
        </w:rPr>
        <w:t xml:space="preserve">date </w:t>
      </w:r>
      <w:r w:rsidRPr="00C837DD">
        <w:rPr>
          <w:sz w:val="20"/>
          <w:szCs w:val="20"/>
        </w:rPr>
        <w:t>for its realization.</w:t>
      </w:r>
      <w:r w:rsidRPr="00C837DD">
        <w:rPr>
          <w:rStyle w:val="Refdenotaalpie"/>
          <w:sz w:val="20"/>
          <w:szCs w:val="20"/>
        </w:rPr>
        <w:footnoteReference w:id="284"/>
      </w:r>
      <w:r w:rsidRPr="00C837DD">
        <w:rPr>
          <w:sz w:val="20"/>
          <w:szCs w:val="20"/>
        </w:rPr>
        <w:t xml:space="preserve"> </w:t>
      </w:r>
      <w:r w:rsidR="00FC1F8D" w:rsidRPr="00C837DD">
        <w:rPr>
          <w:sz w:val="20"/>
          <w:szCs w:val="20"/>
        </w:rPr>
        <w:t>In view of the harm caused to the victims by the media coverage of the case of Márcia Barbosa and the consequent request for confidentiality</w:t>
      </w:r>
      <w:r w:rsidRPr="00C837DD">
        <w:rPr>
          <w:sz w:val="20"/>
          <w:szCs w:val="20"/>
        </w:rPr>
        <w:t xml:space="preserve"> of </w:t>
      </w:r>
      <w:r w:rsidR="00E42F67" w:rsidRPr="00C837DD">
        <w:rPr>
          <w:sz w:val="20"/>
          <w:szCs w:val="20"/>
        </w:rPr>
        <w:t xml:space="preserve">their </w:t>
      </w:r>
      <w:r w:rsidRPr="00C837DD">
        <w:rPr>
          <w:sz w:val="20"/>
          <w:szCs w:val="20"/>
        </w:rPr>
        <w:t xml:space="preserve">identities, the victims or their representatives </w:t>
      </w:r>
      <w:r w:rsidR="00E42F67" w:rsidRPr="00C837DD">
        <w:rPr>
          <w:sz w:val="20"/>
          <w:szCs w:val="20"/>
        </w:rPr>
        <w:t xml:space="preserve">have </w:t>
      </w:r>
      <w:r w:rsidR="00FC1F8D" w:rsidRPr="00C837DD">
        <w:rPr>
          <w:sz w:val="20"/>
          <w:szCs w:val="20"/>
        </w:rPr>
        <w:t xml:space="preserve">a period of </w:t>
      </w:r>
      <w:r w:rsidR="00E42F67" w:rsidRPr="00C837DD">
        <w:rPr>
          <w:sz w:val="20"/>
          <w:szCs w:val="20"/>
        </w:rPr>
        <w:t xml:space="preserve">one month from </w:t>
      </w:r>
      <w:r w:rsidRPr="00C837DD">
        <w:rPr>
          <w:sz w:val="20"/>
          <w:szCs w:val="20"/>
        </w:rPr>
        <w:t xml:space="preserve">the publication of this judgment to inform the Court </w:t>
      </w:r>
      <w:r w:rsidR="00E42F67" w:rsidRPr="00C837DD">
        <w:rPr>
          <w:sz w:val="20"/>
          <w:szCs w:val="20"/>
        </w:rPr>
        <w:t xml:space="preserve">whether they </w:t>
      </w:r>
      <w:r w:rsidR="004A5B53">
        <w:rPr>
          <w:sz w:val="20"/>
          <w:szCs w:val="20"/>
        </w:rPr>
        <w:t xml:space="preserve">wish </w:t>
      </w:r>
      <w:r w:rsidRPr="00C837DD">
        <w:rPr>
          <w:sz w:val="20"/>
          <w:szCs w:val="20"/>
        </w:rPr>
        <w:t xml:space="preserve">the event </w:t>
      </w:r>
      <w:r w:rsidR="00E42F67" w:rsidRPr="00C837DD">
        <w:rPr>
          <w:sz w:val="20"/>
          <w:szCs w:val="20"/>
        </w:rPr>
        <w:t xml:space="preserve">in question to be public or private. If </w:t>
      </w:r>
      <w:r w:rsidR="00FC1F8D" w:rsidRPr="00C837DD">
        <w:rPr>
          <w:sz w:val="20"/>
          <w:szCs w:val="20"/>
        </w:rPr>
        <w:t>this</w:t>
      </w:r>
      <w:r w:rsidR="00E42F67" w:rsidRPr="00C837DD">
        <w:rPr>
          <w:sz w:val="20"/>
          <w:szCs w:val="20"/>
        </w:rPr>
        <w:t xml:space="preserve"> </w:t>
      </w:r>
      <w:r w:rsidRPr="00C837DD">
        <w:rPr>
          <w:sz w:val="20"/>
          <w:szCs w:val="20"/>
        </w:rPr>
        <w:t xml:space="preserve">information </w:t>
      </w:r>
      <w:r w:rsidR="00E42F67" w:rsidRPr="00C837DD">
        <w:rPr>
          <w:sz w:val="20"/>
          <w:szCs w:val="20"/>
        </w:rPr>
        <w:t xml:space="preserve">is not submitted within the </w:t>
      </w:r>
      <w:r w:rsidR="00FC1F8D" w:rsidRPr="00C837DD">
        <w:rPr>
          <w:sz w:val="20"/>
          <w:szCs w:val="20"/>
        </w:rPr>
        <w:t xml:space="preserve">term </w:t>
      </w:r>
      <w:r w:rsidRPr="00C837DD">
        <w:rPr>
          <w:sz w:val="20"/>
          <w:szCs w:val="20"/>
        </w:rPr>
        <w:t xml:space="preserve">established, the act </w:t>
      </w:r>
      <w:r w:rsidR="00E42F67" w:rsidRPr="00C837DD">
        <w:rPr>
          <w:sz w:val="20"/>
          <w:szCs w:val="20"/>
        </w:rPr>
        <w:t xml:space="preserve">shall be held </w:t>
      </w:r>
      <w:r w:rsidRPr="00C837DD">
        <w:rPr>
          <w:sz w:val="20"/>
          <w:szCs w:val="20"/>
        </w:rPr>
        <w:t xml:space="preserve">privately. </w:t>
      </w:r>
    </w:p>
    <w:p w14:paraId="71ACAB6B" w14:textId="77777777" w:rsidR="00F85D5F" w:rsidRPr="00C837DD" w:rsidRDefault="00F85D5F" w:rsidP="00F85D5F">
      <w:pPr>
        <w:tabs>
          <w:tab w:val="left" w:pos="142"/>
        </w:tabs>
        <w:rPr>
          <w:sz w:val="20"/>
          <w:szCs w:val="20"/>
        </w:rPr>
      </w:pPr>
    </w:p>
    <w:p w14:paraId="083928AD" w14:textId="77777777" w:rsidR="00F85D5F" w:rsidRPr="00C837DD" w:rsidRDefault="00F85D5F" w:rsidP="00F85D5F">
      <w:pPr>
        <w:pStyle w:val="Ttulo2"/>
        <w:numPr>
          <w:ilvl w:val="1"/>
          <w:numId w:val="10"/>
        </w:numPr>
        <w:ind w:left="1134" w:hanging="567"/>
        <w:rPr>
          <w:lang w:val="en-US"/>
        </w:rPr>
      </w:pPr>
      <w:bookmarkStart w:id="100" w:name="_Toc85001901"/>
      <w:r w:rsidRPr="00C837DD">
        <w:rPr>
          <w:lang w:val="en-US"/>
        </w:rPr>
        <w:t>Measure of rehabilitation</w:t>
      </w:r>
      <w:bookmarkEnd w:id="100"/>
    </w:p>
    <w:p w14:paraId="13DA319E" w14:textId="77777777" w:rsidR="00F85D5F" w:rsidRPr="00C837DD" w:rsidRDefault="00F85D5F" w:rsidP="00F85D5F">
      <w:pPr>
        <w:pStyle w:val="Textoindependiente"/>
        <w:tabs>
          <w:tab w:val="left" w:pos="142"/>
        </w:tabs>
        <w:jc w:val="both"/>
      </w:pPr>
    </w:p>
    <w:p w14:paraId="34AE39CA" w14:textId="04964F2F"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Commission</w:t>
      </w:r>
      <w:r w:rsidRPr="00C837DD">
        <w:rPr>
          <w:b/>
          <w:i/>
          <w:sz w:val="20"/>
          <w:szCs w:val="20"/>
        </w:rPr>
        <w:t xml:space="preserve"> </w:t>
      </w:r>
      <w:r w:rsidRPr="00C837DD">
        <w:rPr>
          <w:sz w:val="20"/>
          <w:szCs w:val="20"/>
        </w:rPr>
        <w:t xml:space="preserve">requested that the Court order the State to provide </w:t>
      </w:r>
      <w:r w:rsidR="004A5B53">
        <w:rPr>
          <w:sz w:val="20"/>
          <w:szCs w:val="20"/>
        </w:rPr>
        <w:t xml:space="preserve">the </w:t>
      </w:r>
      <w:r w:rsidRPr="00C837DD">
        <w:rPr>
          <w:sz w:val="20"/>
          <w:szCs w:val="20"/>
        </w:rPr>
        <w:t xml:space="preserve">physical and mental health care necessary for the rehabilitation of the mother and father of </w:t>
      </w:r>
      <w:r w:rsidR="00B8009F" w:rsidRPr="00C837DD">
        <w:rPr>
          <w:sz w:val="20"/>
          <w:szCs w:val="20"/>
        </w:rPr>
        <w:t>Márcia</w:t>
      </w:r>
      <w:r w:rsidRPr="00C837DD">
        <w:rPr>
          <w:sz w:val="20"/>
          <w:szCs w:val="20"/>
        </w:rPr>
        <w:t xml:space="preserve"> Barbosa de Souza, if they so wish and with their consent. </w:t>
      </w:r>
    </w:p>
    <w:p w14:paraId="1AEBC77D" w14:textId="77777777" w:rsidR="00F85D5F" w:rsidRPr="00C837DD" w:rsidRDefault="00F85D5F" w:rsidP="00F85D5F">
      <w:pPr>
        <w:tabs>
          <w:tab w:val="left" w:pos="142"/>
        </w:tabs>
        <w:rPr>
          <w:sz w:val="20"/>
          <w:szCs w:val="20"/>
        </w:rPr>
      </w:pPr>
    </w:p>
    <w:p w14:paraId="6250B65D" w14:textId="4EACBFD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representatives</w:t>
      </w:r>
      <w:r w:rsidRPr="00C837DD">
        <w:rPr>
          <w:b/>
          <w:i/>
          <w:sz w:val="20"/>
          <w:szCs w:val="20"/>
        </w:rPr>
        <w:t xml:space="preserve"> </w:t>
      </w:r>
      <w:r w:rsidRPr="00C837DD">
        <w:rPr>
          <w:sz w:val="20"/>
          <w:szCs w:val="20"/>
        </w:rPr>
        <w:t>requested that the Court order B</w:t>
      </w:r>
      <w:r w:rsidR="00E42F67" w:rsidRPr="00C837DD">
        <w:rPr>
          <w:sz w:val="20"/>
          <w:szCs w:val="20"/>
        </w:rPr>
        <w:t xml:space="preserve">razil to provide medical and psychological </w:t>
      </w:r>
      <w:r w:rsidRPr="00C837DD">
        <w:rPr>
          <w:sz w:val="20"/>
          <w:szCs w:val="20"/>
        </w:rPr>
        <w:t xml:space="preserve">care to the mother and </w:t>
      </w:r>
      <w:r w:rsidR="00FC1F8D" w:rsidRPr="00C837DD">
        <w:rPr>
          <w:sz w:val="20"/>
          <w:szCs w:val="20"/>
        </w:rPr>
        <w:t xml:space="preserve">the </w:t>
      </w:r>
      <w:r w:rsidRPr="00C837DD">
        <w:rPr>
          <w:sz w:val="20"/>
          <w:szCs w:val="20"/>
        </w:rPr>
        <w:t xml:space="preserve">sister of </w:t>
      </w:r>
      <w:r w:rsidR="00B8009F" w:rsidRPr="00C837DD">
        <w:rPr>
          <w:sz w:val="20"/>
          <w:szCs w:val="20"/>
        </w:rPr>
        <w:t>Márcia</w:t>
      </w:r>
      <w:r w:rsidRPr="00C837DD">
        <w:rPr>
          <w:sz w:val="20"/>
          <w:szCs w:val="20"/>
        </w:rPr>
        <w:t xml:space="preserve"> Barbosa de Souza. </w:t>
      </w:r>
    </w:p>
    <w:p w14:paraId="4D70F137" w14:textId="77777777" w:rsidR="00F85D5F" w:rsidRPr="00C837DD" w:rsidRDefault="00F85D5F" w:rsidP="00F85D5F">
      <w:pPr>
        <w:pStyle w:val="Prrafodelista"/>
        <w:tabs>
          <w:tab w:val="left" w:pos="142"/>
        </w:tabs>
        <w:ind w:left="0"/>
        <w:rPr>
          <w:sz w:val="20"/>
          <w:szCs w:val="20"/>
        </w:rPr>
      </w:pPr>
    </w:p>
    <w:p w14:paraId="00E2A63F" w14:textId="3F470834"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State</w:t>
      </w:r>
      <w:r w:rsidRPr="00C837DD">
        <w:rPr>
          <w:b/>
          <w:i/>
          <w:sz w:val="20"/>
          <w:szCs w:val="20"/>
        </w:rPr>
        <w:t xml:space="preserve"> </w:t>
      </w:r>
      <w:r w:rsidR="001E6F9F" w:rsidRPr="00C837DD">
        <w:rPr>
          <w:sz w:val="20"/>
          <w:szCs w:val="20"/>
        </w:rPr>
        <w:t>pointed out</w:t>
      </w:r>
      <w:r w:rsidR="001E6F9F" w:rsidRPr="00C837DD">
        <w:rPr>
          <w:b/>
          <w:i/>
          <w:sz w:val="20"/>
          <w:szCs w:val="20"/>
        </w:rPr>
        <w:t xml:space="preserve"> </w:t>
      </w:r>
      <w:r w:rsidRPr="00C837DD">
        <w:rPr>
          <w:sz w:val="20"/>
          <w:szCs w:val="20"/>
        </w:rPr>
        <w:t xml:space="preserve">that </w:t>
      </w:r>
      <w:r w:rsidR="00B8009F" w:rsidRPr="00C837DD">
        <w:rPr>
          <w:sz w:val="20"/>
          <w:szCs w:val="20"/>
        </w:rPr>
        <w:t>Márcia</w:t>
      </w:r>
      <w:r w:rsidRPr="00C837DD">
        <w:rPr>
          <w:sz w:val="20"/>
          <w:szCs w:val="20"/>
        </w:rPr>
        <w:t xml:space="preserve"> Barbosa de </w:t>
      </w:r>
      <w:r w:rsidR="001E6F9F" w:rsidRPr="00C837DD">
        <w:rPr>
          <w:sz w:val="20"/>
          <w:szCs w:val="20"/>
        </w:rPr>
        <w:t>Souza’s next of kin already receive medical and psychological</w:t>
      </w:r>
      <w:r w:rsidRPr="00C837DD">
        <w:rPr>
          <w:sz w:val="20"/>
          <w:szCs w:val="20"/>
        </w:rPr>
        <w:t xml:space="preserve"> </w:t>
      </w:r>
      <w:r w:rsidR="001E6F9F" w:rsidRPr="00C837DD">
        <w:rPr>
          <w:sz w:val="20"/>
          <w:szCs w:val="20"/>
        </w:rPr>
        <w:t xml:space="preserve">care provided </w:t>
      </w:r>
      <w:r w:rsidRPr="00C837DD">
        <w:rPr>
          <w:sz w:val="20"/>
          <w:szCs w:val="20"/>
        </w:rPr>
        <w:t>by the S</w:t>
      </w:r>
      <w:r w:rsidR="00581481" w:rsidRPr="00C837DD">
        <w:rPr>
          <w:sz w:val="20"/>
          <w:szCs w:val="20"/>
        </w:rPr>
        <w:t>ingle Health S</w:t>
      </w:r>
      <w:r w:rsidRPr="00C837DD">
        <w:rPr>
          <w:sz w:val="20"/>
          <w:szCs w:val="20"/>
        </w:rPr>
        <w:t xml:space="preserve">ystem, which </w:t>
      </w:r>
      <w:r w:rsidR="001E6F9F" w:rsidRPr="00C837DD">
        <w:rPr>
          <w:sz w:val="20"/>
          <w:szCs w:val="20"/>
        </w:rPr>
        <w:t>makes the present</w:t>
      </w:r>
      <w:r w:rsidRPr="00C837DD">
        <w:rPr>
          <w:sz w:val="20"/>
          <w:szCs w:val="20"/>
        </w:rPr>
        <w:t xml:space="preserve"> measure of reparation</w:t>
      </w:r>
      <w:r w:rsidR="001E6F9F" w:rsidRPr="00C837DD">
        <w:rPr>
          <w:sz w:val="20"/>
          <w:szCs w:val="20"/>
        </w:rPr>
        <w:t xml:space="preserve"> inappropriate</w:t>
      </w:r>
      <w:r w:rsidRPr="00C837DD">
        <w:rPr>
          <w:sz w:val="20"/>
          <w:szCs w:val="20"/>
        </w:rPr>
        <w:t xml:space="preserve">. </w:t>
      </w:r>
    </w:p>
    <w:p w14:paraId="12107B82" w14:textId="77777777" w:rsidR="00F85D5F" w:rsidRPr="00C837DD" w:rsidRDefault="00F85D5F" w:rsidP="00F85D5F">
      <w:pPr>
        <w:pStyle w:val="Prrafodelista"/>
        <w:rPr>
          <w:sz w:val="20"/>
          <w:szCs w:val="20"/>
        </w:rPr>
      </w:pPr>
    </w:p>
    <w:p w14:paraId="1D5EDBAF" w14:textId="1E7E7ACC"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Court</w:t>
      </w:r>
      <w:r w:rsidRPr="00C837DD">
        <w:rPr>
          <w:sz w:val="20"/>
          <w:szCs w:val="20"/>
        </w:rPr>
        <w:t xml:space="preserve"> has determined that the facts of this case </w:t>
      </w:r>
      <w:r w:rsidR="00076F34" w:rsidRPr="00C837DD">
        <w:rPr>
          <w:sz w:val="20"/>
          <w:szCs w:val="20"/>
        </w:rPr>
        <w:t xml:space="preserve">caused serious harm to the personal integrity of M.B.S. and S.R.S., </w:t>
      </w:r>
      <w:r w:rsidRPr="00C837DD">
        <w:rPr>
          <w:sz w:val="20"/>
          <w:szCs w:val="20"/>
        </w:rPr>
        <w:t>in terms of physical, emotional and psychological suffering (</w:t>
      </w:r>
      <w:r w:rsidRPr="00C837DD">
        <w:rPr>
          <w:i/>
          <w:sz w:val="20"/>
          <w:szCs w:val="20"/>
        </w:rPr>
        <w:t>supra</w:t>
      </w:r>
      <w:r w:rsidRPr="00C837DD">
        <w:rPr>
          <w:sz w:val="20"/>
          <w:szCs w:val="20"/>
        </w:rPr>
        <w:t xml:space="preserve"> paras. 161 and 162). Therefore, the Court considers </w:t>
      </w:r>
      <w:r w:rsidR="00E42F67" w:rsidRPr="00C837DD">
        <w:rPr>
          <w:sz w:val="20"/>
          <w:szCs w:val="20"/>
        </w:rPr>
        <w:t xml:space="preserve">it necessary </w:t>
      </w:r>
      <w:r w:rsidRPr="00C837DD">
        <w:rPr>
          <w:sz w:val="20"/>
          <w:szCs w:val="20"/>
        </w:rPr>
        <w:t xml:space="preserve">to order a </w:t>
      </w:r>
      <w:r w:rsidRPr="00C837DD">
        <w:rPr>
          <w:sz w:val="20"/>
          <w:szCs w:val="20"/>
        </w:rPr>
        <w:lastRenderedPageBreak/>
        <w:t>measure of reparation t</w:t>
      </w:r>
      <w:r w:rsidR="00076F34" w:rsidRPr="00C837DD">
        <w:rPr>
          <w:sz w:val="20"/>
          <w:szCs w:val="20"/>
        </w:rPr>
        <w:t>hat</w:t>
      </w:r>
      <w:r w:rsidR="00E42F67" w:rsidRPr="00C837DD">
        <w:rPr>
          <w:sz w:val="20"/>
          <w:szCs w:val="20"/>
        </w:rPr>
        <w:t xml:space="preserve"> </w:t>
      </w:r>
      <w:r w:rsidR="00076F34" w:rsidRPr="00C837DD">
        <w:rPr>
          <w:sz w:val="20"/>
          <w:szCs w:val="20"/>
        </w:rPr>
        <w:t xml:space="preserve">ensures </w:t>
      </w:r>
      <w:r w:rsidRPr="00C837DD">
        <w:rPr>
          <w:sz w:val="20"/>
          <w:szCs w:val="20"/>
        </w:rPr>
        <w:t xml:space="preserve">adequate medical, psychological and/or psychiatric </w:t>
      </w:r>
      <w:r w:rsidR="00E42F67" w:rsidRPr="00C837DD">
        <w:rPr>
          <w:sz w:val="20"/>
          <w:szCs w:val="20"/>
        </w:rPr>
        <w:t xml:space="preserve">care for the </w:t>
      </w:r>
      <w:r w:rsidRPr="00C837DD">
        <w:rPr>
          <w:sz w:val="20"/>
          <w:szCs w:val="20"/>
        </w:rPr>
        <w:t xml:space="preserve">mother of </w:t>
      </w:r>
      <w:r w:rsidR="00B8009F" w:rsidRPr="00C837DD">
        <w:rPr>
          <w:sz w:val="20"/>
          <w:szCs w:val="20"/>
        </w:rPr>
        <w:t>Márcia</w:t>
      </w:r>
      <w:r w:rsidRPr="00C837DD">
        <w:rPr>
          <w:sz w:val="20"/>
          <w:szCs w:val="20"/>
        </w:rPr>
        <w:t xml:space="preserve"> Barbosa de Souza</w:t>
      </w:r>
      <w:r w:rsidR="00076F34" w:rsidRPr="00C837DD">
        <w:rPr>
          <w:sz w:val="20"/>
          <w:szCs w:val="20"/>
        </w:rPr>
        <w:t>,</w:t>
      </w:r>
      <w:r w:rsidRPr="00C837DD">
        <w:rPr>
          <w:sz w:val="20"/>
          <w:szCs w:val="20"/>
        </w:rPr>
        <w:t xml:space="preserve"> t</w:t>
      </w:r>
      <w:r w:rsidR="00076F34" w:rsidRPr="00C837DD">
        <w:rPr>
          <w:sz w:val="20"/>
          <w:szCs w:val="20"/>
        </w:rPr>
        <w:t xml:space="preserve">aking into account </w:t>
      </w:r>
      <w:r w:rsidR="00E42F67" w:rsidRPr="00C837DD">
        <w:rPr>
          <w:sz w:val="20"/>
          <w:szCs w:val="20"/>
        </w:rPr>
        <w:t xml:space="preserve">her specific needs and </w:t>
      </w:r>
      <w:r w:rsidR="00076F34" w:rsidRPr="00C837DD">
        <w:rPr>
          <w:sz w:val="20"/>
          <w:szCs w:val="20"/>
        </w:rPr>
        <w:t>background</w:t>
      </w:r>
      <w:r w:rsidR="00E42F67" w:rsidRPr="00C837DD">
        <w:rPr>
          <w:sz w:val="20"/>
          <w:szCs w:val="20"/>
        </w:rPr>
        <w:t>.</w:t>
      </w:r>
      <w:r w:rsidRPr="00C837DD">
        <w:rPr>
          <w:rStyle w:val="Refdenotaalpie"/>
          <w:sz w:val="20"/>
          <w:szCs w:val="20"/>
        </w:rPr>
        <w:footnoteReference w:id="285"/>
      </w:r>
      <w:r w:rsidRPr="00C837DD">
        <w:rPr>
          <w:sz w:val="20"/>
          <w:szCs w:val="20"/>
        </w:rPr>
        <w:t xml:space="preserve"> Consequently, this Court orders the State to pay a sum of money so that Mrs. M.B.S. </w:t>
      </w:r>
      <w:r w:rsidR="00076F34" w:rsidRPr="00C837DD">
        <w:rPr>
          <w:sz w:val="20"/>
          <w:szCs w:val="20"/>
        </w:rPr>
        <w:t>can</w:t>
      </w:r>
      <w:r w:rsidRPr="00C837DD">
        <w:rPr>
          <w:sz w:val="20"/>
          <w:szCs w:val="20"/>
        </w:rPr>
        <w:t xml:space="preserve"> cover the cost of any treatment that may be necessary. The amount </w:t>
      </w:r>
      <w:r w:rsidR="00076F34" w:rsidRPr="00C837DD">
        <w:rPr>
          <w:sz w:val="20"/>
          <w:szCs w:val="20"/>
        </w:rPr>
        <w:t xml:space="preserve">will </w:t>
      </w:r>
      <w:r w:rsidR="001E6F9F" w:rsidRPr="00C837DD">
        <w:rPr>
          <w:sz w:val="20"/>
          <w:szCs w:val="20"/>
        </w:rPr>
        <w:t xml:space="preserve">be defined </w:t>
      </w:r>
      <w:r w:rsidRPr="00C837DD">
        <w:rPr>
          <w:sz w:val="20"/>
          <w:szCs w:val="20"/>
        </w:rPr>
        <w:t xml:space="preserve">in the </w:t>
      </w:r>
      <w:r w:rsidR="00076F34" w:rsidRPr="00C837DD">
        <w:rPr>
          <w:sz w:val="20"/>
          <w:szCs w:val="20"/>
        </w:rPr>
        <w:t xml:space="preserve">section </w:t>
      </w:r>
      <w:r w:rsidR="001E6F9F" w:rsidRPr="00C837DD">
        <w:rPr>
          <w:sz w:val="20"/>
          <w:szCs w:val="20"/>
        </w:rPr>
        <w:t xml:space="preserve">on </w:t>
      </w:r>
      <w:r w:rsidRPr="00C837DD">
        <w:rPr>
          <w:sz w:val="20"/>
          <w:szCs w:val="20"/>
        </w:rPr>
        <w:t>compensation (</w:t>
      </w:r>
      <w:r w:rsidRPr="00C837DD">
        <w:rPr>
          <w:i/>
          <w:sz w:val="20"/>
          <w:szCs w:val="20"/>
        </w:rPr>
        <w:t>infra</w:t>
      </w:r>
      <w:r w:rsidRPr="00C837DD">
        <w:rPr>
          <w:sz w:val="20"/>
          <w:szCs w:val="20"/>
        </w:rPr>
        <w:t xml:space="preserve"> para. 212).</w:t>
      </w:r>
    </w:p>
    <w:p w14:paraId="5B1E830E" w14:textId="77777777" w:rsidR="00F85D5F" w:rsidRPr="00C837DD" w:rsidRDefault="00F85D5F" w:rsidP="00F85D5F">
      <w:pPr>
        <w:pStyle w:val="Prrafodelista"/>
        <w:tabs>
          <w:tab w:val="left" w:pos="142"/>
        </w:tabs>
        <w:ind w:left="0"/>
        <w:rPr>
          <w:sz w:val="20"/>
          <w:szCs w:val="20"/>
        </w:rPr>
      </w:pPr>
    </w:p>
    <w:p w14:paraId="3C96944E" w14:textId="77777777" w:rsidR="00F85D5F" w:rsidRPr="00C837DD" w:rsidRDefault="00F85D5F" w:rsidP="00F85D5F">
      <w:pPr>
        <w:pStyle w:val="Ttulo2"/>
        <w:numPr>
          <w:ilvl w:val="1"/>
          <w:numId w:val="11"/>
        </w:numPr>
        <w:ind w:left="1134" w:hanging="567"/>
        <w:rPr>
          <w:lang w:val="en-US"/>
        </w:rPr>
      </w:pPr>
      <w:bookmarkStart w:id="101" w:name="D._Garantías_de_no_repetición"/>
      <w:bookmarkStart w:id="102" w:name="_bookmark197"/>
      <w:bookmarkStart w:id="103" w:name="_Toc85001902"/>
      <w:bookmarkEnd w:id="101"/>
      <w:bookmarkEnd w:id="102"/>
      <w:r w:rsidRPr="00C837DD">
        <w:rPr>
          <w:lang w:val="en-US"/>
        </w:rPr>
        <w:t>Guarantees of non-repetition</w:t>
      </w:r>
      <w:bookmarkEnd w:id="103"/>
    </w:p>
    <w:p w14:paraId="77C438D1" w14:textId="77777777" w:rsidR="00F85D5F" w:rsidRPr="00C837DD" w:rsidRDefault="00F85D5F" w:rsidP="00F85D5F">
      <w:pPr>
        <w:pStyle w:val="Textoindependiente"/>
        <w:tabs>
          <w:tab w:val="left" w:pos="142"/>
        </w:tabs>
      </w:pPr>
    </w:p>
    <w:p w14:paraId="3DC4AAE1" w14:textId="79E09373"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bidi="en-US"/>
        </w:rPr>
        <w:t xml:space="preserve">The </w:t>
      </w:r>
      <w:r w:rsidRPr="00C837DD">
        <w:rPr>
          <w:b/>
          <w:bCs/>
          <w:i/>
          <w:iCs/>
          <w:sz w:val="20"/>
          <w:szCs w:val="20"/>
          <w:lang w:eastAsia="es-ES" w:bidi="en-US"/>
        </w:rPr>
        <w:t>Commission</w:t>
      </w:r>
      <w:r w:rsidRPr="00C837DD">
        <w:rPr>
          <w:sz w:val="20"/>
          <w:szCs w:val="20"/>
          <w:lang w:eastAsia="es-ES" w:bidi="en-US"/>
        </w:rPr>
        <w:t xml:space="preserve"> </w:t>
      </w:r>
      <w:r w:rsidR="003C2E56" w:rsidRPr="00C837DD">
        <w:rPr>
          <w:sz w:val="20"/>
          <w:szCs w:val="20"/>
          <w:lang w:eastAsia="es-ES" w:bidi="en-US"/>
        </w:rPr>
        <w:t xml:space="preserve">requested that the Court order the State to adapt its domestic regulatory framework to ensure that the immunity </w:t>
      </w:r>
      <w:r w:rsidRPr="00C837DD">
        <w:rPr>
          <w:sz w:val="20"/>
          <w:szCs w:val="20"/>
          <w:lang w:eastAsia="es-ES" w:bidi="en-US"/>
        </w:rPr>
        <w:t>of high-ranking State officials, including parliamentary immunity, is duly regulated and delimited for the purpose</w:t>
      </w:r>
      <w:r w:rsidR="003C2E56" w:rsidRPr="00C837DD">
        <w:rPr>
          <w:sz w:val="20"/>
          <w:szCs w:val="20"/>
          <w:lang w:eastAsia="es-ES" w:bidi="en-US"/>
        </w:rPr>
        <w:t>s</w:t>
      </w:r>
      <w:r w:rsidRPr="00C837DD">
        <w:rPr>
          <w:sz w:val="20"/>
          <w:szCs w:val="20"/>
          <w:lang w:eastAsia="es-ES" w:bidi="en-US"/>
        </w:rPr>
        <w:t xml:space="preserve"> sought </w:t>
      </w:r>
      <w:r w:rsidR="003C2E56" w:rsidRPr="00C837DD">
        <w:rPr>
          <w:sz w:val="20"/>
          <w:szCs w:val="20"/>
          <w:lang w:eastAsia="es-ES" w:bidi="en-US"/>
        </w:rPr>
        <w:t xml:space="preserve">and that the necessary safeguards are </w:t>
      </w:r>
      <w:r w:rsidR="00496C03">
        <w:rPr>
          <w:sz w:val="20"/>
          <w:szCs w:val="20"/>
          <w:lang w:eastAsia="es-ES" w:bidi="en-US"/>
        </w:rPr>
        <w:t xml:space="preserve">established </w:t>
      </w:r>
      <w:r w:rsidR="003C2E56" w:rsidRPr="00C837DD">
        <w:rPr>
          <w:sz w:val="20"/>
          <w:szCs w:val="20"/>
          <w:lang w:eastAsia="es-ES" w:bidi="en-US"/>
        </w:rPr>
        <w:t>in the law itself so that it does not become an obstacle to the investigation of human rights violations;</w:t>
      </w:r>
      <w:r w:rsidRPr="00C837DD">
        <w:rPr>
          <w:sz w:val="20"/>
          <w:szCs w:val="20"/>
          <w:lang w:eastAsia="es-ES" w:bidi="en-US"/>
        </w:rPr>
        <w:t xml:space="preserve"> </w:t>
      </w:r>
      <w:r w:rsidR="003C2E56" w:rsidRPr="00C837DD">
        <w:rPr>
          <w:sz w:val="20"/>
          <w:szCs w:val="20"/>
          <w:lang w:eastAsia="es-ES" w:bidi="en-US"/>
        </w:rPr>
        <w:t>ensure that the decisions of the respective bodies regarding the applicability of immunity of high-level officials in specific cases are duly</w:t>
      </w:r>
      <w:r w:rsidRPr="00C837DD">
        <w:rPr>
          <w:sz w:val="20"/>
          <w:szCs w:val="20"/>
        </w:rPr>
        <w:t xml:space="preserve"> </w:t>
      </w:r>
      <w:r w:rsidR="003C2E56" w:rsidRPr="00C837DD">
        <w:rPr>
          <w:sz w:val="20"/>
          <w:szCs w:val="20"/>
        </w:rPr>
        <w:t>justified;</w:t>
      </w:r>
      <w:r w:rsidRPr="00C837DD">
        <w:rPr>
          <w:sz w:val="20"/>
          <w:szCs w:val="20"/>
        </w:rPr>
        <w:t xml:space="preserve"> and </w:t>
      </w:r>
      <w:r w:rsidR="003C2E56" w:rsidRPr="00C837DD">
        <w:rPr>
          <w:sz w:val="20"/>
          <w:szCs w:val="20"/>
        </w:rPr>
        <w:t>continue to adopt all necessary measures to fully comply with the Maria da Penha Law and to adopt all legislative, administrative and public policy measures to prevent, investigate and punish violence against women in Brazil</w:t>
      </w:r>
      <w:r w:rsidRPr="00C837DD">
        <w:rPr>
          <w:sz w:val="20"/>
          <w:szCs w:val="20"/>
          <w:lang w:eastAsia="es-ES" w:bidi="en-US"/>
        </w:rPr>
        <w:t>.</w:t>
      </w:r>
    </w:p>
    <w:p w14:paraId="3CDC4471" w14:textId="77777777" w:rsidR="00F85D5F" w:rsidRPr="00C837DD" w:rsidRDefault="00F85D5F" w:rsidP="00F85D5F">
      <w:pPr>
        <w:pStyle w:val="Prrafodelista"/>
        <w:tabs>
          <w:tab w:val="left" w:pos="142"/>
        </w:tabs>
        <w:ind w:left="0"/>
        <w:rPr>
          <w:sz w:val="20"/>
          <w:szCs w:val="20"/>
        </w:rPr>
      </w:pPr>
    </w:p>
    <w:p w14:paraId="693A808F" w14:textId="0DB5B42F"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The </w:t>
      </w:r>
      <w:r w:rsidRPr="00C837DD">
        <w:rPr>
          <w:b/>
          <w:bCs/>
          <w:i/>
          <w:iCs/>
          <w:sz w:val="20"/>
          <w:szCs w:val="20"/>
          <w:lang w:eastAsia="es-ES"/>
        </w:rPr>
        <w:t>representatives</w:t>
      </w:r>
      <w:r w:rsidRPr="00C837DD">
        <w:rPr>
          <w:b/>
          <w:i/>
          <w:sz w:val="20"/>
          <w:szCs w:val="20"/>
          <w:lang w:eastAsia="es-ES"/>
        </w:rPr>
        <w:t xml:space="preserve"> </w:t>
      </w:r>
      <w:r w:rsidRPr="00C837DD">
        <w:rPr>
          <w:sz w:val="20"/>
          <w:szCs w:val="20"/>
          <w:lang w:eastAsia="es-ES"/>
        </w:rPr>
        <w:t>asked the Court to order the State of Brazil to: i) a</w:t>
      </w:r>
      <w:r w:rsidRPr="00C837DD">
        <w:rPr>
          <w:rFonts w:eastAsia="Calibri"/>
          <w:sz w:val="20"/>
          <w:szCs w:val="20"/>
        </w:rPr>
        <w:t xml:space="preserve">dopt legislative measures  to ensure that parliamentary immunity is not an obstacle </w:t>
      </w:r>
      <w:r w:rsidR="00180EFE" w:rsidRPr="00C837DD">
        <w:rPr>
          <w:rFonts w:eastAsia="Calibri"/>
          <w:sz w:val="20"/>
          <w:szCs w:val="20"/>
        </w:rPr>
        <w:t xml:space="preserve">to </w:t>
      </w:r>
      <w:r w:rsidRPr="00C837DD">
        <w:rPr>
          <w:rFonts w:eastAsia="Calibri"/>
          <w:sz w:val="20"/>
          <w:szCs w:val="20"/>
        </w:rPr>
        <w:t xml:space="preserve">the investigation of serious human rights violations and access to justice; ii) adopt measures to </w:t>
      </w:r>
      <w:r w:rsidR="00180EFE" w:rsidRPr="00C837DD">
        <w:rPr>
          <w:rFonts w:eastAsia="Calibri"/>
          <w:sz w:val="20"/>
          <w:szCs w:val="20"/>
        </w:rPr>
        <w:t xml:space="preserve">address </w:t>
      </w:r>
      <w:r w:rsidRPr="00C837DD">
        <w:rPr>
          <w:rFonts w:eastAsia="Calibri"/>
          <w:sz w:val="20"/>
          <w:szCs w:val="20"/>
        </w:rPr>
        <w:t>violence against women</w:t>
      </w:r>
      <w:r w:rsidR="00180EFE" w:rsidRPr="00C837DD">
        <w:rPr>
          <w:rFonts w:eastAsia="Calibri"/>
          <w:sz w:val="20"/>
          <w:szCs w:val="20"/>
        </w:rPr>
        <w:t xml:space="preserve"> and</w:t>
      </w:r>
      <w:r w:rsidRPr="00C837DD">
        <w:rPr>
          <w:rFonts w:eastAsia="Calibri"/>
          <w:sz w:val="20"/>
          <w:szCs w:val="20"/>
        </w:rPr>
        <w:t xml:space="preserve">, in particular, </w:t>
      </w:r>
      <w:r w:rsidR="002A1F70" w:rsidRPr="00C837DD">
        <w:rPr>
          <w:rFonts w:eastAsia="Calibri"/>
          <w:sz w:val="20"/>
          <w:szCs w:val="20"/>
        </w:rPr>
        <w:t xml:space="preserve">guarantee </w:t>
      </w:r>
      <w:r w:rsidRPr="00C837DD">
        <w:rPr>
          <w:rFonts w:eastAsia="Calibri"/>
          <w:sz w:val="20"/>
          <w:szCs w:val="20"/>
        </w:rPr>
        <w:t xml:space="preserve">the existence of </w:t>
      </w:r>
      <w:r w:rsidR="00180EFE" w:rsidRPr="00C837DD">
        <w:rPr>
          <w:rFonts w:eastAsia="Calibri"/>
          <w:sz w:val="20"/>
          <w:szCs w:val="20"/>
        </w:rPr>
        <w:t xml:space="preserve">bodies </w:t>
      </w:r>
      <w:r w:rsidRPr="00C837DD">
        <w:rPr>
          <w:rFonts w:eastAsia="Calibri"/>
          <w:sz w:val="20"/>
          <w:szCs w:val="20"/>
        </w:rPr>
        <w:t xml:space="preserve">that </w:t>
      </w:r>
      <w:r w:rsidR="00E42F67" w:rsidRPr="00C837DD">
        <w:rPr>
          <w:rFonts w:eastAsia="Calibri"/>
          <w:sz w:val="20"/>
          <w:szCs w:val="20"/>
        </w:rPr>
        <w:t xml:space="preserve">manage </w:t>
      </w:r>
      <w:r w:rsidRPr="00C837DD">
        <w:rPr>
          <w:rFonts w:eastAsia="Calibri"/>
          <w:sz w:val="20"/>
          <w:szCs w:val="20"/>
        </w:rPr>
        <w:t>public po</w:t>
      </w:r>
      <w:r w:rsidR="00E42F67" w:rsidRPr="00C837DD">
        <w:rPr>
          <w:rFonts w:eastAsia="Calibri"/>
          <w:sz w:val="20"/>
          <w:szCs w:val="20"/>
        </w:rPr>
        <w:t xml:space="preserve">licies for women with a </w:t>
      </w:r>
      <w:r w:rsidRPr="00C837DD">
        <w:rPr>
          <w:rFonts w:eastAsia="Calibri"/>
          <w:sz w:val="20"/>
          <w:szCs w:val="20"/>
        </w:rPr>
        <w:t xml:space="preserve">specific </w:t>
      </w:r>
      <w:r w:rsidR="00E42F67" w:rsidRPr="00C837DD">
        <w:rPr>
          <w:rFonts w:eastAsia="Calibri"/>
          <w:sz w:val="20"/>
          <w:szCs w:val="20"/>
        </w:rPr>
        <w:t xml:space="preserve">focus on </w:t>
      </w:r>
      <w:r w:rsidRPr="00C837DD">
        <w:rPr>
          <w:rFonts w:eastAsia="Calibri"/>
          <w:sz w:val="20"/>
          <w:szCs w:val="20"/>
        </w:rPr>
        <w:t>sit</w:t>
      </w:r>
      <w:r w:rsidR="00E42F67" w:rsidRPr="00C837DD">
        <w:rPr>
          <w:rFonts w:eastAsia="Calibri"/>
          <w:sz w:val="20"/>
          <w:szCs w:val="20"/>
        </w:rPr>
        <w:t>uations related to the cycle</w:t>
      </w:r>
      <w:r w:rsidRPr="00C837DD">
        <w:rPr>
          <w:rFonts w:eastAsia="Calibri"/>
          <w:sz w:val="20"/>
          <w:szCs w:val="20"/>
        </w:rPr>
        <w:t xml:space="preserve"> of violence, </w:t>
      </w:r>
      <w:r w:rsidR="00180EFE" w:rsidRPr="00C837DD">
        <w:rPr>
          <w:rFonts w:eastAsia="Calibri"/>
          <w:sz w:val="20"/>
          <w:szCs w:val="20"/>
        </w:rPr>
        <w:t xml:space="preserve">murders </w:t>
      </w:r>
      <w:r w:rsidRPr="00C837DD">
        <w:rPr>
          <w:rFonts w:eastAsia="Calibri"/>
          <w:sz w:val="20"/>
          <w:szCs w:val="20"/>
        </w:rPr>
        <w:t xml:space="preserve">of women and femicides, taking into account the disproportionate impact on black and brown women and the social </w:t>
      </w:r>
      <w:r w:rsidR="00180EFE" w:rsidRPr="00C837DD">
        <w:rPr>
          <w:rFonts w:eastAsia="Calibri"/>
          <w:sz w:val="20"/>
          <w:szCs w:val="20"/>
        </w:rPr>
        <w:t xml:space="preserve">impact </w:t>
      </w:r>
      <w:r w:rsidRPr="00C837DD">
        <w:rPr>
          <w:rFonts w:eastAsia="Calibri"/>
          <w:sz w:val="20"/>
          <w:szCs w:val="20"/>
        </w:rPr>
        <w:t>of gender</w:t>
      </w:r>
      <w:r w:rsidR="00180EFE" w:rsidRPr="00C837DD">
        <w:rPr>
          <w:rFonts w:eastAsia="Calibri"/>
          <w:sz w:val="20"/>
          <w:szCs w:val="20"/>
        </w:rPr>
        <w:t>-based</w:t>
      </w:r>
      <w:r w:rsidRPr="00C837DD">
        <w:rPr>
          <w:rFonts w:eastAsia="Calibri"/>
          <w:sz w:val="20"/>
          <w:szCs w:val="20"/>
        </w:rPr>
        <w:t xml:space="preserve"> violence and </w:t>
      </w:r>
      <w:r w:rsidR="00E42F67" w:rsidRPr="00C837DD">
        <w:rPr>
          <w:rFonts w:eastAsia="Calibri"/>
          <w:sz w:val="20"/>
          <w:szCs w:val="20"/>
        </w:rPr>
        <w:t>femicide</w:t>
      </w:r>
      <w:r w:rsidR="00180EFE" w:rsidRPr="00C837DD">
        <w:rPr>
          <w:rFonts w:eastAsia="Calibri"/>
          <w:sz w:val="20"/>
          <w:szCs w:val="20"/>
        </w:rPr>
        <w:t>s</w:t>
      </w:r>
      <w:r w:rsidRPr="00C837DD">
        <w:rPr>
          <w:rFonts w:eastAsia="Calibri"/>
          <w:sz w:val="20"/>
          <w:szCs w:val="20"/>
        </w:rPr>
        <w:t xml:space="preserve">; iii) implement a gender education program for </w:t>
      </w:r>
      <w:r w:rsidR="00E42F67" w:rsidRPr="00C837DD">
        <w:rPr>
          <w:rFonts w:eastAsia="Calibri"/>
          <w:sz w:val="20"/>
          <w:szCs w:val="20"/>
        </w:rPr>
        <w:t xml:space="preserve">basic and higher education </w:t>
      </w:r>
      <w:r w:rsidRPr="00C837DD">
        <w:rPr>
          <w:rFonts w:eastAsia="Calibri"/>
          <w:sz w:val="20"/>
          <w:szCs w:val="20"/>
        </w:rPr>
        <w:t>levels and for public officials responsible for addressing violence and administering justice;</w:t>
      </w:r>
      <w:r w:rsidRPr="00C837DD">
        <w:rPr>
          <w:rFonts w:eastAsia="Calibri"/>
          <w:b/>
          <w:sz w:val="20"/>
          <w:szCs w:val="20"/>
        </w:rPr>
        <w:t xml:space="preserve"> </w:t>
      </w:r>
      <w:r w:rsidRPr="00C837DD">
        <w:rPr>
          <w:rFonts w:eastAsia="Calibri"/>
          <w:sz w:val="20"/>
          <w:szCs w:val="20"/>
        </w:rPr>
        <w:t>iv) ensure that the institutions responsible for investigation</w:t>
      </w:r>
      <w:r w:rsidR="00943920" w:rsidRPr="00C837DD">
        <w:rPr>
          <w:rFonts w:eastAsia="Calibri"/>
          <w:sz w:val="20"/>
          <w:szCs w:val="20"/>
        </w:rPr>
        <w:t>s</w:t>
      </w:r>
      <w:r w:rsidRPr="00C837DD">
        <w:rPr>
          <w:rFonts w:eastAsia="Calibri"/>
          <w:sz w:val="20"/>
          <w:szCs w:val="20"/>
        </w:rPr>
        <w:t>, prosecution</w:t>
      </w:r>
      <w:r w:rsidR="00496C03">
        <w:rPr>
          <w:rFonts w:eastAsia="Calibri"/>
          <w:sz w:val="20"/>
          <w:szCs w:val="20"/>
        </w:rPr>
        <w:t>s</w:t>
      </w:r>
      <w:r w:rsidRPr="00C837DD">
        <w:rPr>
          <w:rFonts w:eastAsia="Calibri"/>
          <w:sz w:val="20"/>
          <w:szCs w:val="20"/>
        </w:rPr>
        <w:t xml:space="preserve"> and punishment implement international </w:t>
      </w:r>
      <w:r w:rsidR="00943920" w:rsidRPr="00C837DD">
        <w:rPr>
          <w:rFonts w:eastAsia="Calibri"/>
          <w:sz w:val="20"/>
          <w:szCs w:val="20"/>
        </w:rPr>
        <w:t xml:space="preserve">standards such as </w:t>
      </w:r>
      <w:r w:rsidRPr="00C837DD">
        <w:rPr>
          <w:rFonts w:eastAsia="Calibri"/>
          <w:sz w:val="20"/>
          <w:szCs w:val="20"/>
        </w:rPr>
        <w:t xml:space="preserve">the </w:t>
      </w:r>
      <w:r w:rsidR="00943920" w:rsidRPr="00C837DD">
        <w:rPr>
          <w:rFonts w:eastAsia="Calibri"/>
          <w:sz w:val="20"/>
          <w:szCs w:val="20"/>
        </w:rPr>
        <w:t xml:space="preserve">case law </w:t>
      </w:r>
      <w:r w:rsidRPr="00C837DD">
        <w:rPr>
          <w:rFonts w:eastAsia="Calibri"/>
          <w:sz w:val="20"/>
          <w:szCs w:val="20"/>
        </w:rPr>
        <w:t xml:space="preserve">of the Inter-American Court and the Latin American Model Protocol for </w:t>
      </w:r>
      <w:r w:rsidR="004260B5" w:rsidRPr="00C837DD">
        <w:rPr>
          <w:rFonts w:eastAsia="Calibri"/>
          <w:sz w:val="20"/>
          <w:szCs w:val="20"/>
        </w:rPr>
        <w:t xml:space="preserve">the </w:t>
      </w:r>
      <w:r w:rsidRPr="00C837DD">
        <w:rPr>
          <w:rFonts w:eastAsia="Calibri"/>
          <w:sz w:val="20"/>
          <w:szCs w:val="20"/>
        </w:rPr>
        <w:t xml:space="preserve">investigation of </w:t>
      </w:r>
      <w:r w:rsidR="004260B5" w:rsidRPr="00C837DD">
        <w:rPr>
          <w:rFonts w:eastAsia="Calibri"/>
          <w:sz w:val="20"/>
          <w:szCs w:val="20"/>
        </w:rPr>
        <w:t>gender-related killings of women</w:t>
      </w:r>
      <w:r w:rsidRPr="00C837DD">
        <w:rPr>
          <w:rFonts w:eastAsia="Calibri"/>
          <w:sz w:val="20"/>
          <w:szCs w:val="20"/>
        </w:rPr>
        <w:t xml:space="preserve">, as well as </w:t>
      </w:r>
      <w:r w:rsidR="00943920" w:rsidRPr="00C837DD">
        <w:rPr>
          <w:rFonts w:eastAsia="Calibri"/>
          <w:sz w:val="20"/>
          <w:szCs w:val="20"/>
        </w:rPr>
        <w:t xml:space="preserve">the </w:t>
      </w:r>
      <w:r w:rsidRPr="00C837DD">
        <w:rPr>
          <w:rFonts w:eastAsia="Calibri"/>
          <w:sz w:val="20"/>
          <w:szCs w:val="20"/>
        </w:rPr>
        <w:t>national guidelines for the investigation of femicides;</w:t>
      </w:r>
      <w:r w:rsidRPr="00C837DD">
        <w:rPr>
          <w:rFonts w:eastAsia="Calibri"/>
          <w:b/>
          <w:sz w:val="20"/>
          <w:szCs w:val="20"/>
        </w:rPr>
        <w:t xml:space="preserve"> </w:t>
      </w:r>
      <w:r w:rsidRPr="00C837DD">
        <w:rPr>
          <w:rFonts w:eastAsia="Calibri"/>
          <w:sz w:val="20"/>
          <w:szCs w:val="20"/>
        </w:rPr>
        <w:t xml:space="preserve">v) </w:t>
      </w:r>
      <w:r w:rsidR="00496C03">
        <w:rPr>
          <w:rFonts w:eastAsia="Calibri"/>
          <w:sz w:val="20"/>
          <w:szCs w:val="20"/>
        </w:rPr>
        <w:t>ensure</w:t>
      </w:r>
      <w:r w:rsidRPr="00C837DD">
        <w:rPr>
          <w:rFonts w:eastAsia="Calibri"/>
          <w:sz w:val="20"/>
          <w:szCs w:val="20"/>
        </w:rPr>
        <w:t>, with transparency, access to official data on the violent deaths registered as femicides that genera</w:t>
      </w:r>
      <w:r w:rsidR="002A1F70" w:rsidRPr="00C837DD">
        <w:rPr>
          <w:rFonts w:eastAsia="Calibri"/>
          <w:sz w:val="20"/>
          <w:szCs w:val="20"/>
        </w:rPr>
        <w:t xml:space="preserve">ted </w:t>
      </w:r>
      <w:r w:rsidRPr="00C837DD">
        <w:rPr>
          <w:rFonts w:eastAsia="Calibri"/>
          <w:sz w:val="20"/>
          <w:szCs w:val="20"/>
        </w:rPr>
        <w:t xml:space="preserve">criminal proceedings, so that the data is </w:t>
      </w:r>
      <w:r w:rsidR="00943920" w:rsidRPr="00C837DD">
        <w:rPr>
          <w:rFonts w:eastAsia="Calibri"/>
          <w:sz w:val="20"/>
          <w:szCs w:val="20"/>
        </w:rPr>
        <w:t xml:space="preserve">disaggregated </w:t>
      </w:r>
      <w:r w:rsidRPr="00C837DD">
        <w:rPr>
          <w:rFonts w:eastAsia="Calibri"/>
          <w:sz w:val="20"/>
          <w:szCs w:val="20"/>
        </w:rPr>
        <w:t>by age, race, socia</w:t>
      </w:r>
      <w:r w:rsidR="00E42F67" w:rsidRPr="00C837DD">
        <w:rPr>
          <w:rFonts w:eastAsia="Calibri"/>
          <w:sz w:val="20"/>
          <w:szCs w:val="20"/>
        </w:rPr>
        <w:t xml:space="preserve">l class, profile of the victim, </w:t>
      </w:r>
      <w:r w:rsidR="00943920" w:rsidRPr="00C837DD">
        <w:rPr>
          <w:rFonts w:eastAsia="Calibri"/>
          <w:sz w:val="20"/>
          <w:szCs w:val="20"/>
        </w:rPr>
        <w:t>location</w:t>
      </w:r>
      <w:r w:rsidR="00496C03">
        <w:rPr>
          <w:rFonts w:eastAsia="Calibri"/>
          <w:sz w:val="20"/>
          <w:szCs w:val="20"/>
        </w:rPr>
        <w:t xml:space="preserve"> of the event</w:t>
      </w:r>
      <w:r w:rsidRPr="00C837DD">
        <w:rPr>
          <w:rFonts w:eastAsia="Calibri"/>
          <w:sz w:val="20"/>
          <w:szCs w:val="20"/>
        </w:rPr>
        <w:t>, profile of the aggre</w:t>
      </w:r>
      <w:r w:rsidR="004C5C79" w:rsidRPr="00C837DD">
        <w:rPr>
          <w:rFonts w:eastAsia="Calibri"/>
          <w:sz w:val="20"/>
          <w:szCs w:val="20"/>
        </w:rPr>
        <w:t>s</w:t>
      </w:r>
      <w:r w:rsidRPr="00C837DD">
        <w:rPr>
          <w:rFonts w:eastAsia="Calibri"/>
          <w:sz w:val="20"/>
          <w:szCs w:val="20"/>
        </w:rPr>
        <w:t>sor, relationship with the victim, me</w:t>
      </w:r>
      <w:r w:rsidR="001E6F9F" w:rsidRPr="00C837DD">
        <w:rPr>
          <w:rFonts w:eastAsia="Calibri"/>
          <w:sz w:val="20"/>
          <w:szCs w:val="20"/>
        </w:rPr>
        <w:t xml:space="preserve">ans and methods </w:t>
      </w:r>
      <w:r w:rsidRPr="00C837DD">
        <w:rPr>
          <w:rFonts w:eastAsia="Calibri"/>
          <w:sz w:val="20"/>
          <w:szCs w:val="20"/>
        </w:rPr>
        <w:t xml:space="preserve">used, among other variables, that </w:t>
      </w:r>
      <w:r w:rsidR="00943920" w:rsidRPr="00C837DD">
        <w:rPr>
          <w:rFonts w:eastAsia="Calibri"/>
          <w:sz w:val="20"/>
          <w:szCs w:val="20"/>
        </w:rPr>
        <w:t xml:space="preserve">allow for </w:t>
      </w:r>
      <w:r w:rsidRPr="00C837DD">
        <w:rPr>
          <w:rFonts w:eastAsia="Calibri"/>
          <w:sz w:val="20"/>
          <w:szCs w:val="20"/>
        </w:rPr>
        <w:t xml:space="preserve">a quantitative and qualitative analysis, vi) </w:t>
      </w:r>
      <w:r w:rsidR="00943920" w:rsidRPr="00C837DD">
        <w:rPr>
          <w:rFonts w:eastAsia="Calibri"/>
          <w:sz w:val="20"/>
          <w:szCs w:val="20"/>
        </w:rPr>
        <w:t xml:space="preserve">ensure </w:t>
      </w:r>
      <w:r w:rsidRPr="00C837DD">
        <w:rPr>
          <w:rFonts w:eastAsia="Calibri"/>
          <w:sz w:val="20"/>
          <w:szCs w:val="20"/>
        </w:rPr>
        <w:t>the existence of institutions capable of overseeing the application of these policies with a focus on violence</w:t>
      </w:r>
      <w:r w:rsidR="00227EE9" w:rsidRPr="00C837DD">
        <w:rPr>
          <w:rFonts w:eastAsia="Calibri"/>
          <w:sz w:val="20"/>
          <w:szCs w:val="20"/>
        </w:rPr>
        <w:t>,</w:t>
      </w:r>
      <w:r w:rsidRPr="00C837DD">
        <w:rPr>
          <w:rFonts w:eastAsia="Calibri"/>
          <w:sz w:val="20"/>
          <w:szCs w:val="20"/>
        </w:rPr>
        <w:t xml:space="preserve"> </w:t>
      </w:r>
      <w:r w:rsidRPr="00C837DD">
        <w:rPr>
          <w:sz w:val="20"/>
          <w:szCs w:val="20"/>
        </w:rPr>
        <w:t>homicide</w:t>
      </w:r>
      <w:r w:rsidRPr="00C837DD">
        <w:rPr>
          <w:rFonts w:eastAsia="Calibri"/>
          <w:sz w:val="20"/>
          <w:szCs w:val="20"/>
        </w:rPr>
        <w:t xml:space="preserve"> of women </w:t>
      </w:r>
      <w:r w:rsidR="00227EE9" w:rsidRPr="00C837DD">
        <w:rPr>
          <w:rFonts w:eastAsia="Calibri"/>
          <w:sz w:val="20"/>
          <w:szCs w:val="20"/>
        </w:rPr>
        <w:t>and</w:t>
      </w:r>
      <w:r w:rsidRPr="00C837DD">
        <w:rPr>
          <w:rFonts w:eastAsia="Calibri"/>
          <w:sz w:val="20"/>
          <w:szCs w:val="20"/>
        </w:rPr>
        <w:t xml:space="preserve"> femicide. </w:t>
      </w:r>
    </w:p>
    <w:p w14:paraId="0462E22B" w14:textId="77777777" w:rsidR="00F85D5F" w:rsidRPr="00C837DD" w:rsidRDefault="00F85D5F" w:rsidP="00F85D5F">
      <w:pPr>
        <w:pStyle w:val="Prrafodelista"/>
        <w:tabs>
          <w:tab w:val="left" w:pos="142"/>
        </w:tabs>
        <w:ind w:left="0"/>
        <w:rPr>
          <w:sz w:val="20"/>
          <w:szCs w:val="20"/>
        </w:rPr>
      </w:pPr>
    </w:p>
    <w:p w14:paraId="608B3488" w14:textId="1004812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bidi="en-US"/>
        </w:rPr>
        <w:t xml:space="preserve">The </w:t>
      </w:r>
      <w:r w:rsidRPr="00C837DD">
        <w:rPr>
          <w:b/>
          <w:bCs/>
          <w:i/>
          <w:iCs/>
          <w:sz w:val="20"/>
          <w:szCs w:val="20"/>
          <w:lang w:eastAsia="es-ES" w:bidi="en-US"/>
        </w:rPr>
        <w:t>State</w:t>
      </w:r>
      <w:r w:rsidRPr="00C837DD">
        <w:rPr>
          <w:b/>
          <w:i/>
          <w:sz w:val="20"/>
          <w:szCs w:val="20"/>
          <w:lang w:eastAsia="es-ES" w:bidi="en-US"/>
        </w:rPr>
        <w:t xml:space="preserve"> </w:t>
      </w:r>
      <w:r w:rsidR="00E42F67" w:rsidRPr="00C837DD">
        <w:rPr>
          <w:sz w:val="20"/>
          <w:szCs w:val="20"/>
          <w:lang w:eastAsia="es-ES" w:bidi="en-US"/>
        </w:rPr>
        <w:t xml:space="preserve">pointed out </w:t>
      </w:r>
      <w:r w:rsidRPr="00C837DD">
        <w:rPr>
          <w:sz w:val="20"/>
          <w:szCs w:val="20"/>
          <w:lang w:eastAsia="es-ES" w:bidi="en-US"/>
        </w:rPr>
        <w:t xml:space="preserve">that it has already </w:t>
      </w:r>
      <w:r w:rsidR="00227EE9" w:rsidRPr="00C837DD">
        <w:rPr>
          <w:sz w:val="20"/>
          <w:szCs w:val="20"/>
          <w:lang w:eastAsia="es-ES" w:bidi="en-US"/>
        </w:rPr>
        <w:t xml:space="preserve">adapted </w:t>
      </w:r>
      <w:r w:rsidRPr="00C837DD">
        <w:rPr>
          <w:sz w:val="20"/>
          <w:szCs w:val="20"/>
          <w:lang w:eastAsia="es-ES" w:bidi="en-US"/>
        </w:rPr>
        <w:t xml:space="preserve">its regulatory framework </w:t>
      </w:r>
      <w:r w:rsidR="00496C03">
        <w:rPr>
          <w:sz w:val="20"/>
          <w:szCs w:val="20"/>
          <w:lang w:eastAsia="es-ES" w:bidi="en-US"/>
        </w:rPr>
        <w:t xml:space="preserve">regarding </w:t>
      </w:r>
      <w:r w:rsidRPr="00C837DD">
        <w:rPr>
          <w:sz w:val="20"/>
          <w:szCs w:val="20"/>
          <w:lang w:eastAsia="es-ES" w:bidi="en-US"/>
        </w:rPr>
        <w:t xml:space="preserve">parliamentary immunity, which </w:t>
      </w:r>
      <w:r w:rsidR="00227EE9" w:rsidRPr="00C837DD">
        <w:rPr>
          <w:sz w:val="20"/>
          <w:szCs w:val="20"/>
          <w:lang w:eastAsia="es-ES" w:bidi="en-US"/>
        </w:rPr>
        <w:t xml:space="preserve">would have </w:t>
      </w:r>
      <w:r w:rsidRPr="00C837DD">
        <w:rPr>
          <w:sz w:val="20"/>
          <w:szCs w:val="20"/>
          <w:lang w:eastAsia="es-ES" w:bidi="en-US"/>
        </w:rPr>
        <w:t>facilita</w:t>
      </w:r>
      <w:r w:rsidR="001E6F9F" w:rsidRPr="00C837DD">
        <w:rPr>
          <w:sz w:val="20"/>
          <w:szCs w:val="20"/>
          <w:lang w:eastAsia="es-ES" w:bidi="en-US"/>
        </w:rPr>
        <w:t xml:space="preserve">ted </w:t>
      </w:r>
      <w:r w:rsidRPr="00C837DD">
        <w:rPr>
          <w:sz w:val="20"/>
          <w:szCs w:val="20"/>
          <w:lang w:eastAsia="es-ES" w:bidi="en-US"/>
        </w:rPr>
        <w:t xml:space="preserve">the processing of the criminal action that culminated in the conviction of the </w:t>
      </w:r>
      <w:r w:rsidR="00227EE9" w:rsidRPr="00C837DD">
        <w:rPr>
          <w:sz w:val="20"/>
          <w:szCs w:val="20"/>
          <w:lang w:eastAsia="es-ES" w:bidi="en-US"/>
        </w:rPr>
        <w:t>main defendant</w:t>
      </w:r>
      <w:r w:rsidRPr="00C837DD">
        <w:rPr>
          <w:sz w:val="20"/>
          <w:szCs w:val="20"/>
          <w:lang w:eastAsia="es-ES" w:bidi="en-US"/>
        </w:rPr>
        <w:t xml:space="preserve">. </w:t>
      </w:r>
      <w:r w:rsidR="002D07CC">
        <w:rPr>
          <w:sz w:val="20"/>
          <w:szCs w:val="20"/>
          <w:lang w:eastAsia="es-ES" w:bidi="en-US"/>
        </w:rPr>
        <w:t xml:space="preserve">Therefore, it argued </w:t>
      </w:r>
      <w:r w:rsidRPr="00C837DD">
        <w:rPr>
          <w:sz w:val="20"/>
          <w:szCs w:val="20"/>
          <w:lang w:eastAsia="es-ES" w:bidi="en-US"/>
        </w:rPr>
        <w:t xml:space="preserve">that </w:t>
      </w:r>
      <w:r w:rsidR="004C5C79" w:rsidRPr="00C837DD">
        <w:rPr>
          <w:sz w:val="20"/>
          <w:szCs w:val="20"/>
          <w:lang w:eastAsia="es-ES" w:bidi="en-US"/>
        </w:rPr>
        <w:t xml:space="preserve">there is no regulatory </w:t>
      </w:r>
      <w:r w:rsidR="00E42F67" w:rsidRPr="00C837DD">
        <w:rPr>
          <w:sz w:val="20"/>
          <w:szCs w:val="20"/>
          <w:lang w:eastAsia="es-ES" w:bidi="en-US"/>
        </w:rPr>
        <w:t xml:space="preserve">gap </w:t>
      </w:r>
      <w:r w:rsidRPr="00C837DD">
        <w:rPr>
          <w:sz w:val="20"/>
          <w:szCs w:val="20"/>
          <w:lang w:eastAsia="es-ES" w:bidi="en-US"/>
        </w:rPr>
        <w:t xml:space="preserve">that </w:t>
      </w:r>
      <w:r w:rsidR="00227EE9" w:rsidRPr="00C837DD">
        <w:rPr>
          <w:sz w:val="20"/>
          <w:szCs w:val="20"/>
          <w:lang w:eastAsia="es-ES" w:bidi="en-US"/>
        </w:rPr>
        <w:t xml:space="preserve">should </w:t>
      </w:r>
      <w:r w:rsidRPr="00C837DD">
        <w:rPr>
          <w:sz w:val="20"/>
          <w:szCs w:val="20"/>
          <w:lang w:eastAsia="es-ES" w:bidi="en-US"/>
        </w:rPr>
        <w:t xml:space="preserve">be corrected. </w:t>
      </w:r>
      <w:r w:rsidR="004C5C79" w:rsidRPr="00C837DD">
        <w:rPr>
          <w:sz w:val="20"/>
          <w:szCs w:val="20"/>
          <w:lang w:eastAsia="es-ES" w:bidi="en-US"/>
        </w:rPr>
        <w:t xml:space="preserve">It </w:t>
      </w:r>
      <w:r w:rsidR="002D07CC">
        <w:rPr>
          <w:sz w:val="20"/>
          <w:szCs w:val="20"/>
          <w:lang w:eastAsia="es-ES" w:bidi="en-US"/>
        </w:rPr>
        <w:t xml:space="preserve">indicated </w:t>
      </w:r>
      <w:r w:rsidRPr="00C837DD">
        <w:rPr>
          <w:sz w:val="20"/>
          <w:szCs w:val="20"/>
          <w:lang w:eastAsia="es-ES" w:bidi="en-US"/>
        </w:rPr>
        <w:t xml:space="preserve">that, </w:t>
      </w:r>
      <w:r w:rsidR="00227EE9" w:rsidRPr="00C837DD">
        <w:rPr>
          <w:sz w:val="20"/>
          <w:szCs w:val="20"/>
          <w:lang w:eastAsia="es-ES" w:bidi="en-US"/>
        </w:rPr>
        <w:t xml:space="preserve">in addition to being inappropriate, an eventual conviction of this nature would imply a judgment of </w:t>
      </w:r>
      <w:r w:rsidR="000355BA" w:rsidRPr="00C837DD">
        <w:rPr>
          <w:sz w:val="20"/>
          <w:szCs w:val="20"/>
          <w:lang w:eastAsia="es-ES" w:bidi="en-US"/>
        </w:rPr>
        <w:t>abstract unconstitutionality of Brazilian norms, which would only be appropriate in the exercise of the Court's advisory jurisdiction</w:t>
      </w:r>
      <w:r w:rsidRPr="00C837DD">
        <w:rPr>
          <w:sz w:val="20"/>
          <w:szCs w:val="20"/>
          <w:lang w:eastAsia="es-ES" w:bidi="en-US"/>
        </w:rPr>
        <w:t xml:space="preserve">. With respect to public policies aimed at </w:t>
      </w:r>
      <w:r w:rsidR="000355BA" w:rsidRPr="00C837DD">
        <w:rPr>
          <w:sz w:val="20"/>
          <w:szCs w:val="20"/>
          <w:lang w:eastAsia="es-ES" w:bidi="en-US"/>
        </w:rPr>
        <w:t xml:space="preserve">addressing </w:t>
      </w:r>
      <w:r w:rsidRPr="00C837DD">
        <w:rPr>
          <w:sz w:val="20"/>
          <w:szCs w:val="20"/>
          <w:lang w:eastAsia="es-ES" w:bidi="en-US"/>
        </w:rPr>
        <w:t xml:space="preserve">violence against women, the State </w:t>
      </w:r>
      <w:r w:rsidR="002D07CC">
        <w:rPr>
          <w:sz w:val="20"/>
          <w:szCs w:val="20"/>
          <w:lang w:eastAsia="es-ES" w:bidi="en-US"/>
        </w:rPr>
        <w:t xml:space="preserve">pointed out </w:t>
      </w:r>
      <w:r w:rsidRPr="00C837DD">
        <w:rPr>
          <w:sz w:val="20"/>
          <w:szCs w:val="20"/>
          <w:lang w:eastAsia="es-ES" w:bidi="en-US"/>
        </w:rPr>
        <w:t xml:space="preserve">that </w:t>
      </w:r>
      <w:r w:rsidR="004C5C79" w:rsidRPr="00C837DD">
        <w:rPr>
          <w:sz w:val="20"/>
          <w:szCs w:val="20"/>
          <w:lang w:eastAsia="es-ES" w:bidi="en-US"/>
        </w:rPr>
        <w:t>it has be</w:t>
      </w:r>
      <w:r w:rsidR="000355BA" w:rsidRPr="00C837DD">
        <w:rPr>
          <w:sz w:val="20"/>
          <w:szCs w:val="20"/>
          <w:lang w:eastAsia="es-ES" w:bidi="en-US"/>
        </w:rPr>
        <w:t>e</w:t>
      </w:r>
      <w:r w:rsidR="004C5C79" w:rsidRPr="00C837DD">
        <w:rPr>
          <w:sz w:val="20"/>
          <w:szCs w:val="20"/>
          <w:lang w:eastAsia="es-ES" w:bidi="en-US"/>
        </w:rPr>
        <w:t xml:space="preserve">n </w:t>
      </w:r>
      <w:r w:rsidR="000355BA" w:rsidRPr="00C837DD">
        <w:rPr>
          <w:sz w:val="20"/>
          <w:szCs w:val="20"/>
          <w:lang w:eastAsia="es-ES" w:bidi="en-US"/>
        </w:rPr>
        <w:t xml:space="preserve">working on the development of </w:t>
      </w:r>
      <w:r w:rsidRPr="00C837DD">
        <w:rPr>
          <w:sz w:val="20"/>
          <w:szCs w:val="20"/>
          <w:lang w:eastAsia="es-ES" w:bidi="en-US"/>
        </w:rPr>
        <w:t>regulatory frameworks on th</w:t>
      </w:r>
      <w:r w:rsidR="000355BA" w:rsidRPr="00C837DD">
        <w:rPr>
          <w:sz w:val="20"/>
          <w:szCs w:val="20"/>
          <w:lang w:eastAsia="es-ES" w:bidi="en-US"/>
        </w:rPr>
        <w:t>is</w:t>
      </w:r>
      <w:r w:rsidRPr="00C837DD">
        <w:rPr>
          <w:sz w:val="20"/>
          <w:szCs w:val="20"/>
          <w:lang w:eastAsia="es-ES" w:bidi="en-US"/>
        </w:rPr>
        <w:t xml:space="preserve"> </w:t>
      </w:r>
      <w:r w:rsidR="004C5C79" w:rsidRPr="00C837DD">
        <w:rPr>
          <w:sz w:val="20"/>
          <w:szCs w:val="20"/>
          <w:lang w:eastAsia="es-ES" w:bidi="en-US"/>
        </w:rPr>
        <w:t>issue</w:t>
      </w:r>
      <w:r w:rsidRPr="00C837DD">
        <w:rPr>
          <w:sz w:val="20"/>
          <w:szCs w:val="20"/>
          <w:lang w:eastAsia="es-ES" w:bidi="en-US"/>
        </w:rPr>
        <w:t xml:space="preserve">, </w:t>
      </w:r>
      <w:r w:rsidR="000355BA" w:rsidRPr="00C837DD">
        <w:rPr>
          <w:sz w:val="20"/>
          <w:szCs w:val="20"/>
          <w:lang w:eastAsia="es-ES" w:bidi="en-US"/>
        </w:rPr>
        <w:t xml:space="preserve">and therefore </w:t>
      </w:r>
      <w:r w:rsidRPr="00C837DD">
        <w:rPr>
          <w:sz w:val="20"/>
          <w:szCs w:val="20"/>
          <w:lang w:eastAsia="es-ES" w:bidi="en-US"/>
        </w:rPr>
        <w:t xml:space="preserve">the representatives’ request would be unnecessary. It added that </w:t>
      </w:r>
      <w:r w:rsidR="000355BA" w:rsidRPr="00C837DD">
        <w:rPr>
          <w:sz w:val="20"/>
          <w:szCs w:val="20"/>
          <w:lang w:eastAsia="es-ES" w:bidi="en-US"/>
        </w:rPr>
        <w:t xml:space="preserve">the State </w:t>
      </w:r>
      <w:r w:rsidRPr="00C837DD">
        <w:rPr>
          <w:sz w:val="20"/>
          <w:szCs w:val="20"/>
          <w:lang w:eastAsia="es-ES" w:bidi="en-US"/>
        </w:rPr>
        <w:t>s</w:t>
      </w:r>
      <w:r w:rsidR="000355BA" w:rsidRPr="00C837DD">
        <w:rPr>
          <w:sz w:val="20"/>
          <w:szCs w:val="20"/>
          <w:lang w:eastAsia="es-ES" w:bidi="en-US"/>
        </w:rPr>
        <w:t xml:space="preserve">hould be </w:t>
      </w:r>
      <w:r w:rsidRPr="00C837DD">
        <w:rPr>
          <w:sz w:val="20"/>
          <w:szCs w:val="20"/>
          <w:lang w:eastAsia="es-ES" w:bidi="en-US"/>
        </w:rPr>
        <w:t>guarantee</w:t>
      </w:r>
      <w:r w:rsidR="000355BA" w:rsidRPr="00C837DD">
        <w:rPr>
          <w:sz w:val="20"/>
          <w:szCs w:val="20"/>
          <w:lang w:eastAsia="es-ES" w:bidi="en-US"/>
        </w:rPr>
        <w:t>d leeway</w:t>
      </w:r>
      <w:r w:rsidRPr="00C837DD">
        <w:rPr>
          <w:sz w:val="20"/>
          <w:szCs w:val="20"/>
          <w:lang w:eastAsia="es-ES" w:bidi="en-US"/>
        </w:rPr>
        <w:t xml:space="preserve"> in the formulation of its public policies, </w:t>
      </w:r>
      <w:r w:rsidR="000355BA" w:rsidRPr="00C837DD">
        <w:rPr>
          <w:sz w:val="20"/>
          <w:szCs w:val="20"/>
          <w:lang w:eastAsia="es-ES" w:bidi="en-US"/>
        </w:rPr>
        <w:t>so that political choices are not imposed on it.</w:t>
      </w:r>
    </w:p>
    <w:p w14:paraId="576B25FD" w14:textId="77777777" w:rsidR="00F85D5F" w:rsidRPr="00C837DD" w:rsidRDefault="00F85D5F" w:rsidP="00F85D5F">
      <w:pPr>
        <w:pStyle w:val="Prrafodelista"/>
        <w:tabs>
          <w:tab w:val="left" w:pos="142"/>
        </w:tabs>
        <w:ind w:left="0"/>
        <w:rPr>
          <w:sz w:val="20"/>
          <w:szCs w:val="20"/>
        </w:rPr>
      </w:pPr>
    </w:p>
    <w:p w14:paraId="449D39EB" w14:textId="256C703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lastRenderedPageBreak/>
        <w:t xml:space="preserve">The </w:t>
      </w:r>
      <w:r w:rsidRPr="00C837DD">
        <w:rPr>
          <w:b/>
          <w:bCs/>
          <w:i/>
          <w:iCs/>
          <w:sz w:val="20"/>
          <w:szCs w:val="20"/>
        </w:rPr>
        <w:t>Court</w:t>
      </w:r>
      <w:r w:rsidRPr="00C837DD">
        <w:rPr>
          <w:sz w:val="20"/>
          <w:szCs w:val="20"/>
        </w:rPr>
        <w:t xml:space="preserve"> recalls that the State </w:t>
      </w:r>
      <w:r w:rsidR="001E6F9F" w:rsidRPr="00C837DD">
        <w:rPr>
          <w:sz w:val="20"/>
          <w:szCs w:val="20"/>
        </w:rPr>
        <w:t xml:space="preserve">must </w:t>
      </w:r>
      <w:r w:rsidRPr="00C837DD">
        <w:rPr>
          <w:sz w:val="20"/>
          <w:szCs w:val="20"/>
        </w:rPr>
        <w:t xml:space="preserve">prevent </w:t>
      </w:r>
      <w:r w:rsidR="005061D8" w:rsidRPr="00C837DD">
        <w:rPr>
          <w:sz w:val="20"/>
          <w:szCs w:val="20"/>
        </w:rPr>
        <w:t xml:space="preserve">the occurrence of </w:t>
      </w:r>
      <w:r w:rsidRPr="00C837DD">
        <w:rPr>
          <w:sz w:val="20"/>
          <w:szCs w:val="20"/>
        </w:rPr>
        <w:t xml:space="preserve">human rights violations such as those described in this case and, </w:t>
      </w:r>
      <w:r w:rsidR="001E6F9F" w:rsidRPr="00C837DD">
        <w:rPr>
          <w:sz w:val="20"/>
          <w:szCs w:val="20"/>
        </w:rPr>
        <w:t>therefore</w:t>
      </w:r>
      <w:r w:rsidRPr="00C837DD">
        <w:rPr>
          <w:sz w:val="20"/>
          <w:szCs w:val="20"/>
        </w:rPr>
        <w:t xml:space="preserve">, </w:t>
      </w:r>
      <w:r w:rsidR="005061D8" w:rsidRPr="00C837DD">
        <w:rPr>
          <w:sz w:val="20"/>
          <w:szCs w:val="20"/>
        </w:rPr>
        <w:t xml:space="preserve">must </w:t>
      </w:r>
      <w:r w:rsidRPr="00C837DD">
        <w:rPr>
          <w:sz w:val="20"/>
          <w:szCs w:val="20"/>
        </w:rPr>
        <w:t xml:space="preserve">adopt all </w:t>
      </w:r>
      <w:r w:rsidR="005061D8" w:rsidRPr="00C837DD">
        <w:rPr>
          <w:sz w:val="20"/>
          <w:szCs w:val="20"/>
        </w:rPr>
        <w:t xml:space="preserve">pertinent </w:t>
      </w:r>
      <w:r w:rsidRPr="00C837DD">
        <w:rPr>
          <w:sz w:val="20"/>
          <w:szCs w:val="20"/>
        </w:rPr>
        <w:t>legal, administrative or other types of measures t</w:t>
      </w:r>
      <w:r w:rsidR="005061D8" w:rsidRPr="00C837DD">
        <w:rPr>
          <w:sz w:val="20"/>
          <w:szCs w:val="20"/>
        </w:rPr>
        <w:t>o that effect</w:t>
      </w:r>
      <w:r w:rsidRPr="00C837DD">
        <w:rPr>
          <w:sz w:val="20"/>
          <w:szCs w:val="20"/>
        </w:rPr>
        <w:t>.</w:t>
      </w:r>
      <w:r w:rsidRPr="00C837DD">
        <w:rPr>
          <w:rStyle w:val="Refdenotaalpie"/>
          <w:sz w:val="20"/>
          <w:szCs w:val="20"/>
        </w:rPr>
        <w:footnoteReference w:id="286"/>
      </w:r>
    </w:p>
    <w:p w14:paraId="5EC3D27F" w14:textId="77777777" w:rsidR="00F85D5F" w:rsidRPr="00C837DD" w:rsidRDefault="00F85D5F" w:rsidP="00F85D5F">
      <w:pPr>
        <w:pStyle w:val="Prrafodelista"/>
        <w:tabs>
          <w:tab w:val="left" w:pos="142"/>
        </w:tabs>
        <w:ind w:left="0"/>
        <w:rPr>
          <w:sz w:val="20"/>
          <w:szCs w:val="20"/>
        </w:rPr>
      </w:pPr>
    </w:p>
    <w:p w14:paraId="196F4215" w14:textId="035D384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positively values the regulatory advances </w:t>
      </w:r>
      <w:r w:rsidR="005061D8" w:rsidRPr="00C837DD">
        <w:rPr>
          <w:sz w:val="20"/>
          <w:szCs w:val="20"/>
        </w:rPr>
        <w:t xml:space="preserve">made </w:t>
      </w:r>
      <w:r w:rsidRPr="00C837DD">
        <w:rPr>
          <w:sz w:val="20"/>
          <w:szCs w:val="20"/>
        </w:rPr>
        <w:t xml:space="preserve">by the State </w:t>
      </w:r>
      <w:r w:rsidR="002D07CC">
        <w:rPr>
          <w:sz w:val="20"/>
          <w:szCs w:val="20"/>
        </w:rPr>
        <w:t xml:space="preserve">after </w:t>
      </w:r>
      <w:r w:rsidRPr="00C837DD">
        <w:rPr>
          <w:sz w:val="20"/>
          <w:szCs w:val="20"/>
        </w:rPr>
        <w:t>the facts of this case. In particular, the aforementioned Maria da Penha Law, which constitute</w:t>
      </w:r>
      <w:r w:rsidR="005061D8" w:rsidRPr="00C837DD">
        <w:rPr>
          <w:sz w:val="20"/>
          <w:szCs w:val="20"/>
        </w:rPr>
        <w:t>s</w:t>
      </w:r>
      <w:r w:rsidRPr="00C837DD">
        <w:rPr>
          <w:sz w:val="20"/>
          <w:szCs w:val="20"/>
        </w:rPr>
        <w:t xml:space="preserve"> an important international reference in </w:t>
      </w:r>
      <w:r w:rsidR="005061D8" w:rsidRPr="00C837DD">
        <w:rPr>
          <w:sz w:val="20"/>
          <w:szCs w:val="20"/>
        </w:rPr>
        <w:t xml:space="preserve">preventing and combating violence against women, and the Femicide Law, designed </w:t>
      </w:r>
      <w:r w:rsidR="00BA7A40" w:rsidRPr="00C837DD">
        <w:rPr>
          <w:sz w:val="20"/>
          <w:szCs w:val="20"/>
        </w:rPr>
        <w:t>to make homicides committed against women because of their gender more visible and to send a message regarding the special gravity of this crime.</w:t>
      </w:r>
      <w:r w:rsidRPr="00C837DD">
        <w:rPr>
          <w:sz w:val="20"/>
          <w:szCs w:val="20"/>
        </w:rPr>
        <w:t xml:space="preserve"> </w:t>
      </w:r>
      <w:r w:rsidR="00BA7A40" w:rsidRPr="00C837DD">
        <w:rPr>
          <w:sz w:val="20"/>
          <w:szCs w:val="20"/>
        </w:rPr>
        <w:t xml:space="preserve">It is also worth mentioning the amendments to the Brazilian Criminal Code </w:t>
      </w:r>
      <w:r w:rsidR="002D07CC">
        <w:rPr>
          <w:sz w:val="20"/>
          <w:szCs w:val="20"/>
        </w:rPr>
        <w:t xml:space="preserve">introduced </w:t>
      </w:r>
      <w:r w:rsidR="00BA7A40" w:rsidRPr="00C837DD">
        <w:rPr>
          <w:sz w:val="20"/>
          <w:szCs w:val="20"/>
        </w:rPr>
        <w:t>by Law 11.106/2005, which exclude from the legal framework discriminatory terms and expressions in relation to women, among other measures</w:t>
      </w:r>
      <w:r w:rsidRPr="00C837DD">
        <w:rPr>
          <w:sz w:val="20"/>
          <w:szCs w:val="20"/>
        </w:rPr>
        <w:t xml:space="preserve">.    </w:t>
      </w:r>
    </w:p>
    <w:p w14:paraId="5C46E157" w14:textId="77777777" w:rsidR="00F85D5F" w:rsidRPr="00C837DD" w:rsidRDefault="00F85D5F" w:rsidP="00F85D5F">
      <w:pPr>
        <w:pStyle w:val="Prrafodelista"/>
        <w:tabs>
          <w:tab w:val="left" w:pos="142"/>
        </w:tabs>
        <w:ind w:left="0"/>
        <w:rPr>
          <w:sz w:val="20"/>
          <w:szCs w:val="20"/>
        </w:rPr>
      </w:pPr>
    </w:p>
    <w:p w14:paraId="263FABE9" w14:textId="1152E80F" w:rsidR="00F85D5F" w:rsidRPr="00C837DD" w:rsidRDefault="00B861DF" w:rsidP="00F85D5F">
      <w:pPr>
        <w:pStyle w:val="Prrafodelista"/>
        <w:numPr>
          <w:ilvl w:val="0"/>
          <w:numId w:val="6"/>
        </w:numPr>
        <w:tabs>
          <w:tab w:val="left" w:pos="142"/>
        </w:tabs>
        <w:ind w:left="0" w:firstLine="0"/>
        <w:rPr>
          <w:sz w:val="20"/>
          <w:szCs w:val="20"/>
        </w:rPr>
      </w:pPr>
      <w:r w:rsidRPr="00C837DD">
        <w:rPr>
          <w:sz w:val="20"/>
          <w:szCs w:val="20"/>
        </w:rPr>
        <w:t>Likewise</w:t>
      </w:r>
      <w:r w:rsidR="00F85D5F" w:rsidRPr="00C837DD">
        <w:rPr>
          <w:sz w:val="20"/>
          <w:szCs w:val="20"/>
        </w:rPr>
        <w:t xml:space="preserve">, the Court </w:t>
      </w:r>
      <w:r w:rsidR="001A2FA4">
        <w:rPr>
          <w:sz w:val="20"/>
          <w:szCs w:val="20"/>
        </w:rPr>
        <w:t xml:space="preserve">appreciates the fact </w:t>
      </w:r>
      <w:r w:rsidR="00222183" w:rsidRPr="00C837DD">
        <w:rPr>
          <w:sz w:val="20"/>
          <w:szCs w:val="20"/>
        </w:rPr>
        <w:t xml:space="preserve">that there are currently various programs, projects and initiatives in Brazil </w:t>
      </w:r>
      <w:r w:rsidR="004C5C79" w:rsidRPr="00C837DD">
        <w:rPr>
          <w:sz w:val="20"/>
          <w:szCs w:val="20"/>
        </w:rPr>
        <w:t xml:space="preserve">aimed at combating </w:t>
      </w:r>
      <w:r w:rsidR="00F85D5F" w:rsidRPr="00C837DD">
        <w:rPr>
          <w:sz w:val="20"/>
          <w:szCs w:val="20"/>
        </w:rPr>
        <w:t xml:space="preserve">violence and discrimination against women. </w:t>
      </w:r>
      <w:r w:rsidR="00222183" w:rsidRPr="00C837DD">
        <w:rPr>
          <w:sz w:val="20"/>
          <w:szCs w:val="20"/>
        </w:rPr>
        <w:t xml:space="preserve">In this regard, in 2003, the Special Secretariat of Policies for Women was created, a thematic body linked to the Presidency of the Republic, which is </w:t>
      </w:r>
      <w:r w:rsidRPr="00C837DD">
        <w:rPr>
          <w:sz w:val="20"/>
          <w:szCs w:val="20"/>
        </w:rPr>
        <w:t xml:space="preserve">responsible for </w:t>
      </w:r>
      <w:r w:rsidR="00F85D5F" w:rsidRPr="00C837DD">
        <w:rPr>
          <w:sz w:val="20"/>
          <w:szCs w:val="20"/>
        </w:rPr>
        <w:t xml:space="preserve">the coordination, </w:t>
      </w:r>
      <w:r w:rsidR="004C5C79" w:rsidRPr="00C837DD">
        <w:rPr>
          <w:sz w:val="20"/>
          <w:szCs w:val="20"/>
        </w:rPr>
        <w:t xml:space="preserve">design </w:t>
      </w:r>
      <w:r w:rsidR="001E6F9F" w:rsidRPr="00C837DD">
        <w:rPr>
          <w:sz w:val="20"/>
          <w:szCs w:val="20"/>
        </w:rPr>
        <w:t xml:space="preserve">and implementation of policies </w:t>
      </w:r>
      <w:r w:rsidR="00F85D5F" w:rsidRPr="00C837DD">
        <w:rPr>
          <w:sz w:val="20"/>
          <w:szCs w:val="20"/>
        </w:rPr>
        <w:t>for women a</w:t>
      </w:r>
      <w:r w:rsidR="001E6F9F" w:rsidRPr="00C837DD">
        <w:rPr>
          <w:sz w:val="20"/>
          <w:szCs w:val="20"/>
        </w:rPr>
        <w:t>t the federal</w:t>
      </w:r>
      <w:r w:rsidR="00F85D5F" w:rsidRPr="00C837DD">
        <w:rPr>
          <w:sz w:val="20"/>
          <w:szCs w:val="20"/>
        </w:rPr>
        <w:t xml:space="preserve"> </w:t>
      </w:r>
      <w:r w:rsidR="004C5C79" w:rsidRPr="00C837DD">
        <w:rPr>
          <w:sz w:val="20"/>
          <w:szCs w:val="20"/>
        </w:rPr>
        <w:t>level</w:t>
      </w:r>
      <w:r w:rsidR="00F85D5F" w:rsidRPr="00C837DD">
        <w:rPr>
          <w:sz w:val="20"/>
          <w:szCs w:val="20"/>
        </w:rPr>
        <w:t xml:space="preserve">. </w:t>
      </w:r>
      <w:r w:rsidR="001A14F5" w:rsidRPr="00C837DD">
        <w:rPr>
          <w:sz w:val="20"/>
          <w:szCs w:val="20"/>
        </w:rPr>
        <w:t>In addition</w:t>
      </w:r>
      <w:r w:rsidR="00F85D5F" w:rsidRPr="00C837DD">
        <w:rPr>
          <w:sz w:val="20"/>
          <w:szCs w:val="20"/>
        </w:rPr>
        <w:t xml:space="preserve">, in 2006, the National Policy </w:t>
      </w:r>
      <w:r w:rsidR="001A14F5" w:rsidRPr="00C837DD">
        <w:rPr>
          <w:sz w:val="20"/>
          <w:szCs w:val="20"/>
        </w:rPr>
        <w:t xml:space="preserve">for Combating Violence against Women was introduced, </w:t>
      </w:r>
      <w:r w:rsidR="00F85D5F" w:rsidRPr="00C837DD">
        <w:rPr>
          <w:sz w:val="20"/>
          <w:szCs w:val="20"/>
        </w:rPr>
        <w:t xml:space="preserve">which included comprehensive measures </w:t>
      </w:r>
      <w:r w:rsidR="001A14F5" w:rsidRPr="00C837DD">
        <w:rPr>
          <w:sz w:val="20"/>
          <w:szCs w:val="20"/>
        </w:rPr>
        <w:t>for</w:t>
      </w:r>
      <w:r w:rsidR="00F85D5F" w:rsidRPr="00C837DD">
        <w:rPr>
          <w:sz w:val="20"/>
          <w:szCs w:val="20"/>
        </w:rPr>
        <w:t xml:space="preserve"> </w:t>
      </w:r>
      <w:r w:rsidR="001A14F5" w:rsidRPr="00C837DD">
        <w:rPr>
          <w:sz w:val="20"/>
          <w:szCs w:val="20"/>
        </w:rPr>
        <w:t xml:space="preserve">the </w:t>
      </w:r>
      <w:r w:rsidR="00F85D5F" w:rsidRPr="00C837DD">
        <w:rPr>
          <w:sz w:val="20"/>
          <w:szCs w:val="20"/>
        </w:rPr>
        <w:t xml:space="preserve">prevention, protection and </w:t>
      </w:r>
      <w:r w:rsidR="003665CF" w:rsidRPr="00C837DD">
        <w:rPr>
          <w:sz w:val="20"/>
          <w:szCs w:val="20"/>
        </w:rPr>
        <w:t xml:space="preserve">punishment </w:t>
      </w:r>
      <w:r w:rsidR="001A14F5" w:rsidRPr="00C837DD">
        <w:rPr>
          <w:sz w:val="20"/>
          <w:szCs w:val="20"/>
        </w:rPr>
        <w:t xml:space="preserve">of </w:t>
      </w:r>
      <w:r w:rsidR="00F85D5F" w:rsidRPr="00C837DD">
        <w:rPr>
          <w:sz w:val="20"/>
          <w:szCs w:val="20"/>
        </w:rPr>
        <w:t>violen</w:t>
      </w:r>
      <w:r w:rsidR="004260B5" w:rsidRPr="00C837DD">
        <w:rPr>
          <w:sz w:val="20"/>
          <w:szCs w:val="20"/>
        </w:rPr>
        <w:t xml:space="preserve">ce against women. In 2013, the </w:t>
      </w:r>
      <w:r w:rsidR="004260B5" w:rsidRPr="00C837DD">
        <w:rPr>
          <w:i/>
          <w:sz w:val="20"/>
          <w:szCs w:val="20"/>
        </w:rPr>
        <w:t>“Mulher, Viver sem Violência</w:t>
      </w:r>
      <w:r w:rsidR="004260B5" w:rsidRPr="00C837DD">
        <w:t>”</w:t>
      </w:r>
      <w:r w:rsidR="004260B5" w:rsidRPr="00C837DD">
        <w:rPr>
          <w:sz w:val="20"/>
          <w:szCs w:val="20"/>
        </w:rPr>
        <w:t>(</w:t>
      </w:r>
      <w:r w:rsidR="005C2DCF" w:rsidRPr="00C837DD">
        <w:rPr>
          <w:sz w:val="20"/>
          <w:szCs w:val="20"/>
        </w:rPr>
        <w:t>“Women</w:t>
      </w:r>
      <w:r w:rsidR="001A14F5" w:rsidRPr="00C837DD">
        <w:rPr>
          <w:sz w:val="20"/>
          <w:szCs w:val="20"/>
        </w:rPr>
        <w:t>’s Program,</w:t>
      </w:r>
      <w:r w:rsidR="005C2DCF" w:rsidRPr="00C837DD">
        <w:rPr>
          <w:sz w:val="20"/>
          <w:szCs w:val="20"/>
        </w:rPr>
        <w:t xml:space="preserve"> living</w:t>
      </w:r>
      <w:r w:rsidR="004260B5" w:rsidRPr="00C837DD">
        <w:rPr>
          <w:sz w:val="20"/>
          <w:szCs w:val="20"/>
        </w:rPr>
        <w:t xml:space="preserve"> without violence"</w:t>
      </w:r>
      <w:r w:rsidR="005C2DCF" w:rsidRPr="00C837DD">
        <w:rPr>
          <w:sz w:val="20"/>
          <w:szCs w:val="20"/>
        </w:rPr>
        <w:t xml:space="preserve">) </w:t>
      </w:r>
      <w:r w:rsidR="00F85D5F" w:rsidRPr="00C837DD">
        <w:rPr>
          <w:sz w:val="20"/>
          <w:szCs w:val="20"/>
        </w:rPr>
        <w:t xml:space="preserve">was </w:t>
      </w:r>
      <w:r w:rsidR="001A14F5" w:rsidRPr="00C837DD">
        <w:rPr>
          <w:sz w:val="20"/>
          <w:szCs w:val="20"/>
        </w:rPr>
        <w:t xml:space="preserve">launched </w:t>
      </w:r>
      <w:r w:rsidR="00F85D5F" w:rsidRPr="00C837DD">
        <w:rPr>
          <w:sz w:val="20"/>
          <w:szCs w:val="20"/>
        </w:rPr>
        <w:t xml:space="preserve">by the </w:t>
      </w:r>
      <w:r w:rsidR="005C2DCF" w:rsidRPr="00C837DD">
        <w:rPr>
          <w:sz w:val="20"/>
          <w:szCs w:val="20"/>
        </w:rPr>
        <w:t>Secretariat for Women’s Policies</w:t>
      </w:r>
      <w:r w:rsidR="00F85D5F" w:rsidRPr="00C837DD">
        <w:rPr>
          <w:sz w:val="20"/>
          <w:szCs w:val="20"/>
        </w:rPr>
        <w:t xml:space="preserve">, </w:t>
      </w:r>
      <w:r w:rsidR="005C2DCF" w:rsidRPr="00C837DD">
        <w:rPr>
          <w:sz w:val="20"/>
          <w:szCs w:val="20"/>
        </w:rPr>
        <w:t xml:space="preserve">with the aim of </w:t>
      </w:r>
      <w:r w:rsidR="00F85D5F" w:rsidRPr="00C837DD">
        <w:rPr>
          <w:sz w:val="20"/>
          <w:szCs w:val="20"/>
        </w:rPr>
        <w:t>cons</w:t>
      </w:r>
      <w:r w:rsidR="005C2DCF" w:rsidRPr="00C837DD">
        <w:rPr>
          <w:sz w:val="20"/>
          <w:szCs w:val="20"/>
        </w:rPr>
        <w:t>olidating</w:t>
      </w:r>
      <w:r w:rsidR="004C5C79" w:rsidRPr="00C837DD">
        <w:rPr>
          <w:sz w:val="20"/>
          <w:szCs w:val="20"/>
        </w:rPr>
        <w:t xml:space="preserve"> the intersector</w:t>
      </w:r>
      <w:r w:rsidR="00F85D5F" w:rsidRPr="00C837DD">
        <w:rPr>
          <w:sz w:val="20"/>
          <w:szCs w:val="20"/>
        </w:rPr>
        <w:t xml:space="preserve">al network of specialized services and </w:t>
      </w:r>
      <w:r w:rsidR="005C2DCF" w:rsidRPr="00C837DD">
        <w:rPr>
          <w:sz w:val="20"/>
          <w:szCs w:val="20"/>
        </w:rPr>
        <w:t>mainstreaming</w:t>
      </w:r>
      <w:r w:rsidR="00F85D5F" w:rsidRPr="00C837DD">
        <w:rPr>
          <w:sz w:val="20"/>
          <w:szCs w:val="20"/>
        </w:rPr>
        <w:t xml:space="preserve"> the national policy. </w:t>
      </w:r>
    </w:p>
    <w:p w14:paraId="73B2D34C" w14:textId="77777777" w:rsidR="00F85D5F" w:rsidRPr="00C837DD" w:rsidRDefault="00F85D5F" w:rsidP="00F85D5F">
      <w:pPr>
        <w:pStyle w:val="Prrafodelista"/>
        <w:tabs>
          <w:tab w:val="left" w:pos="142"/>
        </w:tabs>
        <w:ind w:left="0"/>
        <w:rPr>
          <w:sz w:val="20"/>
          <w:szCs w:val="20"/>
        </w:rPr>
      </w:pPr>
    </w:p>
    <w:p w14:paraId="2E60F9A8" w14:textId="48F7E8E3" w:rsidR="00F85D5F" w:rsidRPr="00C837DD" w:rsidRDefault="00EF41BB" w:rsidP="00F85D5F">
      <w:pPr>
        <w:pStyle w:val="Prrafodelista"/>
        <w:numPr>
          <w:ilvl w:val="0"/>
          <w:numId w:val="6"/>
        </w:numPr>
        <w:tabs>
          <w:tab w:val="left" w:pos="142"/>
        </w:tabs>
        <w:ind w:left="0" w:firstLine="0"/>
        <w:rPr>
          <w:sz w:val="20"/>
          <w:szCs w:val="20"/>
        </w:rPr>
      </w:pPr>
      <w:r w:rsidRPr="00C837DD">
        <w:rPr>
          <w:sz w:val="20"/>
          <w:szCs w:val="20"/>
        </w:rPr>
        <w:t>However</w:t>
      </w:r>
      <w:r w:rsidR="00F85D5F" w:rsidRPr="00C837DD">
        <w:rPr>
          <w:sz w:val="20"/>
          <w:szCs w:val="20"/>
        </w:rPr>
        <w:t xml:space="preserve">, according to the </w:t>
      </w:r>
      <w:r w:rsidRPr="00C837DD">
        <w:rPr>
          <w:sz w:val="20"/>
          <w:szCs w:val="20"/>
        </w:rPr>
        <w:t xml:space="preserve">limited </w:t>
      </w:r>
      <w:r w:rsidR="00F85D5F" w:rsidRPr="00C837DD">
        <w:rPr>
          <w:sz w:val="20"/>
          <w:szCs w:val="20"/>
        </w:rPr>
        <w:t>official and non-official data available (</w:t>
      </w:r>
      <w:r w:rsidR="00F85D5F" w:rsidRPr="00C837DD">
        <w:rPr>
          <w:i/>
          <w:sz w:val="20"/>
          <w:szCs w:val="20"/>
        </w:rPr>
        <w:t>supra</w:t>
      </w:r>
      <w:r w:rsidR="00F85D5F" w:rsidRPr="00C837DD">
        <w:rPr>
          <w:sz w:val="20"/>
          <w:szCs w:val="20"/>
        </w:rPr>
        <w:t xml:space="preserve"> para. 47), and </w:t>
      </w:r>
      <w:r w:rsidR="001A2FA4">
        <w:rPr>
          <w:sz w:val="20"/>
          <w:szCs w:val="20"/>
        </w:rPr>
        <w:t xml:space="preserve">based on </w:t>
      </w:r>
      <w:r w:rsidRPr="00C837DD">
        <w:rPr>
          <w:sz w:val="20"/>
          <w:szCs w:val="20"/>
        </w:rPr>
        <w:t>the expert opinions of</w:t>
      </w:r>
      <w:r w:rsidR="00F85D5F" w:rsidRPr="00C837DD">
        <w:rPr>
          <w:sz w:val="20"/>
          <w:szCs w:val="20"/>
        </w:rPr>
        <w:t xml:space="preserve"> Wânia Pasinato, Carmen Hein and Soraia Mendes, women in Brazil, especially Afrodescendant and poor women, </w:t>
      </w:r>
      <w:r w:rsidRPr="00C837DD">
        <w:rPr>
          <w:sz w:val="20"/>
          <w:szCs w:val="20"/>
        </w:rPr>
        <w:t>continue to be immersed in a context of discrimination and structural violence</w:t>
      </w:r>
      <w:r w:rsidR="00F85D5F" w:rsidRPr="00C837DD">
        <w:rPr>
          <w:sz w:val="20"/>
          <w:szCs w:val="20"/>
        </w:rPr>
        <w:t>.</w:t>
      </w:r>
      <w:r w:rsidR="00F85D5F" w:rsidRPr="00C837DD">
        <w:rPr>
          <w:rStyle w:val="Refdenotaalpie"/>
          <w:sz w:val="20"/>
          <w:szCs w:val="20"/>
        </w:rPr>
        <w:footnoteReference w:id="287"/>
      </w:r>
      <w:r w:rsidR="00F85D5F" w:rsidRPr="00C837DD">
        <w:rPr>
          <w:sz w:val="20"/>
          <w:szCs w:val="20"/>
        </w:rPr>
        <w:t xml:space="preserve"> The Court will take this into account when determining the guarantees of non-repetition in th</w:t>
      </w:r>
      <w:r w:rsidR="001A2FA4">
        <w:rPr>
          <w:sz w:val="20"/>
          <w:szCs w:val="20"/>
        </w:rPr>
        <w:t>is</w:t>
      </w:r>
      <w:r w:rsidRPr="00C837DD">
        <w:rPr>
          <w:sz w:val="20"/>
          <w:szCs w:val="20"/>
        </w:rPr>
        <w:t xml:space="preserve"> </w:t>
      </w:r>
      <w:r w:rsidR="00F85D5F" w:rsidRPr="00C837DD">
        <w:rPr>
          <w:sz w:val="20"/>
          <w:szCs w:val="20"/>
        </w:rPr>
        <w:t xml:space="preserve">case.   </w:t>
      </w:r>
    </w:p>
    <w:p w14:paraId="59565D00" w14:textId="77777777" w:rsidR="00F85D5F" w:rsidRPr="00C837DD" w:rsidRDefault="00F85D5F" w:rsidP="00F85D5F">
      <w:pPr>
        <w:pStyle w:val="Prrafodelista"/>
        <w:tabs>
          <w:tab w:val="left" w:pos="142"/>
        </w:tabs>
        <w:ind w:left="0"/>
        <w:rPr>
          <w:sz w:val="20"/>
          <w:szCs w:val="20"/>
        </w:rPr>
      </w:pPr>
    </w:p>
    <w:p w14:paraId="613AA0F7" w14:textId="77777777" w:rsidR="00F85D5F" w:rsidRPr="00C837DD" w:rsidRDefault="00F85D5F" w:rsidP="00F85D5F">
      <w:pPr>
        <w:pStyle w:val="Ttulo3"/>
        <w:numPr>
          <w:ilvl w:val="0"/>
          <w:numId w:val="32"/>
        </w:numPr>
        <w:ind w:left="1560" w:hanging="709"/>
        <w:rPr>
          <w:sz w:val="20"/>
          <w:szCs w:val="20"/>
        </w:rPr>
      </w:pPr>
      <w:bookmarkStart w:id="104" w:name="_Toc85001903"/>
      <w:r w:rsidRPr="00C837DD">
        <w:rPr>
          <w:sz w:val="20"/>
          <w:szCs w:val="20"/>
        </w:rPr>
        <w:t>Statistics on gender violence</w:t>
      </w:r>
      <w:bookmarkEnd w:id="104"/>
    </w:p>
    <w:p w14:paraId="213E0703" w14:textId="77777777" w:rsidR="00F85D5F" w:rsidRPr="00C837DD" w:rsidRDefault="00F85D5F" w:rsidP="00F85D5F">
      <w:pPr>
        <w:tabs>
          <w:tab w:val="left" w:pos="142"/>
        </w:tabs>
        <w:rPr>
          <w:sz w:val="20"/>
          <w:szCs w:val="20"/>
        </w:rPr>
      </w:pPr>
    </w:p>
    <w:p w14:paraId="639FCB6A" w14:textId="69013ACC" w:rsidR="00F85D5F" w:rsidRPr="00C837DD" w:rsidRDefault="00607AF1" w:rsidP="00F85D5F">
      <w:pPr>
        <w:pStyle w:val="Prrafodelista"/>
        <w:numPr>
          <w:ilvl w:val="0"/>
          <w:numId w:val="6"/>
        </w:numPr>
        <w:tabs>
          <w:tab w:val="left" w:pos="142"/>
        </w:tabs>
        <w:ind w:left="0" w:firstLine="0"/>
        <w:rPr>
          <w:sz w:val="20"/>
          <w:szCs w:val="20"/>
        </w:rPr>
      </w:pPr>
      <w:r>
        <w:rPr>
          <w:sz w:val="20"/>
          <w:szCs w:val="20"/>
        </w:rPr>
        <w:t xml:space="preserve">Based on </w:t>
      </w:r>
      <w:r w:rsidR="00D67019" w:rsidRPr="00C837DD">
        <w:rPr>
          <w:sz w:val="20"/>
          <w:szCs w:val="20"/>
        </w:rPr>
        <w:t xml:space="preserve">the </w:t>
      </w:r>
      <w:r w:rsidR="00F85D5F" w:rsidRPr="00C837DD">
        <w:rPr>
          <w:sz w:val="20"/>
          <w:szCs w:val="20"/>
        </w:rPr>
        <w:t xml:space="preserve">context in </w:t>
      </w:r>
      <w:r w:rsidR="003665CF" w:rsidRPr="00C837DD">
        <w:rPr>
          <w:sz w:val="20"/>
          <w:szCs w:val="20"/>
        </w:rPr>
        <w:t xml:space="preserve">which </w:t>
      </w:r>
      <w:r w:rsidR="00F85D5F" w:rsidRPr="00C837DD">
        <w:rPr>
          <w:sz w:val="20"/>
          <w:szCs w:val="20"/>
        </w:rPr>
        <w:t>the facts of this case</w:t>
      </w:r>
      <w:r w:rsidR="003665CF" w:rsidRPr="00C837DD">
        <w:rPr>
          <w:sz w:val="20"/>
          <w:szCs w:val="20"/>
        </w:rPr>
        <w:t xml:space="preserve"> </w:t>
      </w:r>
      <w:r w:rsidR="00D67019" w:rsidRPr="00C837DD">
        <w:rPr>
          <w:sz w:val="20"/>
          <w:szCs w:val="20"/>
        </w:rPr>
        <w:t>are framed</w:t>
      </w:r>
      <w:r w:rsidR="00F85D5F" w:rsidRPr="00C837DD">
        <w:rPr>
          <w:sz w:val="20"/>
          <w:szCs w:val="20"/>
        </w:rPr>
        <w:t xml:space="preserve">, </w:t>
      </w:r>
      <w:r w:rsidR="00D67019" w:rsidRPr="00C837DD">
        <w:rPr>
          <w:sz w:val="20"/>
          <w:szCs w:val="20"/>
        </w:rPr>
        <w:t xml:space="preserve">as early as </w:t>
      </w:r>
      <w:r w:rsidR="00F85D5F" w:rsidRPr="00C837DD">
        <w:rPr>
          <w:sz w:val="20"/>
          <w:szCs w:val="20"/>
        </w:rPr>
        <w:t>2006, the precari</w:t>
      </w:r>
      <w:r w:rsidR="00D67019" w:rsidRPr="00C837DD">
        <w:rPr>
          <w:sz w:val="20"/>
          <w:szCs w:val="20"/>
        </w:rPr>
        <w:t>ousness of national statistical data</w:t>
      </w:r>
      <w:r w:rsidR="00F85D5F" w:rsidRPr="00C837DD">
        <w:rPr>
          <w:sz w:val="20"/>
          <w:szCs w:val="20"/>
        </w:rPr>
        <w:t xml:space="preserve"> on violence against women</w:t>
      </w:r>
      <w:r w:rsidR="00D67019" w:rsidRPr="00C837DD">
        <w:rPr>
          <w:sz w:val="20"/>
          <w:szCs w:val="20"/>
        </w:rPr>
        <w:t xml:space="preserve"> was noted</w:t>
      </w:r>
      <w:r w:rsidR="00F85D5F" w:rsidRPr="00C837DD">
        <w:rPr>
          <w:sz w:val="20"/>
          <w:szCs w:val="20"/>
        </w:rPr>
        <w:t>.</w:t>
      </w:r>
      <w:r w:rsidR="00F85D5F" w:rsidRPr="00C837DD">
        <w:rPr>
          <w:sz w:val="20"/>
          <w:szCs w:val="20"/>
          <w:vertAlign w:val="superscript"/>
        </w:rPr>
        <w:footnoteReference w:id="288"/>
      </w:r>
      <w:r w:rsidR="00F85D5F" w:rsidRPr="00C837DD">
        <w:rPr>
          <w:sz w:val="20"/>
          <w:szCs w:val="20"/>
        </w:rPr>
        <w:t xml:space="preserve"> </w:t>
      </w:r>
      <w:r w:rsidR="00D67019" w:rsidRPr="00C837DD">
        <w:rPr>
          <w:sz w:val="20"/>
          <w:szCs w:val="20"/>
        </w:rPr>
        <w:t>F</w:t>
      </w:r>
      <w:r w:rsidR="00F85D5F" w:rsidRPr="00C837DD">
        <w:rPr>
          <w:sz w:val="20"/>
          <w:szCs w:val="20"/>
        </w:rPr>
        <w:t xml:space="preserve">ourteen years </w:t>
      </w:r>
      <w:r w:rsidR="00D67019" w:rsidRPr="00C837DD">
        <w:rPr>
          <w:sz w:val="20"/>
          <w:szCs w:val="20"/>
        </w:rPr>
        <w:t>later</w:t>
      </w:r>
      <w:r w:rsidR="00F85D5F" w:rsidRPr="00C837DD">
        <w:rPr>
          <w:sz w:val="20"/>
          <w:szCs w:val="20"/>
        </w:rPr>
        <w:t xml:space="preserve">, the </w:t>
      </w:r>
      <w:r w:rsidR="003665CF" w:rsidRPr="00C837DD">
        <w:rPr>
          <w:sz w:val="20"/>
          <w:szCs w:val="20"/>
        </w:rPr>
        <w:t>expert</w:t>
      </w:r>
      <w:r w:rsidR="00F85D5F" w:rsidRPr="00C837DD">
        <w:rPr>
          <w:sz w:val="20"/>
          <w:szCs w:val="20"/>
        </w:rPr>
        <w:t xml:space="preserve"> </w:t>
      </w:r>
      <w:r w:rsidR="00895B89" w:rsidRPr="00C837DD">
        <w:rPr>
          <w:sz w:val="20"/>
          <w:szCs w:val="20"/>
        </w:rPr>
        <w:t xml:space="preserve">witness </w:t>
      </w:r>
      <w:r w:rsidR="00F85D5F" w:rsidRPr="00C837DD">
        <w:rPr>
          <w:sz w:val="20"/>
          <w:szCs w:val="20"/>
        </w:rPr>
        <w:t xml:space="preserve">Carmen Hein </w:t>
      </w:r>
      <w:r>
        <w:rPr>
          <w:sz w:val="20"/>
          <w:szCs w:val="20"/>
        </w:rPr>
        <w:t xml:space="preserve">reaffirmed </w:t>
      </w:r>
      <w:r w:rsidR="00D67019" w:rsidRPr="00C837DD">
        <w:rPr>
          <w:sz w:val="20"/>
          <w:szCs w:val="20"/>
        </w:rPr>
        <w:t xml:space="preserve">this view </w:t>
      </w:r>
      <w:r w:rsidR="00F85D5F" w:rsidRPr="00C837DD">
        <w:rPr>
          <w:sz w:val="20"/>
          <w:szCs w:val="20"/>
        </w:rPr>
        <w:t xml:space="preserve">when </w:t>
      </w:r>
      <w:r w:rsidR="00D67019" w:rsidRPr="00C837DD">
        <w:rPr>
          <w:sz w:val="20"/>
          <w:szCs w:val="20"/>
        </w:rPr>
        <w:t xml:space="preserve">she stated </w:t>
      </w:r>
      <w:r w:rsidR="00F85D5F" w:rsidRPr="00C837DD">
        <w:rPr>
          <w:sz w:val="20"/>
          <w:szCs w:val="20"/>
        </w:rPr>
        <w:t>that “</w:t>
      </w:r>
      <w:r w:rsidR="00D67019" w:rsidRPr="00C837DD">
        <w:rPr>
          <w:sz w:val="20"/>
          <w:szCs w:val="20"/>
        </w:rPr>
        <w:t>there is no national system of records on</w:t>
      </w:r>
      <w:r w:rsidR="00F85D5F" w:rsidRPr="00C837DD">
        <w:rPr>
          <w:sz w:val="20"/>
          <w:szCs w:val="20"/>
        </w:rPr>
        <w:t xml:space="preserve"> femicides that is comparable and </w:t>
      </w:r>
      <w:r w:rsidR="00D67019" w:rsidRPr="00C837DD">
        <w:rPr>
          <w:sz w:val="20"/>
          <w:szCs w:val="20"/>
        </w:rPr>
        <w:t xml:space="preserve">allows for the analysis </w:t>
      </w:r>
      <w:r w:rsidR="00F85D5F" w:rsidRPr="00C837DD">
        <w:rPr>
          <w:sz w:val="20"/>
          <w:szCs w:val="20"/>
        </w:rPr>
        <w:t>and cr</w:t>
      </w:r>
      <w:r w:rsidR="00D67019" w:rsidRPr="00C837DD">
        <w:rPr>
          <w:sz w:val="20"/>
          <w:szCs w:val="20"/>
        </w:rPr>
        <w:t xml:space="preserve">oss-checking of data </w:t>
      </w:r>
      <w:r w:rsidR="00C37EB0" w:rsidRPr="00C837DD">
        <w:rPr>
          <w:sz w:val="20"/>
          <w:szCs w:val="20"/>
        </w:rPr>
        <w:t>for a diagnosis of the deaths of women and the development of effective public policies.</w:t>
      </w:r>
      <w:r w:rsidR="00F85D5F" w:rsidRPr="00C837DD">
        <w:rPr>
          <w:sz w:val="20"/>
          <w:szCs w:val="20"/>
        </w:rPr>
        <w:t>”</w:t>
      </w:r>
      <w:r w:rsidR="00F85D5F" w:rsidRPr="00C837DD">
        <w:rPr>
          <w:sz w:val="20"/>
          <w:szCs w:val="20"/>
          <w:vertAlign w:val="superscript"/>
        </w:rPr>
        <w:footnoteReference w:id="289"/>
      </w:r>
      <w:r w:rsidR="00F85D5F" w:rsidRPr="00C837DD">
        <w:rPr>
          <w:sz w:val="20"/>
          <w:szCs w:val="20"/>
        </w:rPr>
        <w:t xml:space="preserve"> </w:t>
      </w:r>
    </w:p>
    <w:p w14:paraId="044B8CBC" w14:textId="77777777" w:rsidR="00F85D5F" w:rsidRPr="00C837DD" w:rsidRDefault="00F85D5F" w:rsidP="00F85D5F">
      <w:pPr>
        <w:pStyle w:val="Prrafodelista"/>
        <w:tabs>
          <w:tab w:val="left" w:pos="142"/>
        </w:tabs>
        <w:ind w:left="0"/>
        <w:rPr>
          <w:sz w:val="20"/>
          <w:szCs w:val="20"/>
        </w:rPr>
      </w:pPr>
    </w:p>
    <w:p w14:paraId="6162B900" w14:textId="2FDE470C" w:rsidR="00F85D5F" w:rsidRPr="00C837DD" w:rsidRDefault="00C67AA5" w:rsidP="00F85D5F">
      <w:pPr>
        <w:pStyle w:val="Prrafodelista"/>
        <w:numPr>
          <w:ilvl w:val="0"/>
          <w:numId w:val="6"/>
        </w:numPr>
        <w:tabs>
          <w:tab w:val="left" w:pos="142"/>
        </w:tabs>
        <w:ind w:left="0" w:firstLine="0"/>
        <w:rPr>
          <w:sz w:val="20"/>
          <w:szCs w:val="20"/>
        </w:rPr>
      </w:pPr>
      <w:r w:rsidRPr="00C837DD">
        <w:rPr>
          <w:sz w:val="20"/>
          <w:szCs w:val="20"/>
        </w:rPr>
        <w:lastRenderedPageBreak/>
        <w:t>In addition</w:t>
      </w:r>
      <w:r w:rsidR="00F85D5F" w:rsidRPr="00C837DD">
        <w:rPr>
          <w:sz w:val="20"/>
          <w:szCs w:val="20"/>
        </w:rPr>
        <w:t>, in 2012, the CEDAW Committee expressed concern a</w:t>
      </w:r>
      <w:r w:rsidRPr="00C837DD">
        <w:rPr>
          <w:sz w:val="20"/>
          <w:szCs w:val="20"/>
        </w:rPr>
        <w:t>bout</w:t>
      </w:r>
      <w:r w:rsidR="00F85D5F" w:rsidRPr="00C837DD">
        <w:rPr>
          <w:sz w:val="20"/>
          <w:szCs w:val="20"/>
        </w:rPr>
        <w:t xml:space="preserve"> the lack of </w:t>
      </w:r>
      <w:r w:rsidRPr="00C837DD">
        <w:rPr>
          <w:sz w:val="20"/>
          <w:szCs w:val="20"/>
        </w:rPr>
        <w:t xml:space="preserve">accurate </w:t>
      </w:r>
      <w:r w:rsidR="00F85D5F" w:rsidRPr="00C837DD">
        <w:rPr>
          <w:sz w:val="20"/>
          <w:szCs w:val="20"/>
        </w:rPr>
        <w:t>and co</w:t>
      </w:r>
      <w:r w:rsidRPr="00C837DD">
        <w:rPr>
          <w:sz w:val="20"/>
          <w:szCs w:val="20"/>
        </w:rPr>
        <w:t xml:space="preserve">nsistent </w:t>
      </w:r>
      <w:r w:rsidR="00AD4259" w:rsidRPr="00C837DD">
        <w:rPr>
          <w:sz w:val="20"/>
          <w:szCs w:val="20"/>
        </w:rPr>
        <w:t xml:space="preserve">data </w:t>
      </w:r>
      <w:r w:rsidR="00F85D5F" w:rsidRPr="00C837DD">
        <w:rPr>
          <w:sz w:val="20"/>
          <w:szCs w:val="20"/>
        </w:rPr>
        <w:t>on violence against women in Brazil.</w:t>
      </w:r>
      <w:r w:rsidR="00F85D5F" w:rsidRPr="00C837DD">
        <w:rPr>
          <w:sz w:val="20"/>
          <w:szCs w:val="20"/>
          <w:vertAlign w:val="superscript"/>
        </w:rPr>
        <w:footnoteReference w:id="290"/>
      </w:r>
      <w:r w:rsidRPr="00C837DD">
        <w:t xml:space="preserve"> </w:t>
      </w:r>
      <w:r w:rsidRPr="00C837DD">
        <w:rPr>
          <w:sz w:val="20"/>
          <w:szCs w:val="20"/>
        </w:rPr>
        <w:t>Similarly, the Parliamentary Commission of Inquiry of the Brazilian Federal Senate, created in 2012 to facilitate the implementation of the Maria da Penha Law,</w:t>
      </w:r>
      <w:r w:rsidR="00F85D5F" w:rsidRPr="00C837DD">
        <w:rPr>
          <w:sz w:val="20"/>
          <w:szCs w:val="20"/>
        </w:rPr>
        <w:t xml:space="preserve"> also identified, in 2016, the difficulty of collecting data on the situation of violence against women in the country </w:t>
      </w:r>
      <w:r w:rsidR="00682F24" w:rsidRPr="00C837DD">
        <w:rPr>
          <w:sz w:val="20"/>
          <w:szCs w:val="20"/>
        </w:rPr>
        <w:t>given the existence of different databases: from the police, from different health entities, from the justice sector, and also at different levels</w:t>
      </w:r>
      <w:r w:rsidR="00F85D5F" w:rsidRPr="00C837DD">
        <w:rPr>
          <w:sz w:val="20"/>
          <w:szCs w:val="20"/>
        </w:rPr>
        <w:t>.</w:t>
      </w:r>
      <w:r w:rsidR="00F85D5F" w:rsidRPr="00C837DD">
        <w:rPr>
          <w:sz w:val="20"/>
          <w:szCs w:val="20"/>
          <w:vertAlign w:val="superscript"/>
        </w:rPr>
        <w:footnoteReference w:id="291"/>
      </w:r>
    </w:p>
    <w:p w14:paraId="23601163" w14:textId="77777777" w:rsidR="00F85D5F" w:rsidRPr="00C837DD" w:rsidRDefault="00F85D5F" w:rsidP="00F85D5F">
      <w:pPr>
        <w:pStyle w:val="Prrafodelista"/>
        <w:tabs>
          <w:tab w:val="left" w:pos="142"/>
        </w:tabs>
        <w:ind w:left="0"/>
        <w:rPr>
          <w:sz w:val="20"/>
          <w:szCs w:val="20"/>
        </w:rPr>
      </w:pPr>
    </w:p>
    <w:p w14:paraId="3787DB62" w14:textId="74AF4C13"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Article 38 of the Maria da Penha Law </w:t>
      </w:r>
      <w:r w:rsidR="00682F24" w:rsidRPr="00C837DD">
        <w:rPr>
          <w:sz w:val="20"/>
          <w:szCs w:val="20"/>
        </w:rPr>
        <w:t xml:space="preserve"> establishes the requirement to include statistics on domestic and intra-family violence based on data from the bodies of the justice and security systems.</w:t>
      </w:r>
      <w:r w:rsidRPr="00C837DD">
        <w:rPr>
          <w:rStyle w:val="Refdenotaalpie"/>
          <w:sz w:val="20"/>
          <w:szCs w:val="20"/>
        </w:rPr>
        <w:footnoteReference w:id="292"/>
      </w:r>
      <w:r w:rsidRPr="00C837DD">
        <w:rPr>
          <w:sz w:val="20"/>
          <w:szCs w:val="20"/>
        </w:rPr>
        <w:t xml:space="preserve"> From the evidence </w:t>
      </w:r>
      <w:r w:rsidR="00AA62FE" w:rsidRPr="00C837DD">
        <w:rPr>
          <w:sz w:val="20"/>
          <w:szCs w:val="20"/>
        </w:rPr>
        <w:t xml:space="preserve">in the case file, this precept has not been observed. In this regard, the expert Henrique Marques Ribeiro pointed out that this </w:t>
      </w:r>
      <w:r w:rsidRPr="00C837DD">
        <w:rPr>
          <w:sz w:val="20"/>
          <w:szCs w:val="20"/>
        </w:rPr>
        <w:t>regulatory provision has not been implemented in practice.</w:t>
      </w:r>
      <w:r w:rsidRPr="00C837DD">
        <w:rPr>
          <w:rStyle w:val="Refdenotaalpie"/>
          <w:sz w:val="20"/>
          <w:szCs w:val="20"/>
        </w:rPr>
        <w:footnoteReference w:id="293"/>
      </w:r>
    </w:p>
    <w:p w14:paraId="71F7FEF6" w14:textId="77777777" w:rsidR="00F85D5F" w:rsidRPr="00C837DD" w:rsidRDefault="00F85D5F" w:rsidP="00F85D5F">
      <w:pPr>
        <w:pStyle w:val="Prrafodelista"/>
        <w:tabs>
          <w:tab w:val="left" w:pos="142"/>
        </w:tabs>
        <w:ind w:left="0"/>
        <w:rPr>
          <w:sz w:val="20"/>
          <w:szCs w:val="20"/>
        </w:rPr>
      </w:pPr>
    </w:p>
    <w:p w14:paraId="51FD24B1" w14:textId="5291996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Taking into account </w:t>
      </w:r>
      <w:r w:rsidR="00AA62FE" w:rsidRPr="00C837DD">
        <w:rPr>
          <w:sz w:val="20"/>
          <w:szCs w:val="20"/>
        </w:rPr>
        <w:t>all of the above, the Court considers that it is necessary to collect comprehensive information on the various forms of gender-based violence in order to assess the real magnitude of this phenomenon and, by virtue of this, to formulate the relevant public policies and design strategies to prevent and eradicate further acts of violence and discrimination against women</w:t>
      </w:r>
      <w:r w:rsidRPr="00C837DD">
        <w:rPr>
          <w:sz w:val="20"/>
          <w:szCs w:val="20"/>
        </w:rPr>
        <w:t>. Therefore,</w:t>
      </w:r>
      <w:r w:rsidR="004825EB" w:rsidRPr="00C837DD">
        <w:rPr>
          <w:sz w:val="20"/>
          <w:szCs w:val="20"/>
        </w:rPr>
        <w:t xml:space="preserve"> the Court orders the State to</w:t>
      </w:r>
      <w:r w:rsidRPr="00C837DD">
        <w:rPr>
          <w:sz w:val="20"/>
          <w:szCs w:val="20"/>
        </w:rPr>
        <w:t xml:space="preserve"> design within one year</w:t>
      </w:r>
      <w:r w:rsidR="004825EB" w:rsidRPr="00C837DD">
        <w:rPr>
          <w:sz w:val="20"/>
          <w:szCs w:val="20"/>
        </w:rPr>
        <w:t>, and implement</w:t>
      </w:r>
      <w:r w:rsidR="00204165" w:rsidRPr="00C837DD">
        <w:rPr>
          <w:sz w:val="20"/>
          <w:szCs w:val="20"/>
        </w:rPr>
        <w:t>,</w:t>
      </w:r>
      <w:r w:rsidRPr="00C837DD">
        <w:rPr>
          <w:sz w:val="20"/>
          <w:szCs w:val="20"/>
        </w:rPr>
        <w:t xml:space="preserve"> within three years, through </w:t>
      </w:r>
      <w:r w:rsidR="00204165" w:rsidRPr="00C837DD">
        <w:rPr>
          <w:sz w:val="20"/>
          <w:szCs w:val="20"/>
        </w:rPr>
        <w:t xml:space="preserve">the relevant </w:t>
      </w:r>
      <w:r w:rsidR="004825EB" w:rsidRPr="00C837DD">
        <w:rPr>
          <w:sz w:val="20"/>
          <w:szCs w:val="20"/>
        </w:rPr>
        <w:t xml:space="preserve">federal public </w:t>
      </w:r>
      <w:r w:rsidR="00204165" w:rsidRPr="00C837DD">
        <w:rPr>
          <w:sz w:val="20"/>
          <w:szCs w:val="20"/>
        </w:rPr>
        <w:t>agency</w:t>
      </w:r>
      <w:r w:rsidRPr="00C837DD">
        <w:rPr>
          <w:sz w:val="20"/>
          <w:szCs w:val="20"/>
        </w:rPr>
        <w:t>, a national and centralized system</w:t>
      </w:r>
      <w:r w:rsidR="00204165" w:rsidRPr="00C837DD">
        <w:rPr>
          <w:sz w:val="20"/>
          <w:szCs w:val="20"/>
        </w:rPr>
        <w:t xml:space="preserve"> for the collection of data disaggregated by age, race, social class, victim profile, place of occurrence, profile of the aggressor, relationship with the victim, means and methods used, among other variables, that allow for the quantitative and qualitative analysis of acts of violence against women and, in particular, violent deaths of women</w:t>
      </w:r>
      <w:r w:rsidRPr="00C837DD">
        <w:rPr>
          <w:sz w:val="20"/>
          <w:szCs w:val="20"/>
        </w:rPr>
        <w:t xml:space="preserve">. </w:t>
      </w:r>
      <w:r w:rsidR="00A078A7" w:rsidRPr="00C837DD">
        <w:rPr>
          <w:sz w:val="20"/>
          <w:szCs w:val="20"/>
        </w:rPr>
        <w:t>In addition, the number of cases that were effectively prosecuted should be specified, identifying the number of indictments, convictions and acquittals.</w:t>
      </w:r>
      <w:r w:rsidRPr="00C837DD">
        <w:rPr>
          <w:sz w:val="20"/>
          <w:szCs w:val="20"/>
        </w:rPr>
        <w:t xml:space="preserve"> </w:t>
      </w:r>
      <w:r w:rsidR="00A078A7" w:rsidRPr="00C837DD">
        <w:rPr>
          <w:sz w:val="20"/>
          <w:szCs w:val="20"/>
        </w:rPr>
        <w:t>This information should be disseminated annually by the State through the corresponding report</w:t>
      </w:r>
      <w:r w:rsidR="00F56DCE">
        <w:rPr>
          <w:sz w:val="20"/>
          <w:szCs w:val="20"/>
        </w:rPr>
        <w:t xml:space="preserve"> and be</w:t>
      </w:r>
      <w:r w:rsidRPr="00C837DD">
        <w:rPr>
          <w:sz w:val="20"/>
          <w:szCs w:val="20"/>
        </w:rPr>
        <w:t xml:space="preserve"> </w:t>
      </w:r>
      <w:r w:rsidR="00A078A7" w:rsidRPr="00C837DD">
        <w:rPr>
          <w:sz w:val="20"/>
          <w:szCs w:val="20"/>
        </w:rPr>
        <w:t xml:space="preserve">made accessible </w:t>
      </w:r>
      <w:r w:rsidRPr="00C837DD">
        <w:rPr>
          <w:sz w:val="20"/>
          <w:szCs w:val="20"/>
        </w:rPr>
        <w:t>to the population in general</w:t>
      </w:r>
      <w:r w:rsidR="00F56DCE">
        <w:rPr>
          <w:sz w:val="20"/>
          <w:szCs w:val="20"/>
        </w:rPr>
        <w:t>.</w:t>
      </w:r>
      <w:r w:rsidRPr="00C837DD">
        <w:rPr>
          <w:sz w:val="20"/>
          <w:szCs w:val="20"/>
        </w:rPr>
        <w:t xml:space="preserve"> </w:t>
      </w:r>
      <w:r w:rsidR="00F56DCE">
        <w:rPr>
          <w:sz w:val="20"/>
          <w:szCs w:val="20"/>
        </w:rPr>
        <w:t>T</w:t>
      </w:r>
      <w:r w:rsidRPr="00C837DD">
        <w:rPr>
          <w:sz w:val="20"/>
          <w:szCs w:val="20"/>
        </w:rPr>
        <w:t>he identity of the victims</w:t>
      </w:r>
      <w:r w:rsidR="00F56DCE">
        <w:rPr>
          <w:sz w:val="20"/>
          <w:szCs w:val="20"/>
        </w:rPr>
        <w:t xml:space="preserve"> must also be protected</w:t>
      </w:r>
      <w:r w:rsidRPr="00C837DD">
        <w:rPr>
          <w:sz w:val="20"/>
          <w:szCs w:val="20"/>
        </w:rPr>
        <w:t xml:space="preserve">. To this end, </w:t>
      </w:r>
      <w:r w:rsidR="00A078A7" w:rsidRPr="00C837DD">
        <w:rPr>
          <w:sz w:val="20"/>
          <w:szCs w:val="20"/>
        </w:rPr>
        <w:t xml:space="preserve">the State shall submit an annual report to the Court for three years after the implementation of the data collection system, indicating the actions that have been </w:t>
      </w:r>
      <w:r w:rsidRPr="00C837DD">
        <w:rPr>
          <w:sz w:val="20"/>
          <w:szCs w:val="20"/>
        </w:rPr>
        <w:t xml:space="preserve">taken </w:t>
      </w:r>
      <w:r w:rsidR="00A078A7" w:rsidRPr="00C837DD">
        <w:rPr>
          <w:sz w:val="20"/>
          <w:szCs w:val="20"/>
        </w:rPr>
        <w:t xml:space="preserve">in </w:t>
      </w:r>
      <w:r w:rsidRPr="00C837DD">
        <w:rPr>
          <w:sz w:val="20"/>
          <w:szCs w:val="20"/>
        </w:rPr>
        <w:t xml:space="preserve">that </w:t>
      </w:r>
      <w:r w:rsidR="00A078A7" w:rsidRPr="00C837DD">
        <w:rPr>
          <w:sz w:val="20"/>
          <w:szCs w:val="20"/>
        </w:rPr>
        <w:t>regard</w:t>
      </w:r>
      <w:r w:rsidRPr="00C837DD">
        <w:rPr>
          <w:sz w:val="20"/>
          <w:szCs w:val="20"/>
        </w:rPr>
        <w:t>.</w:t>
      </w:r>
      <w:r w:rsidRPr="00C837DD">
        <w:rPr>
          <w:sz w:val="20"/>
          <w:szCs w:val="20"/>
          <w:vertAlign w:val="superscript"/>
        </w:rPr>
        <w:footnoteReference w:id="294"/>
      </w:r>
    </w:p>
    <w:p w14:paraId="777587EB" w14:textId="77777777" w:rsidR="00F85D5F" w:rsidRPr="00C837DD" w:rsidRDefault="00F85D5F" w:rsidP="00F85D5F">
      <w:pPr>
        <w:tabs>
          <w:tab w:val="left" w:pos="142"/>
        </w:tabs>
        <w:jc w:val="both"/>
        <w:rPr>
          <w:sz w:val="20"/>
          <w:szCs w:val="20"/>
        </w:rPr>
      </w:pPr>
    </w:p>
    <w:p w14:paraId="72EC389B" w14:textId="77777777" w:rsidR="00F85D5F" w:rsidRPr="00C837DD" w:rsidRDefault="00F85D5F" w:rsidP="00F85D5F">
      <w:pPr>
        <w:pStyle w:val="Ttulo3"/>
        <w:numPr>
          <w:ilvl w:val="0"/>
          <w:numId w:val="32"/>
        </w:numPr>
        <w:ind w:left="1560" w:hanging="709"/>
        <w:rPr>
          <w:sz w:val="20"/>
          <w:szCs w:val="20"/>
        </w:rPr>
      </w:pPr>
      <w:bookmarkStart w:id="105" w:name="_Toc85001904"/>
      <w:r w:rsidRPr="00C837DD">
        <w:rPr>
          <w:sz w:val="20"/>
          <w:szCs w:val="20"/>
        </w:rPr>
        <w:t>Implementation of training</w:t>
      </w:r>
      <w:bookmarkEnd w:id="105"/>
      <w:r w:rsidRPr="00C837DD">
        <w:rPr>
          <w:sz w:val="20"/>
          <w:szCs w:val="20"/>
        </w:rPr>
        <w:t xml:space="preserve"> and awareness-raising programs</w:t>
      </w:r>
    </w:p>
    <w:p w14:paraId="6B44846C" w14:textId="77777777" w:rsidR="00F85D5F" w:rsidRPr="00C837DD" w:rsidRDefault="00F85D5F" w:rsidP="00F85D5F">
      <w:pPr>
        <w:ind w:left="1418" w:hanging="709"/>
        <w:rPr>
          <w:i/>
          <w:sz w:val="20"/>
          <w:szCs w:val="20"/>
        </w:rPr>
      </w:pPr>
    </w:p>
    <w:p w14:paraId="3E9915A6" w14:textId="0E6BA01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Chapter VIII of this </w:t>
      </w:r>
      <w:r w:rsidR="00806B0C" w:rsidRPr="00C837DD">
        <w:rPr>
          <w:sz w:val="20"/>
          <w:szCs w:val="20"/>
        </w:rPr>
        <w:t>j</w:t>
      </w:r>
      <w:r w:rsidRPr="00C837DD">
        <w:rPr>
          <w:sz w:val="20"/>
          <w:szCs w:val="20"/>
        </w:rPr>
        <w:t xml:space="preserve">udgment, the Court concluded that the State did not act with due diligence in the investigation of the other possible </w:t>
      </w:r>
      <w:r w:rsidR="003665CF" w:rsidRPr="00C837DD">
        <w:rPr>
          <w:sz w:val="20"/>
          <w:szCs w:val="20"/>
        </w:rPr>
        <w:t xml:space="preserve">participants in the murder </w:t>
      </w:r>
      <w:r w:rsidRPr="00C837DD">
        <w:rPr>
          <w:sz w:val="20"/>
          <w:szCs w:val="20"/>
        </w:rPr>
        <w:t xml:space="preserve">of </w:t>
      </w:r>
      <w:r w:rsidR="00B8009F" w:rsidRPr="00C837DD">
        <w:rPr>
          <w:sz w:val="20"/>
          <w:szCs w:val="20"/>
        </w:rPr>
        <w:t>Márcia</w:t>
      </w:r>
      <w:r w:rsidRPr="00C837DD">
        <w:rPr>
          <w:sz w:val="20"/>
          <w:szCs w:val="20"/>
        </w:rPr>
        <w:t xml:space="preserve"> Barbosa de Souza (</w:t>
      </w:r>
      <w:r w:rsidRPr="00C837DD">
        <w:rPr>
          <w:i/>
          <w:sz w:val="20"/>
          <w:szCs w:val="20"/>
        </w:rPr>
        <w:t>supra</w:t>
      </w:r>
      <w:r w:rsidRPr="00C837DD">
        <w:rPr>
          <w:sz w:val="20"/>
          <w:szCs w:val="20"/>
        </w:rPr>
        <w:t xml:space="preserve"> para. 133) and that the investigation and criminal proceedings </w:t>
      </w:r>
      <w:r w:rsidR="00A4704F" w:rsidRPr="00C837DD">
        <w:rPr>
          <w:sz w:val="20"/>
          <w:szCs w:val="20"/>
        </w:rPr>
        <w:t>were discriminatory in nature, due to the use of gender stereotypes, thus violating the right of access to justice of the next of kin of Mrs. Barbosa de Souza</w:t>
      </w:r>
      <w:r w:rsidRPr="00C837DD">
        <w:rPr>
          <w:sz w:val="20"/>
          <w:szCs w:val="20"/>
        </w:rPr>
        <w:t xml:space="preserve"> (</w:t>
      </w:r>
      <w:r w:rsidRPr="00C837DD">
        <w:rPr>
          <w:i/>
          <w:sz w:val="20"/>
          <w:szCs w:val="20"/>
        </w:rPr>
        <w:t>supra</w:t>
      </w:r>
      <w:r w:rsidRPr="00C837DD">
        <w:rPr>
          <w:sz w:val="20"/>
          <w:szCs w:val="20"/>
        </w:rPr>
        <w:t xml:space="preserve"> para. 150).</w:t>
      </w:r>
    </w:p>
    <w:p w14:paraId="11E0693C" w14:textId="77777777" w:rsidR="00F85D5F" w:rsidRPr="00C837DD" w:rsidRDefault="00F85D5F" w:rsidP="00F85D5F">
      <w:pPr>
        <w:pStyle w:val="Prrafodelista"/>
        <w:tabs>
          <w:tab w:val="left" w:pos="142"/>
        </w:tabs>
        <w:ind w:left="0"/>
        <w:rPr>
          <w:sz w:val="20"/>
          <w:szCs w:val="20"/>
        </w:rPr>
      </w:pPr>
    </w:p>
    <w:p w14:paraId="6931D3CC" w14:textId="68B6DAE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the context of this case, the expert Carmen Hein referred to </w:t>
      </w:r>
      <w:r w:rsidR="00E003CE" w:rsidRPr="00C837DD">
        <w:rPr>
          <w:sz w:val="20"/>
          <w:szCs w:val="20"/>
        </w:rPr>
        <w:t xml:space="preserve">several </w:t>
      </w:r>
      <w:r w:rsidRPr="00C837DD">
        <w:rPr>
          <w:sz w:val="20"/>
          <w:szCs w:val="20"/>
        </w:rPr>
        <w:t xml:space="preserve">problems related to the State’s response to the situation of violence against women in Brazil. </w:t>
      </w:r>
      <w:r w:rsidR="00E003CE" w:rsidRPr="00C837DD">
        <w:rPr>
          <w:sz w:val="20"/>
          <w:szCs w:val="20"/>
        </w:rPr>
        <w:t>In this regard, she mentioned the existence of gender stereotypes in the investigations, the</w:t>
      </w:r>
      <w:r w:rsidRPr="00C837DD">
        <w:rPr>
          <w:sz w:val="20"/>
          <w:szCs w:val="20"/>
        </w:rPr>
        <w:t xml:space="preserve"> </w:t>
      </w:r>
      <w:r w:rsidR="00E003CE" w:rsidRPr="00C837DD">
        <w:rPr>
          <w:sz w:val="20"/>
          <w:szCs w:val="20"/>
        </w:rPr>
        <w:t xml:space="preserve">significant </w:t>
      </w:r>
      <w:r w:rsidRPr="00C837DD">
        <w:rPr>
          <w:sz w:val="20"/>
          <w:szCs w:val="20"/>
        </w:rPr>
        <w:t xml:space="preserve">absence of women in the </w:t>
      </w:r>
      <w:r w:rsidR="00E003CE" w:rsidRPr="00C837DD">
        <w:rPr>
          <w:sz w:val="20"/>
          <w:szCs w:val="20"/>
        </w:rPr>
        <w:t xml:space="preserve">agencies </w:t>
      </w:r>
      <w:r w:rsidR="00F56DCE">
        <w:rPr>
          <w:sz w:val="20"/>
          <w:szCs w:val="20"/>
        </w:rPr>
        <w:t xml:space="preserve">responsible for </w:t>
      </w:r>
      <w:r w:rsidRPr="00C837DD">
        <w:rPr>
          <w:sz w:val="20"/>
          <w:szCs w:val="20"/>
        </w:rPr>
        <w:t xml:space="preserve">investigations, and the lack of specialized knowledge of justice officials in </w:t>
      </w:r>
      <w:r w:rsidR="00E003CE" w:rsidRPr="00C837DD">
        <w:rPr>
          <w:sz w:val="20"/>
          <w:szCs w:val="20"/>
        </w:rPr>
        <w:t xml:space="preserve">the area </w:t>
      </w:r>
      <w:r w:rsidRPr="00C837DD">
        <w:rPr>
          <w:sz w:val="20"/>
          <w:szCs w:val="20"/>
        </w:rPr>
        <w:t>of gender violence, among other factors that negatively influence investigations and perpetuate the situation of impunity.</w:t>
      </w:r>
    </w:p>
    <w:p w14:paraId="3797315F" w14:textId="77777777" w:rsidR="00F85D5F" w:rsidRPr="00C837DD" w:rsidRDefault="00F85D5F" w:rsidP="00F85D5F">
      <w:pPr>
        <w:pStyle w:val="Prrafodelista"/>
        <w:tabs>
          <w:tab w:val="left" w:pos="142"/>
        </w:tabs>
        <w:ind w:left="0"/>
        <w:rPr>
          <w:sz w:val="20"/>
          <w:szCs w:val="20"/>
        </w:rPr>
      </w:pPr>
    </w:p>
    <w:p w14:paraId="3E4DD171" w14:textId="3305856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This Court </w:t>
      </w:r>
      <w:r w:rsidR="00E003CE" w:rsidRPr="00C837DD">
        <w:rPr>
          <w:sz w:val="20"/>
          <w:szCs w:val="20"/>
        </w:rPr>
        <w:t>appreciates</w:t>
      </w:r>
      <w:r w:rsidRPr="00C837DD">
        <w:rPr>
          <w:sz w:val="20"/>
          <w:szCs w:val="20"/>
        </w:rPr>
        <w:t xml:space="preserve"> the efforts </w:t>
      </w:r>
      <w:r w:rsidR="00E003CE" w:rsidRPr="00C837DD">
        <w:rPr>
          <w:sz w:val="20"/>
          <w:szCs w:val="20"/>
        </w:rPr>
        <w:t xml:space="preserve">made </w:t>
      </w:r>
      <w:r w:rsidRPr="00C837DD">
        <w:rPr>
          <w:sz w:val="20"/>
          <w:szCs w:val="20"/>
        </w:rPr>
        <w:t xml:space="preserve">by the State to </w:t>
      </w:r>
      <w:r w:rsidR="00F56DCE">
        <w:rPr>
          <w:sz w:val="20"/>
          <w:szCs w:val="20"/>
        </w:rPr>
        <w:t xml:space="preserve">provide </w:t>
      </w:r>
      <w:r w:rsidRPr="00C837DD">
        <w:rPr>
          <w:sz w:val="20"/>
          <w:szCs w:val="20"/>
        </w:rPr>
        <w:t>train</w:t>
      </w:r>
      <w:r w:rsidR="00F56DCE">
        <w:rPr>
          <w:sz w:val="20"/>
          <w:szCs w:val="20"/>
        </w:rPr>
        <w:t xml:space="preserve">ing on </w:t>
      </w:r>
      <w:r w:rsidR="00F56DCE" w:rsidRPr="00C837DD">
        <w:rPr>
          <w:sz w:val="20"/>
          <w:szCs w:val="20"/>
        </w:rPr>
        <w:t>gender perspective</w:t>
      </w:r>
      <w:r w:rsidRPr="00C837DD">
        <w:rPr>
          <w:sz w:val="20"/>
          <w:szCs w:val="20"/>
        </w:rPr>
        <w:t xml:space="preserve"> </w:t>
      </w:r>
      <w:r w:rsidR="00F56DCE">
        <w:rPr>
          <w:sz w:val="20"/>
          <w:szCs w:val="20"/>
        </w:rPr>
        <w:t xml:space="preserve">to the </w:t>
      </w:r>
      <w:r w:rsidRPr="00C837DD">
        <w:rPr>
          <w:sz w:val="20"/>
          <w:szCs w:val="20"/>
        </w:rPr>
        <w:t xml:space="preserve">personnel </w:t>
      </w:r>
      <w:r w:rsidR="00E003CE" w:rsidRPr="00C837DD">
        <w:rPr>
          <w:sz w:val="20"/>
          <w:szCs w:val="20"/>
        </w:rPr>
        <w:t xml:space="preserve">involved in </w:t>
      </w:r>
      <w:r w:rsidRPr="00C837DD">
        <w:rPr>
          <w:sz w:val="20"/>
          <w:szCs w:val="20"/>
        </w:rPr>
        <w:t>the administration of justice.</w:t>
      </w:r>
      <w:r w:rsidRPr="00C837DD">
        <w:rPr>
          <w:rStyle w:val="Refdenotaalpie"/>
          <w:sz w:val="20"/>
          <w:szCs w:val="20"/>
        </w:rPr>
        <w:footnoteReference w:id="295"/>
      </w:r>
      <w:r w:rsidRPr="00C837DD">
        <w:rPr>
          <w:sz w:val="20"/>
          <w:szCs w:val="20"/>
        </w:rPr>
        <w:t xml:space="preserve"> However, </w:t>
      </w:r>
      <w:r w:rsidR="00241FE4" w:rsidRPr="00C837DD">
        <w:rPr>
          <w:sz w:val="20"/>
          <w:szCs w:val="20"/>
        </w:rPr>
        <w:t xml:space="preserve">it considers it </w:t>
      </w:r>
      <w:r w:rsidRPr="00C837DD">
        <w:rPr>
          <w:sz w:val="20"/>
          <w:szCs w:val="20"/>
        </w:rPr>
        <w:t xml:space="preserve">pertinent </w:t>
      </w:r>
      <w:r w:rsidR="00E003CE" w:rsidRPr="00C837DD">
        <w:rPr>
          <w:sz w:val="20"/>
          <w:szCs w:val="20"/>
        </w:rPr>
        <w:t xml:space="preserve">to </w:t>
      </w:r>
      <w:r w:rsidRPr="00C837DD">
        <w:rPr>
          <w:sz w:val="20"/>
          <w:szCs w:val="20"/>
        </w:rPr>
        <w:t xml:space="preserve">order the State to create and implement, </w:t>
      </w:r>
      <w:r w:rsidR="003665CF" w:rsidRPr="00C837DD">
        <w:rPr>
          <w:sz w:val="20"/>
          <w:szCs w:val="20"/>
        </w:rPr>
        <w:t xml:space="preserve">within </w:t>
      </w:r>
      <w:r w:rsidRPr="00C837DD">
        <w:rPr>
          <w:sz w:val="20"/>
          <w:szCs w:val="20"/>
        </w:rPr>
        <w:t xml:space="preserve">two years, a plan </w:t>
      </w:r>
      <w:r w:rsidR="008B1133" w:rsidRPr="00C837DD">
        <w:rPr>
          <w:sz w:val="20"/>
          <w:szCs w:val="20"/>
        </w:rPr>
        <w:t>for</w:t>
      </w:r>
      <w:r w:rsidRPr="00C837DD">
        <w:rPr>
          <w:sz w:val="20"/>
          <w:szCs w:val="20"/>
        </w:rPr>
        <w:t xml:space="preserve"> </w:t>
      </w:r>
      <w:r w:rsidR="00F56DCE">
        <w:rPr>
          <w:sz w:val="20"/>
          <w:szCs w:val="20"/>
        </w:rPr>
        <w:t xml:space="preserve">the </w:t>
      </w:r>
      <w:r w:rsidR="008B1133" w:rsidRPr="00C837DD">
        <w:rPr>
          <w:sz w:val="20"/>
          <w:szCs w:val="20"/>
        </w:rPr>
        <w:t xml:space="preserve">training and </w:t>
      </w:r>
      <w:r w:rsidRPr="00C837DD">
        <w:rPr>
          <w:sz w:val="20"/>
          <w:szCs w:val="20"/>
        </w:rPr>
        <w:t xml:space="preserve">continuous education and </w:t>
      </w:r>
      <w:r w:rsidR="008B1133" w:rsidRPr="00C837DD">
        <w:rPr>
          <w:sz w:val="20"/>
          <w:szCs w:val="20"/>
        </w:rPr>
        <w:t xml:space="preserve">sensitization of police forces in charge of investigations </w:t>
      </w:r>
      <w:r w:rsidRPr="00C837DD">
        <w:rPr>
          <w:sz w:val="20"/>
          <w:szCs w:val="20"/>
        </w:rPr>
        <w:t xml:space="preserve">and justice operators </w:t>
      </w:r>
      <w:r w:rsidR="008B1133" w:rsidRPr="00C837DD">
        <w:rPr>
          <w:sz w:val="20"/>
          <w:szCs w:val="20"/>
        </w:rPr>
        <w:t xml:space="preserve">in </w:t>
      </w:r>
      <w:r w:rsidRPr="00C837DD">
        <w:rPr>
          <w:sz w:val="20"/>
          <w:szCs w:val="20"/>
        </w:rPr>
        <w:t xml:space="preserve">the </w:t>
      </w:r>
      <w:r w:rsidR="008B1133" w:rsidRPr="00C837DD">
        <w:rPr>
          <w:sz w:val="20"/>
          <w:szCs w:val="20"/>
        </w:rPr>
        <w:t>s</w:t>
      </w:r>
      <w:r w:rsidRPr="00C837DD">
        <w:rPr>
          <w:sz w:val="20"/>
          <w:szCs w:val="20"/>
        </w:rPr>
        <w:t>tate of Paraíba, with</w:t>
      </w:r>
      <w:r w:rsidR="00F56DCE">
        <w:rPr>
          <w:sz w:val="20"/>
          <w:szCs w:val="20"/>
        </w:rPr>
        <w:t xml:space="preserve"> a</w:t>
      </w:r>
      <w:r w:rsidRPr="00C837DD">
        <w:rPr>
          <w:sz w:val="20"/>
          <w:szCs w:val="20"/>
        </w:rPr>
        <w:t xml:space="preserve"> gender and race perspective, to </w:t>
      </w:r>
      <w:r w:rsidR="008B1133" w:rsidRPr="00C837DD">
        <w:rPr>
          <w:sz w:val="20"/>
          <w:szCs w:val="20"/>
        </w:rPr>
        <w:t>ensure that they have the necessary knowledge to identify acts and</w:t>
      </w:r>
      <w:r w:rsidRPr="00C837DD">
        <w:rPr>
          <w:sz w:val="20"/>
          <w:szCs w:val="20"/>
        </w:rPr>
        <w:t xml:space="preserve"> expressions of gender</w:t>
      </w:r>
      <w:r w:rsidR="008B1133" w:rsidRPr="00C837DD">
        <w:rPr>
          <w:sz w:val="20"/>
          <w:szCs w:val="20"/>
        </w:rPr>
        <w:t>-</w:t>
      </w:r>
      <w:r w:rsidRPr="00C837DD">
        <w:rPr>
          <w:sz w:val="20"/>
          <w:szCs w:val="20"/>
        </w:rPr>
        <w:t xml:space="preserve">based violence against women and </w:t>
      </w:r>
      <w:r w:rsidR="000D678C" w:rsidRPr="00C837DD">
        <w:rPr>
          <w:sz w:val="20"/>
          <w:szCs w:val="20"/>
        </w:rPr>
        <w:t xml:space="preserve">to </w:t>
      </w:r>
      <w:r w:rsidRPr="00C837DD">
        <w:rPr>
          <w:sz w:val="20"/>
          <w:szCs w:val="20"/>
        </w:rPr>
        <w:t>investigate and prosecute the perpetrators, through the provision of tools and training on technical and legal aspects of this type of crime.</w:t>
      </w:r>
    </w:p>
    <w:p w14:paraId="4A68C447" w14:textId="77777777" w:rsidR="00F85D5F" w:rsidRPr="00C837DD" w:rsidRDefault="00F85D5F" w:rsidP="00F85D5F">
      <w:pPr>
        <w:pStyle w:val="Prrafodelista"/>
        <w:rPr>
          <w:sz w:val="20"/>
          <w:szCs w:val="20"/>
        </w:rPr>
      </w:pPr>
    </w:p>
    <w:p w14:paraId="303EA4AC" w14:textId="5EF1E5DF" w:rsidR="00F85D5F" w:rsidRPr="00C837DD" w:rsidRDefault="000D678C" w:rsidP="00F85D5F">
      <w:pPr>
        <w:pStyle w:val="Prrafodelista"/>
        <w:numPr>
          <w:ilvl w:val="0"/>
          <w:numId w:val="6"/>
        </w:numPr>
        <w:tabs>
          <w:tab w:val="left" w:pos="142"/>
        </w:tabs>
        <w:ind w:left="0" w:firstLine="0"/>
        <w:rPr>
          <w:sz w:val="20"/>
          <w:szCs w:val="20"/>
        </w:rPr>
      </w:pPr>
      <w:r w:rsidRPr="00C837DD">
        <w:rPr>
          <w:sz w:val="20"/>
          <w:szCs w:val="20"/>
        </w:rPr>
        <w:t>T</w:t>
      </w:r>
      <w:r w:rsidR="00F85D5F" w:rsidRPr="00C837DD">
        <w:rPr>
          <w:sz w:val="20"/>
          <w:szCs w:val="20"/>
        </w:rPr>
        <w:t xml:space="preserve">he Court </w:t>
      </w:r>
      <w:r w:rsidRPr="00C837DD">
        <w:rPr>
          <w:sz w:val="20"/>
          <w:szCs w:val="20"/>
        </w:rPr>
        <w:t xml:space="preserve">also </w:t>
      </w:r>
      <w:r w:rsidR="00F85D5F" w:rsidRPr="00C837DD">
        <w:rPr>
          <w:sz w:val="20"/>
          <w:szCs w:val="20"/>
        </w:rPr>
        <w:t xml:space="preserve">considers it pertinent to order the Legislative Assembly of the state of Paraíba to </w:t>
      </w:r>
      <w:r w:rsidRPr="00C837DD">
        <w:rPr>
          <w:sz w:val="20"/>
          <w:szCs w:val="20"/>
        </w:rPr>
        <w:t xml:space="preserve">hold </w:t>
      </w:r>
      <w:r w:rsidR="00F85D5F" w:rsidRPr="00C837DD">
        <w:rPr>
          <w:sz w:val="20"/>
          <w:szCs w:val="20"/>
        </w:rPr>
        <w:t xml:space="preserve">a </w:t>
      </w:r>
      <w:r w:rsidRPr="00C837DD">
        <w:rPr>
          <w:sz w:val="20"/>
          <w:szCs w:val="20"/>
        </w:rPr>
        <w:t xml:space="preserve">day </w:t>
      </w:r>
      <w:r w:rsidR="00F85D5F" w:rsidRPr="00C837DD">
        <w:rPr>
          <w:sz w:val="20"/>
          <w:szCs w:val="20"/>
        </w:rPr>
        <w:t>of refle</w:t>
      </w:r>
      <w:r w:rsidR="004C5C79" w:rsidRPr="00C837DD">
        <w:rPr>
          <w:sz w:val="20"/>
          <w:szCs w:val="20"/>
        </w:rPr>
        <w:t xml:space="preserve">ction </w:t>
      </w:r>
      <w:r w:rsidR="00F85D5F" w:rsidRPr="00C837DD">
        <w:rPr>
          <w:sz w:val="20"/>
          <w:szCs w:val="20"/>
        </w:rPr>
        <w:t xml:space="preserve">and </w:t>
      </w:r>
      <w:r w:rsidR="004C5C79" w:rsidRPr="00C837DD">
        <w:rPr>
          <w:sz w:val="20"/>
          <w:szCs w:val="20"/>
        </w:rPr>
        <w:t>awareness-raising</w:t>
      </w:r>
      <w:r w:rsidR="00F85D5F" w:rsidRPr="00C837DD">
        <w:rPr>
          <w:sz w:val="20"/>
          <w:szCs w:val="20"/>
        </w:rPr>
        <w:t xml:space="preserve">, </w:t>
      </w:r>
      <w:r w:rsidRPr="00C837DD">
        <w:rPr>
          <w:sz w:val="20"/>
          <w:szCs w:val="20"/>
        </w:rPr>
        <w:t>bearing the name of Márcia Barbosa de Souza, on the impact of femicide, violence against women and the use of parliamentary immunity,</w:t>
      </w:r>
      <w:r w:rsidR="00F85D5F" w:rsidRPr="00C837DD">
        <w:rPr>
          <w:sz w:val="20"/>
          <w:szCs w:val="20"/>
        </w:rPr>
        <w:t xml:space="preserve"> taking into account the content of this judgment.  </w:t>
      </w:r>
    </w:p>
    <w:p w14:paraId="6E401BE5" w14:textId="77777777" w:rsidR="00F85D5F" w:rsidRPr="00C837DD" w:rsidRDefault="00F85D5F" w:rsidP="00F85D5F">
      <w:pPr>
        <w:widowControl/>
        <w:autoSpaceDE/>
        <w:autoSpaceDN/>
        <w:spacing w:after="160" w:line="259" w:lineRule="auto"/>
        <w:rPr>
          <w:sz w:val="20"/>
          <w:szCs w:val="20"/>
        </w:rPr>
      </w:pPr>
    </w:p>
    <w:p w14:paraId="2C7B0FFC" w14:textId="7D2CB11F" w:rsidR="00F85D5F" w:rsidRPr="00C837DD" w:rsidRDefault="00F85D5F" w:rsidP="00F85D5F">
      <w:pPr>
        <w:pStyle w:val="Ttulo3"/>
        <w:numPr>
          <w:ilvl w:val="0"/>
          <w:numId w:val="32"/>
        </w:numPr>
        <w:ind w:left="1560" w:hanging="709"/>
        <w:jc w:val="both"/>
        <w:rPr>
          <w:sz w:val="20"/>
          <w:szCs w:val="20"/>
        </w:rPr>
      </w:pPr>
      <w:r w:rsidRPr="00C837DD">
        <w:rPr>
          <w:sz w:val="20"/>
          <w:szCs w:val="20"/>
        </w:rPr>
        <w:t xml:space="preserve">Adoption of a standardized protocol for </w:t>
      </w:r>
      <w:r w:rsidR="000D678C" w:rsidRPr="00C837DD">
        <w:rPr>
          <w:sz w:val="20"/>
          <w:szCs w:val="20"/>
        </w:rPr>
        <w:t xml:space="preserve">the </w:t>
      </w:r>
      <w:r w:rsidRPr="00C837DD">
        <w:rPr>
          <w:sz w:val="20"/>
          <w:szCs w:val="20"/>
        </w:rPr>
        <w:t xml:space="preserve">investigation of </w:t>
      </w:r>
      <w:r w:rsidR="000D678C" w:rsidRPr="00C837DD">
        <w:rPr>
          <w:sz w:val="20"/>
          <w:szCs w:val="20"/>
        </w:rPr>
        <w:t xml:space="preserve">gender-based </w:t>
      </w:r>
      <w:r w:rsidRPr="00C837DD">
        <w:rPr>
          <w:sz w:val="20"/>
          <w:szCs w:val="20"/>
        </w:rPr>
        <w:t>violent deaths of women</w:t>
      </w:r>
    </w:p>
    <w:p w14:paraId="082110B0" w14:textId="77777777" w:rsidR="00F85D5F" w:rsidRPr="00C837DD" w:rsidRDefault="00F85D5F" w:rsidP="00F85D5F"/>
    <w:p w14:paraId="7789F71E" w14:textId="66A545E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  In Chapter VIII of this </w:t>
      </w:r>
      <w:r w:rsidR="00237856" w:rsidRPr="00C837DD">
        <w:rPr>
          <w:sz w:val="20"/>
          <w:szCs w:val="20"/>
        </w:rPr>
        <w:t>j</w:t>
      </w:r>
      <w:r w:rsidRPr="00C837DD">
        <w:rPr>
          <w:sz w:val="20"/>
          <w:szCs w:val="20"/>
        </w:rPr>
        <w:t>udgment, the Court concluded that Brazil did not adopt a gender perspective in the investigation and c</w:t>
      </w:r>
      <w:r w:rsidR="003665CF" w:rsidRPr="00C837DD">
        <w:rPr>
          <w:sz w:val="20"/>
          <w:szCs w:val="20"/>
        </w:rPr>
        <w:t>riminal proceedings initiated</w:t>
      </w:r>
      <w:r w:rsidRPr="00C837DD">
        <w:rPr>
          <w:sz w:val="20"/>
          <w:szCs w:val="20"/>
        </w:rPr>
        <w:t xml:space="preserve"> </w:t>
      </w:r>
      <w:r w:rsidR="00237856" w:rsidRPr="00C837DD">
        <w:rPr>
          <w:sz w:val="20"/>
          <w:szCs w:val="20"/>
        </w:rPr>
        <w:t xml:space="preserve">following </w:t>
      </w:r>
      <w:r w:rsidR="003665CF" w:rsidRPr="00C837DD">
        <w:rPr>
          <w:sz w:val="20"/>
          <w:szCs w:val="20"/>
        </w:rPr>
        <w:t xml:space="preserve">the </w:t>
      </w:r>
      <w:r w:rsidR="00237856" w:rsidRPr="00C837DD">
        <w:rPr>
          <w:sz w:val="20"/>
          <w:szCs w:val="20"/>
        </w:rPr>
        <w:t xml:space="preserve">murder </w:t>
      </w:r>
      <w:r w:rsidRPr="00C837DD">
        <w:rPr>
          <w:sz w:val="20"/>
          <w:szCs w:val="20"/>
        </w:rPr>
        <w:t xml:space="preserve">of </w:t>
      </w:r>
      <w:r w:rsidR="00B8009F" w:rsidRPr="00C837DD">
        <w:rPr>
          <w:sz w:val="20"/>
          <w:szCs w:val="20"/>
        </w:rPr>
        <w:t>Márcia</w:t>
      </w:r>
      <w:r w:rsidRPr="00C837DD">
        <w:rPr>
          <w:sz w:val="20"/>
          <w:szCs w:val="20"/>
        </w:rPr>
        <w:t xml:space="preserve"> Barbosa de Souza (</w:t>
      </w:r>
      <w:r w:rsidRPr="00C837DD">
        <w:rPr>
          <w:i/>
          <w:sz w:val="20"/>
          <w:szCs w:val="20"/>
        </w:rPr>
        <w:t>supra</w:t>
      </w:r>
      <w:r w:rsidRPr="00C837DD">
        <w:rPr>
          <w:sz w:val="20"/>
          <w:szCs w:val="20"/>
        </w:rPr>
        <w:t xml:space="preserve"> para. 150). </w:t>
      </w:r>
    </w:p>
    <w:p w14:paraId="02DA292C" w14:textId="77777777" w:rsidR="00F85D5F" w:rsidRPr="00C837DD" w:rsidRDefault="00F85D5F" w:rsidP="00F85D5F">
      <w:pPr>
        <w:pStyle w:val="Prrafodelista"/>
        <w:tabs>
          <w:tab w:val="left" w:pos="142"/>
          <w:tab w:val="left" w:pos="567"/>
        </w:tabs>
        <w:autoSpaceDE/>
        <w:autoSpaceDN/>
        <w:adjustRightInd w:val="0"/>
        <w:ind w:left="0"/>
        <w:rPr>
          <w:sz w:val="20"/>
          <w:szCs w:val="20"/>
        </w:rPr>
      </w:pPr>
    </w:p>
    <w:p w14:paraId="066A266C" w14:textId="052FC721" w:rsidR="00F85D5F" w:rsidRPr="00C837DD" w:rsidRDefault="00B46FEB" w:rsidP="00C43D98">
      <w:pPr>
        <w:pStyle w:val="Prrafodelista"/>
        <w:numPr>
          <w:ilvl w:val="0"/>
          <w:numId w:val="6"/>
        </w:numPr>
        <w:tabs>
          <w:tab w:val="left" w:pos="142"/>
          <w:tab w:val="left" w:pos="567"/>
        </w:tabs>
        <w:autoSpaceDE/>
        <w:autoSpaceDN/>
        <w:adjustRightInd w:val="0"/>
        <w:ind w:left="0" w:firstLine="0"/>
        <w:rPr>
          <w:sz w:val="20"/>
          <w:szCs w:val="20"/>
        </w:rPr>
      </w:pPr>
      <w:r w:rsidRPr="00C837DD">
        <w:rPr>
          <w:sz w:val="20"/>
          <w:szCs w:val="20"/>
        </w:rPr>
        <w:t>At the same time</w:t>
      </w:r>
      <w:r w:rsidR="00F85D5F" w:rsidRPr="00C837DD">
        <w:rPr>
          <w:sz w:val="20"/>
          <w:szCs w:val="20"/>
        </w:rPr>
        <w:t>, the Court</w:t>
      </w:r>
      <w:r w:rsidRPr="00C837DD">
        <w:rPr>
          <w:rFonts w:eastAsia="MS Mincho"/>
          <w:sz w:val="20"/>
          <w:szCs w:val="20"/>
          <w:lang w:bidi="en-US"/>
        </w:rPr>
        <w:t xml:space="preserve"> notes that the </w:t>
      </w:r>
      <w:r w:rsidR="00F85D5F" w:rsidRPr="00C837DD">
        <w:rPr>
          <w:rFonts w:eastAsia="MS Mincho"/>
          <w:sz w:val="20"/>
          <w:szCs w:val="20"/>
          <w:lang w:bidi="en-US"/>
        </w:rPr>
        <w:t xml:space="preserve">Latin American </w:t>
      </w:r>
      <w:r w:rsidRPr="00C837DD">
        <w:rPr>
          <w:rFonts w:eastAsia="MS Mincho"/>
          <w:sz w:val="20"/>
          <w:szCs w:val="20"/>
          <w:lang w:bidi="en-US"/>
        </w:rPr>
        <w:t xml:space="preserve">Model </w:t>
      </w:r>
      <w:r w:rsidR="00F85D5F" w:rsidRPr="00C837DD">
        <w:rPr>
          <w:rFonts w:eastAsia="MS Mincho"/>
          <w:sz w:val="20"/>
          <w:szCs w:val="20"/>
          <w:lang w:bidi="en-US"/>
        </w:rPr>
        <w:t>Protocol</w:t>
      </w:r>
      <w:r w:rsidR="00F85D5F" w:rsidRPr="00C837DD">
        <w:rPr>
          <w:sz w:val="20"/>
          <w:szCs w:val="20"/>
        </w:rPr>
        <w:t xml:space="preserve"> </w:t>
      </w:r>
      <w:r w:rsidRPr="00C837DD">
        <w:rPr>
          <w:sz w:val="20"/>
          <w:szCs w:val="20"/>
        </w:rPr>
        <w:t xml:space="preserve">for the </w:t>
      </w:r>
      <w:r w:rsidR="00A251D6" w:rsidRPr="00C837DD">
        <w:rPr>
          <w:sz w:val="20"/>
          <w:szCs w:val="20"/>
        </w:rPr>
        <w:t>i</w:t>
      </w:r>
      <w:r w:rsidR="00F85D5F" w:rsidRPr="00C837DD">
        <w:rPr>
          <w:sz w:val="20"/>
          <w:szCs w:val="20"/>
        </w:rPr>
        <w:t xml:space="preserve">nvestigation of </w:t>
      </w:r>
      <w:r w:rsidR="00A251D6" w:rsidRPr="00C837DD">
        <w:rPr>
          <w:sz w:val="20"/>
          <w:szCs w:val="20"/>
        </w:rPr>
        <w:t>g</w:t>
      </w:r>
      <w:r w:rsidRPr="00C837DD">
        <w:rPr>
          <w:sz w:val="20"/>
          <w:szCs w:val="20"/>
        </w:rPr>
        <w:t>ender-</w:t>
      </w:r>
      <w:r w:rsidR="00A251D6" w:rsidRPr="00C837DD">
        <w:rPr>
          <w:sz w:val="20"/>
          <w:szCs w:val="20"/>
        </w:rPr>
        <w:t>r</w:t>
      </w:r>
      <w:r w:rsidRPr="00C837DD">
        <w:rPr>
          <w:sz w:val="20"/>
          <w:szCs w:val="20"/>
        </w:rPr>
        <w:t xml:space="preserve">elated </w:t>
      </w:r>
      <w:r w:rsidR="00A251D6" w:rsidRPr="00C837DD">
        <w:rPr>
          <w:sz w:val="20"/>
          <w:szCs w:val="20"/>
        </w:rPr>
        <w:t xml:space="preserve">deaths </w:t>
      </w:r>
      <w:r w:rsidRPr="00C837DD">
        <w:rPr>
          <w:sz w:val="20"/>
          <w:szCs w:val="20"/>
        </w:rPr>
        <w:t xml:space="preserve">of </w:t>
      </w:r>
      <w:r w:rsidR="00F85D5F" w:rsidRPr="00C837DD">
        <w:rPr>
          <w:sz w:val="20"/>
          <w:szCs w:val="20"/>
        </w:rPr>
        <w:t xml:space="preserve">women </w:t>
      </w:r>
      <w:r w:rsidR="00F85D5F" w:rsidRPr="00C837DD">
        <w:rPr>
          <w:rFonts w:eastAsia="MS Mincho"/>
          <w:sz w:val="20"/>
          <w:szCs w:val="20"/>
          <w:lang w:bidi="en-US"/>
        </w:rPr>
        <w:t>was inter</w:t>
      </w:r>
      <w:r w:rsidR="00C43D98" w:rsidRPr="00C837DD">
        <w:rPr>
          <w:rFonts w:eastAsia="MS Mincho"/>
          <w:sz w:val="20"/>
          <w:szCs w:val="20"/>
          <w:lang w:bidi="en-US"/>
        </w:rPr>
        <w:t xml:space="preserve">nalized </w:t>
      </w:r>
      <w:r w:rsidR="00F85D5F" w:rsidRPr="00C837DD">
        <w:rPr>
          <w:rFonts w:eastAsia="MS Mincho"/>
          <w:sz w:val="20"/>
          <w:szCs w:val="20"/>
          <w:lang w:bidi="en-US"/>
        </w:rPr>
        <w:t>and adapted by the State thro</w:t>
      </w:r>
      <w:r w:rsidR="003665CF" w:rsidRPr="00C837DD">
        <w:rPr>
          <w:rFonts w:eastAsia="MS Mincho"/>
          <w:sz w:val="20"/>
          <w:szCs w:val="20"/>
          <w:lang w:bidi="en-US"/>
        </w:rPr>
        <w:t xml:space="preserve">ugh the </w:t>
      </w:r>
      <w:r w:rsidR="004260B5" w:rsidRPr="00C837DD">
        <w:rPr>
          <w:sz w:val="20"/>
          <w:szCs w:val="20"/>
        </w:rPr>
        <w:t>National Guidelines</w:t>
      </w:r>
      <w:r w:rsidR="00272640" w:rsidRPr="00C837DD">
        <w:rPr>
          <w:sz w:val="20"/>
          <w:szCs w:val="20"/>
        </w:rPr>
        <w:t xml:space="preserve"> for the Investigation, Prosecution and Judgment </w:t>
      </w:r>
      <w:r w:rsidR="00574D58" w:rsidRPr="00C837DD">
        <w:rPr>
          <w:sz w:val="20"/>
          <w:szCs w:val="20"/>
        </w:rPr>
        <w:t xml:space="preserve">with a Gender Perspective </w:t>
      </w:r>
      <w:r w:rsidR="00272640" w:rsidRPr="00C837DD">
        <w:rPr>
          <w:sz w:val="20"/>
          <w:szCs w:val="20"/>
        </w:rPr>
        <w:t>of Violent Deaths of Women</w:t>
      </w:r>
      <w:r w:rsidR="00F85D5F" w:rsidRPr="00C837DD">
        <w:rPr>
          <w:rFonts w:eastAsia="MS Mincho"/>
          <w:sz w:val="20"/>
          <w:szCs w:val="20"/>
          <w:lang w:bidi="en-US"/>
        </w:rPr>
        <w:t>.</w:t>
      </w:r>
      <w:r w:rsidR="00F85D5F" w:rsidRPr="00C837DD">
        <w:rPr>
          <w:rFonts w:eastAsia="MS Mincho"/>
          <w:sz w:val="20"/>
          <w:szCs w:val="20"/>
          <w:vertAlign w:val="superscript"/>
          <w:lang w:bidi="en-US"/>
        </w:rPr>
        <w:footnoteReference w:id="296"/>
      </w:r>
      <w:r w:rsidR="00F85D5F" w:rsidRPr="00C837DD">
        <w:rPr>
          <w:rFonts w:eastAsia="MS Mincho"/>
          <w:sz w:val="20"/>
          <w:szCs w:val="20"/>
          <w:lang w:bidi="en-US"/>
        </w:rPr>
        <w:t xml:space="preserve"> </w:t>
      </w:r>
      <w:r w:rsidR="00C43D98" w:rsidRPr="00C837DD">
        <w:rPr>
          <w:rFonts w:eastAsia="MS Mincho"/>
          <w:sz w:val="20"/>
          <w:szCs w:val="20"/>
          <w:lang w:bidi="en-US"/>
        </w:rPr>
        <w:t xml:space="preserve">The </w:t>
      </w:r>
      <w:r w:rsidR="00272640" w:rsidRPr="00C837DD">
        <w:rPr>
          <w:rFonts w:eastAsia="MS Mincho"/>
          <w:sz w:val="20"/>
          <w:szCs w:val="20"/>
          <w:lang w:bidi="en-US"/>
        </w:rPr>
        <w:t xml:space="preserve">purpose of this </w:t>
      </w:r>
      <w:r w:rsidR="00C43D98" w:rsidRPr="00C837DD">
        <w:rPr>
          <w:rFonts w:eastAsia="MS Mincho"/>
          <w:sz w:val="20"/>
          <w:szCs w:val="20"/>
          <w:lang w:bidi="en-US"/>
        </w:rPr>
        <w:t xml:space="preserve">document </w:t>
      </w:r>
      <w:r w:rsidR="00272640" w:rsidRPr="00C837DD">
        <w:rPr>
          <w:rFonts w:eastAsia="MS Mincho"/>
          <w:sz w:val="20"/>
          <w:szCs w:val="20"/>
          <w:lang w:bidi="en-US"/>
        </w:rPr>
        <w:t xml:space="preserve">was to standardize the treatment given to the investigation, prosecution and trial of such cases, </w:t>
      </w:r>
      <w:r w:rsidR="00C43D98" w:rsidRPr="00C837DD">
        <w:rPr>
          <w:rFonts w:eastAsia="MS Mincho"/>
          <w:sz w:val="20"/>
          <w:szCs w:val="20"/>
          <w:lang w:bidi="en-US"/>
        </w:rPr>
        <w:t xml:space="preserve">with </w:t>
      </w:r>
      <w:r w:rsidR="006D0A13">
        <w:rPr>
          <w:rFonts w:eastAsia="MS Mincho"/>
          <w:sz w:val="20"/>
          <w:szCs w:val="20"/>
          <w:lang w:bidi="en-US"/>
        </w:rPr>
        <w:t xml:space="preserve">the </w:t>
      </w:r>
      <w:r w:rsidR="00C43D98" w:rsidRPr="00C837DD">
        <w:rPr>
          <w:rFonts w:eastAsia="MS Mincho"/>
          <w:sz w:val="20"/>
          <w:szCs w:val="20"/>
          <w:lang w:bidi="en-US"/>
        </w:rPr>
        <w:t xml:space="preserve">inclusion of </w:t>
      </w:r>
      <w:r w:rsidR="006D0A13">
        <w:rPr>
          <w:rFonts w:eastAsia="MS Mincho"/>
          <w:sz w:val="20"/>
          <w:szCs w:val="20"/>
          <w:lang w:bidi="en-US"/>
        </w:rPr>
        <w:t>a</w:t>
      </w:r>
      <w:r w:rsidR="00C43D98" w:rsidRPr="00C837DD">
        <w:rPr>
          <w:rFonts w:eastAsia="MS Mincho"/>
          <w:sz w:val="20"/>
          <w:szCs w:val="20"/>
          <w:lang w:bidi="en-US"/>
        </w:rPr>
        <w:t xml:space="preserve"> gender perspective from the initial phase. The Guidelines </w:t>
      </w:r>
      <w:r w:rsidR="00F85D5F" w:rsidRPr="00C837DD">
        <w:rPr>
          <w:sz w:val="20"/>
          <w:szCs w:val="20"/>
        </w:rPr>
        <w:t>express the need for the competent authorities to ensure, throughout the investigation of a femicide, the right of access to justice, without the in</w:t>
      </w:r>
      <w:r w:rsidR="00816C6F" w:rsidRPr="00C837DD">
        <w:rPr>
          <w:sz w:val="20"/>
          <w:szCs w:val="20"/>
        </w:rPr>
        <w:t xml:space="preserve">fluence </w:t>
      </w:r>
      <w:r w:rsidR="00F85D5F" w:rsidRPr="00C837DD">
        <w:rPr>
          <w:sz w:val="20"/>
          <w:szCs w:val="20"/>
        </w:rPr>
        <w:t>of stereotypes and other forms of violence or discrimination against women.</w:t>
      </w:r>
    </w:p>
    <w:p w14:paraId="3150C1DF" w14:textId="77777777" w:rsidR="00F85D5F" w:rsidRPr="00C837DD" w:rsidRDefault="00F85D5F" w:rsidP="00F85D5F">
      <w:pPr>
        <w:pStyle w:val="Prrafodelista"/>
        <w:tabs>
          <w:tab w:val="left" w:pos="142"/>
        </w:tabs>
        <w:ind w:left="0"/>
        <w:rPr>
          <w:sz w:val="20"/>
          <w:szCs w:val="20"/>
        </w:rPr>
      </w:pPr>
    </w:p>
    <w:p w14:paraId="022A612C" w14:textId="5FF75B72" w:rsidR="00F85D5F" w:rsidRPr="00C837DD" w:rsidRDefault="00816C6F" w:rsidP="00F85D5F">
      <w:pPr>
        <w:pStyle w:val="Prrafodelista"/>
        <w:numPr>
          <w:ilvl w:val="0"/>
          <w:numId w:val="6"/>
        </w:numPr>
        <w:tabs>
          <w:tab w:val="left" w:pos="142"/>
          <w:tab w:val="left" w:pos="567"/>
        </w:tabs>
        <w:autoSpaceDE/>
        <w:autoSpaceDN/>
        <w:adjustRightInd w:val="0"/>
        <w:ind w:left="0" w:firstLine="0"/>
        <w:rPr>
          <w:sz w:val="20"/>
          <w:szCs w:val="20"/>
        </w:rPr>
      </w:pPr>
      <w:r w:rsidRPr="00C837DD">
        <w:rPr>
          <w:rFonts w:eastAsia="MS Mincho"/>
          <w:sz w:val="20"/>
          <w:szCs w:val="20"/>
          <w:lang w:bidi="en-US"/>
        </w:rPr>
        <w:t xml:space="preserve">Since </w:t>
      </w:r>
      <w:r w:rsidR="00F85D5F" w:rsidRPr="00C837DD">
        <w:rPr>
          <w:rFonts w:eastAsia="MS Mincho"/>
          <w:sz w:val="20"/>
          <w:szCs w:val="20"/>
          <w:lang w:bidi="en-US"/>
        </w:rPr>
        <w:t xml:space="preserve">the National Guidelines are not a public document, it is not possible to affirm that, at present, </w:t>
      </w:r>
      <w:r w:rsidRPr="00C837DD">
        <w:rPr>
          <w:rFonts w:eastAsia="MS Mincho"/>
          <w:sz w:val="20"/>
          <w:szCs w:val="20"/>
          <w:lang w:bidi="en-US"/>
        </w:rPr>
        <w:t xml:space="preserve">there is any instrument that uniformly and </w:t>
      </w:r>
      <w:r w:rsidR="00F85D5F" w:rsidRPr="00C837DD">
        <w:rPr>
          <w:rFonts w:eastAsia="MS Mincho"/>
          <w:sz w:val="20"/>
          <w:szCs w:val="20"/>
          <w:lang w:bidi="en-US"/>
        </w:rPr>
        <w:t>binding</w:t>
      </w:r>
      <w:r w:rsidRPr="00C837DD">
        <w:rPr>
          <w:rFonts w:eastAsia="MS Mincho"/>
          <w:sz w:val="20"/>
          <w:szCs w:val="20"/>
          <w:lang w:bidi="en-US"/>
        </w:rPr>
        <w:t>ly</w:t>
      </w:r>
      <w:r w:rsidR="00F85D5F" w:rsidRPr="00C837DD">
        <w:rPr>
          <w:rFonts w:eastAsia="MS Mincho"/>
          <w:sz w:val="20"/>
          <w:szCs w:val="20"/>
          <w:lang w:bidi="en-US"/>
        </w:rPr>
        <w:t xml:space="preserve"> </w:t>
      </w:r>
      <w:r w:rsidRPr="00C837DD">
        <w:rPr>
          <w:rFonts w:eastAsia="MS Mincho"/>
          <w:sz w:val="20"/>
          <w:szCs w:val="20"/>
          <w:lang w:bidi="en-US"/>
        </w:rPr>
        <w:t xml:space="preserve">regulates the actions of investigators and justice administrators </w:t>
      </w:r>
      <w:r w:rsidR="003665CF" w:rsidRPr="00C837DD">
        <w:rPr>
          <w:rFonts w:eastAsia="MS Mincho"/>
          <w:sz w:val="20"/>
          <w:szCs w:val="20"/>
          <w:lang w:bidi="en-US"/>
        </w:rPr>
        <w:t xml:space="preserve">involved </w:t>
      </w:r>
      <w:r w:rsidR="00F85D5F" w:rsidRPr="00C837DD">
        <w:rPr>
          <w:rFonts w:eastAsia="MS Mincho"/>
          <w:sz w:val="20"/>
          <w:szCs w:val="20"/>
          <w:lang w:bidi="en-US"/>
        </w:rPr>
        <w:t xml:space="preserve">in cases of </w:t>
      </w:r>
      <w:r w:rsidRPr="00C837DD">
        <w:rPr>
          <w:rFonts w:eastAsia="MS Mincho"/>
          <w:sz w:val="20"/>
          <w:szCs w:val="20"/>
          <w:lang w:bidi="en-US"/>
        </w:rPr>
        <w:t>gender-based killings of women in Brazil</w:t>
      </w:r>
      <w:r w:rsidR="00F85D5F" w:rsidRPr="00C837DD">
        <w:rPr>
          <w:rFonts w:eastAsia="MS Mincho"/>
          <w:sz w:val="20"/>
          <w:szCs w:val="20"/>
          <w:lang w:bidi="en-US"/>
        </w:rPr>
        <w:t>.</w:t>
      </w:r>
    </w:p>
    <w:p w14:paraId="2EDE7F0F" w14:textId="77777777" w:rsidR="00F85D5F" w:rsidRPr="00C837DD" w:rsidRDefault="00F85D5F" w:rsidP="00F85D5F">
      <w:pPr>
        <w:pStyle w:val="Prrafodelista"/>
        <w:tabs>
          <w:tab w:val="left" w:pos="142"/>
        </w:tabs>
        <w:ind w:left="0"/>
        <w:rPr>
          <w:sz w:val="20"/>
          <w:szCs w:val="20"/>
        </w:rPr>
      </w:pPr>
    </w:p>
    <w:p w14:paraId="28BD28C6" w14:textId="0C616B2C" w:rsidR="00F85D5F" w:rsidRPr="00C837DD" w:rsidRDefault="00F85D5F" w:rsidP="00F85D5F">
      <w:pPr>
        <w:pStyle w:val="Prrafodelista"/>
        <w:numPr>
          <w:ilvl w:val="0"/>
          <w:numId w:val="6"/>
        </w:numPr>
        <w:tabs>
          <w:tab w:val="left" w:pos="142"/>
          <w:tab w:val="left" w:pos="567"/>
        </w:tabs>
        <w:autoSpaceDE/>
        <w:autoSpaceDN/>
        <w:adjustRightInd w:val="0"/>
        <w:ind w:left="0" w:firstLine="0"/>
        <w:rPr>
          <w:sz w:val="20"/>
          <w:szCs w:val="20"/>
        </w:rPr>
      </w:pPr>
      <w:r w:rsidRPr="00C837DD">
        <w:rPr>
          <w:rFonts w:eastAsia="MS Mincho"/>
          <w:sz w:val="20"/>
          <w:szCs w:val="20"/>
          <w:lang w:bidi="en-US"/>
        </w:rPr>
        <w:lastRenderedPageBreak/>
        <w:t xml:space="preserve">Consequently, the Court deems it pertinent to order the State to adopt and implement a national protocol that establishes clear and uniform criteria for the investigation of femicides. This instrument </w:t>
      </w:r>
      <w:r w:rsidR="00DF22E3" w:rsidRPr="00C837DD">
        <w:rPr>
          <w:rFonts w:eastAsia="MS Mincho"/>
          <w:sz w:val="20"/>
          <w:szCs w:val="20"/>
          <w:lang w:bidi="en-US"/>
        </w:rPr>
        <w:t xml:space="preserve">should conform to </w:t>
      </w:r>
      <w:r w:rsidRPr="00C837DD">
        <w:rPr>
          <w:rFonts w:eastAsia="MS Mincho"/>
          <w:sz w:val="20"/>
          <w:szCs w:val="20"/>
          <w:lang w:bidi="en-US"/>
        </w:rPr>
        <w:t xml:space="preserve">the guidelines established in the </w:t>
      </w:r>
      <w:r w:rsidRPr="00C837DD">
        <w:rPr>
          <w:sz w:val="20"/>
          <w:szCs w:val="20"/>
        </w:rPr>
        <w:t xml:space="preserve">Latin American Model </w:t>
      </w:r>
      <w:r w:rsidRPr="00C837DD">
        <w:rPr>
          <w:rFonts w:eastAsia="MS Mincho"/>
          <w:sz w:val="20"/>
          <w:szCs w:val="20"/>
          <w:lang w:bidi="en-US"/>
        </w:rPr>
        <w:t>Protocol</w:t>
      </w:r>
      <w:r w:rsidRPr="00C837DD">
        <w:rPr>
          <w:sz w:val="20"/>
          <w:szCs w:val="20"/>
        </w:rPr>
        <w:t xml:space="preserve"> </w:t>
      </w:r>
      <w:r w:rsidR="00DF22E3" w:rsidRPr="00C837DD">
        <w:rPr>
          <w:sz w:val="20"/>
          <w:szCs w:val="20"/>
        </w:rPr>
        <w:t xml:space="preserve">for the </w:t>
      </w:r>
      <w:r w:rsidRPr="00C837DD">
        <w:rPr>
          <w:sz w:val="20"/>
          <w:szCs w:val="20"/>
        </w:rPr>
        <w:t xml:space="preserve">investigation of </w:t>
      </w:r>
      <w:r w:rsidR="00FB585A" w:rsidRPr="00C837DD">
        <w:rPr>
          <w:sz w:val="20"/>
          <w:szCs w:val="20"/>
        </w:rPr>
        <w:t xml:space="preserve">gender-based </w:t>
      </w:r>
      <w:r w:rsidRPr="00C837DD">
        <w:rPr>
          <w:sz w:val="20"/>
          <w:szCs w:val="20"/>
        </w:rPr>
        <w:t>violent deaths of women</w:t>
      </w:r>
      <w:r w:rsidRPr="00C837DD">
        <w:rPr>
          <w:rFonts w:eastAsia="MS Mincho"/>
          <w:sz w:val="20"/>
          <w:szCs w:val="20"/>
          <w:lang w:bidi="en-US"/>
        </w:rPr>
        <w:t>, a</w:t>
      </w:r>
      <w:r w:rsidR="006D0A13">
        <w:rPr>
          <w:rFonts w:eastAsia="MS Mincho"/>
          <w:sz w:val="20"/>
          <w:szCs w:val="20"/>
          <w:lang w:bidi="en-US"/>
        </w:rPr>
        <w:t xml:space="preserve">nd to </w:t>
      </w:r>
      <w:r w:rsidR="00FB585A" w:rsidRPr="00C837DD">
        <w:rPr>
          <w:rFonts w:eastAsia="MS Mincho"/>
          <w:sz w:val="20"/>
          <w:szCs w:val="20"/>
          <w:lang w:bidi="en-US"/>
        </w:rPr>
        <w:t>t</w:t>
      </w:r>
      <w:r w:rsidRPr="00C837DD">
        <w:rPr>
          <w:rFonts w:eastAsia="MS Mincho"/>
          <w:sz w:val="20"/>
          <w:szCs w:val="20"/>
          <w:lang w:bidi="en-US"/>
        </w:rPr>
        <w:t>he case law of this Court. Th</w:t>
      </w:r>
      <w:r w:rsidR="00FB585A" w:rsidRPr="00C837DD">
        <w:rPr>
          <w:rFonts w:eastAsia="MS Mincho"/>
          <w:sz w:val="20"/>
          <w:szCs w:val="20"/>
          <w:lang w:bidi="en-US"/>
        </w:rPr>
        <w:t>e</w:t>
      </w:r>
      <w:r w:rsidRPr="00C837DD">
        <w:rPr>
          <w:rFonts w:eastAsia="MS Mincho"/>
          <w:sz w:val="20"/>
          <w:szCs w:val="20"/>
          <w:lang w:bidi="en-US"/>
        </w:rPr>
        <w:t xml:space="preserve"> protocol </w:t>
      </w:r>
      <w:r w:rsidR="00FB585A" w:rsidRPr="00C837DD">
        <w:rPr>
          <w:rFonts w:eastAsia="MS Mincho"/>
          <w:sz w:val="20"/>
          <w:szCs w:val="20"/>
          <w:lang w:bidi="en-US"/>
        </w:rPr>
        <w:t>should be aimed at justice administration personnel who, in some way, intervene in the investigation and processing of cases of violent deaths of women.</w:t>
      </w:r>
      <w:r w:rsidRPr="00C837DD">
        <w:rPr>
          <w:rFonts w:eastAsia="MS Mincho"/>
          <w:sz w:val="20"/>
          <w:szCs w:val="20"/>
          <w:lang w:bidi="en-US"/>
        </w:rPr>
        <w:t xml:space="preserve"> </w:t>
      </w:r>
      <w:r w:rsidR="00241FE4" w:rsidRPr="00C837DD">
        <w:rPr>
          <w:rFonts w:eastAsia="MS Mincho"/>
          <w:sz w:val="20"/>
          <w:szCs w:val="20"/>
          <w:lang w:bidi="en-US"/>
        </w:rPr>
        <w:t>In addition</w:t>
      </w:r>
      <w:r w:rsidRPr="00C837DD">
        <w:rPr>
          <w:rFonts w:eastAsia="MS Mincho"/>
          <w:sz w:val="20"/>
          <w:szCs w:val="20"/>
          <w:lang w:bidi="en-US"/>
        </w:rPr>
        <w:t xml:space="preserve">, </w:t>
      </w:r>
      <w:r w:rsidR="00FB585A" w:rsidRPr="00C837DD">
        <w:rPr>
          <w:rFonts w:eastAsia="MS Mincho"/>
          <w:sz w:val="20"/>
          <w:szCs w:val="20"/>
          <w:lang w:bidi="en-US"/>
        </w:rPr>
        <w:t xml:space="preserve">it should be incorporated into the work of these officials through resolutions and internal rules that require its application by all </w:t>
      </w:r>
      <w:r w:rsidR="00163769" w:rsidRPr="00C837DD">
        <w:rPr>
          <w:rFonts w:eastAsia="MS Mincho"/>
          <w:sz w:val="20"/>
          <w:szCs w:val="20"/>
          <w:lang w:bidi="en-US"/>
        </w:rPr>
        <w:t>S</w:t>
      </w:r>
      <w:r w:rsidR="00FB585A" w:rsidRPr="00C837DD">
        <w:rPr>
          <w:rFonts w:eastAsia="MS Mincho"/>
          <w:sz w:val="20"/>
          <w:szCs w:val="20"/>
          <w:lang w:bidi="en-US"/>
        </w:rPr>
        <w:t>tate officials.</w:t>
      </w:r>
    </w:p>
    <w:p w14:paraId="7BD1FD3E" w14:textId="77777777" w:rsidR="00F85D5F" w:rsidRPr="00C837DD" w:rsidRDefault="00F85D5F" w:rsidP="00F85D5F">
      <w:pPr>
        <w:pStyle w:val="Prrafodelista"/>
        <w:tabs>
          <w:tab w:val="left" w:pos="142"/>
        </w:tabs>
        <w:ind w:left="0"/>
        <w:rPr>
          <w:sz w:val="20"/>
          <w:szCs w:val="20"/>
        </w:rPr>
      </w:pPr>
    </w:p>
    <w:p w14:paraId="41ED3CC1" w14:textId="703AE1E5" w:rsidR="00F85D5F" w:rsidRPr="00C837DD" w:rsidRDefault="00F85D5F" w:rsidP="00F85D5F">
      <w:pPr>
        <w:pStyle w:val="Prrafodelista"/>
        <w:numPr>
          <w:ilvl w:val="0"/>
          <w:numId w:val="6"/>
        </w:numPr>
        <w:tabs>
          <w:tab w:val="left" w:pos="142"/>
          <w:tab w:val="left" w:pos="567"/>
        </w:tabs>
        <w:autoSpaceDE/>
        <w:autoSpaceDN/>
        <w:adjustRightInd w:val="0"/>
        <w:ind w:left="0" w:firstLine="0"/>
        <w:rPr>
          <w:sz w:val="20"/>
          <w:szCs w:val="20"/>
        </w:rPr>
      </w:pPr>
      <w:r w:rsidRPr="00C837DD">
        <w:rPr>
          <w:rFonts w:eastAsia="MS Mincho"/>
          <w:sz w:val="20"/>
          <w:szCs w:val="20"/>
          <w:lang w:bidi="en-US"/>
        </w:rPr>
        <w:t xml:space="preserve">The State shall comply with the measure </w:t>
      </w:r>
      <w:r w:rsidR="00163769" w:rsidRPr="00C837DD">
        <w:rPr>
          <w:rFonts w:eastAsia="MS Mincho"/>
          <w:sz w:val="20"/>
          <w:szCs w:val="20"/>
          <w:lang w:bidi="en-US"/>
        </w:rPr>
        <w:t>provided for</w:t>
      </w:r>
      <w:r w:rsidRPr="00C837DD">
        <w:rPr>
          <w:rFonts w:eastAsia="MS Mincho"/>
          <w:sz w:val="20"/>
          <w:szCs w:val="20"/>
          <w:lang w:bidi="en-US"/>
        </w:rPr>
        <w:t xml:space="preserve"> in this section within two years from notification of this judgment.</w:t>
      </w:r>
    </w:p>
    <w:p w14:paraId="454098B2" w14:textId="77777777" w:rsidR="00F85D5F" w:rsidRPr="00C837DD" w:rsidRDefault="00F85D5F" w:rsidP="00F85D5F">
      <w:pPr>
        <w:tabs>
          <w:tab w:val="left" w:pos="142"/>
        </w:tabs>
        <w:jc w:val="both"/>
        <w:rPr>
          <w:rFonts w:eastAsia="MS Mincho"/>
          <w:sz w:val="20"/>
          <w:szCs w:val="20"/>
          <w:lang w:bidi="en-US"/>
        </w:rPr>
      </w:pPr>
    </w:p>
    <w:p w14:paraId="5A2EC3AC" w14:textId="77777777" w:rsidR="00F85D5F" w:rsidRPr="00C837DD" w:rsidRDefault="00F85D5F" w:rsidP="00F85D5F">
      <w:pPr>
        <w:pStyle w:val="Ttulo3"/>
        <w:numPr>
          <w:ilvl w:val="0"/>
          <w:numId w:val="37"/>
        </w:numPr>
        <w:ind w:left="1560" w:hanging="709"/>
        <w:jc w:val="both"/>
        <w:rPr>
          <w:sz w:val="20"/>
          <w:szCs w:val="20"/>
        </w:rPr>
      </w:pPr>
      <w:bookmarkStart w:id="106" w:name="_Toc85001906"/>
      <w:r w:rsidRPr="00C837DD">
        <w:rPr>
          <w:sz w:val="20"/>
          <w:szCs w:val="20"/>
        </w:rPr>
        <w:t>Regulation of parliamentary immunity</w:t>
      </w:r>
      <w:bookmarkEnd w:id="106"/>
    </w:p>
    <w:p w14:paraId="4F15839C" w14:textId="77777777" w:rsidR="00F85D5F" w:rsidRPr="00C837DD" w:rsidRDefault="00F85D5F" w:rsidP="00F85D5F">
      <w:pPr>
        <w:pStyle w:val="Prrafodelista"/>
        <w:tabs>
          <w:tab w:val="left" w:pos="142"/>
        </w:tabs>
        <w:ind w:left="0"/>
        <w:rPr>
          <w:sz w:val="20"/>
          <w:szCs w:val="20"/>
        </w:rPr>
      </w:pPr>
    </w:p>
    <w:p w14:paraId="0766E79E" w14:textId="72216E45"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Chapter VIII of this judgment, the Court considered that the application of parliamentary immunity by the Legislative Assembly of the state of Paraíba derived from a deficient regulatory framework and an arbitrary decision and resulted in the violation of the right of access to justice of the mother and father of </w:t>
      </w:r>
      <w:r w:rsidR="00B8009F" w:rsidRPr="00C837DD">
        <w:rPr>
          <w:sz w:val="20"/>
          <w:szCs w:val="20"/>
        </w:rPr>
        <w:t>Márcia</w:t>
      </w:r>
      <w:r w:rsidRPr="00C837DD">
        <w:rPr>
          <w:sz w:val="20"/>
          <w:szCs w:val="20"/>
        </w:rPr>
        <w:t xml:space="preserve"> Barbosa de Souza (</w:t>
      </w:r>
      <w:r w:rsidRPr="00C837DD">
        <w:rPr>
          <w:i/>
          <w:sz w:val="20"/>
          <w:szCs w:val="20"/>
        </w:rPr>
        <w:t>supra</w:t>
      </w:r>
      <w:r w:rsidRPr="00C837DD">
        <w:rPr>
          <w:sz w:val="20"/>
          <w:szCs w:val="20"/>
        </w:rPr>
        <w:t xml:space="preserve"> paras. 122 and 123).</w:t>
      </w:r>
    </w:p>
    <w:p w14:paraId="11D05A1D" w14:textId="77777777" w:rsidR="00F85D5F" w:rsidRPr="00C837DD" w:rsidRDefault="00F85D5F" w:rsidP="00F85D5F">
      <w:pPr>
        <w:pStyle w:val="Prrafodelista"/>
        <w:tabs>
          <w:tab w:val="left" w:pos="142"/>
        </w:tabs>
        <w:ind w:left="0"/>
        <w:rPr>
          <w:sz w:val="20"/>
          <w:szCs w:val="20"/>
        </w:rPr>
      </w:pPr>
    </w:p>
    <w:p w14:paraId="011DC97B" w14:textId="5F918481"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As mentioned previously, the constitutional provision </w:t>
      </w:r>
      <w:r w:rsidR="00B46FEB" w:rsidRPr="00C837DD">
        <w:rPr>
          <w:sz w:val="20"/>
          <w:szCs w:val="20"/>
        </w:rPr>
        <w:t xml:space="preserve">that </w:t>
      </w:r>
      <w:r w:rsidR="00163769" w:rsidRPr="00C837DD">
        <w:rPr>
          <w:sz w:val="20"/>
          <w:szCs w:val="20"/>
        </w:rPr>
        <w:t>provided for</w:t>
      </w:r>
      <w:r w:rsidR="004C5C79" w:rsidRPr="00C837DD">
        <w:rPr>
          <w:sz w:val="20"/>
          <w:szCs w:val="20"/>
        </w:rPr>
        <w:t xml:space="preserve"> </w:t>
      </w:r>
      <w:r w:rsidRPr="00C837DD">
        <w:rPr>
          <w:sz w:val="20"/>
          <w:szCs w:val="20"/>
        </w:rPr>
        <w:t xml:space="preserve">parliamentary immunity </w:t>
      </w:r>
      <w:r w:rsidR="00163769" w:rsidRPr="00C837DD">
        <w:rPr>
          <w:sz w:val="20"/>
          <w:szCs w:val="20"/>
        </w:rPr>
        <w:t xml:space="preserve">at the time </w:t>
      </w:r>
      <w:r w:rsidRPr="00C837DD">
        <w:rPr>
          <w:sz w:val="20"/>
          <w:szCs w:val="20"/>
        </w:rPr>
        <w:t xml:space="preserve">of the facts was </w:t>
      </w:r>
      <w:r w:rsidR="00163769" w:rsidRPr="00C837DD">
        <w:rPr>
          <w:sz w:val="20"/>
          <w:szCs w:val="20"/>
        </w:rPr>
        <w:t xml:space="preserve">amended through </w:t>
      </w:r>
      <w:r w:rsidRPr="00C837DD">
        <w:rPr>
          <w:sz w:val="20"/>
          <w:szCs w:val="20"/>
        </w:rPr>
        <w:t xml:space="preserve">Constitutional Amendment 35 of 2001. </w:t>
      </w:r>
      <w:r w:rsidR="00C172E3" w:rsidRPr="00C837DD">
        <w:rPr>
          <w:sz w:val="20"/>
          <w:szCs w:val="20"/>
        </w:rPr>
        <w:t xml:space="preserve">Said </w:t>
      </w:r>
      <w:r w:rsidRPr="00C837DD">
        <w:rPr>
          <w:sz w:val="20"/>
          <w:szCs w:val="20"/>
        </w:rPr>
        <w:t xml:space="preserve">legislation was not applied in the present case nor was it analyzed in this judgment. Nevertheless, the Court deems it pertinent to recall that the different State authorities </w:t>
      </w:r>
      <w:r w:rsidR="00C172E3" w:rsidRPr="00C837DD">
        <w:rPr>
          <w:sz w:val="20"/>
          <w:szCs w:val="20"/>
        </w:rPr>
        <w:t xml:space="preserve">are </w:t>
      </w:r>
      <w:r w:rsidRPr="00C837DD">
        <w:rPr>
          <w:sz w:val="20"/>
          <w:szCs w:val="20"/>
        </w:rPr>
        <w:t>oblig</w:t>
      </w:r>
      <w:r w:rsidR="00C172E3" w:rsidRPr="00C837DD">
        <w:rPr>
          <w:sz w:val="20"/>
          <w:szCs w:val="20"/>
        </w:rPr>
        <w:t xml:space="preserve">ed </w:t>
      </w:r>
      <w:r w:rsidRPr="00C837DD">
        <w:rPr>
          <w:sz w:val="20"/>
          <w:szCs w:val="20"/>
        </w:rPr>
        <w:t xml:space="preserve">to exercise </w:t>
      </w:r>
      <w:r w:rsidRPr="00C837DD">
        <w:rPr>
          <w:i/>
          <w:sz w:val="20"/>
          <w:szCs w:val="20"/>
        </w:rPr>
        <w:t>ex officio</w:t>
      </w:r>
      <w:r w:rsidRPr="00C837DD">
        <w:rPr>
          <w:sz w:val="20"/>
          <w:szCs w:val="20"/>
        </w:rPr>
        <w:t xml:space="preserve"> </w:t>
      </w:r>
      <w:r w:rsidR="00C172E3" w:rsidRPr="00C837DD">
        <w:rPr>
          <w:sz w:val="20"/>
          <w:szCs w:val="20"/>
        </w:rPr>
        <w:t xml:space="preserve">a </w:t>
      </w:r>
      <w:r w:rsidRPr="00C837DD">
        <w:rPr>
          <w:sz w:val="20"/>
          <w:szCs w:val="20"/>
        </w:rPr>
        <w:t xml:space="preserve">control of conventionality between domestic norms and the American Convention, </w:t>
      </w:r>
      <w:r w:rsidR="00C172E3" w:rsidRPr="00C837DD">
        <w:rPr>
          <w:sz w:val="20"/>
          <w:szCs w:val="20"/>
        </w:rPr>
        <w:t xml:space="preserve">evidently within the framework of their respective competencies and the corresponding procedural regulations. </w:t>
      </w:r>
      <w:r w:rsidRPr="00C837DD">
        <w:rPr>
          <w:sz w:val="20"/>
          <w:szCs w:val="20"/>
        </w:rPr>
        <w:t xml:space="preserve">In this task, the domestic authorities must take into account not only the treaty, but also the interpretation made </w:t>
      </w:r>
      <w:r w:rsidR="00C172E3" w:rsidRPr="00C837DD">
        <w:rPr>
          <w:sz w:val="20"/>
          <w:szCs w:val="20"/>
        </w:rPr>
        <w:t xml:space="preserve">of it </w:t>
      </w:r>
      <w:r w:rsidRPr="00C837DD">
        <w:rPr>
          <w:sz w:val="20"/>
          <w:szCs w:val="20"/>
        </w:rPr>
        <w:t>by the Inter-American Court</w:t>
      </w:r>
      <w:r w:rsidR="006D0A13">
        <w:rPr>
          <w:sz w:val="20"/>
          <w:szCs w:val="20"/>
        </w:rPr>
        <w:t xml:space="preserve"> as</w:t>
      </w:r>
      <w:r w:rsidRPr="00C837DD">
        <w:rPr>
          <w:sz w:val="20"/>
          <w:szCs w:val="20"/>
        </w:rPr>
        <w:t xml:space="preserve"> </w:t>
      </w:r>
      <w:r w:rsidR="00C172E3" w:rsidRPr="00C837DD">
        <w:rPr>
          <w:sz w:val="20"/>
          <w:szCs w:val="20"/>
        </w:rPr>
        <w:t xml:space="preserve">the </w:t>
      </w:r>
      <w:r w:rsidRPr="00C837DD">
        <w:rPr>
          <w:sz w:val="20"/>
          <w:szCs w:val="20"/>
        </w:rPr>
        <w:t xml:space="preserve">final interpreter of the Convention. Thus, </w:t>
      </w:r>
      <w:r w:rsidR="00C172E3" w:rsidRPr="00C837DD">
        <w:rPr>
          <w:sz w:val="20"/>
          <w:szCs w:val="20"/>
        </w:rPr>
        <w:t>in the event of a possible dis</w:t>
      </w:r>
      <w:r w:rsidR="00117DF6" w:rsidRPr="00C837DD">
        <w:rPr>
          <w:sz w:val="20"/>
          <w:szCs w:val="20"/>
        </w:rPr>
        <w:t xml:space="preserve">pute </w:t>
      </w:r>
      <w:r w:rsidR="00C172E3" w:rsidRPr="00C837DD">
        <w:rPr>
          <w:sz w:val="20"/>
          <w:szCs w:val="20"/>
        </w:rPr>
        <w:t>on the application of parliamentary immunity, with the consequent suspension of criminal proceedings against a member of a legislative body, under the terms of Article 53 of the Brazilian Constitution</w:t>
      </w:r>
      <w:r w:rsidRPr="00C837DD">
        <w:rPr>
          <w:sz w:val="20"/>
          <w:szCs w:val="20"/>
        </w:rPr>
        <w:t xml:space="preserve">, the respective chamber </w:t>
      </w:r>
      <w:r w:rsidR="00117DF6" w:rsidRPr="00C837DD">
        <w:rPr>
          <w:sz w:val="20"/>
          <w:szCs w:val="20"/>
        </w:rPr>
        <w:t xml:space="preserve">shall </w:t>
      </w:r>
      <w:r w:rsidRPr="00C837DD">
        <w:rPr>
          <w:sz w:val="20"/>
          <w:szCs w:val="20"/>
        </w:rPr>
        <w:t xml:space="preserve">ensure that the application and interpretation of domestic </w:t>
      </w:r>
      <w:r w:rsidR="00117DF6" w:rsidRPr="00C837DD">
        <w:rPr>
          <w:sz w:val="20"/>
          <w:szCs w:val="20"/>
        </w:rPr>
        <w:t xml:space="preserve">law is in accordance with </w:t>
      </w:r>
      <w:r w:rsidRPr="00C837DD">
        <w:rPr>
          <w:sz w:val="20"/>
          <w:szCs w:val="20"/>
        </w:rPr>
        <w:t>the criteria established in this judgment, in order to safeguard the right of access to justice. This will not be supervised by the Court.</w:t>
      </w:r>
    </w:p>
    <w:p w14:paraId="6EC716F9" w14:textId="77777777" w:rsidR="00F85D5F" w:rsidRPr="00C837DD" w:rsidRDefault="00F85D5F" w:rsidP="00F85D5F">
      <w:pPr>
        <w:pStyle w:val="Prrafodelista"/>
        <w:tabs>
          <w:tab w:val="left" w:pos="142"/>
        </w:tabs>
        <w:ind w:left="0"/>
        <w:rPr>
          <w:sz w:val="20"/>
          <w:szCs w:val="20"/>
        </w:rPr>
      </w:pPr>
    </w:p>
    <w:p w14:paraId="66C93D80" w14:textId="77777777" w:rsidR="00F85D5F" w:rsidRPr="00C837DD" w:rsidRDefault="00F85D5F" w:rsidP="00F85D5F">
      <w:pPr>
        <w:pStyle w:val="Ttulo3"/>
        <w:numPr>
          <w:ilvl w:val="0"/>
          <w:numId w:val="37"/>
        </w:numPr>
        <w:ind w:left="1560" w:hanging="709"/>
        <w:rPr>
          <w:sz w:val="20"/>
          <w:szCs w:val="20"/>
        </w:rPr>
      </w:pPr>
      <w:bookmarkStart w:id="107" w:name="_Toc85001907"/>
      <w:r w:rsidRPr="00C837DD">
        <w:rPr>
          <w:sz w:val="20"/>
          <w:szCs w:val="20"/>
        </w:rPr>
        <w:t>Other guarantees of non-repetition requested</w:t>
      </w:r>
      <w:bookmarkEnd w:id="107"/>
    </w:p>
    <w:p w14:paraId="51494438" w14:textId="77777777" w:rsidR="00F85D5F" w:rsidRPr="00C837DD" w:rsidRDefault="00F85D5F" w:rsidP="00F85D5F">
      <w:pPr>
        <w:tabs>
          <w:tab w:val="left" w:pos="142"/>
        </w:tabs>
        <w:jc w:val="both"/>
        <w:rPr>
          <w:sz w:val="20"/>
          <w:szCs w:val="20"/>
        </w:rPr>
      </w:pPr>
    </w:p>
    <w:p w14:paraId="02CB07B1" w14:textId="4FCCFC7F"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considers that this </w:t>
      </w:r>
      <w:r w:rsidR="00117DF6" w:rsidRPr="00C837DD">
        <w:rPr>
          <w:sz w:val="20"/>
          <w:szCs w:val="20"/>
        </w:rPr>
        <w:t>j</w:t>
      </w:r>
      <w:r w:rsidRPr="00C837DD">
        <w:rPr>
          <w:sz w:val="20"/>
          <w:szCs w:val="20"/>
        </w:rPr>
        <w:t xml:space="preserve">udgment, as well as the other measures ordered, are sufficient and adequate to remedy the violations suffered by the victims. Therefore, it does not </w:t>
      </w:r>
      <w:r w:rsidR="00117DF6" w:rsidRPr="00C837DD">
        <w:rPr>
          <w:sz w:val="20"/>
          <w:szCs w:val="20"/>
        </w:rPr>
        <w:t>consider it necessary to order the additional guarantees of non-repetition requested by the representatives</w:t>
      </w:r>
      <w:r w:rsidRPr="00C837DD">
        <w:rPr>
          <w:sz w:val="20"/>
          <w:szCs w:val="20"/>
        </w:rPr>
        <w:t>.</w:t>
      </w:r>
      <w:r w:rsidRPr="00C837DD">
        <w:rPr>
          <w:rStyle w:val="Refdenotaalpie"/>
          <w:sz w:val="20"/>
          <w:szCs w:val="20"/>
        </w:rPr>
        <w:footnoteReference w:id="297"/>
      </w:r>
      <w:r w:rsidRPr="00C837DD">
        <w:rPr>
          <w:sz w:val="20"/>
          <w:szCs w:val="20"/>
        </w:rPr>
        <w:t xml:space="preserve"> </w:t>
      </w:r>
    </w:p>
    <w:p w14:paraId="41F2C1A1" w14:textId="77777777" w:rsidR="00F85D5F" w:rsidRPr="00C837DD" w:rsidRDefault="00F85D5F" w:rsidP="00F85D5F">
      <w:pPr>
        <w:pStyle w:val="Textoindependiente"/>
        <w:tabs>
          <w:tab w:val="left" w:pos="142"/>
        </w:tabs>
      </w:pPr>
    </w:p>
    <w:p w14:paraId="18FB1D67" w14:textId="77777777" w:rsidR="00F85D5F" w:rsidRPr="00C837DD" w:rsidRDefault="00F85D5F" w:rsidP="00F85D5F">
      <w:pPr>
        <w:pStyle w:val="Ttulo2"/>
        <w:numPr>
          <w:ilvl w:val="1"/>
          <w:numId w:val="12"/>
        </w:numPr>
        <w:ind w:left="1134" w:hanging="567"/>
        <w:rPr>
          <w:lang w:val="en-US"/>
        </w:rPr>
      </w:pPr>
      <w:bookmarkStart w:id="108" w:name="E._Indemnizaciones_compensatorias"/>
      <w:bookmarkStart w:id="109" w:name="_bookmark198"/>
      <w:bookmarkStart w:id="110" w:name="_Toc85001908"/>
      <w:bookmarkEnd w:id="108"/>
      <w:bookmarkEnd w:id="109"/>
      <w:r w:rsidRPr="00C837DD">
        <w:rPr>
          <w:lang w:val="en-US"/>
        </w:rPr>
        <w:t>Compensation</w:t>
      </w:r>
      <w:bookmarkEnd w:id="110"/>
    </w:p>
    <w:p w14:paraId="74A3AFB6" w14:textId="77777777" w:rsidR="00F85D5F" w:rsidRPr="00C837DD" w:rsidRDefault="00F85D5F" w:rsidP="00F85D5F">
      <w:pPr>
        <w:pStyle w:val="Textoindependiente"/>
        <w:tabs>
          <w:tab w:val="left" w:pos="142"/>
        </w:tabs>
        <w:rPr>
          <w:b/>
          <w:i/>
        </w:rPr>
      </w:pPr>
    </w:p>
    <w:p w14:paraId="4698DB44" w14:textId="77777777" w:rsidR="00F85D5F" w:rsidRPr="00C837DD" w:rsidRDefault="00F85D5F" w:rsidP="00F85D5F">
      <w:pPr>
        <w:pStyle w:val="Ttulo3"/>
        <w:numPr>
          <w:ilvl w:val="0"/>
          <w:numId w:val="33"/>
        </w:numPr>
        <w:ind w:left="1560" w:hanging="709"/>
        <w:rPr>
          <w:sz w:val="20"/>
          <w:szCs w:val="20"/>
        </w:rPr>
      </w:pPr>
      <w:r w:rsidRPr="00C837DD">
        <w:rPr>
          <w:sz w:val="20"/>
          <w:szCs w:val="20"/>
        </w:rPr>
        <w:t>Pecuniary and non-pecuniary damage</w:t>
      </w:r>
    </w:p>
    <w:p w14:paraId="7120AD2C" w14:textId="77777777" w:rsidR="00F85D5F" w:rsidRPr="00C837DD" w:rsidRDefault="00F85D5F" w:rsidP="00F85D5F">
      <w:pPr>
        <w:tabs>
          <w:tab w:val="left" w:pos="142"/>
          <w:tab w:val="left" w:pos="567"/>
        </w:tabs>
        <w:autoSpaceDE/>
        <w:autoSpaceDN/>
        <w:adjustRightInd w:val="0"/>
        <w:jc w:val="both"/>
        <w:textAlignment w:val="baseline"/>
        <w:rPr>
          <w:bCs/>
          <w:iCs/>
          <w:sz w:val="20"/>
          <w:szCs w:val="20"/>
        </w:rPr>
      </w:pPr>
    </w:p>
    <w:p w14:paraId="0DA0594A" w14:textId="246645BE" w:rsidR="00F85D5F" w:rsidRPr="00C837DD" w:rsidRDefault="00F85D5F" w:rsidP="00F85D5F">
      <w:pPr>
        <w:pStyle w:val="Prrafodelista"/>
        <w:numPr>
          <w:ilvl w:val="0"/>
          <w:numId w:val="6"/>
        </w:numPr>
        <w:tabs>
          <w:tab w:val="left" w:pos="142"/>
        </w:tabs>
        <w:ind w:left="0" w:firstLine="0"/>
        <w:rPr>
          <w:sz w:val="20"/>
          <w:szCs w:val="20"/>
        </w:rPr>
      </w:pPr>
      <w:r w:rsidRPr="00C837DD">
        <w:rPr>
          <w:bCs/>
          <w:sz w:val="20"/>
          <w:szCs w:val="20"/>
        </w:rPr>
        <w:lastRenderedPageBreak/>
        <w:t xml:space="preserve">In this section the Court will analyze </w:t>
      </w:r>
      <w:r w:rsidR="00E922C0">
        <w:rPr>
          <w:bCs/>
          <w:sz w:val="20"/>
          <w:szCs w:val="20"/>
        </w:rPr>
        <w:t xml:space="preserve">the </w:t>
      </w:r>
      <w:r w:rsidRPr="00C837DD">
        <w:rPr>
          <w:bCs/>
          <w:sz w:val="20"/>
          <w:szCs w:val="20"/>
        </w:rPr>
        <w:t>pecuniary and non-pecuniary damage</w:t>
      </w:r>
      <w:r w:rsidR="00820A77" w:rsidRPr="00C837DD">
        <w:rPr>
          <w:bCs/>
          <w:sz w:val="20"/>
          <w:szCs w:val="20"/>
        </w:rPr>
        <w:t>s together</w:t>
      </w:r>
      <w:r w:rsidRPr="00C837DD">
        <w:rPr>
          <w:bCs/>
          <w:sz w:val="20"/>
          <w:szCs w:val="20"/>
        </w:rPr>
        <w:t>.</w:t>
      </w:r>
    </w:p>
    <w:p w14:paraId="5B8E195D" w14:textId="77777777" w:rsidR="00F85D5F" w:rsidRPr="00C837DD" w:rsidRDefault="00F85D5F" w:rsidP="00F85D5F">
      <w:pPr>
        <w:pStyle w:val="Prrafodelista"/>
        <w:tabs>
          <w:tab w:val="left" w:pos="142"/>
        </w:tabs>
        <w:ind w:left="0"/>
        <w:rPr>
          <w:sz w:val="20"/>
          <w:szCs w:val="20"/>
        </w:rPr>
      </w:pPr>
    </w:p>
    <w:p w14:paraId="756FE870" w14:textId="3F29CE83"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bidi="en-US"/>
        </w:rPr>
        <w:t xml:space="preserve">The </w:t>
      </w:r>
      <w:r w:rsidRPr="00C837DD">
        <w:rPr>
          <w:b/>
          <w:bCs/>
          <w:i/>
          <w:iCs/>
          <w:sz w:val="20"/>
          <w:szCs w:val="20"/>
          <w:lang w:eastAsia="es-ES" w:bidi="en-US"/>
        </w:rPr>
        <w:t>Commission</w:t>
      </w:r>
      <w:r w:rsidRPr="00C837DD">
        <w:rPr>
          <w:b/>
          <w:i/>
          <w:sz w:val="20"/>
          <w:szCs w:val="20"/>
          <w:lang w:eastAsia="es-ES" w:bidi="en-US"/>
        </w:rPr>
        <w:t xml:space="preserve"> </w:t>
      </w:r>
      <w:r w:rsidR="00820A77" w:rsidRPr="00C837DD">
        <w:rPr>
          <w:bCs/>
          <w:iCs/>
          <w:sz w:val="20"/>
          <w:szCs w:val="20"/>
          <w:lang w:eastAsia="es-ES" w:bidi="en-US"/>
        </w:rPr>
        <w:t>requested that the Court order the State of Brazil to adopt measures of</w:t>
      </w:r>
      <w:r w:rsidR="00820A77" w:rsidRPr="00C837DD">
        <w:rPr>
          <w:b/>
          <w:i/>
          <w:sz w:val="20"/>
          <w:szCs w:val="20"/>
          <w:lang w:eastAsia="es-ES" w:bidi="en-US"/>
        </w:rPr>
        <w:t xml:space="preserve"> </w:t>
      </w:r>
      <w:r w:rsidRPr="00C837DD">
        <w:rPr>
          <w:sz w:val="20"/>
          <w:szCs w:val="20"/>
          <w:lang w:eastAsia="es-ES" w:bidi="en-US"/>
        </w:rPr>
        <w:t xml:space="preserve">financial compensation and satisfaction for moral damage. </w:t>
      </w:r>
    </w:p>
    <w:p w14:paraId="613500DA" w14:textId="77777777" w:rsidR="00F85D5F" w:rsidRPr="00C837DD" w:rsidRDefault="00F85D5F" w:rsidP="00F85D5F">
      <w:pPr>
        <w:pStyle w:val="Prrafodelista"/>
        <w:tabs>
          <w:tab w:val="left" w:pos="142"/>
        </w:tabs>
        <w:ind w:left="0"/>
        <w:rPr>
          <w:sz w:val="20"/>
          <w:szCs w:val="20"/>
        </w:rPr>
      </w:pPr>
    </w:p>
    <w:p w14:paraId="496EA840" w14:textId="7D8D35E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The </w:t>
      </w:r>
      <w:r w:rsidRPr="00C837DD">
        <w:rPr>
          <w:b/>
          <w:bCs/>
          <w:i/>
          <w:iCs/>
          <w:sz w:val="20"/>
          <w:szCs w:val="20"/>
          <w:lang w:eastAsia="es-ES"/>
        </w:rPr>
        <w:t>representatives</w:t>
      </w:r>
      <w:r w:rsidRPr="00C837DD">
        <w:rPr>
          <w:b/>
          <w:i/>
          <w:sz w:val="20"/>
          <w:szCs w:val="20"/>
          <w:lang w:eastAsia="es-ES"/>
        </w:rPr>
        <w:t xml:space="preserve"> </w:t>
      </w:r>
      <w:r w:rsidR="00820A77" w:rsidRPr="00C837DD">
        <w:rPr>
          <w:bCs/>
          <w:iCs/>
          <w:sz w:val="20"/>
          <w:szCs w:val="20"/>
          <w:lang w:eastAsia="es-ES" w:bidi="en-US"/>
        </w:rPr>
        <w:t>requested that the Court order the State</w:t>
      </w:r>
      <w:r w:rsidR="00820A77" w:rsidRPr="00C837DD">
        <w:rPr>
          <w:sz w:val="20"/>
          <w:szCs w:val="20"/>
          <w:lang w:eastAsia="es-ES"/>
        </w:rPr>
        <w:t xml:space="preserve"> </w:t>
      </w:r>
      <w:r w:rsidRPr="00C837DD">
        <w:rPr>
          <w:sz w:val="20"/>
          <w:szCs w:val="20"/>
          <w:lang w:eastAsia="es-ES"/>
        </w:rPr>
        <w:t xml:space="preserve">to pay </w:t>
      </w:r>
      <w:r w:rsidRPr="00C837DD">
        <w:rPr>
          <w:rFonts w:eastAsia="Calibri"/>
          <w:sz w:val="20"/>
          <w:szCs w:val="20"/>
        </w:rPr>
        <w:t xml:space="preserve">the alleged victims an amount for pecuniary damage, determined in equity by the Court. They </w:t>
      </w:r>
      <w:r w:rsidR="00E922C0">
        <w:rPr>
          <w:rFonts w:eastAsia="Calibri"/>
          <w:sz w:val="20"/>
          <w:szCs w:val="20"/>
        </w:rPr>
        <w:t xml:space="preserve">pointed out </w:t>
      </w:r>
      <w:r w:rsidRPr="00C837DD">
        <w:rPr>
          <w:rFonts w:eastAsia="Calibri"/>
          <w:sz w:val="20"/>
          <w:szCs w:val="20"/>
        </w:rPr>
        <w:t xml:space="preserve">that, during the nearly twenty years since the murder of </w:t>
      </w:r>
      <w:r w:rsidR="00B8009F" w:rsidRPr="00C837DD">
        <w:rPr>
          <w:rFonts w:eastAsia="Calibri"/>
          <w:sz w:val="20"/>
          <w:szCs w:val="20"/>
        </w:rPr>
        <w:t>Márcia</w:t>
      </w:r>
      <w:r w:rsidRPr="00C837DD">
        <w:rPr>
          <w:rFonts w:eastAsia="Calibri"/>
          <w:sz w:val="20"/>
          <w:szCs w:val="20"/>
        </w:rPr>
        <w:t xml:space="preserve"> Barbosa de Souza, her next of kin </w:t>
      </w:r>
      <w:r w:rsidR="00E922C0">
        <w:rPr>
          <w:rFonts w:eastAsia="Calibri"/>
          <w:sz w:val="20"/>
          <w:szCs w:val="20"/>
        </w:rPr>
        <w:t xml:space="preserve">had </w:t>
      </w:r>
      <w:r w:rsidRPr="00C837DD">
        <w:rPr>
          <w:rFonts w:eastAsia="Calibri"/>
          <w:sz w:val="20"/>
          <w:szCs w:val="20"/>
        </w:rPr>
        <w:t>incurred various expenses related to travel to the city of João Pessoa to participate in meetings and public hearings before the Legislative Assembly, loss of work days, etc. In addition, they requested that, by virtue of the violations committed, the suffering caused, as well as the other non-pecuniary consequences suffered owing to the lack of justice and denial of the truth, the State pay the alleged victims a</w:t>
      </w:r>
      <w:r w:rsidR="00A46822" w:rsidRPr="00C837DD">
        <w:rPr>
          <w:rFonts w:eastAsia="Calibri"/>
          <w:sz w:val="20"/>
          <w:szCs w:val="20"/>
        </w:rPr>
        <w:t>n amount</w:t>
      </w:r>
      <w:r w:rsidRPr="00C837DD">
        <w:rPr>
          <w:rFonts w:eastAsia="Calibri"/>
          <w:sz w:val="20"/>
          <w:szCs w:val="20"/>
        </w:rPr>
        <w:t xml:space="preserve">, </w:t>
      </w:r>
      <w:r w:rsidR="00A46822" w:rsidRPr="00C837DD">
        <w:rPr>
          <w:rFonts w:eastAsia="Calibri"/>
          <w:sz w:val="20"/>
          <w:szCs w:val="20"/>
        </w:rPr>
        <w:t xml:space="preserve">to be </w:t>
      </w:r>
      <w:r w:rsidRPr="00C837DD">
        <w:rPr>
          <w:rFonts w:eastAsia="Calibri"/>
          <w:sz w:val="20"/>
          <w:szCs w:val="20"/>
        </w:rPr>
        <w:t>determined in equity by the Court, for non-pecuniary damage</w:t>
      </w:r>
      <w:r w:rsidR="0062490D" w:rsidRPr="00C837DD">
        <w:rPr>
          <w:rFonts w:eastAsia="Calibri"/>
          <w:sz w:val="20"/>
          <w:szCs w:val="20"/>
        </w:rPr>
        <w:t>s</w:t>
      </w:r>
      <w:r w:rsidRPr="00C837DD">
        <w:rPr>
          <w:rFonts w:eastAsia="Calibri"/>
          <w:sz w:val="20"/>
          <w:szCs w:val="20"/>
        </w:rPr>
        <w:t xml:space="preserve">. </w:t>
      </w:r>
    </w:p>
    <w:p w14:paraId="35397F29" w14:textId="77777777" w:rsidR="00F85D5F" w:rsidRPr="00C837DD" w:rsidRDefault="00F85D5F" w:rsidP="00F85D5F">
      <w:pPr>
        <w:pStyle w:val="Prrafodelista"/>
        <w:tabs>
          <w:tab w:val="left" w:pos="142"/>
        </w:tabs>
        <w:ind w:left="0"/>
        <w:rPr>
          <w:sz w:val="20"/>
          <w:szCs w:val="20"/>
          <w:lang w:eastAsia="es-ES" w:bidi="en-US"/>
        </w:rPr>
      </w:pPr>
    </w:p>
    <w:p w14:paraId="79D00E8C" w14:textId="1B9C6D46"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bidi="en-US"/>
        </w:rPr>
        <w:t xml:space="preserve">The </w:t>
      </w:r>
      <w:r w:rsidRPr="00C837DD">
        <w:rPr>
          <w:b/>
          <w:bCs/>
          <w:i/>
          <w:iCs/>
          <w:sz w:val="20"/>
          <w:szCs w:val="20"/>
          <w:lang w:eastAsia="es-ES" w:bidi="en-US"/>
        </w:rPr>
        <w:t>State</w:t>
      </w:r>
      <w:r w:rsidRPr="00C837DD">
        <w:rPr>
          <w:b/>
          <w:i/>
          <w:sz w:val="20"/>
          <w:szCs w:val="20"/>
          <w:lang w:eastAsia="es-ES" w:bidi="en-US"/>
        </w:rPr>
        <w:t xml:space="preserve"> </w:t>
      </w:r>
      <w:r w:rsidRPr="00C837DD">
        <w:rPr>
          <w:sz w:val="20"/>
          <w:szCs w:val="20"/>
          <w:lang w:eastAsia="es-ES" w:bidi="en-US"/>
        </w:rPr>
        <w:t>argued that, since it has not committed any human rights violation related to the facts of this case, there is no reason for the Court to establish pecuniary and non-pecuniary damages. It further argued that the determination of such payment would be inappropriate since the representatives have not made use of domestic remedies to demand the reparation</w:t>
      </w:r>
      <w:r w:rsidR="00A46822" w:rsidRPr="00C837DD">
        <w:rPr>
          <w:sz w:val="20"/>
          <w:szCs w:val="20"/>
          <w:lang w:eastAsia="es-ES" w:bidi="en-US"/>
        </w:rPr>
        <w:t xml:space="preserve"> </w:t>
      </w:r>
      <w:r w:rsidRPr="00C837DD">
        <w:rPr>
          <w:sz w:val="20"/>
          <w:szCs w:val="20"/>
          <w:lang w:eastAsia="es-ES" w:bidi="en-US"/>
        </w:rPr>
        <w:t xml:space="preserve">in question. It indicated that, </w:t>
      </w:r>
      <w:r w:rsidR="00523FF1" w:rsidRPr="00C837DD">
        <w:rPr>
          <w:sz w:val="20"/>
          <w:szCs w:val="20"/>
          <w:lang w:eastAsia="es-ES" w:bidi="en-US"/>
        </w:rPr>
        <w:t>in the event that the Court determines its international responsibility for violation of Articles 8 and 25 of the American Convention</w:t>
      </w:r>
      <w:r w:rsidRPr="00C837DD">
        <w:rPr>
          <w:sz w:val="20"/>
          <w:szCs w:val="20"/>
          <w:lang w:eastAsia="es-ES" w:bidi="en-US"/>
        </w:rPr>
        <w:t xml:space="preserve"> </w:t>
      </w:r>
      <w:r w:rsidR="00523FF1" w:rsidRPr="00C837DD">
        <w:rPr>
          <w:sz w:val="20"/>
          <w:szCs w:val="20"/>
          <w:lang w:eastAsia="es-ES" w:bidi="en-US"/>
        </w:rPr>
        <w:t xml:space="preserve">due to </w:t>
      </w:r>
      <w:r w:rsidRPr="00C837DD">
        <w:rPr>
          <w:sz w:val="20"/>
          <w:szCs w:val="20"/>
          <w:lang w:eastAsia="es-ES" w:bidi="en-US"/>
        </w:rPr>
        <w:t>an alleged violation of the obligation to investigate, p</w:t>
      </w:r>
      <w:r w:rsidR="00A46822" w:rsidRPr="00C837DD">
        <w:rPr>
          <w:sz w:val="20"/>
          <w:szCs w:val="20"/>
          <w:lang w:eastAsia="es-ES" w:bidi="en-US"/>
        </w:rPr>
        <w:t xml:space="preserve">rosecute and punish, </w:t>
      </w:r>
      <w:r w:rsidR="00523FF1" w:rsidRPr="00C837DD">
        <w:rPr>
          <w:sz w:val="20"/>
          <w:szCs w:val="20"/>
          <w:lang w:eastAsia="es-ES" w:bidi="en-US"/>
        </w:rPr>
        <w:t xml:space="preserve">the Court's judgment itself should be sufficient to repair </w:t>
      </w:r>
      <w:r w:rsidR="00E922C0">
        <w:rPr>
          <w:sz w:val="20"/>
          <w:szCs w:val="20"/>
          <w:lang w:eastAsia="es-ES" w:bidi="en-US"/>
        </w:rPr>
        <w:t xml:space="preserve">the </w:t>
      </w:r>
      <w:r w:rsidR="00523FF1" w:rsidRPr="00C837DD">
        <w:rPr>
          <w:sz w:val="20"/>
          <w:szCs w:val="20"/>
          <w:lang w:eastAsia="es-ES" w:bidi="en-US"/>
        </w:rPr>
        <w:t>possible damage, so that the State should not be ordered to pay any compensation for non-pecuniary damage.</w:t>
      </w:r>
      <w:r w:rsidRPr="00C837DD">
        <w:rPr>
          <w:sz w:val="20"/>
          <w:szCs w:val="20"/>
          <w:lang w:eastAsia="es-ES" w:bidi="en-US"/>
        </w:rPr>
        <w:t xml:space="preserve"> </w:t>
      </w:r>
      <w:r w:rsidR="00A46822" w:rsidRPr="00C837DD">
        <w:rPr>
          <w:sz w:val="20"/>
          <w:szCs w:val="20"/>
          <w:lang w:eastAsia="es-ES" w:bidi="en-US"/>
        </w:rPr>
        <w:t xml:space="preserve">It added </w:t>
      </w:r>
      <w:r w:rsidRPr="00C837DD">
        <w:rPr>
          <w:sz w:val="20"/>
          <w:szCs w:val="20"/>
          <w:lang w:eastAsia="es-ES" w:bidi="en-US"/>
        </w:rPr>
        <w:t xml:space="preserve">that the </w:t>
      </w:r>
      <w:r w:rsidR="00523FF1" w:rsidRPr="00C837DD">
        <w:rPr>
          <w:sz w:val="20"/>
          <w:szCs w:val="20"/>
          <w:lang w:eastAsia="es-ES" w:bidi="en-US"/>
        </w:rPr>
        <w:t>possible</w:t>
      </w:r>
      <w:r w:rsidRPr="00C837DD">
        <w:rPr>
          <w:sz w:val="20"/>
          <w:szCs w:val="20"/>
          <w:lang w:eastAsia="es-ES" w:bidi="en-US"/>
        </w:rPr>
        <w:t xml:space="preserve"> non-pecuniary damage </w:t>
      </w:r>
      <w:r w:rsidR="007F5F88" w:rsidRPr="00C837DD">
        <w:rPr>
          <w:sz w:val="20"/>
          <w:szCs w:val="20"/>
          <w:lang w:eastAsia="es-ES" w:bidi="en-US"/>
        </w:rPr>
        <w:t xml:space="preserve">could not be </w:t>
      </w:r>
      <w:r w:rsidRPr="00C837DD">
        <w:rPr>
          <w:sz w:val="20"/>
          <w:szCs w:val="20"/>
          <w:lang w:eastAsia="es-ES" w:bidi="en-US"/>
        </w:rPr>
        <w:t>examin</w:t>
      </w:r>
      <w:r w:rsidR="00E249F0" w:rsidRPr="00C837DD">
        <w:rPr>
          <w:sz w:val="20"/>
          <w:szCs w:val="20"/>
          <w:lang w:eastAsia="es-ES" w:bidi="en-US"/>
        </w:rPr>
        <w:t xml:space="preserve">ed </w:t>
      </w:r>
      <w:r w:rsidR="00A46822" w:rsidRPr="00C837DD">
        <w:rPr>
          <w:sz w:val="20"/>
          <w:szCs w:val="20"/>
          <w:lang w:eastAsia="es-ES" w:bidi="en-US"/>
        </w:rPr>
        <w:t xml:space="preserve">superficially, </w:t>
      </w:r>
      <w:r w:rsidRPr="00C837DD">
        <w:rPr>
          <w:sz w:val="20"/>
          <w:szCs w:val="20"/>
          <w:lang w:eastAsia="es-ES" w:bidi="en-US"/>
        </w:rPr>
        <w:t xml:space="preserve">based </w:t>
      </w:r>
      <w:r w:rsidR="00A46822" w:rsidRPr="00C837DD">
        <w:rPr>
          <w:sz w:val="20"/>
          <w:szCs w:val="20"/>
          <w:lang w:eastAsia="es-ES" w:bidi="en-US"/>
        </w:rPr>
        <w:t xml:space="preserve">solely </w:t>
      </w:r>
      <w:r w:rsidRPr="00C837DD">
        <w:rPr>
          <w:sz w:val="20"/>
          <w:szCs w:val="20"/>
          <w:lang w:eastAsia="es-ES" w:bidi="en-US"/>
        </w:rPr>
        <w:t xml:space="preserve">on the </w:t>
      </w:r>
      <w:r w:rsidR="007E161B" w:rsidRPr="00C837DD">
        <w:rPr>
          <w:sz w:val="20"/>
          <w:szCs w:val="20"/>
          <w:lang w:eastAsia="es-ES" w:bidi="en-US"/>
        </w:rPr>
        <w:t xml:space="preserve">representatives’ </w:t>
      </w:r>
      <w:r w:rsidRPr="00C837DD">
        <w:rPr>
          <w:sz w:val="20"/>
          <w:szCs w:val="20"/>
          <w:lang w:eastAsia="es-ES" w:bidi="en-US"/>
        </w:rPr>
        <w:t>a</w:t>
      </w:r>
      <w:r w:rsidR="007E161B" w:rsidRPr="00C837DD">
        <w:rPr>
          <w:sz w:val="20"/>
          <w:szCs w:val="20"/>
          <w:lang w:eastAsia="es-ES" w:bidi="en-US"/>
        </w:rPr>
        <w:t>llegations</w:t>
      </w:r>
      <w:r w:rsidRPr="00C837DD">
        <w:rPr>
          <w:sz w:val="20"/>
          <w:szCs w:val="20"/>
          <w:lang w:eastAsia="es-ES" w:bidi="en-US"/>
        </w:rPr>
        <w:t xml:space="preserve">, </w:t>
      </w:r>
      <w:r w:rsidR="00E249F0" w:rsidRPr="00C837DD">
        <w:rPr>
          <w:sz w:val="20"/>
          <w:szCs w:val="20"/>
          <w:lang w:eastAsia="es-ES" w:bidi="en-US"/>
        </w:rPr>
        <w:t xml:space="preserve">but according to </w:t>
      </w:r>
      <w:r w:rsidR="007E161B" w:rsidRPr="00C837DD">
        <w:rPr>
          <w:sz w:val="20"/>
          <w:szCs w:val="20"/>
          <w:lang w:eastAsia="es-ES" w:bidi="en-US"/>
        </w:rPr>
        <w:t xml:space="preserve">the evidence actually </w:t>
      </w:r>
      <w:r w:rsidRPr="00C837DD">
        <w:rPr>
          <w:sz w:val="20"/>
          <w:szCs w:val="20"/>
          <w:lang w:eastAsia="es-ES" w:bidi="en-US"/>
        </w:rPr>
        <w:t xml:space="preserve">presented by them. </w:t>
      </w:r>
    </w:p>
    <w:p w14:paraId="3DCB1C14" w14:textId="77777777" w:rsidR="00F85D5F" w:rsidRPr="00C837DD" w:rsidRDefault="00F85D5F" w:rsidP="00F85D5F">
      <w:pPr>
        <w:pStyle w:val="Prrafodelista"/>
        <w:tabs>
          <w:tab w:val="left" w:pos="142"/>
        </w:tabs>
        <w:ind w:left="0"/>
        <w:rPr>
          <w:sz w:val="20"/>
          <w:szCs w:val="20"/>
        </w:rPr>
      </w:pPr>
    </w:p>
    <w:p w14:paraId="3400F1A0" w14:textId="07FCFA92" w:rsidR="00F85D5F" w:rsidRPr="00C837DD" w:rsidRDefault="00F85D5F" w:rsidP="00F85D5F">
      <w:pPr>
        <w:pStyle w:val="Prrafodelista"/>
        <w:numPr>
          <w:ilvl w:val="0"/>
          <w:numId w:val="6"/>
        </w:numPr>
        <w:tabs>
          <w:tab w:val="left" w:pos="142"/>
        </w:tabs>
        <w:ind w:left="0" w:firstLine="0"/>
        <w:rPr>
          <w:sz w:val="20"/>
          <w:szCs w:val="20"/>
        </w:rPr>
      </w:pPr>
      <w:r w:rsidRPr="00C837DD">
        <w:rPr>
          <w:bCs/>
          <w:iCs/>
          <w:sz w:val="20"/>
          <w:szCs w:val="20"/>
        </w:rPr>
        <w:t xml:space="preserve">The </w:t>
      </w:r>
      <w:r w:rsidRPr="00C837DD">
        <w:rPr>
          <w:b/>
          <w:bCs/>
          <w:i/>
          <w:iCs/>
          <w:sz w:val="20"/>
          <w:szCs w:val="20"/>
        </w:rPr>
        <w:t>Court</w:t>
      </w:r>
      <w:r w:rsidRPr="00C837DD">
        <w:rPr>
          <w:bCs/>
          <w:i/>
          <w:iCs/>
          <w:sz w:val="20"/>
          <w:szCs w:val="20"/>
        </w:rPr>
        <w:t xml:space="preserve"> </w:t>
      </w:r>
      <w:r w:rsidRPr="00C837DD">
        <w:rPr>
          <w:bCs/>
          <w:iCs/>
          <w:sz w:val="20"/>
          <w:szCs w:val="20"/>
        </w:rPr>
        <w:t xml:space="preserve">has developed the concept of pecuniary damage in its case law and has established that </w:t>
      </w:r>
      <w:r w:rsidR="00E922C0">
        <w:rPr>
          <w:bCs/>
          <w:iCs/>
          <w:sz w:val="20"/>
          <w:szCs w:val="20"/>
        </w:rPr>
        <w:t>this</w:t>
      </w:r>
      <w:r w:rsidRPr="00C837DD">
        <w:rPr>
          <w:bCs/>
          <w:iCs/>
          <w:sz w:val="20"/>
          <w:szCs w:val="20"/>
        </w:rPr>
        <w:t xml:space="preserve"> supposes “the loss of, or detriment to, the victims</w:t>
      </w:r>
      <w:r w:rsidR="00523FF1" w:rsidRPr="00C837DD">
        <w:rPr>
          <w:bCs/>
          <w:iCs/>
          <w:sz w:val="20"/>
          <w:szCs w:val="20"/>
        </w:rPr>
        <w:t>’ income</w:t>
      </w:r>
      <w:r w:rsidRPr="00C837DD">
        <w:rPr>
          <w:bCs/>
          <w:iCs/>
          <w:sz w:val="20"/>
          <w:szCs w:val="20"/>
        </w:rPr>
        <w:t xml:space="preserve">, the expenses incurred as a result of the facts and the consequences of a pecuniary nature that have a causal </w:t>
      </w:r>
      <w:r w:rsidR="00523FF1" w:rsidRPr="00C837DD">
        <w:rPr>
          <w:bCs/>
          <w:iCs/>
          <w:sz w:val="20"/>
          <w:szCs w:val="20"/>
        </w:rPr>
        <w:t xml:space="preserve">link </w:t>
      </w:r>
      <w:r w:rsidRPr="00C837DD">
        <w:rPr>
          <w:bCs/>
          <w:iCs/>
          <w:sz w:val="20"/>
          <w:szCs w:val="20"/>
        </w:rPr>
        <w:t>with the facts of the case.</w:t>
      </w:r>
      <w:r w:rsidRPr="00C837DD">
        <w:rPr>
          <w:rFonts w:eastAsia="MS Mincho"/>
          <w:sz w:val="20"/>
          <w:szCs w:val="20"/>
          <w:vertAlign w:val="superscript"/>
          <w:lang w:bidi="en-US"/>
        </w:rPr>
        <w:footnoteReference w:id="298"/>
      </w:r>
    </w:p>
    <w:p w14:paraId="2342501B" w14:textId="77777777" w:rsidR="00F85D5F" w:rsidRPr="00C837DD" w:rsidRDefault="00F85D5F" w:rsidP="00F85D5F">
      <w:pPr>
        <w:pStyle w:val="Prrafodelista"/>
        <w:tabs>
          <w:tab w:val="left" w:pos="142"/>
        </w:tabs>
        <w:ind w:left="0"/>
        <w:rPr>
          <w:sz w:val="20"/>
          <w:szCs w:val="20"/>
        </w:rPr>
      </w:pPr>
    </w:p>
    <w:p w14:paraId="4207F280" w14:textId="0F255762" w:rsidR="00F85D5F" w:rsidRPr="00C837DD" w:rsidRDefault="00523FF1" w:rsidP="00F85D5F">
      <w:pPr>
        <w:pStyle w:val="Prrafodelista"/>
        <w:numPr>
          <w:ilvl w:val="0"/>
          <w:numId w:val="6"/>
        </w:numPr>
        <w:tabs>
          <w:tab w:val="left" w:pos="142"/>
        </w:tabs>
        <w:ind w:left="0" w:firstLine="0"/>
        <w:rPr>
          <w:sz w:val="20"/>
          <w:szCs w:val="20"/>
        </w:rPr>
      </w:pPr>
      <w:r w:rsidRPr="00C837DD">
        <w:rPr>
          <w:sz w:val="20"/>
          <w:szCs w:val="20"/>
        </w:rPr>
        <w:t>T</w:t>
      </w:r>
      <w:r w:rsidR="00F85D5F" w:rsidRPr="00C837DD">
        <w:rPr>
          <w:sz w:val="20"/>
          <w:szCs w:val="20"/>
        </w:rPr>
        <w:t xml:space="preserve">he Court has </w:t>
      </w:r>
      <w:r w:rsidRPr="00C837DD">
        <w:rPr>
          <w:sz w:val="20"/>
          <w:szCs w:val="20"/>
        </w:rPr>
        <w:t xml:space="preserve">also </w:t>
      </w:r>
      <w:r w:rsidR="00F85D5F" w:rsidRPr="00C837DD">
        <w:rPr>
          <w:sz w:val="20"/>
          <w:szCs w:val="20"/>
        </w:rPr>
        <w:t xml:space="preserve">developed </w:t>
      </w:r>
      <w:r w:rsidR="00A6124E" w:rsidRPr="00C837DD">
        <w:rPr>
          <w:sz w:val="20"/>
          <w:szCs w:val="20"/>
        </w:rPr>
        <w:t xml:space="preserve">in its case law </w:t>
      </w:r>
      <w:r w:rsidR="00F85D5F" w:rsidRPr="00C837DD">
        <w:rPr>
          <w:sz w:val="20"/>
          <w:szCs w:val="20"/>
        </w:rPr>
        <w:t>the concept of non-pecuniary damage and has established that this “may include both the suffering and affliction</w:t>
      </w:r>
      <w:r w:rsidR="00A6124E" w:rsidRPr="00C837DD">
        <w:rPr>
          <w:sz w:val="20"/>
          <w:szCs w:val="20"/>
        </w:rPr>
        <w:t>s</w:t>
      </w:r>
      <w:r w:rsidR="00F85D5F" w:rsidRPr="00C837DD">
        <w:rPr>
          <w:sz w:val="20"/>
          <w:szCs w:val="20"/>
        </w:rPr>
        <w:t xml:space="preserve"> caused </w:t>
      </w:r>
      <w:r w:rsidR="00A6124E" w:rsidRPr="00C837DD">
        <w:rPr>
          <w:sz w:val="20"/>
          <w:szCs w:val="20"/>
        </w:rPr>
        <w:t xml:space="preserve">to the direct victim and his </w:t>
      </w:r>
      <w:r w:rsidR="00835314" w:rsidRPr="00C837DD">
        <w:rPr>
          <w:sz w:val="20"/>
          <w:szCs w:val="20"/>
        </w:rPr>
        <w:t xml:space="preserve">family </w:t>
      </w:r>
      <w:r w:rsidR="00F85D5F" w:rsidRPr="00C837DD">
        <w:rPr>
          <w:sz w:val="20"/>
          <w:szCs w:val="20"/>
        </w:rPr>
        <w:t xml:space="preserve">by the violation and impairment of values of great significance for </w:t>
      </w:r>
      <w:r w:rsidR="00835314" w:rsidRPr="00C837DD">
        <w:rPr>
          <w:sz w:val="20"/>
          <w:szCs w:val="20"/>
        </w:rPr>
        <w:t xml:space="preserve">the </w:t>
      </w:r>
      <w:r w:rsidR="00F85D5F" w:rsidRPr="00C837DD">
        <w:rPr>
          <w:sz w:val="20"/>
          <w:szCs w:val="20"/>
        </w:rPr>
        <w:t xml:space="preserve">individual, as well as </w:t>
      </w:r>
      <w:r w:rsidR="00835314" w:rsidRPr="00C837DD">
        <w:rPr>
          <w:sz w:val="20"/>
          <w:szCs w:val="20"/>
        </w:rPr>
        <w:t xml:space="preserve">any </w:t>
      </w:r>
      <w:r w:rsidR="00F85D5F" w:rsidRPr="00C837DD">
        <w:rPr>
          <w:sz w:val="20"/>
          <w:szCs w:val="20"/>
        </w:rPr>
        <w:t>alteration of a non-pecuniary nature in the living conditions of the victims or their next of kin.</w:t>
      </w:r>
      <w:r w:rsidR="00F85D5F" w:rsidRPr="00C837DD">
        <w:rPr>
          <w:sz w:val="20"/>
          <w:szCs w:val="20"/>
          <w:vertAlign w:val="superscript"/>
        </w:rPr>
        <w:footnoteReference w:id="299"/>
      </w:r>
      <w:r w:rsidR="00F85D5F" w:rsidRPr="00C837DD">
        <w:rPr>
          <w:sz w:val="20"/>
          <w:szCs w:val="20"/>
        </w:rPr>
        <w:t xml:space="preserve"> Given that it is not possible to allocate a precise monetary equivalent to the non-pecuniary damage, this can only be compensated</w:t>
      </w:r>
      <w:r w:rsidR="00835314" w:rsidRPr="00C837DD">
        <w:rPr>
          <w:sz w:val="20"/>
          <w:szCs w:val="20"/>
        </w:rPr>
        <w:t xml:space="preserve"> by payment of a sum of money determined by the Court in application of sound judicial criteria and in equity</w:t>
      </w:r>
      <w:r w:rsidR="00F85D5F" w:rsidRPr="00C837DD">
        <w:rPr>
          <w:sz w:val="20"/>
          <w:szCs w:val="20"/>
        </w:rPr>
        <w:t>.</w:t>
      </w:r>
      <w:r w:rsidR="00F85D5F" w:rsidRPr="00C837DD">
        <w:rPr>
          <w:rStyle w:val="Refdenotaalpie"/>
          <w:sz w:val="20"/>
          <w:szCs w:val="20"/>
        </w:rPr>
        <w:footnoteReference w:id="300"/>
      </w:r>
    </w:p>
    <w:p w14:paraId="45EEF868" w14:textId="77777777" w:rsidR="00F85D5F" w:rsidRPr="00C837DD" w:rsidRDefault="00F85D5F" w:rsidP="00F85D5F">
      <w:pPr>
        <w:pStyle w:val="Prrafodelista"/>
        <w:tabs>
          <w:tab w:val="left" w:pos="142"/>
        </w:tabs>
        <w:ind w:left="0"/>
        <w:rPr>
          <w:sz w:val="20"/>
          <w:szCs w:val="20"/>
        </w:rPr>
      </w:pPr>
    </w:p>
    <w:p w14:paraId="7BBC9ACC" w14:textId="6C1E9C27" w:rsidR="00F85D5F" w:rsidRPr="00C837DD" w:rsidRDefault="00F85D5F" w:rsidP="00F85D5F">
      <w:pPr>
        <w:pStyle w:val="Prrafodelista"/>
        <w:numPr>
          <w:ilvl w:val="0"/>
          <w:numId w:val="6"/>
        </w:numPr>
        <w:tabs>
          <w:tab w:val="left" w:pos="142"/>
        </w:tabs>
        <w:ind w:left="0" w:firstLine="0"/>
        <w:rPr>
          <w:b/>
          <w:sz w:val="20"/>
          <w:szCs w:val="20"/>
        </w:rPr>
      </w:pPr>
      <w:r w:rsidRPr="00C837DD">
        <w:rPr>
          <w:sz w:val="20"/>
          <w:szCs w:val="20"/>
        </w:rPr>
        <w:t xml:space="preserve">The Court </w:t>
      </w:r>
      <w:r w:rsidR="00A46822" w:rsidRPr="00C837DD">
        <w:rPr>
          <w:sz w:val="20"/>
          <w:szCs w:val="20"/>
        </w:rPr>
        <w:t xml:space="preserve">notes </w:t>
      </w:r>
      <w:r w:rsidRPr="00C837DD">
        <w:rPr>
          <w:sz w:val="20"/>
          <w:szCs w:val="20"/>
        </w:rPr>
        <w:t xml:space="preserve">that the representatives have not requested specific amounts </w:t>
      </w:r>
      <w:r w:rsidR="00A46822" w:rsidRPr="00C837DD">
        <w:rPr>
          <w:sz w:val="20"/>
          <w:szCs w:val="20"/>
        </w:rPr>
        <w:t xml:space="preserve">nor have they </w:t>
      </w:r>
      <w:r w:rsidR="00E922C0">
        <w:rPr>
          <w:sz w:val="20"/>
          <w:szCs w:val="20"/>
        </w:rPr>
        <w:t xml:space="preserve">provided </w:t>
      </w:r>
      <w:r w:rsidR="00A46822" w:rsidRPr="00C837DD">
        <w:rPr>
          <w:sz w:val="20"/>
          <w:szCs w:val="20"/>
        </w:rPr>
        <w:t xml:space="preserve">specific </w:t>
      </w:r>
      <w:r w:rsidRPr="00C837DD">
        <w:rPr>
          <w:sz w:val="20"/>
          <w:szCs w:val="20"/>
        </w:rPr>
        <w:t xml:space="preserve">elements to </w:t>
      </w:r>
      <w:r w:rsidR="00A46822" w:rsidRPr="00C837DD">
        <w:rPr>
          <w:sz w:val="20"/>
          <w:szCs w:val="20"/>
        </w:rPr>
        <w:t xml:space="preserve">assess </w:t>
      </w:r>
      <w:r w:rsidRPr="00C837DD">
        <w:rPr>
          <w:sz w:val="20"/>
          <w:szCs w:val="20"/>
        </w:rPr>
        <w:t>the d</w:t>
      </w:r>
      <w:r w:rsidR="00A46822" w:rsidRPr="00C837DD">
        <w:rPr>
          <w:sz w:val="20"/>
          <w:szCs w:val="20"/>
        </w:rPr>
        <w:t>amage suffered</w:t>
      </w:r>
      <w:r w:rsidRPr="00C837DD">
        <w:rPr>
          <w:sz w:val="20"/>
          <w:szCs w:val="20"/>
        </w:rPr>
        <w:t xml:space="preserve">. Nevertheless, this Court understands that, given </w:t>
      </w:r>
      <w:r w:rsidR="00A46822" w:rsidRPr="00C837DD">
        <w:rPr>
          <w:sz w:val="20"/>
          <w:szCs w:val="20"/>
        </w:rPr>
        <w:t>t</w:t>
      </w:r>
      <w:r w:rsidRPr="00C837DD">
        <w:rPr>
          <w:sz w:val="20"/>
          <w:szCs w:val="20"/>
        </w:rPr>
        <w:t xml:space="preserve">he nature of the facts and violations determined in this judgment, the victims have suffered pecuniary and non-pecuniary damage that must be compensated. </w:t>
      </w:r>
      <w:r w:rsidR="00A2372F" w:rsidRPr="00C837DD">
        <w:rPr>
          <w:sz w:val="20"/>
          <w:szCs w:val="20"/>
        </w:rPr>
        <w:t xml:space="preserve">In </w:t>
      </w:r>
      <w:r w:rsidR="00A2372F" w:rsidRPr="00C837DD">
        <w:rPr>
          <w:sz w:val="20"/>
          <w:szCs w:val="20"/>
        </w:rPr>
        <w:lastRenderedPageBreak/>
        <w:t>view of the criteria established</w:t>
      </w:r>
      <w:r w:rsidRPr="00C837DD">
        <w:rPr>
          <w:sz w:val="20"/>
          <w:szCs w:val="20"/>
        </w:rPr>
        <w:t xml:space="preserve"> in its constant case law and the circumstances </w:t>
      </w:r>
      <w:r w:rsidR="00A2372F" w:rsidRPr="00C837DD">
        <w:rPr>
          <w:sz w:val="20"/>
          <w:szCs w:val="20"/>
        </w:rPr>
        <w:t xml:space="preserve">of the </w:t>
      </w:r>
      <w:r w:rsidRPr="00C837DD">
        <w:rPr>
          <w:sz w:val="20"/>
          <w:szCs w:val="20"/>
        </w:rPr>
        <w:t xml:space="preserve">present case, the Court deems it pertinent to </w:t>
      </w:r>
      <w:r w:rsidR="00A2372F" w:rsidRPr="00C837DD">
        <w:rPr>
          <w:sz w:val="20"/>
          <w:szCs w:val="20"/>
        </w:rPr>
        <w:t xml:space="preserve">establish </w:t>
      </w:r>
      <w:r w:rsidRPr="00C837DD">
        <w:rPr>
          <w:sz w:val="20"/>
          <w:szCs w:val="20"/>
        </w:rPr>
        <w:t xml:space="preserve">in equity, for pecuniary and non-pecuniary </w:t>
      </w:r>
      <w:r w:rsidR="00F407CA" w:rsidRPr="00C837DD">
        <w:rPr>
          <w:sz w:val="20"/>
          <w:szCs w:val="20"/>
        </w:rPr>
        <w:t>damage, the payment of USD$ 150,000.</w:t>
      </w:r>
      <w:r w:rsidRPr="00C837DD">
        <w:rPr>
          <w:sz w:val="20"/>
          <w:szCs w:val="20"/>
        </w:rPr>
        <w:t>00 (one hundred and fifty thousand United States dollars) in favor of each of the victims</w:t>
      </w:r>
      <w:r w:rsidRPr="00C837DD">
        <w:rPr>
          <w:rStyle w:val="Refdenotaalpie"/>
          <w:sz w:val="20"/>
          <w:szCs w:val="20"/>
        </w:rPr>
        <w:footnoteReference w:id="301"/>
      </w:r>
      <w:r w:rsidRPr="00C837DD">
        <w:rPr>
          <w:sz w:val="20"/>
          <w:szCs w:val="20"/>
        </w:rPr>
        <w:t xml:space="preserve"> (</w:t>
      </w:r>
      <w:r w:rsidRPr="00C837DD">
        <w:rPr>
          <w:i/>
          <w:sz w:val="20"/>
          <w:szCs w:val="20"/>
        </w:rPr>
        <w:t>infra</w:t>
      </w:r>
      <w:r w:rsidRPr="00C837DD">
        <w:rPr>
          <w:sz w:val="20"/>
          <w:szCs w:val="20"/>
        </w:rPr>
        <w:t xml:space="preserve"> para. 224)</w:t>
      </w:r>
      <w:r w:rsidR="00A2372F" w:rsidRPr="00C837DD">
        <w:rPr>
          <w:sz w:val="20"/>
          <w:szCs w:val="20"/>
        </w:rPr>
        <w:t>. This</w:t>
      </w:r>
      <w:r w:rsidRPr="00C837DD">
        <w:rPr>
          <w:sz w:val="20"/>
          <w:szCs w:val="20"/>
        </w:rPr>
        <w:t xml:space="preserve"> includes the </w:t>
      </w:r>
      <w:r w:rsidR="00A2372F" w:rsidRPr="00C837DD">
        <w:rPr>
          <w:sz w:val="20"/>
          <w:szCs w:val="20"/>
        </w:rPr>
        <w:t xml:space="preserve">amount of compensation </w:t>
      </w:r>
      <w:r w:rsidR="00DB2084">
        <w:rPr>
          <w:sz w:val="20"/>
          <w:szCs w:val="20"/>
        </w:rPr>
        <w:t xml:space="preserve">related </w:t>
      </w:r>
      <w:r w:rsidR="00A2372F" w:rsidRPr="00C837DD">
        <w:rPr>
          <w:sz w:val="20"/>
          <w:szCs w:val="20"/>
        </w:rPr>
        <w:t xml:space="preserve">to </w:t>
      </w:r>
      <w:r w:rsidRPr="00C837DD">
        <w:rPr>
          <w:sz w:val="20"/>
          <w:szCs w:val="20"/>
        </w:rPr>
        <w:t xml:space="preserve">the impossibility of reopening the criminal investigation of the other possible participants in the homicide of Ms. Barbosa de Souza, as well as </w:t>
      </w:r>
      <w:r w:rsidR="00915373" w:rsidRPr="00C837DD">
        <w:rPr>
          <w:sz w:val="20"/>
          <w:szCs w:val="20"/>
        </w:rPr>
        <w:t xml:space="preserve">the amount </w:t>
      </w:r>
      <w:r w:rsidRPr="00C837DD">
        <w:rPr>
          <w:sz w:val="20"/>
          <w:szCs w:val="20"/>
        </w:rPr>
        <w:t xml:space="preserve">to enable Mrs. M.B.S. to cover the costs of </w:t>
      </w:r>
      <w:r w:rsidR="00915373" w:rsidRPr="00C837DD">
        <w:rPr>
          <w:sz w:val="20"/>
          <w:szCs w:val="20"/>
        </w:rPr>
        <w:t>the</w:t>
      </w:r>
      <w:r w:rsidRPr="00C837DD">
        <w:rPr>
          <w:sz w:val="20"/>
          <w:szCs w:val="20"/>
        </w:rPr>
        <w:t xml:space="preserve"> medical, psychological and/or psychiatric treatment that may be necessary (</w:t>
      </w:r>
      <w:r w:rsidRPr="00C837DD">
        <w:rPr>
          <w:i/>
          <w:sz w:val="20"/>
          <w:szCs w:val="20"/>
        </w:rPr>
        <w:t>supra</w:t>
      </w:r>
      <w:r w:rsidRPr="00C837DD">
        <w:rPr>
          <w:sz w:val="20"/>
          <w:szCs w:val="20"/>
        </w:rPr>
        <w:t xml:space="preserve"> para. 182). </w:t>
      </w:r>
    </w:p>
    <w:p w14:paraId="0D8B8F54" w14:textId="77777777" w:rsidR="00F85D5F" w:rsidRPr="00C837DD" w:rsidRDefault="00F85D5F" w:rsidP="00F85D5F">
      <w:pPr>
        <w:tabs>
          <w:tab w:val="left" w:pos="142"/>
        </w:tabs>
        <w:rPr>
          <w:sz w:val="20"/>
          <w:szCs w:val="20"/>
        </w:rPr>
      </w:pPr>
    </w:p>
    <w:p w14:paraId="3E064FE0" w14:textId="17B7253A"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Court considers that the amounts determined in equity compensate and form part of the integral reparation to the victims, taking into </w:t>
      </w:r>
      <w:r w:rsidR="002F1A33" w:rsidRPr="00C837DD">
        <w:rPr>
          <w:sz w:val="20"/>
          <w:szCs w:val="20"/>
        </w:rPr>
        <w:t xml:space="preserve">consideration </w:t>
      </w:r>
      <w:r w:rsidRPr="00C837DD">
        <w:rPr>
          <w:sz w:val="20"/>
          <w:szCs w:val="20"/>
        </w:rPr>
        <w:t xml:space="preserve">the anguish and distress </w:t>
      </w:r>
      <w:r w:rsidR="002F1A33" w:rsidRPr="00C837DD">
        <w:rPr>
          <w:sz w:val="20"/>
          <w:szCs w:val="20"/>
        </w:rPr>
        <w:t>they endured</w:t>
      </w:r>
      <w:r w:rsidRPr="00C837DD">
        <w:rPr>
          <w:sz w:val="20"/>
          <w:szCs w:val="20"/>
        </w:rPr>
        <w:t>.</w:t>
      </w:r>
      <w:r w:rsidRPr="00C837DD">
        <w:rPr>
          <w:rStyle w:val="Refdenotaalpie"/>
          <w:sz w:val="20"/>
          <w:szCs w:val="20"/>
        </w:rPr>
        <w:footnoteReference w:id="302"/>
      </w:r>
    </w:p>
    <w:p w14:paraId="13330D5C" w14:textId="77777777" w:rsidR="00F85D5F" w:rsidRPr="00C837DD" w:rsidRDefault="00F85D5F" w:rsidP="00F85D5F">
      <w:pPr>
        <w:pStyle w:val="Textoindependiente"/>
        <w:tabs>
          <w:tab w:val="left" w:pos="142"/>
        </w:tabs>
      </w:pPr>
    </w:p>
    <w:p w14:paraId="289432C1" w14:textId="77777777" w:rsidR="00F85D5F" w:rsidRPr="00C837DD" w:rsidRDefault="00F85D5F" w:rsidP="00F85D5F">
      <w:pPr>
        <w:pStyle w:val="Ttulo2"/>
        <w:numPr>
          <w:ilvl w:val="1"/>
          <w:numId w:val="13"/>
        </w:numPr>
        <w:ind w:left="1134" w:hanging="567"/>
        <w:rPr>
          <w:lang w:val="en-US"/>
        </w:rPr>
      </w:pPr>
      <w:bookmarkStart w:id="111" w:name="F._Costas_y_Gastos"/>
      <w:bookmarkStart w:id="112" w:name="_bookmark203"/>
      <w:bookmarkStart w:id="113" w:name="_Toc85001910"/>
      <w:bookmarkEnd w:id="111"/>
      <w:bookmarkEnd w:id="112"/>
      <w:r w:rsidRPr="00C837DD">
        <w:rPr>
          <w:lang w:val="en-US"/>
        </w:rPr>
        <w:t>Costs and Expenses</w:t>
      </w:r>
      <w:bookmarkEnd w:id="113"/>
    </w:p>
    <w:p w14:paraId="586BCFA8" w14:textId="77777777" w:rsidR="00F85D5F" w:rsidRPr="00C837DD" w:rsidRDefault="00F85D5F" w:rsidP="00F85D5F">
      <w:pPr>
        <w:pStyle w:val="Textoindependiente"/>
        <w:tabs>
          <w:tab w:val="left" w:pos="142"/>
        </w:tabs>
        <w:rPr>
          <w:b/>
          <w:i/>
        </w:rPr>
      </w:pPr>
    </w:p>
    <w:p w14:paraId="3B0A4D0D" w14:textId="49C39F4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lang w:eastAsia="es-ES"/>
        </w:rPr>
        <w:t xml:space="preserve">The </w:t>
      </w:r>
      <w:r w:rsidRPr="00C837DD">
        <w:rPr>
          <w:b/>
          <w:i/>
          <w:sz w:val="20"/>
          <w:szCs w:val="20"/>
          <w:lang w:eastAsia="es-ES"/>
        </w:rPr>
        <w:t xml:space="preserve">representatives </w:t>
      </w:r>
      <w:r w:rsidRPr="00C837DD">
        <w:rPr>
          <w:sz w:val="20"/>
          <w:szCs w:val="20"/>
          <w:lang w:eastAsia="es-ES"/>
        </w:rPr>
        <w:t xml:space="preserve">asked the Court to order the State to pay the following amounts for </w:t>
      </w:r>
      <w:r w:rsidR="002F1A33" w:rsidRPr="00C837DD">
        <w:rPr>
          <w:sz w:val="20"/>
          <w:szCs w:val="20"/>
          <w:lang w:eastAsia="es-ES"/>
        </w:rPr>
        <w:t xml:space="preserve">the </w:t>
      </w:r>
      <w:r w:rsidRPr="00C837DD">
        <w:rPr>
          <w:sz w:val="20"/>
          <w:szCs w:val="20"/>
          <w:lang w:eastAsia="es-ES"/>
        </w:rPr>
        <w:t xml:space="preserve">costs and expenses incurred by the organizations that acted in defense of the alleged victims: </w:t>
      </w:r>
      <w:r w:rsidRPr="00C837DD">
        <w:rPr>
          <w:rFonts w:eastAsia="Calibri"/>
          <w:sz w:val="20"/>
          <w:szCs w:val="20"/>
        </w:rPr>
        <w:t>i) the sum</w:t>
      </w:r>
      <w:r w:rsidR="007E161B" w:rsidRPr="00C837DD">
        <w:rPr>
          <w:rFonts w:eastAsia="Calibri"/>
          <w:sz w:val="20"/>
          <w:szCs w:val="20"/>
        </w:rPr>
        <w:t xml:space="preserve"> of USD$ 20,475.</w:t>
      </w:r>
      <w:r w:rsidRPr="00C837DD">
        <w:rPr>
          <w:rFonts w:eastAsia="Calibri"/>
          <w:sz w:val="20"/>
          <w:szCs w:val="20"/>
        </w:rPr>
        <w:t>11 (twenty thousand</w:t>
      </w:r>
      <w:r w:rsidR="00A46822" w:rsidRPr="00C837DD">
        <w:rPr>
          <w:rFonts w:eastAsia="Calibri"/>
          <w:sz w:val="20"/>
          <w:szCs w:val="20"/>
        </w:rPr>
        <w:t>,</w:t>
      </w:r>
      <w:r w:rsidRPr="00C837DD">
        <w:rPr>
          <w:rFonts w:eastAsia="Calibri"/>
          <w:sz w:val="20"/>
          <w:szCs w:val="20"/>
        </w:rPr>
        <w:t xml:space="preserve"> four</w:t>
      </w:r>
      <w:r w:rsidR="00A46822" w:rsidRPr="00C837DD">
        <w:rPr>
          <w:rFonts w:eastAsia="Calibri"/>
          <w:sz w:val="20"/>
          <w:szCs w:val="20"/>
        </w:rPr>
        <w:t xml:space="preserve"> hundred and seventy-five </w:t>
      </w:r>
      <w:r w:rsidRPr="00C837DD">
        <w:rPr>
          <w:rFonts w:eastAsia="Calibri"/>
          <w:sz w:val="20"/>
          <w:szCs w:val="20"/>
        </w:rPr>
        <w:t xml:space="preserve">United States dollars </w:t>
      </w:r>
      <w:r w:rsidR="002F1A33" w:rsidRPr="00C837DD">
        <w:rPr>
          <w:rFonts w:eastAsia="Calibri"/>
          <w:sz w:val="20"/>
          <w:szCs w:val="20"/>
        </w:rPr>
        <w:t xml:space="preserve">and </w:t>
      </w:r>
      <w:r w:rsidRPr="00C837DD">
        <w:rPr>
          <w:rFonts w:eastAsia="Calibri"/>
          <w:sz w:val="20"/>
          <w:szCs w:val="20"/>
        </w:rPr>
        <w:t xml:space="preserve">eleven cents) to the Center for Justice and International Law (CEJIL) and ii) USD$ </w:t>
      </w:r>
      <w:r w:rsidRPr="00C837DD">
        <w:rPr>
          <w:rFonts w:eastAsia="Calibri"/>
          <w:bCs/>
          <w:sz w:val="20"/>
          <w:szCs w:val="20"/>
        </w:rPr>
        <w:t>14</w:t>
      </w:r>
      <w:r w:rsidR="002F1A33" w:rsidRPr="00C837DD">
        <w:rPr>
          <w:rFonts w:eastAsia="Calibri"/>
          <w:bCs/>
          <w:sz w:val="20"/>
          <w:szCs w:val="20"/>
        </w:rPr>
        <w:t>,</w:t>
      </w:r>
      <w:r w:rsidRPr="00C837DD">
        <w:rPr>
          <w:rFonts w:eastAsia="Calibri"/>
          <w:bCs/>
          <w:sz w:val="20"/>
          <w:szCs w:val="20"/>
        </w:rPr>
        <w:t>715</w:t>
      </w:r>
      <w:r w:rsidR="002F1A33" w:rsidRPr="00C837DD">
        <w:rPr>
          <w:rFonts w:eastAsia="Calibri"/>
          <w:bCs/>
          <w:sz w:val="20"/>
          <w:szCs w:val="20"/>
        </w:rPr>
        <w:t>.</w:t>
      </w:r>
      <w:r w:rsidRPr="00C837DD">
        <w:rPr>
          <w:rFonts w:eastAsia="Calibri"/>
          <w:bCs/>
          <w:sz w:val="20"/>
          <w:szCs w:val="20"/>
        </w:rPr>
        <w:t>73</w:t>
      </w:r>
      <w:r w:rsidRPr="00C837DD">
        <w:rPr>
          <w:rFonts w:eastAsia="Calibri"/>
          <w:sz w:val="20"/>
          <w:szCs w:val="20"/>
        </w:rPr>
        <w:t xml:space="preserve"> (fourteen thousand, seven hundred and fifteen United States dollars and seventy-three cents) </w:t>
      </w:r>
      <w:r w:rsidR="00A46822" w:rsidRPr="00C837DD">
        <w:rPr>
          <w:rFonts w:eastAsia="Calibri"/>
          <w:sz w:val="20"/>
          <w:szCs w:val="20"/>
        </w:rPr>
        <w:t xml:space="preserve">to the </w:t>
      </w:r>
      <w:r w:rsidR="004C5C79" w:rsidRPr="00C837DD">
        <w:rPr>
          <w:i/>
          <w:sz w:val="20"/>
          <w:szCs w:val="20"/>
        </w:rPr>
        <w:t xml:space="preserve">Gabinete de Assessoria Jurídica </w:t>
      </w:r>
      <w:r w:rsidR="004C5C79" w:rsidRPr="00C837DD">
        <w:rPr>
          <w:rFonts w:cs="Arial"/>
          <w:i/>
          <w:sz w:val="20"/>
          <w:szCs w:val="20"/>
          <w:shd w:val="clear" w:color="auto" w:fill="FFFFFF"/>
        </w:rPr>
        <w:t>às</w:t>
      </w:r>
      <w:r w:rsidR="004C5C79" w:rsidRPr="00C837DD">
        <w:rPr>
          <w:i/>
          <w:sz w:val="20"/>
          <w:szCs w:val="20"/>
        </w:rPr>
        <w:t xml:space="preserve"> Organizações Populares</w:t>
      </w:r>
      <w:r w:rsidR="004C5C79" w:rsidRPr="00C837DD">
        <w:rPr>
          <w:sz w:val="20"/>
          <w:szCs w:val="20"/>
        </w:rPr>
        <w:t xml:space="preserve"> </w:t>
      </w:r>
      <w:r w:rsidRPr="00C837DD">
        <w:rPr>
          <w:rFonts w:eastAsia="Calibri"/>
          <w:sz w:val="20"/>
          <w:szCs w:val="20"/>
        </w:rPr>
        <w:t xml:space="preserve">(GAJOP). </w:t>
      </w:r>
      <w:r w:rsidRPr="00C837DD">
        <w:rPr>
          <w:rFonts w:eastAsia="Calibri"/>
          <w:iCs/>
          <w:sz w:val="20"/>
          <w:szCs w:val="20"/>
        </w:rPr>
        <w:t xml:space="preserve">The </w:t>
      </w:r>
      <w:r w:rsidR="002F1A33" w:rsidRPr="00C837DD">
        <w:rPr>
          <w:rFonts w:eastAsia="Calibri"/>
          <w:iCs/>
          <w:sz w:val="20"/>
          <w:szCs w:val="20"/>
        </w:rPr>
        <w:t xml:space="preserve">expenses </w:t>
      </w:r>
      <w:r w:rsidRPr="00C837DD">
        <w:rPr>
          <w:rFonts w:eastAsia="Calibri"/>
          <w:iCs/>
          <w:sz w:val="20"/>
          <w:szCs w:val="20"/>
        </w:rPr>
        <w:t xml:space="preserve">incurred by CEJIL </w:t>
      </w:r>
      <w:r w:rsidR="002F1A33" w:rsidRPr="00C837DD">
        <w:rPr>
          <w:rFonts w:eastAsia="Calibri"/>
          <w:iCs/>
          <w:sz w:val="20"/>
          <w:szCs w:val="20"/>
        </w:rPr>
        <w:t>are</w:t>
      </w:r>
      <w:r w:rsidRPr="00C837DD">
        <w:rPr>
          <w:rFonts w:eastAsia="Calibri"/>
          <w:iCs/>
          <w:sz w:val="20"/>
          <w:szCs w:val="20"/>
        </w:rPr>
        <w:t xml:space="preserve"> divided as follows: i) USD$ 1</w:t>
      </w:r>
      <w:r w:rsidR="002F1A33" w:rsidRPr="00C837DD">
        <w:rPr>
          <w:rFonts w:eastAsia="Calibri"/>
          <w:iCs/>
          <w:sz w:val="20"/>
          <w:szCs w:val="20"/>
        </w:rPr>
        <w:t>,</w:t>
      </w:r>
      <w:r w:rsidRPr="00C837DD">
        <w:rPr>
          <w:rFonts w:eastAsia="Calibri"/>
          <w:iCs/>
          <w:sz w:val="20"/>
          <w:szCs w:val="20"/>
        </w:rPr>
        <w:t>759</w:t>
      </w:r>
      <w:r w:rsidR="002F1A33" w:rsidRPr="00C837DD">
        <w:rPr>
          <w:rFonts w:eastAsia="Calibri"/>
          <w:iCs/>
          <w:sz w:val="20"/>
          <w:szCs w:val="20"/>
        </w:rPr>
        <w:t>.</w:t>
      </w:r>
      <w:r w:rsidRPr="00C837DD">
        <w:rPr>
          <w:rFonts w:eastAsia="Calibri"/>
          <w:iCs/>
          <w:sz w:val="20"/>
          <w:szCs w:val="20"/>
        </w:rPr>
        <w:t xml:space="preserve">78 (one thousand, seven hundred and fifty-nine </w:t>
      </w:r>
      <w:r w:rsidRPr="00C837DD">
        <w:rPr>
          <w:rFonts w:eastAsia="Calibri"/>
          <w:sz w:val="20"/>
          <w:szCs w:val="20"/>
        </w:rPr>
        <w:t>United States dollars and seventy-eight cents)</w:t>
      </w:r>
      <w:r w:rsidRPr="00C837DD">
        <w:rPr>
          <w:rFonts w:eastAsia="Calibri"/>
          <w:iCs/>
          <w:sz w:val="20"/>
          <w:szCs w:val="20"/>
        </w:rPr>
        <w:t xml:space="preserve"> for travel expenses (airline tickets, </w:t>
      </w:r>
      <w:r w:rsidR="00A46822" w:rsidRPr="00C837DD">
        <w:rPr>
          <w:rFonts w:eastAsia="Calibri"/>
          <w:iCs/>
          <w:sz w:val="20"/>
          <w:szCs w:val="20"/>
        </w:rPr>
        <w:t>lodging</w:t>
      </w:r>
      <w:r w:rsidRPr="00C837DD">
        <w:rPr>
          <w:rFonts w:eastAsia="Calibri"/>
          <w:iCs/>
          <w:sz w:val="20"/>
          <w:szCs w:val="20"/>
        </w:rPr>
        <w:t xml:space="preserve">, food and </w:t>
      </w:r>
      <w:r w:rsidRPr="00C837DD">
        <w:rPr>
          <w:rFonts w:eastAsia="Calibri"/>
          <w:i/>
          <w:iCs/>
          <w:sz w:val="20"/>
          <w:szCs w:val="20"/>
        </w:rPr>
        <w:t>per diem</w:t>
      </w:r>
      <w:r w:rsidR="002F1A33" w:rsidRPr="00C837DD">
        <w:rPr>
          <w:rFonts w:eastAsia="Calibri"/>
          <w:i/>
          <w:iCs/>
          <w:sz w:val="20"/>
          <w:szCs w:val="20"/>
        </w:rPr>
        <w:t>s</w:t>
      </w:r>
      <w:r w:rsidRPr="00C837DD">
        <w:rPr>
          <w:rFonts w:eastAsia="Calibri"/>
          <w:iCs/>
          <w:sz w:val="20"/>
          <w:szCs w:val="20"/>
        </w:rPr>
        <w:t>); ii) USD$ 852</w:t>
      </w:r>
      <w:r w:rsidR="002F1A33" w:rsidRPr="00C837DD">
        <w:rPr>
          <w:rFonts w:eastAsia="Calibri"/>
          <w:iCs/>
          <w:sz w:val="20"/>
          <w:szCs w:val="20"/>
        </w:rPr>
        <w:t>.</w:t>
      </w:r>
      <w:r w:rsidRPr="00C837DD">
        <w:rPr>
          <w:rFonts w:eastAsia="Calibri"/>
          <w:iCs/>
          <w:sz w:val="20"/>
          <w:szCs w:val="20"/>
        </w:rPr>
        <w:t xml:space="preserve">46 (eight hundred and fifty-two </w:t>
      </w:r>
      <w:r w:rsidRPr="00C837DD">
        <w:rPr>
          <w:rFonts w:eastAsia="Calibri"/>
          <w:sz w:val="20"/>
          <w:szCs w:val="20"/>
        </w:rPr>
        <w:t xml:space="preserve">United States dollars and forty-six cents) </w:t>
      </w:r>
      <w:r w:rsidR="000A5B1B" w:rsidRPr="00C837DD">
        <w:rPr>
          <w:rFonts w:eastAsia="Calibri"/>
          <w:sz w:val="20"/>
          <w:szCs w:val="20"/>
        </w:rPr>
        <w:t xml:space="preserve">for </w:t>
      </w:r>
      <w:r w:rsidR="00A46822" w:rsidRPr="00C837DD">
        <w:rPr>
          <w:rFonts w:eastAsia="Calibri"/>
          <w:iCs/>
          <w:sz w:val="20"/>
          <w:szCs w:val="20"/>
        </w:rPr>
        <w:t>ph</w:t>
      </w:r>
      <w:r w:rsidRPr="00C837DD">
        <w:rPr>
          <w:rFonts w:eastAsia="Calibri"/>
          <w:iCs/>
          <w:sz w:val="20"/>
          <w:szCs w:val="20"/>
        </w:rPr>
        <w:t>otocopies; and iii) USD$ 17</w:t>
      </w:r>
      <w:r w:rsidR="000A5B1B" w:rsidRPr="00C837DD">
        <w:rPr>
          <w:rFonts w:eastAsia="Calibri"/>
          <w:iCs/>
          <w:sz w:val="20"/>
          <w:szCs w:val="20"/>
        </w:rPr>
        <w:t>,</w:t>
      </w:r>
      <w:r w:rsidRPr="00C837DD">
        <w:rPr>
          <w:rFonts w:eastAsia="Calibri"/>
          <w:iCs/>
          <w:sz w:val="20"/>
          <w:szCs w:val="20"/>
        </w:rPr>
        <w:t>862</w:t>
      </w:r>
      <w:r w:rsidR="000A5B1B" w:rsidRPr="00C837DD">
        <w:rPr>
          <w:rFonts w:eastAsia="Calibri"/>
          <w:iCs/>
          <w:sz w:val="20"/>
          <w:szCs w:val="20"/>
        </w:rPr>
        <w:t>.</w:t>
      </w:r>
      <w:r w:rsidRPr="00C837DD">
        <w:rPr>
          <w:rFonts w:eastAsia="Calibri"/>
          <w:iCs/>
          <w:sz w:val="20"/>
          <w:szCs w:val="20"/>
        </w:rPr>
        <w:t xml:space="preserve">87 (seventeen thousand, eight hundred </w:t>
      </w:r>
      <w:r w:rsidR="000A5B1B" w:rsidRPr="00C837DD">
        <w:rPr>
          <w:rFonts w:eastAsia="Calibri"/>
          <w:iCs/>
          <w:sz w:val="20"/>
          <w:szCs w:val="20"/>
        </w:rPr>
        <w:t xml:space="preserve">and </w:t>
      </w:r>
      <w:r w:rsidRPr="00C837DD">
        <w:rPr>
          <w:rFonts w:eastAsia="Calibri"/>
          <w:iCs/>
          <w:sz w:val="20"/>
          <w:szCs w:val="20"/>
        </w:rPr>
        <w:t xml:space="preserve">sixty-two </w:t>
      </w:r>
      <w:r w:rsidRPr="00C837DD">
        <w:rPr>
          <w:rFonts w:eastAsia="Calibri"/>
          <w:sz w:val="20"/>
          <w:szCs w:val="20"/>
        </w:rPr>
        <w:t xml:space="preserve">United States dollars and eighty-seven cents) for </w:t>
      </w:r>
      <w:r w:rsidR="00A46822" w:rsidRPr="00C837DD">
        <w:rPr>
          <w:rFonts w:eastAsia="Calibri"/>
          <w:iCs/>
          <w:sz w:val="20"/>
          <w:szCs w:val="20"/>
        </w:rPr>
        <w:t xml:space="preserve">fees. In turn, the </w:t>
      </w:r>
      <w:r w:rsidR="00D33844" w:rsidRPr="00C837DD">
        <w:rPr>
          <w:rFonts w:eastAsia="Calibri"/>
          <w:iCs/>
          <w:sz w:val="20"/>
          <w:szCs w:val="20"/>
        </w:rPr>
        <w:t xml:space="preserve">expenses </w:t>
      </w:r>
      <w:r w:rsidRPr="00C837DD">
        <w:rPr>
          <w:rFonts w:eastAsia="Calibri"/>
          <w:iCs/>
          <w:sz w:val="20"/>
          <w:szCs w:val="20"/>
        </w:rPr>
        <w:t xml:space="preserve">incurred by </w:t>
      </w:r>
      <w:r w:rsidRPr="00C837DD">
        <w:rPr>
          <w:rFonts w:eastAsia="Calibri"/>
          <w:sz w:val="20"/>
          <w:szCs w:val="20"/>
        </w:rPr>
        <w:t xml:space="preserve">GAJOP </w:t>
      </w:r>
      <w:r w:rsidR="00D33844" w:rsidRPr="00C837DD">
        <w:rPr>
          <w:rFonts w:eastAsia="Calibri"/>
          <w:sz w:val="20"/>
          <w:szCs w:val="20"/>
        </w:rPr>
        <w:t>are</w:t>
      </w:r>
      <w:r w:rsidRPr="00C837DD">
        <w:rPr>
          <w:rFonts w:eastAsia="Calibri"/>
          <w:sz w:val="20"/>
          <w:szCs w:val="20"/>
        </w:rPr>
        <w:t xml:space="preserve"> divided as follows:</w:t>
      </w:r>
      <w:r w:rsidRPr="00C837DD">
        <w:rPr>
          <w:rFonts w:eastAsia="Calibri"/>
          <w:iCs/>
          <w:sz w:val="20"/>
          <w:szCs w:val="20"/>
        </w:rPr>
        <w:t xml:space="preserve"> i) USD$ 1</w:t>
      </w:r>
      <w:r w:rsidR="00D33844" w:rsidRPr="00C837DD">
        <w:rPr>
          <w:rFonts w:eastAsia="Calibri"/>
          <w:iCs/>
          <w:sz w:val="20"/>
          <w:szCs w:val="20"/>
        </w:rPr>
        <w:t>,</w:t>
      </w:r>
      <w:r w:rsidRPr="00C837DD">
        <w:rPr>
          <w:rFonts w:eastAsia="Calibri"/>
          <w:iCs/>
          <w:sz w:val="20"/>
          <w:szCs w:val="20"/>
        </w:rPr>
        <w:t>418</w:t>
      </w:r>
      <w:r w:rsidR="00D33844" w:rsidRPr="00C837DD">
        <w:rPr>
          <w:rFonts w:eastAsia="Calibri"/>
          <w:iCs/>
          <w:sz w:val="20"/>
          <w:szCs w:val="20"/>
        </w:rPr>
        <w:t>.</w:t>
      </w:r>
      <w:r w:rsidRPr="00C837DD">
        <w:rPr>
          <w:rFonts w:eastAsia="Calibri"/>
          <w:iCs/>
          <w:sz w:val="20"/>
          <w:szCs w:val="20"/>
        </w:rPr>
        <w:t xml:space="preserve">47 (one thousand, four hundred and eighteen </w:t>
      </w:r>
      <w:r w:rsidRPr="00C837DD">
        <w:rPr>
          <w:rFonts w:eastAsia="Calibri"/>
          <w:sz w:val="20"/>
          <w:szCs w:val="20"/>
        </w:rPr>
        <w:t>United States dollars and forty-seven cents)</w:t>
      </w:r>
      <w:r w:rsidRPr="00C837DD">
        <w:rPr>
          <w:rFonts w:eastAsia="Calibri"/>
          <w:iCs/>
          <w:sz w:val="20"/>
          <w:szCs w:val="20"/>
        </w:rPr>
        <w:t xml:space="preserve"> </w:t>
      </w:r>
      <w:r w:rsidR="00D33844" w:rsidRPr="00C837DD">
        <w:rPr>
          <w:rFonts w:eastAsia="Calibri"/>
          <w:iCs/>
          <w:sz w:val="20"/>
          <w:szCs w:val="20"/>
        </w:rPr>
        <w:t>for</w:t>
      </w:r>
      <w:r w:rsidRPr="00C837DD">
        <w:rPr>
          <w:rFonts w:eastAsia="Calibri"/>
          <w:iCs/>
          <w:sz w:val="20"/>
          <w:szCs w:val="20"/>
        </w:rPr>
        <w:t xml:space="preserve"> travel expenses (airline tickets, lodging, food and </w:t>
      </w:r>
      <w:r w:rsidRPr="00C837DD">
        <w:rPr>
          <w:rFonts w:eastAsia="Calibri"/>
          <w:i/>
          <w:iCs/>
          <w:sz w:val="20"/>
          <w:szCs w:val="20"/>
        </w:rPr>
        <w:t>per diem</w:t>
      </w:r>
      <w:r w:rsidR="00D33844" w:rsidRPr="00C837DD">
        <w:rPr>
          <w:rFonts w:eastAsia="Calibri"/>
          <w:i/>
          <w:iCs/>
          <w:sz w:val="20"/>
          <w:szCs w:val="20"/>
        </w:rPr>
        <w:t>s</w:t>
      </w:r>
      <w:r w:rsidRPr="00C837DD">
        <w:rPr>
          <w:rFonts w:eastAsia="Calibri"/>
          <w:iCs/>
          <w:sz w:val="20"/>
          <w:szCs w:val="20"/>
        </w:rPr>
        <w:t>); ii) USD$ 38</w:t>
      </w:r>
      <w:r w:rsidR="00D33844" w:rsidRPr="00C837DD">
        <w:rPr>
          <w:rFonts w:eastAsia="Calibri"/>
          <w:iCs/>
          <w:sz w:val="20"/>
          <w:szCs w:val="20"/>
        </w:rPr>
        <w:t>.</w:t>
      </w:r>
      <w:r w:rsidRPr="00C837DD">
        <w:rPr>
          <w:rFonts w:eastAsia="Calibri"/>
          <w:iCs/>
          <w:sz w:val="20"/>
          <w:szCs w:val="20"/>
        </w:rPr>
        <w:t xml:space="preserve">80 (thirty-eight </w:t>
      </w:r>
      <w:r w:rsidRPr="00C837DD">
        <w:rPr>
          <w:rFonts w:eastAsia="Calibri"/>
          <w:sz w:val="20"/>
          <w:szCs w:val="20"/>
        </w:rPr>
        <w:t xml:space="preserve">United States dollars and eighty cents) for </w:t>
      </w:r>
      <w:r w:rsidRPr="00C837DD">
        <w:rPr>
          <w:rFonts w:eastAsia="Calibri"/>
          <w:iCs/>
          <w:sz w:val="20"/>
          <w:szCs w:val="20"/>
        </w:rPr>
        <w:t>photocop</w:t>
      </w:r>
      <w:r w:rsidR="00D33844" w:rsidRPr="00C837DD">
        <w:rPr>
          <w:rFonts w:eastAsia="Calibri"/>
          <w:iCs/>
          <w:sz w:val="20"/>
          <w:szCs w:val="20"/>
        </w:rPr>
        <w:t>ies</w:t>
      </w:r>
      <w:r w:rsidRPr="00C837DD">
        <w:rPr>
          <w:rFonts w:eastAsia="Calibri"/>
          <w:iCs/>
          <w:sz w:val="20"/>
          <w:szCs w:val="20"/>
        </w:rPr>
        <w:t>; iii) USD$ 359</w:t>
      </w:r>
      <w:r w:rsidR="00D33844" w:rsidRPr="00C837DD">
        <w:rPr>
          <w:rFonts w:eastAsia="Calibri"/>
          <w:iCs/>
          <w:sz w:val="20"/>
          <w:szCs w:val="20"/>
        </w:rPr>
        <w:t>.</w:t>
      </w:r>
      <w:r w:rsidRPr="00C837DD">
        <w:rPr>
          <w:rFonts w:eastAsia="Calibri"/>
          <w:iCs/>
          <w:sz w:val="20"/>
          <w:szCs w:val="20"/>
        </w:rPr>
        <w:t>83 (three hundred and fifty-</w:t>
      </w:r>
      <w:r w:rsidR="00A46822" w:rsidRPr="00C837DD">
        <w:rPr>
          <w:rFonts w:eastAsia="Calibri"/>
          <w:iCs/>
          <w:sz w:val="20"/>
          <w:szCs w:val="20"/>
        </w:rPr>
        <w:t>n</w:t>
      </w:r>
      <w:r w:rsidRPr="00C837DD">
        <w:rPr>
          <w:rFonts w:eastAsia="Calibri"/>
          <w:iCs/>
          <w:sz w:val="20"/>
          <w:szCs w:val="20"/>
        </w:rPr>
        <w:t xml:space="preserve">ine </w:t>
      </w:r>
      <w:r w:rsidRPr="00C837DD">
        <w:rPr>
          <w:rFonts w:eastAsia="Calibri"/>
          <w:sz w:val="20"/>
          <w:szCs w:val="20"/>
        </w:rPr>
        <w:t>United States dollars and eighty-three cents)</w:t>
      </w:r>
      <w:r w:rsidRPr="00C837DD">
        <w:rPr>
          <w:rFonts w:eastAsia="Calibri"/>
          <w:iCs/>
          <w:sz w:val="20"/>
          <w:szCs w:val="20"/>
        </w:rPr>
        <w:t xml:space="preserve"> </w:t>
      </w:r>
      <w:r w:rsidR="00600A39" w:rsidRPr="00C837DD">
        <w:rPr>
          <w:rFonts w:eastAsia="Calibri"/>
          <w:iCs/>
          <w:sz w:val="20"/>
          <w:szCs w:val="20"/>
        </w:rPr>
        <w:t>for expenses for file material;</w:t>
      </w:r>
      <w:r w:rsidR="00F407CA" w:rsidRPr="00C837DD">
        <w:rPr>
          <w:rFonts w:eastAsia="Calibri"/>
          <w:iCs/>
          <w:sz w:val="20"/>
          <w:szCs w:val="20"/>
        </w:rPr>
        <w:t xml:space="preserve"> and iv) USD$ 12,898.</w:t>
      </w:r>
      <w:r w:rsidRPr="00C837DD">
        <w:rPr>
          <w:rFonts w:eastAsia="Calibri"/>
          <w:iCs/>
          <w:sz w:val="20"/>
          <w:szCs w:val="20"/>
        </w:rPr>
        <w:t xml:space="preserve">63 (twelve thousand, eight hundred and ninety-eight </w:t>
      </w:r>
      <w:r w:rsidRPr="00C837DD">
        <w:rPr>
          <w:rFonts w:eastAsia="Calibri"/>
          <w:sz w:val="20"/>
          <w:szCs w:val="20"/>
        </w:rPr>
        <w:t>United States dollars and sixty-three cents)</w:t>
      </w:r>
      <w:r w:rsidRPr="00C837DD">
        <w:rPr>
          <w:rFonts w:eastAsia="Calibri"/>
          <w:iCs/>
          <w:sz w:val="20"/>
          <w:szCs w:val="20"/>
        </w:rPr>
        <w:t xml:space="preserve"> for fees</w:t>
      </w:r>
      <w:r w:rsidRPr="00C837DD">
        <w:rPr>
          <w:rFonts w:eastAsia="Calibri"/>
          <w:sz w:val="20"/>
          <w:szCs w:val="20"/>
        </w:rPr>
        <w:t xml:space="preserve">. </w:t>
      </w:r>
      <w:r w:rsidR="003C3B09" w:rsidRPr="00C837DD">
        <w:rPr>
          <w:rFonts w:eastAsia="Calibri"/>
          <w:sz w:val="20"/>
          <w:szCs w:val="20"/>
        </w:rPr>
        <w:t xml:space="preserve">Finally, they </w:t>
      </w:r>
      <w:r w:rsidRPr="00C837DD">
        <w:rPr>
          <w:rFonts w:eastAsia="Calibri"/>
          <w:sz w:val="20"/>
          <w:szCs w:val="20"/>
        </w:rPr>
        <w:t xml:space="preserve">requested that the Court determine in equity the </w:t>
      </w:r>
      <w:r w:rsidR="00A46822" w:rsidRPr="00C837DD">
        <w:rPr>
          <w:rFonts w:eastAsia="Calibri"/>
          <w:sz w:val="20"/>
          <w:szCs w:val="20"/>
        </w:rPr>
        <w:t>a</w:t>
      </w:r>
      <w:r w:rsidRPr="00C837DD">
        <w:rPr>
          <w:rFonts w:eastAsia="Calibri"/>
          <w:sz w:val="20"/>
          <w:szCs w:val="20"/>
        </w:rPr>
        <w:t>mo</w:t>
      </w:r>
      <w:r w:rsidR="00A46822" w:rsidRPr="00C837DD">
        <w:rPr>
          <w:rFonts w:eastAsia="Calibri"/>
          <w:sz w:val="20"/>
          <w:szCs w:val="20"/>
        </w:rPr>
        <w:t>unt</w:t>
      </w:r>
      <w:r w:rsidRPr="00C837DD">
        <w:rPr>
          <w:rFonts w:eastAsia="Calibri"/>
          <w:sz w:val="20"/>
          <w:szCs w:val="20"/>
        </w:rPr>
        <w:t xml:space="preserve"> corresponding to </w:t>
      </w:r>
      <w:r w:rsidR="003C3B09" w:rsidRPr="00C837DD">
        <w:rPr>
          <w:rFonts w:eastAsia="Calibri"/>
          <w:sz w:val="20"/>
          <w:szCs w:val="20"/>
        </w:rPr>
        <w:t xml:space="preserve">costs and </w:t>
      </w:r>
      <w:r w:rsidRPr="00C837DD">
        <w:rPr>
          <w:rFonts w:eastAsia="Calibri"/>
          <w:sz w:val="20"/>
          <w:szCs w:val="20"/>
        </w:rPr>
        <w:t xml:space="preserve">expenses </w:t>
      </w:r>
      <w:r w:rsidR="003C3B09" w:rsidRPr="00C837DD">
        <w:rPr>
          <w:rFonts w:eastAsia="Calibri"/>
          <w:sz w:val="20"/>
          <w:szCs w:val="20"/>
        </w:rPr>
        <w:t>due to</w:t>
      </w:r>
      <w:r w:rsidRPr="00C837DD">
        <w:rPr>
          <w:rFonts w:eastAsia="Calibri"/>
          <w:sz w:val="20"/>
          <w:szCs w:val="20"/>
        </w:rPr>
        <w:t xml:space="preserve"> GAJOP for its various trips to the city of Cajazeiras to gather information on the health of </w:t>
      </w:r>
      <w:r w:rsidR="00B8009F" w:rsidRPr="00C837DD">
        <w:rPr>
          <w:rFonts w:eastAsia="Calibri"/>
          <w:sz w:val="20"/>
          <w:szCs w:val="20"/>
        </w:rPr>
        <w:t>Márcia</w:t>
      </w:r>
      <w:r w:rsidRPr="00C837DD">
        <w:rPr>
          <w:rFonts w:eastAsia="Calibri"/>
          <w:sz w:val="20"/>
          <w:szCs w:val="20"/>
        </w:rPr>
        <w:t xml:space="preserve"> Barbosa de Souza</w:t>
      </w:r>
      <w:r w:rsidR="003C3B09" w:rsidRPr="00C837DD">
        <w:rPr>
          <w:rFonts w:eastAsia="Calibri"/>
          <w:sz w:val="20"/>
          <w:szCs w:val="20"/>
        </w:rPr>
        <w:t>’s next of kin</w:t>
      </w:r>
      <w:r w:rsidRPr="00C837DD">
        <w:rPr>
          <w:rFonts w:eastAsia="Calibri"/>
          <w:sz w:val="20"/>
          <w:szCs w:val="20"/>
        </w:rPr>
        <w:t xml:space="preserve"> and </w:t>
      </w:r>
      <w:r w:rsidR="003C3B09" w:rsidRPr="00C837DD">
        <w:rPr>
          <w:rFonts w:eastAsia="Calibri"/>
          <w:sz w:val="20"/>
          <w:szCs w:val="20"/>
        </w:rPr>
        <w:t xml:space="preserve">its various </w:t>
      </w:r>
      <w:r w:rsidRPr="00C837DD">
        <w:rPr>
          <w:rFonts w:eastAsia="Calibri"/>
          <w:sz w:val="20"/>
          <w:szCs w:val="20"/>
        </w:rPr>
        <w:t>legal actions a</w:t>
      </w:r>
      <w:r w:rsidR="00A46822" w:rsidRPr="00C837DD">
        <w:rPr>
          <w:rFonts w:eastAsia="Calibri"/>
          <w:sz w:val="20"/>
          <w:szCs w:val="20"/>
        </w:rPr>
        <w:t>t the domestic</w:t>
      </w:r>
      <w:r w:rsidRPr="00C837DD">
        <w:rPr>
          <w:rFonts w:eastAsia="Calibri"/>
          <w:sz w:val="20"/>
          <w:szCs w:val="20"/>
        </w:rPr>
        <w:t xml:space="preserve"> level, including acting as assistant </w:t>
      </w:r>
      <w:r w:rsidR="003C3B09" w:rsidRPr="00C837DD">
        <w:rPr>
          <w:rFonts w:eastAsia="Calibri"/>
          <w:sz w:val="20"/>
          <w:szCs w:val="20"/>
        </w:rPr>
        <w:t>prosecutor in the criminal proceeding</w:t>
      </w:r>
      <w:r w:rsidRPr="00C837DD">
        <w:rPr>
          <w:rFonts w:eastAsia="Calibri"/>
          <w:sz w:val="20"/>
          <w:szCs w:val="20"/>
        </w:rPr>
        <w:t xml:space="preserve"> against Mr. Aércio Pereira de Lima, given that, due to the passage of time, they do not have receipts for </w:t>
      </w:r>
      <w:r w:rsidR="003C3B09" w:rsidRPr="00C837DD">
        <w:rPr>
          <w:rFonts w:eastAsia="Calibri"/>
          <w:sz w:val="20"/>
          <w:szCs w:val="20"/>
        </w:rPr>
        <w:t xml:space="preserve">such </w:t>
      </w:r>
      <w:r w:rsidRPr="00C837DD">
        <w:rPr>
          <w:rFonts w:eastAsia="Calibri"/>
          <w:sz w:val="20"/>
          <w:szCs w:val="20"/>
        </w:rPr>
        <w:t xml:space="preserve">expenses. </w:t>
      </w:r>
    </w:p>
    <w:p w14:paraId="153AD094" w14:textId="77777777" w:rsidR="00F85D5F" w:rsidRPr="00C837DD" w:rsidRDefault="00F85D5F" w:rsidP="00F85D5F">
      <w:pPr>
        <w:pStyle w:val="Prrafodelista"/>
        <w:tabs>
          <w:tab w:val="left" w:pos="142"/>
        </w:tabs>
        <w:ind w:left="0"/>
        <w:rPr>
          <w:sz w:val="20"/>
          <w:szCs w:val="20"/>
        </w:rPr>
      </w:pPr>
    </w:p>
    <w:p w14:paraId="0C6083FA" w14:textId="37801CF8" w:rsidR="00F85D5F" w:rsidRPr="00C837DD" w:rsidRDefault="00F85D5F" w:rsidP="00D33844">
      <w:pPr>
        <w:pStyle w:val="Prrafodelista"/>
        <w:numPr>
          <w:ilvl w:val="0"/>
          <w:numId w:val="6"/>
        </w:numPr>
        <w:tabs>
          <w:tab w:val="left" w:pos="142"/>
        </w:tabs>
        <w:ind w:left="0" w:firstLine="0"/>
        <w:rPr>
          <w:sz w:val="20"/>
          <w:szCs w:val="20"/>
        </w:rPr>
      </w:pPr>
      <w:r w:rsidRPr="00C837DD">
        <w:rPr>
          <w:sz w:val="20"/>
          <w:szCs w:val="20"/>
          <w:lang w:eastAsia="es-ES" w:bidi="en-US"/>
        </w:rPr>
        <w:t xml:space="preserve">The </w:t>
      </w:r>
      <w:r w:rsidRPr="00C837DD">
        <w:rPr>
          <w:b/>
          <w:i/>
          <w:sz w:val="20"/>
          <w:szCs w:val="20"/>
          <w:lang w:eastAsia="es-ES" w:bidi="en-US"/>
        </w:rPr>
        <w:t xml:space="preserve">State </w:t>
      </w:r>
      <w:r w:rsidRPr="00C837DD">
        <w:rPr>
          <w:sz w:val="20"/>
          <w:szCs w:val="20"/>
          <w:lang w:eastAsia="es-ES" w:bidi="en-US"/>
        </w:rPr>
        <w:t xml:space="preserve">asked </w:t>
      </w:r>
      <w:r w:rsidR="00855BE8" w:rsidRPr="00C837DD">
        <w:rPr>
          <w:sz w:val="20"/>
          <w:szCs w:val="20"/>
          <w:lang w:eastAsia="es-ES" w:bidi="en-US"/>
        </w:rPr>
        <w:t xml:space="preserve">the Court to </w:t>
      </w:r>
      <w:r w:rsidRPr="00C837DD">
        <w:rPr>
          <w:sz w:val="20"/>
          <w:szCs w:val="20"/>
          <w:lang w:eastAsia="es-ES" w:bidi="en-US"/>
        </w:rPr>
        <w:t>t</w:t>
      </w:r>
      <w:r w:rsidR="00790F96" w:rsidRPr="00C837DD">
        <w:rPr>
          <w:sz w:val="20"/>
          <w:szCs w:val="20"/>
          <w:lang w:eastAsia="es-ES" w:bidi="en-US"/>
        </w:rPr>
        <w:t xml:space="preserve">ake into account </w:t>
      </w:r>
      <w:r w:rsidR="00855BE8" w:rsidRPr="00C837DD">
        <w:rPr>
          <w:sz w:val="20"/>
          <w:szCs w:val="20"/>
          <w:lang w:eastAsia="es-ES" w:bidi="en-US"/>
        </w:rPr>
        <w:t xml:space="preserve">only </w:t>
      </w:r>
      <w:r w:rsidRPr="00C837DD">
        <w:rPr>
          <w:sz w:val="20"/>
          <w:szCs w:val="20"/>
          <w:lang w:eastAsia="es-ES" w:bidi="en-US"/>
        </w:rPr>
        <w:t xml:space="preserve">reasonable </w:t>
      </w:r>
      <w:r w:rsidR="00544B80" w:rsidRPr="00C837DD">
        <w:rPr>
          <w:sz w:val="20"/>
          <w:szCs w:val="20"/>
          <w:lang w:eastAsia="es-ES" w:bidi="en-US"/>
        </w:rPr>
        <w:t xml:space="preserve">and duly proven </w:t>
      </w:r>
      <w:r w:rsidR="00891256" w:rsidRPr="00C837DD">
        <w:rPr>
          <w:sz w:val="20"/>
          <w:szCs w:val="20"/>
          <w:lang w:eastAsia="es-ES" w:bidi="en-US"/>
        </w:rPr>
        <w:t xml:space="preserve">expenses </w:t>
      </w:r>
      <w:r w:rsidRPr="00C837DD">
        <w:rPr>
          <w:sz w:val="20"/>
          <w:szCs w:val="20"/>
          <w:lang w:eastAsia="es-ES" w:bidi="en-US"/>
        </w:rPr>
        <w:t xml:space="preserve">necessary for the representatives’ actions before the Inter-American System, </w:t>
      </w:r>
      <w:r w:rsidR="00891256" w:rsidRPr="00C837DD">
        <w:rPr>
          <w:sz w:val="20"/>
          <w:szCs w:val="20"/>
          <w:lang w:eastAsia="es-ES" w:bidi="en-US"/>
        </w:rPr>
        <w:t>when</w:t>
      </w:r>
      <w:r w:rsidR="00605DA4" w:rsidRPr="00C837DD">
        <w:rPr>
          <w:sz w:val="20"/>
          <w:szCs w:val="20"/>
          <w:lang w:eastAsia="es-ES" w:bidi="en-US"/>
        </w:rPr>
        <w:t xml:space="preserve"> </w:t>
      </w:r>
      <w:r w:rsidRPr="00C837DD">
        <w:rPr>
          <w:sz w:val="20"/>
          <w:szCs w:val="20"/>
          <w:lang w:eastAsia="es-ES" w:bidi="en-US"/>
        </w:rPr>
        <w:t>consider</w:t>
      </w:r>
      <w:r w:rsidR="00605DA4" w:rsidRPr="00C837DD">
        <w:rPr>
          <w:sz w:val="20"/>
          <w:szCs w:val="20"/>
          <w:lang w:eastAsia="es-ES" w:bidi="en-US"/>
        </w:rPr>
        <w:t>ing</w:t>
      </w:r>
      <w:r w:rsidRPr="00C837DD">
        <w:rPr>
          <w:sz w:val="20"/>
          <w:szCs w:val="20"/>
          <w:lang w:eastAsia="es-ES" w:bidi="en-US"/>
        </w:rPr>
        <w:t xml:space="preserve"> the sum requested, </w:t>
      </w:r>
      <w:r w:rsidR="00AB225E">
        <w:rPr>
          <w:sz w:val="20"/>
          <w:szCs w:val="20"/>
          <w:lang w:eastAsia="es-ES" w:bidi="en-US"/>
        </w:rPr>
        <w:t xml:space="preserve">as well as </w:t>
      </w:r>
      <w:r w:rsidRPr="00C837DD">
        <w:rPr>
          <w:sz w:val="20"/>
          <w:szCs w:val="20"/>
          <w:lang w:eastAsia="es-ES" w:bidi="en-US"/>
        </w:rPr>
        <w:t>the documentation that proves it and the direct relation</w:t>
      </w:r>
      <w:r w:rsidR="00605DA4" w:rsidRPr="00C837DD">
        <w:rPr>
          <w:sz w:val="20"/>
          <w:szCs w:val="20"/>
          <w:lang w:eastAsia="es-ES" w:bidi="en-US"/>
        </w:rPr>
        <w:t>ship</w:t>
      </w:r>
      <w:r w:rsidRPr="00C837DD">
        <w:rPr>
          <w:sz w:val="20"/>
          <w:szCs w:val="20"/>
          <w:lang w:eastAsia="es-ES" w:bidi="en-US"/>
        </w:rPr>
        <w:t xml:space="preserve"> </w:t>
      </w:r>
      <w:r w:rsidR="00605DA4" w:rsidRPr="00C837DD">
        <w:rPr>
          <w:sz w:val="20"/>
          <w:szCs w:val="20"/>
          <w:lang w:eastAsia="es-ES" w:bidi="en-US"/>
        </w:rPr>
        <w:t xml:space="preserve">between the amount </w:t>
      </w:r>
      <w:r w:rsidRPr="00C837DD">
        <w:rPr>
          <w:sz w:val="20"/>
          <w:szCs w:val="20"/>
          <w:lang w:eastAsia="es-ES" w:bidi="en-US"/>
        </w:rPr>
        <w:t xml:space="preserve">requested </w:t>
      </w:r>
      <w:r w:rsidR="00605DA4" w:rsidRPr="00C837DD">
        <w:rPr>
          <w:sz w:val="20"/>
          <w:szCs w:val="20"/>
          <w:lang w:eastAsia="es-ES" w:bidi="en-US"/>
        </w:rPr>
        <w:t xml:space="preserve">and </w:t>
      </w:r>
      <w:r w:rsidRPr="00C837DD">
        <w:rPr>
          <w:sz w:val="20"/>
          <w:szCs w:val="20"/>
          <w:lang w:eastAsia="es-ES" w:bidi="en-US"/>
        </w:rPr>
        <w:t>the circumstances of the case.</w:t>
      </w:r>
      <w:r w:rsidRPr="00C837DD">
        <w:rPr>
          <w:rFonts w:eastAsia="Calibri"/>
          <w:b/>
          <w:sz w:val="20"/>
          <w:szCs w:val="20"/>
        </w:rPr>
        <w:t xml:space="preserve"> </w:t>
      </w:r>
      <w:r w:rsidR="00605DA4" w:rsidRPr="00C837DD">
        <w:rPr>
          <w:rFonts w:eastAsia="Calibri"/>
          <w:sz w:val="20"/>
          <w:szCs w:val="20"/>
        </w:rPr>
        <w:t>W</w:t>
      </w:r>
      <w:r w:rsidR="00E249F0" w:rsidRPr="00C837DD">
        <w:rPr>
          <w:rFonts w:eastAsia="Calibri"/>
          <w:sz w:val="20"/>
          <w:szCs w:val="20"/>
        </w:rPr>
        <w:t>ith re</w:t>
      </w:r>
      <w:r w:rsidR="00605DA4" w:rsidRPr="00C837DD">
        <w:rPr>
          <w:rFonts w:eastAsia="Calibri"/>
          <w:sz w:val="20"/>
          <w:szCs w:val="20"/>
        </w:rPr>
        <w:t xml:space="preserve">gard </w:t>
      </w:r>
      <w:r w:rsidR="00E249F0" w:rsidRPr="00C837DD">
        <w:rPr>
          <w:rFonts w:eastAsia="Calibri"/>
          <w:sz w:val="20"/>
          <w:szCs w:val="20"/>
        </w:rPr>
        <w:t xml:space="preserve">to the </w:t>
      </w:r>
      <w:r w:rsidRPr="00C837DD">
        <w:rPr>
          <w:rFonts w:eastAsia="Calibri"/>
          <w:sz w:val="20"/>
          <w:szCs w:val="20"/>
        </w:rPr>
        <w:t>pa</w:t>
      </w:r>
      <w:r w:rsidR="00790F96" w:rsidRPr="00C837DD">
        <w:rPr>
          <w:rFonts w:eastAsia="Calibri"/>
          <w:sz w:val="20"/>
          <w:szCs w:val="20"/>
        </w:rPr>
        <w:t xml:space="preserve">yment </w:t>
      </w:r>
      <w:r w:rsidRPr="00C837DD">
        <w:rPr>
          <w:rFonts w:eastAsia="Calibri"/>
          <w:sz w:val="20"/>
          <w:szCs w:val="20"/>
        </w:rPr>
        <w:t xml:space="preserve">of the </w:t>
      </w:r>
      <w:r w:rsidR="00790F96" w:rsidRPr="00C837DD">
        <w:rPr>
          <w:rFonts w:eastAsia="Calibri"/>
          <w:sz w:val="20"/>
          <w:szCs w:val="20"/>
        </w:rPr>
        <w:t xml:space="preserve">amounts indicated under </w:t>
      </w:r>
      <w:r w:rsidRPr="00C837DD">
        <w:rPr>
          <w:rFonts w:eastAsia="Calibri"/>
          <w:sz w:val="20"/>
          <w:szCs w:val="20"/>
        </w:rPr>
        <w:t xml:space="preserve">the </w:t>
      </w:r>
      <w:r w:rsidR="00790F96" w:rsidRPr="00C837DD">
        <w:rPr>
          <w:rFonts w:eastAsia="Calibri"/>
          <w:sz w:val="20"/>
          <w:szCs w:val="20"/>
        </w:rPr>
        <w:t>heading of “Fees”</w:t>
      </w:r>
      <w:r w:rsidRPr="00C837DD">
        <w:rPr>
          <w:rFonts w:eastAsia="Calibri"/>
          <w:sz w:val="20"/>
          <w:szCs w:val="20"/>
        </w:rPr>
        <w:t>, in An</w:t>
      </w:r>
      <w:r w:rsidR="00A46822" w:rsidRPr="00C837DD">
        <w:rPr>
          <w:rFonts w:eastAsia="Calibri"/>
          <w:sz w:val="20"/>
          <w:szCs w:val="20"/>
        </w:rPr>
        <w:t>nexes 7 (GAJOP) and 8 (CEJIL)</w:t>
      </w:r>
      <w:r w:rsidR="00605DA4" w:rsidRPr="00C837DD">
        <w:rPr>
          <w:rFonts w:eastAsia="Calibri"/>
          <w:sz w:val="20"/>
          <w:szCs w:val="20"/>
        </w:rPr>
        <w:t xml:space="preserve"> to</w:t>
      </w:r>
      <w:r w:rsidR="00E42F67" w:rsidRPr="00C837DD">
        <w:rPr>
          <w:rFonts w:eastAsia="Calibri"/>
          <w:sz w:val="20"/>
          <w:szCs w:val="20"/>
        </w:rPr>
        <w:t xml:space="preserve"> </w:t>
      </w:r>
      <w:r w:rsidRPr="00C837DD">
        <w:rPr>
          <w:rFonts w:eastAsia="Calibri"/>
          <w:sz w:val="20"/>
          <w:szCs w:val="20"/>
        </w:rPr>
        <w:t>the final arguments of the representatives,</w:t>
      </w:r>
      <w:r w:rsidR="00605DA4" w:rsidRPr="00C837DD">
        <w:rPr>
          <w:rFonts w:eastAsia="Calibri"/>
          <w:sz w:val="20"/>
          <w:szCs w:val="20"/>
        </w:rPr>
        <w:t xml:space="preserve"> it </w:t>
      </w:r>
      <w:r w:rsidR="00544B80" w:rsidRPr="00C837DD">
        <w:rPr>
          <w:rFonts w:eastAsia="Calibri"/>
          <w:sz w:val="20"/>
          <w:szCs w:val="20"/>
        </w:rPr>
        <w:t xml:space="preserve">argued </w:t>
      </w:r>
      <w:r w:rsidR="00605DA4" w:rsidRPr="00C837DD">
        <w:rPr>
          <w:rFonts w:eastAsia="Calibri"/>
          <w:sz w:val="20"/>
          <w:szCs w:val="20"/>
        </w:rPr>
        <w:t>that these should not be demanded from the</w:t>
      </w:r>
      <w:r w:rsidRPr="00C837DD">
        <w:rPr>
          <w:rFonts w:eastAsia="Calibri"/>
          <w:sz w:val="20"/>
          <w:szCs w:val="20"/>
        </w:rPr>
        <w:t xml:space="preserve"> State in </w:t>
      </w:r>
      <w:r w:rsidR="00605DA4" w:rsidRPr="00C837DD">
        <w:rPr>
          <w:rFonts w:eastAsia="Calibri"/>
          <w:sz w:val="20"/>
          <w:szCs w:val="20"/>
        </w:rPr>
        <w:t xml:space="preserve">the event of its </w:t>
      </w:r>
      <w:r w:rsidR="00544B80" w:rsidRPr="00C837DD">
        <w:rPr>
          <w:rFonts w:eastAsia="Calibri"/>
          <w:sz w:val="20"/>
          <w:szCs w:val="20"/>
        </w:rPr>
        <w:t xml:space="preserve">eventual </w:t>
      </w:r>
      <w:r w:rsidRPr="00C837DD">
        <w:rPr>
          <w:rFonts w:eastAsia="Calibri"/>
          <w:sz w:val="20"/>
          <w:szCs w:val="20"/>
        </w:rPr>
        <w:t>conviction by the Court, “</w:t>
      </w:r>
      <w:r w:rsidR="00605DA4" w:rsidRPr="00C837DD">
        <w:rPr>
          <w:rFonts w:eastAsia="Calibri"/>
          <w:sz w:val="20"/>
          <w:szCs w:val="20"/>
        </w:rPr>
        <w:t>under penalty of violating the republican postulates of morality, economy, equality and legality, which guide the expenditure</w:t>
      </w:r>
      <w:r w:rsidR="00544B80" w:rsidRPr="00C837DD">
        <w:rPr>
          <w:rFonts w:eastAsia="Calibri"/>
          <w:sz w:val="20"/>
          <w:szCs w:val="20"/>
        </w:rPr>
        <w:t xml:space="preserve"> of funds </w:t>
      </w:r>
      <w:r w:rsidR="00544B80" w:rsidRPr="00C837DD">
        <w:rPr>
          <w:rFonts w:eastAsia="Calibri"/>
          <w:sz w:val="20"/>
          <w:szCs w:val="20"/>
          <w:lang w:val="en-GB"/>
        </w:rPr>
        <w:t xml:space="preserve">by </w:t>
      </w:r>
      <w:r w:rsidRPr="00C837DD">
        <w:rPr>
          <w:rFonts w:eastAsia="Calibri"/>
          <w:sz w:val="20"/>
          <w:szCs w:val="20"/>
        </w:rPr>
        <w:t xml:space="preserve">the </w:t>
      </w:r>
      <w:r w:rsidR="00B861DF" w:rsidRPr="00C837DD">
        <w:rPr>
          <w:rFonts w:eastAsia="Calibri"/>
          <w:sz w:val="20"/>
          <w:szCs w:val="20"/>
        </w:rPr>
        <w:t>public administration</w:t>
      </w:r>
      <w:r w:rsidRPr="00C837DD">
        <w:rPr>
          <w:rFonts w:eastAsia="Calibri"/>
          <w:sz w:val="20"/>
          <w:szCs w:val="20"/>
        </w:rPr>
        <w:t xml:space="preserve">. </w:t>
      </w:r>
      <w:r w:rsidR="00605DA4" w:rsidRPr="00C837DD">
        <w:rPr>
          <w:rFonts w:eastAsia="Calibri"/>
          <w:sz w:val="20"/>
          <w:szCs w:val="20"/>
        </w:rPr>
        <w:t xml:space="preserve">The State indicated that it is up to the </w:t>
      </w:r>
      <w:r w:rsidR="00605DA4" w:rsidRPr="00C837DD">
        <w:rPr>
          <w:rFonts w:eastAsia="Calibri"/>
          <w:sz w:val="20"/>
          <w:szCs w:val="20"/>
        </w:rPr>
        <w:lastRenderedPageBreak/>
        <w:t xml:space="preserve">Court to set fair fees and salaries, always based on the work actually performed on behalf of the victims in the case. It </w:t>
      </w:r>
      <w:r w:rsidR="001E4955">
        <w:rPr>
          <w:rFonts w:eastAsia="Calibri"/>
          <w:sz w:val="20"/>
          <w:szCs w:val="20"/>
        </w:rPr>
        <w:t xml:space="preserve">stated </w:t>
      </w:r>
      <w:r w:rsidR="00605DA4" w:rsidRPr="00C837DD">
        <w:rPr>
          <w:rFonts w:eastAsia="Calibri"/>
          <w:sz w:val="20"/>
          <w:szCs w:val="20"/>
        </w:rPr>
        <w:t>that the request for reimbursement of expenses with fees is based on percentages that are mere estimates</w:t>
      </w:r>
      <w:r w:rsidR="003C3B09" w:rsidRPr="00C837DD">
        <w:rPr>
          <w:rFonts w:eastAsia="Calibri"/>
          <w:sz w:val="20"/>
          <w:szCs w:val="20"/>
        </w:rPr>
        <w:t xml:space="preserve">, </w:t>
      </w:r>
      <w:r w:rsidR="00486DB4" w:rsidRPr="00C837DD">
        <w:rPr>
          <w:rFonts w:eastAsia="Calibri"/>
          <w:sz w:val="20"/>
          <w:szCs w:val="20"/>
        </w:rPr>
        <w:t xml:space="preserve">and </w:t>
      </w:r>
      <w:r w:rsidR="003C3B09" w:rsidRPr="00C837DD">
        <w:rPr>
          <w:rFonts w:eastAsia="Calibri"/>
          <w:sz w:val="20"/>
          <w:szCs w:val="20"/>
        </w:rPr>
        <w:t>which</w:t>
      </w:r>
      <w:r w:rsidR="00605DA4" w:rsidRPr="00C837DD">
        <w:rPr>
          <w:rFonts w:eastAsia="Calibri"/>
          <w:sz w:val="20"/>
          <w:szCs w:val="20"/>
        </w:rPr>
        <w:t xml:space="preserve"> </w:t>
      </w:r>
      <w:r w:rsidR="001E4955">
        <w:rPr>
          <w:rFonts w:eastAsia="Calibri"/>
          <w:sz w:val="20"/>
          <w:szCs w:val="20"/>
        </w:rPr>
        <w:t xml:space="preserve">have </w:t>
      </w:r>
      <w:r w:rsidR="00605DA4" w:rsidRPr="00C837DD">
        <w:rPr>
          <w:rFonts w:eastAsia="Calibri"/>
          <w:sz w:val="20"/>
          <w:szCs w:val="20"/>
        </w:rPr>
        <w:t>resulted in excessive amount</w:t>
      </w:r>
      <w:r w:rsidR="00544B80" w:rsidRPr="00C837DD">
        <w:rPr>
          <w:rFonts w:eastAsia="Calibri"/>
          <w:sz w:val="20"/>
          <w:szCs w:val="20"/>
        </w:rPr>
        <w:t>s</w:t>
      </w:r>
      <w:r w:rsidRPr="00C837DD">
        <w:rPr>
          <w:rFonts w:eastAsia="Calibri"/>
          <w:sz w:val="20"/>
          <w:szCs w:val="20"/>
        </w:rPr>
        <w:t xml:space="preserve">. Therefore, </w:t>
      </w:r>
      <w:r w:rsidR="003C3B09" w:rsidRPr="00C837DD">
        <w:rPr>
          <w:rFonts w:eastAsia="Calibri"/>
          <w:sz w:val="20"/>
          <w:szCs w:val="20"/>
        </w:rPr>
        <w:t xml:space="preserve">it </w:t>
      </w:r>
      <w:r w:rsidRPr="00C837DD">
        <w:rPr>
          <w:rFonts w:eastAsia="Calibri"/>
          <w:sz w:val="20"/>
          <w:szCs w:val="20"/>
        </w:rPr>
        <w:t xml:space="preserve">requested that the Court, </w:t>
      </w:r>
      <w:r w:rsidR="003C3B09" w:rsidRPr="00C837DD">
        <w:rPr>
          <w:rFonts w:eastAsia="Calibri"/>
          <w:sz w:val="20"/>
          <w:szCs w:val="20"/>
        </w:rPr>
        <w:t xml:space="preserve">in the absence </w:t>
      </w:r>
      <w:r w:rsidRPr="00C837DD">
        <w:rPr>
          <w:rFonts w:eastAsia="Calibri"/>
          <w:sz w:val="20"/>
          <w:szCs w:val="20"/>
        </w:rPr>
        <w:t xml:space="preserve">of precise documentary evidence, </w:t>
      </w:r>
      <w:r w:rsidR="003C3B09" w:rsidRPr="00C837DD">
        <w:rPr>
          <w:rFonts w:eastAsia="Calibri"/>
          <w:sz w:val="20"/>
          <w:szCs w:val="20"/>
        </w:rPr>
        <w:t>establish the amount to be reimbursed</w:t>
      </w:r>
      <w:r w:rsidRPr="00C837DD">
        <w:rPr>
          <w:rFonts w:eastAsia="Calibri"/>
          <w:sz w:val="20"/>
          <w:szCs w:val="20"/>
        </w:rPr>
        <w:t xml:space="preserve"> based on </w:t>
      </w:r>
      <w:r w:rsidR="00790F96" w:rsidRPr="00C837DD">
        <w:rPr>
          <w:rFonts w:eastAsia="Calibri"/>
          <w:sz w:val="20"/>
          <w:szCs w:val="20"/>
        </w:rPr>
        <w:t xml:space="preserve">equity </w:t>
      </w:r>
      <w:r w:rsidRPr="00C837DD">
        <w:rPr>
          <w:rFonts w:eastAsia="Calibri"/>
          <w:sz w:val="20"/>
          <w:szCs w:val="20"/>
        </w:rPr>
        <w:t xml:space="preserve">and </w:t>
      </w:r>
      <w:r w:rsidR="00E42F67" w:rsidRPr="00C837DD">
        <w:rPr>
          <w:rFonts w:eastAsia="Calibri"/>
          <w:sz w:val="20"/>
          <w:szCs w:val="20"/>
        </w:rPr>
        <w:t xml:space="preserve">in accordance with </w:t>
      </w:r>
      <w:r w:rsidR="00486DB4" w:rsidRPr="00C837DD">
        <w:rPr>
          <w:rFonts w:eastAsia="Calibri"/>
          <w:sz w:val="20"/>
          <w:szCs w:val="20"/>
        </w:rPr>
        <w:t xml:space="preserve">the </w:t>
      </w:r>
      <w:r w:rsidRPr="00C837DD">
        <w:rPr>
          <w:rFonts w:eastAsia="Calibri"/>
          <w:sz w:val="20"/>
          <w:szCs w:val="20"/>
        </w:rPr>
        <w:t>parameters</w:t>
      </w:r>
      <w:r w:rsidR="00486DB4" w:rsidRPr="00C837DD">
        <w:rPr>
          <w:rFonts w:eastAsia="Calibri"/>
          <w:sz w:val="20"/>
          <w:szCs w:val="20"/>
        </w:rPr>
        <w:t xml:space="preserve"> that are usually applied</w:t>
      </w:r>
      <w:r w:rsidRPr="00C837DD">
        <w:rPr>
          <w:rFonts w:eastAsia="Calibri"/>
          <w:sz w:val="20"/>
          <w:szCs w:val="20"/>
        </w:rPr>
        <w:t>. Finally, the State argued that the Court should not consider the expenses related to the “translation into Portuguese of a document submitted to the Court”</w:t>
      </w:r>
      <w:r w:rsidR="00486DB4" w:rsidRPr="00C837DD">
        <w:rPr>
          <w:rFonts w:eastAsia="Calibri"/>
          <w:sz w:val="20"/>
          <w:szCs w:val="20"/>
        </w:rPr>
        <w:t>,</w:t>
      </w:r>
      <w:r w:rsidRPr="00C837DD">
        <w:rPr>
          <w:rFonts w:eastAsia="Calibri"/>
          <w:sz w:val="20"/>
          <w:szCs w:val="20"/>
        </w:rPr>
        <w:t xml:space="preserve"> since the translation into Portuguese is not necessary and is a</w:t>
      </w:r>
      <w:r w:rsidR="001E4955">
        <w:rPr>
          <w:rFonts w:eastAsia="Calibri"/>
          <w:sz w:val="20"/>
          <w:szCs w:val="20"/>
        </w:rPr>
        <w:t xml:space="preserve"> choice by </w:t>
      </w:r>
      <w:r w:rsidRPr="00C837DD">
        <w:rPr>
          <w:rFonts w:eastAsia="Calibri"/>
          <w:sz w:val="20"/>
          <w:szCs w:val="20"/>
        </w:rPr>
        <w:t>the representatives that can</w:t>
      </w:r>
      <w:r w:rsidR="00A46822" w:rsidRPr="00C837DD">
        <w:rPr>
          <w:rFonts w:eastAsia="Calibri"/>
          <w:sz w:val="20"/>
          <w:szCs w:val="20"/>
        </w:rPr>
        <w:t>n</w:t>
      </w:r>
      <w:r w:rsidRPr="00C837DD">
        <w:rPr>
          <w:rFonts w:eastAsia="Calibri"/>
          <w:sz w:val="20"/>
          <w:szCs w:val="20"/>
        </w:rPr>
        <w:t>ot be attributed to the State.</w:t>
      </w:r>
    </w:p>
    <w:p w14:paraId="6DB3C8DD" w14:textId="77777777" w:rsidR="00F85D5F" w:rsidRPr="00C837DD" w:rsidRDefault="00F85D5F" w:rsidP="00F85D5F">
      <w:pPr>
        <w:pStyle w:val="Prrafodelista"/>
        <w:tabs>
          <w:tab w:val="left" w:pos="142"/>
        </w:tabs>
        <w:ind w:left="0"/>
        <w:rPr>
          <w:sz w:val="20"/>
          <w:szCs w:val="20"/>
        </w:rPr>
      </w:pPr>
    </w:p>
    <w:p w14:paraId="252DA539" w14:textId="5BADB203" w:rsidR="00F85D5F" w:rsidRPr="00C837DD" w:rsidRDefault="00F85D5F" w:rsidP="00F85D5F">
      <w:pPr>
        <w:pStyle w:val="Prrafodelista"/>
        <w:numPr>
          <w:ilvl w:val="0"/>
          <w:numId w:val="6"/>
        </w:numPr>
        <w:tabs>
          <w:tab w:val="left" w:pos="142"/>
        </w:tabs>
        <w:ind w:left="0" w:firstLine="0"/>
        <w:rPr>
          <w:sz w:val="20"/>
          <w:szCs w:val="20"/>
        </w:rPr>
      </w:pPr>
      <w:bookmarkStart w:id="114" w:name="_Ref532988410"/>
      <w:r w:rsidRPr="00C837DD">
        <w:rPr>
          <w:sz w:val="20"/>
          <w:szCs w:val="20"/>
        </w:rPr>
        <w:t xml:space="preserve">The </w:t>
      </w:r>
      <w:r w:rsidRPr="00C837DD">
        <w:rPr>
          <w:b/>
          <w:bCs/>
          <w:i/>
          <w:iCs/>
          <w:sz w:val="20"/>
          <w:szCs w:val="20"/>
        </w:rPr>
        <w:t>Court</w:t>
      </w:r>
      <w:r w:rsidRPr="00C837DD">
        <w:rPr>
          <w:sz w:val="20"/>
          <w:szCs w:val="20"/>
        </w:rPr>
        <w:t xml:space="preserve"> </w:t>
      </w:r>
      <w:r w:rsidR="00A46822" w:rsidRPr="00C837DD">
        <w:rPr>
          <w:sz w:val="20"/>
          <w:szCs w:val="20"/>
        </w:rPr>
        <w:t>reiterates</w:t>
      </w:r>
      <w:r w:rsidRPr="00C837DD">
        <w:rPr>
          <w:sz w:val="20"/>
          <w:szCs w:val="20"/>
        </w:rPr>
        <w:t xml:space="preserve"> that, based on its case law, costs and expenses form part of the concept of reparation, because the efforts made by the victims to obtain justice, both at </w:t>
      </w:r>
      <w:r w:rsidR="00486DB4" w:rsidRPr="00C837DD">
        <w:rPr>
          <w:sz w:val="20"/>
          <w:szCs w:val="20"/>
        </w:rPr>
        <w:t xml:space="preserve">the </w:t>
      </w:r>
      <w:r w:rsidRPr="00C837DD">
        <w:rPr>
          <w:sz w:val="20"/>
          <w:szCs w:val="20"/>
        </w:rPr>
        <w:t>national and international level</w:t>
      </w:r>
      <w:r w:rsidR="00486DB4" w:rsidRPr="00C837DD">
        <w:rPr>
          <w:sz w:val="20"/>
          <w:szCs w:val="20"/>
        </w:rPr>
        <w:t>s</w:t>
      </w:r>
      <w:r w:rsidRPr="00C837DD">
        <w:rPr>
          <w:sz w:val="20"/>
          <w:szCs w:val="20"/>
        </w:rPr>
        <w:t>, entail disbursements that must be compensated when the State’s international responsibility has been declared in a condemnatory judgment. Regarding the reimbursement of costs and expenses, it is for the Court to prudently assess their scope, which includes expenses incurred before the domestic courts and those generated during the proceedings before the Inter-American system, taking into account the circumstances of the specific case and the nature of the international jurisdiction for the protection of human rights. This assessment may be based on the principle of equity,</w:t>
      </w:r>
      <w:r w:rsidRPr="00C837DD">
        <w:t xml:space="preserve"> </w:t>
      </w:r>
      <w:r w:rsidRPr="00C837DD">
        <w:rPr>
          <w:sz w:val="20"/>
          <w:szCs w:val="20"/>
        </w:rPr>
        <w:t xml:space="preserve">taking into account the expenses indicated by the parties, provided that their </w:t>
      </w:r>
      <w:r w:rsidRPr="00C837DD">
        <w:rPr>
          <w:i/>
          <w:iCs/>
          <w:sz w:val="20"/>
          <w:szCs w:val="20"/>
        </w:rPr>
        <w:t>quantum</w:t>
      </w:r>
      <w:r w:rsidRPr="00C837DD">
        <w:rPr>
          <w:iCs/>
          <w:sz w:val="20"/>
          <w:szCs w:val="20"/>
        </w:rPr>
        <w:t xml:space="preserve"> </w:t>
      </w:r>
      <w:r w:rsidRPr="00C837DD">
        <w:rPr>
          <w:sz w:val="20"/>
          <w:szCs w:val="20"/>
        </w:rPr>
        <w:t>is reasonable.</w:t>
      </w:r>
      <w:r w:rsidRPr="00C837DD">
        <w:rPr>
          <w:sz w:val="20"/>
          <w:szCs w:val="20"/>
          <w:vertAlign w:val="superscript"/>
        </w:rPr>
        <w:footnoteReference w:id="303"/>
      </w:r>
      <w:bookmarkStart w:id="115" w:name="_Ref33110670"/>
      <w:bookmarkStart w:id="116" w:name="_Ref36651082"/>
      <w:bookmarkEnd w:id="114"/>
    </w:p>
    <w:p w14:paraId="63283493" w14:textId="77777777" w:rsidR="00F85D5F" w:rsidRPr="00C837DD" w:rsidRDefault="00F85D5F" w:rsidP="00F85D5F">
      <w:pPr>
        <w:pStyle w:val="Prrafodelista"/>
        <w:tabs>
          <w:tab w:val="left" w:pos="142"/>
        </w:tabs>
        <w:ind w:left="0"/>
        <w:rPr>
          <w:sz w:val="20"/>
          <w:szCs w:val="20"/>
        </w:rPr>
      </w:pPr>
    </w:p>
    <w:p w14:paraId="1875E670"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This Court has indicated that “the claims of the victims or their representatives for costs and expenses, and the evidence that supports these, must be presented to the Court at the first procedural opportunity granted to them, that is in the pleadings and motions brief, without prejudice to those claims being updated subsequently, in keeping with the new costs and expenses incurred as a result of the proceedings before this Court.”</w:t>
      </w:r>
      <w:r w:rsidRPr="00C837DD">
        <w:rPr>
          <w:rStyle w:val="Refdenotaalpie"/>
          <w:sz w:val="20"/>
          <w:szCs w:val="20"/>
        </w:rPr>
        <w:footnoteReference w:id="304"/>
      </w:r>
      <w:r w:rsidRPr="00C837DD">
        <w:rPr>
          <w:sz w:val="20"/>
          <w:szCs w:val="20"/>
        </w:rPr>
        <w:t xml:space="preserve"> In addition, the Court </w:t>
      </w:r>
      <w:r w:rsidR="00A46822" w:rsidRPr="00C837DD">
        <w:rPr>
          <w:sz w:val="20"/>
          <w:szCs w:val="20"/>
        </w:rPr>
        <w:t>reiterates</w:t>
      </w:r>
      <w:r w:rsidRPr="00C837DD">
        <w:rPr>
          <w:sz w:val="20"/>
          <w:szCs w:val="20"/>
        </w:rPr>
        <w:t xml:space="preserve"> that it is not sufficient merely to forward probative documents; rather the parties are required to include arguments that relate the evidence to the fact that it is considered to represent and, in the case of alleged financial disbursements, the items and their justification must be clearly established.</w:t>
      </w:r>
      <w:r w:rsidRPr="00C837DD">
        <w:rPr>
          <w:rStyle w:val="Refdenotaalpie"/>
          <w:sz w:val="20"/>
          <w:szCs w:val="20"/>
        </w:rPr>
        <w:footnoteReference w:id="305"/>
      </w:r>
    </w:p>
    <w:p w14:paraId="7E1613E7" w14:textId="77777777" w:rsidR="00F85D5F" w:rsidRPr="00C837DD" w:rsidRDefault="00F85D5F" w:rsidP="00F85D5F">
      <w:pPr>
        <w:pStyle w:val="Prrafodelista"/>
        <w:tabs>
          <w:tab w:val="left" w:pos="142"/>
        </w:tabs>
        <w:ind w:left="0"/>
        <w:rPr>
          <w:sz w:val="20"/>
          <w:szCs w:val="20"/>
        </w:rPr>
      </w:pPr>
    </w:p>
    <w:p w14:paraId="30066E1E" w14:textId="01508AC2"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w:t>
      </w:r>
      <w:r w:rsidR="00A46822" w:rsidRPr="00C837DD">
        <w:rPr>
          <w:sz w:val="20"/>
          <w:szCs w:val="20"/>
        </w:rPr>
        <w:t xml:space="preserve">aking into account </w:t>
      </w:r>
      <w:r w:rsidRPr="00C837DD">
        <w:rPr>
          <w:sz w:val="20"/>
          <w:szCs w:val="20"/>
        </w:rPr>
        <w:t xml:space="preserve">the amounts requested by each of the organizations and the </w:t>
      </w:r>
      <w:r w:rsidR="00A34B4F" w:rsidRPr="00C837DD">
        <w:rPr>
          <w:sz w:val="20"/>
          <w:szCs w:val="20"/>
        </w:rPr>
        <w:t xml:space="preserve">proof of </w:t>
      </w:r>
      <w:r w:rsidRPr="00C837DD">
        <w:rPr>
          <w:sz w:val="20"/>
          <w:szCs w:val="20"/>
        </w:rPr>
        <w:t xml:space="preserve">expenses presented, the Court </w:t>
      </w:r>
      <w:r w:rsidR="00A34B4F" w:rsidRPr="00C837DD">
        <w:rPr>
          <w:sz w:val="20"/>
          <w:szCs w:val="20"/>
        </w:rPr>
        <w:t xml:space="preserve">orders the payment in equity of: </w:t>
      </w:r>
      <w:r w:rsidRPr="00C837DD">
        <w:rPr>
          <w:sz w:val="20"/>
          <w:szCs w:val="20"/>
        </w:rPr>
        <w:t xml:space="preserve">USD $20,000.00 (twenty thousand United States dollars) for costs and expenses in favor of CEJIL, and USD $15,000.00 (fifteen thousand United States dollars) for costs and expenses in favor of GAJOP. These amounts shall be </w:t>
      </w:r>
      <w:r w:rsidR="008443E0" w:rsidRPr="00C837DD">
        <w:rPr>
          <w:sz w:val="20"/>
          <w:szCs w:val="20"/>
        </w:rPr>
        <w:t xml:space="preserve">paid </w:t>
      </w:r>
      <w:r w:rsidRPr="00C837DD">
        <w:rPr>
          <w:sz w:val="20"/>
          <w:szCs w:val="20"/>
        </w:rPr>
        <w:t xml:space="preserve">directly to those organizations. </w:t>
      </w:r>
    </w:p>
    <w:p w14:paraId="01BB4FA4" w14:textId="77777777" w:rsidR="00F85D5F" w:rsidRPr="00C837DD" w:rsidRDefault="00F85D5F" w:rsidP="00F85D5F">
      <w:pPr>
        <w:pStyle w:val="Prrafodelista"/>
        <w:tabs>
          <w:tab w:val="left" w:pos="142"/>
        </w:tabs>
        <w:ind w:left="0"/>
        <w:rPr>
          <w:sz w:val="20"/>
          <w:szCs w:val="20"/>
        </w:rPr>
      </w:pPr>
    </w:p>
    <w:p w14:paraId="09EAF8C9"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At the stage of monitoring compliance with this judgment, the Court may order the State to reimburse the victims or their representatives for reasonable expenses incurred in that procedural stage.</w:t>
      </w:r>
      <w:r w:rsidRPr="00C837DD">
        <w:rPr>
          <w:sz w:val="20"/>
          <w:szCs w:val="20"/>
          <w:vertAlign w:val="superscript"/>
        </w:rPr>
        <w:footnoteReference w:id="306"/>
      </w:r>
      <w:bookmarkEnd w:id="115"/>
      <w:bookmarkEnd w:id="116"/>
    </w:p>
    <w:p w14:paraId="1656DEF6" w14:textId="77777777" w:rsidR="00F85D5F" w:rsidRPr="00C837DD" w:rsidRDefault="00F85D5F" w:rsidP="00F85D5F">
      <w:pPr>
        <w:pStyle w:val="Prrafodelista"/>
        <w:tabs>
          <w:tab w:val="left" w:pos="142"/>
        </w:tabs>
        <w:ind w:left="0"/>
        <w:rPr>
          <w:sz w:val="20"/>
          <w:szCs w:val="20"/>
        </w:rPr>
      </w:pPr>
    </w:p>
    <w:p w14:paraId="1DB446B9" w14:textId="77777777" w:rsidR="00F85D5F" w:rsidRPr="00C837DD" w:rsidRDefault="00F85D5F" w:rsidP="00F85D5F">
      <w:pPr>
        <w:pStyle w:val="Ttulo2"/>
        <w:numPr>
          <w:ilvl w:val="1"/>
          <w:numId w:val="14"/>
        </w:numPr>
        <w:ind w:left="1134" w:hanging="567"/>
        <w:rPr>
          <w:lang w:val="en-US"/>
        </w:rPr>
      </w:pPr>
      <w:bookmarkStart w:id="117" w:name="_Toc85001911"/>
      <w:r w:rsidRPr="00C837DD">
        <w:rPr>
          <w:lang w:val="en-US"/>
        </w:rPr>
        <w:t xml:space="preserve">Reimbursement of expenses to the Victims’ Legal Assistance Fund </w:t>
      </w:r>
      <w:bookmarkEnd w:id="117"/>
    </w:p>
    <w:p w14:paraId="2809D6C0" w14:textId="77777777" w:rsidR="00F85D5F" w:rsidRPr="00C837DD" w:rsidRDefault="00F85D5F" w:rsidP="00F85D5F">
      <w:pPr>
        <w:pStyle w:val="Prrafodelista"/>
        <w:tabs>
          <w:tab w:val="left" w:pos="142"/>
        </w:tabs>
        <w:ind w:left="0"/>
        <w:rPr>
          <w:sz w:val="20"/>
          <w:szCs w:val="20"/>
        </w:rPr>
      </w:pPr>
    </w:p>
    <w:p w14:paraId="1C80540A" w14:textId="6F95696D"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In the </w:t>
      </w:r>
      <w:r w:rsidR="008443E0" w:rsidRPr="00C837DD">
        <w:rPr>
          <w:sz w:val="20"/>
          <w:szCs w:val="20"/>
        </w:rPr>
        <w:t xml:space="preserve">instant </w:t>
      </w:r>
      <w:r w:rsidRPr="00C837DD">
        <w:rPr>
          <w:sz w:val="20"/>
          <w:szCs w:val="20"/>
        </w:rPr>
        <w:t xml:space="preserve">case, through a note of April 29, 2020, the Presidency of the Court </w:t>
      </w:r>
      <w:r w:rsidR="006042FC" w:rsidRPr="00C837DD">
        <w:rPr>
          <w:sz w:val="20"/>
          <w:szCs w:val="20"/>
        </w:rPr>
        <w:lastRenderedPageBreak/>
        <w:t xml:space="preserve">admitted </w:t>
      </w:r>
      <w:r w:rsidRPr="00C837DD">
        <w:rPr>
          <w:sz w:val="20"/>
          <w:szCs w:val="20"/>
        </w:rPr>
        <w:t xml:space="preserve">the </w:t>
      </w:r>
      <w:r w:rsidR="008443E0" w:rsidRPr="00C837DD">
        <w:rPr>
          <w:sz w:val="20"/>
          <w:szCs w:val="20"/>
        </w:rPr>
        <w:t xml:space="preserve">application submitted </w:t>
      </w:r>
      <w:r w:rsidRPr="00C837DD">
        <w:rPr>
          <w:sz w:val="20"/>
          <w:szCs w:val="20"/>
        </w:rPr>
        <w:t xml:space="preserve">by the alleged victims, through </w:t>
      </w:r>
      <w:r w:rsidR="006042FC" w:rsidRPr="00C837DD">
        <w:rPr>
          <w:sz w:val="20"/>
          <w:szCs w:val="20"/>
        </w:rPr>
        <w:t xml:space="preserve">their </w:t>
      </w:r>
      <w:r w:rsidRPr="00C837DD">
        <w:rPr>
          <w:sz w:val="20"/>
          <w:szCs w:val="20"/>
        </w:rPr>
        <w:t xml:space="preserve">representatives, </w:t>
      </w:r>
      <w:r w:rsidR="004A10C1" w:rsidRPr="00C837DD">
        <w:rPr>
          <w:sz w:val="20"/>
          <w:szCs w:val="20"/>
        </w:rPr>
        <w:t xml:space="preserve">to have access to the </w:t>
      </w:r>
      <w:r w:rsidRPr="00C837DD">
        <w:rPr>
          <w:sz w:val="20"/>
          <w:szCs w:val="20"/>
        </w:rPr>
        <w:t xml:space="preserve">Legal Assistance Fund. In the </w:t>
      </w:r>
      <w:r w:rsidR="001E4955">
        <w:rPr>
          <w:sz w:val="20"/>
          <w:szCs w:val="20"/>
        </w:rPr>
        <w:t>O</w:t>
      </w:r>
      <w:r w:rsidRPr="00C837DD">
        <w:rPr>
          <w:sz w:val="20"/>
          <w:szCs w:val="20"/>
        </w:rPr>
        <w:t xml:space="preserve">rder of the President of November 27, 2020, </w:t>
      </w:r>
      <w:r w:rsidR="008443E0" w:rsidRPr="00C837DD">
        <w:rPr>
          <w:sz w:val="20"/>
          <w:szCs w:val="20"/>
        </w:rPr>
        <w:t xml:space="preserve">the necessary financial assistance was </w:t>
      </w:r>
      <w:r w:rsidR="001E4955">
        <w:rPr>
          <w:sz w:val="20"/>
          <w:szCs w:val="20"/>
        </w:rPr>
        <w:t xml:space="preserve">approved </w:t>
      </w:r>
      <w:r w:rsidR="008443E0" w:rsidRPr="00C837DD">
        <w:rPr>
          <w:sz w:val="20"/>
          <w:szCs w:val="20"/>
        </w:rPr>
        <w:t xml:space="preserve">to </w:t>
      </w:r>
      <w:r w:rsidR="007F5DDB" w:rsidRPr="00C837DD">
        <w:rPr>
          <w:sz w:val="20"/>
          <w:szCs w:val="20"/>
        </w:rPr>
        <w:t>“</w:t>
      </w:r>
      <w:r w:rsidR="008443E0" w:rsidRPr="00C837DD">
        <w:rPr>
          <w:sz w:val="20"/>
          <w:szCs w:val="20"/>
        </w:rPr>
        <w:t xml:space="preserve">cover the reasonable costs of </w:t>
      </w:r>
      <w:r w:rsidR="007F5DDB" w:rsidRPr="00C837DD">
        <w:rPr>
          <w:sz w:val="20"/>
          <w:szCs w:val="20"/>
        </w:rPr>
        <w:t xml:space="preserve">preparing </w:t>
      </w:r>
      <w:r w:rsidR="008443E0" w:rsidRPr="00C837DD">
        <w:rPr>
          <w:sz w:val="20"/>
          <w:szCs w:val="20"/>
        </w:rPr>
        <w:t>and sending four affidavits indicated by the representatives.</w:t>
      </w:r>
      <w:r w:rsidRPr="00C837DD">
        <w:rPr>
          <w:sz w:val="20"/>
          <w:szCs w:val="20"/>
        </w:rPr>
        <w:t>”</w:t>
      </w:r>
    </w:p>
    <w:p w14:paraId="0224BC05" w14:textId="77777777" w:rsidR="00F85D5F" w:rsidRPr="00C837DD" w:rsidRDefault="00F85D5F" w:rsidP="00F85D5F">
      <w:pPr>
        <w:pStyle w:val="Prrafodelista"/>
        <w:tabs>
          <w:tab w:val="left" w:pos="142"/>
        </w:tabs>
        <w:ind w:left="0"/>
        <w:rPr>
          <w:sz w:val="20"/>
          <w:szCs w:val="20"/>
        </w:rPr>
      </w:pPr>
    </w:p>
    <w:p w14:paraId="564DC65F" w14:textId="161223E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On July 29, 2021, the report </w:t>
      </w:r>
      <w:r w:rsidR="004A10C1" w:rsidRPr="00C837DD">
        <w:rPr>
          <w:sz w:val="20"/>
          <w:szCs w:val="20"/>
        </w:rPr>
        <w:t xml:space="preserve">on expenditures was forwarded to the State, in accordance with </w:t>
      </w:r>
      <w:r w:rsidRPr="00C837DD">
        <w:rPr>
          <w:sz w:val="20"/>
          <w:szCs w:val="20"/>
        </w:rPr>
        <w:t xml:space="preserve">Article 5 of the Court’s Rules of Procedure on the operation of the Fund. Thus, the State </w:t>
      </w:r>
      <w:r w:rsidR="00790F96" w:rsidRPr="00C837DD">
        <w:rPr>
          <w:sz w:val="20"/>
          <w:szCs w:val="20"/>
        </w:rPr>
        <w:t xml:space="preserve">had </w:t>
      </w:r>
      <w:r w:rsidRPr="00C837DD">
        <w:rPr>
          <w:sz w:val="20"/>
          <w:szCs w:val="20"/>
        </w:rPr>
        <w:t xml:space="preserve">the opportunity to present its observations on the </w:t>
      </w:r>
      <w:r w:rsidR="00790F96" w:rsidRPr="00C837DD">
        <w:rPr>
          <w:sz w:val="20"/>
          <w:szCs w:val="20"/>
        </w:rPr>
        <w:t xml:space="preserve">expenditures made </w:t>
      </w:r>
      <w:r w:rsidRPr="00C837DD">
        <w:rPr>
          <w:sz w:val="20"/>
          <w:szCs w:val="20"/>
        </w:rPr>
        <w:t xml:space="preserve">in the </w:t>
      </w:r>
      <w:r w:rsidR="00790F96" w:rsidRPr="00C837DD">
        <w:rPr>
          <w:sz w:val="20"/>
          <w:szCs w:val="20"/>
        </w:rPr>
        <w:t xml:space="preserve">instant </w:t>
      </w:r>
      <w:r w:rsidRPr="00C837DD">
        <w:rPr>
          <w:sz w:val="20"/>
          <w:szCs w:val="20"/>
        </w:rPr>
        <w:t xml:space="preserve">case, which </w:t>
      </w:r>
      <w:r w:rsidR="007F5DDB" w:rsidRPr="00C837DD">
        <w:rPr>
          <w:sz w:val="20"/>
          <w:szCs w:val="20"/>
        </w:rPr>
        <w:t xml:space="preserve">amounted to </w:t>
      </w:r>
      <w:r w:rsidRPr="00C837DD">
        <w:rPr>
          <w:sz w:val="20"/>
          <w:szCs w:val="20"/>
        </w:rPr>
        <w:t>USD $1,579.20 (one thousand, five hundred and seventy-nine United States dollars and twenty cents).</w:t>
      </w:r>
    </w:p>
    <w:p w14:paraId="00C015B4" w14:textId="77777777" w:rsidR="00F85D5F" w:rsidRPr="00C837DD" w:rsidRDefault="00F85D5F" w:rsidP="00F85D5F">
      <w:pPr>
        <w:pStyle w:val="Prrafodelista"/>
        <w:tabs>
          <w:tab w:val="left" w:pos="142"/>
        </w:tabs>
        <w:ind w:left="0"/>
        <w:rPr>
          <w:sz w:val="20"/>
          <w:szCs w:val="20"/>
        </w:rPr>
      </w:pPr>
    </w:p>
    <w:p w14:paraId="640D4B64"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w:t>
      </w:r>
      <w:r w:rsidRPr="00C837DD">
        <w:rPr>
          <w:b/>
          <w:bCs/>
          <w:i/>
          <w:iCs/>
          <w:sz w:val="20"/>
          <w:szCs w:val="20"/>
        </w:rPr>
        <w:t>State</w:t>
      </w:r>
      <w:r w:rsidRPr="00C837DD">
        <w:rPr>
          <w:b/>
          <w:i/>
          <w:sz w:val="20"/>
          <w:szCs w:val="20"/>
        </w:rPr>
        <w:t xml:space="preserve"> </w:t>
      </w:r>
      <w:r w:rsidR="00790F96" w:rsidRPr="00C837DD">
        <w:rPr>
          <w:sz w:val="20"/>
          <w:szCs w:val="20"/>
        </w:rPr>
        <w:t xml:space="preserve">pointed out </w:t>
      </w:r>
      <w:r w:rsidRPr="00C837DD">
        <w:rPr>
          <w:sz w:val="20"/>
          <w:szCs w:val="20"/>
        </w:rPr>
        <w:t xml:space="preserve">that the </w:t>
      </w:r>
      <w:r w:rsidR="00790F96" w:rsidRPr="00C837DD">
        <w:rPr>
          <w:sz w:val="20"/>
          <w:szCs w:val="20"/>
        </w:rPr>
        <w:t>amounts</w:t>
      </w:r>
      <w:r w:rsidRPr="00C837DD">
        <w:rPr>
          <w:sz w:val="20"/>
          <w:szCs w:val="20"/>
        </w:rPr>
        <w:t xml:space="preserve"> indicated in the </w:t>
      </w:r>
      <w:r w:rsidR="00790F96" w:rsidRPr="00C837DD">
        <w:rPr>
          <w:sz w:val="20"/>
          <w:szCs w:val="20"/>
        </w:rPr>
        <w:t xml:space="preserve">aforementioned </w:t>
      </w:r>
      <w:r w:rsidRPr="00C837DD">
        <w:rPr>
          <w:sz w:val="20"/>
          <w:szCs w:val="20"/>
        </w:rPr>
        <w:t xml:space="preserve">report “correspond to the receipts and </w:t>
      </w:r>
      <w:r w:rsidR="00790F96" w:rsidRPr="00C837DD">
        <w:rPr>
          <w:sz w:val="20"/>
          <w:szCs w:val="20"/>
        </w:rPr>
        <w:t xml:space="preserve">invoices </w:t>
      </w:r>
      <w:r w:rsidRPr="00C837DD">
        <w:rPr>
          <w:sz w:val="20"/>
          <w:szCs w:val="20"/>
        </w:rPr>
        <w:t>presented” and are of “reasonable levels, without discrepancies of calculation.”</w:t>
      </w:r>
    </w:p>
    <w:p w14:paraId="6D123396" w14:textId="77777777" w:rsidR="00F85D5F" w:rsidRPr="00C837DD" w:rsidRDefault="00F85D5F" w:rsidP="00F85D5F">
      <w:pPr>
        <w:pStyle w:val="Prrafodelista"/>
        <w:tabs>
          <w:tab w:val="left" w:pos="142"/>
        </w:tabs>
        <w:ind w:left="0"/>
        <w:rPr>
          <w:sz w:val="20"/>
          <w:szCs w:val="20"/>
        </w:rPr>
      </w:pPr>
    </w:p>
    <w:p w14:paraId="6E51FB40" w14:textId="351A4A75" w:rsidR="00F85D5F" w:rsidRPr="00C837DD" w:rsidRDefault="007F5DDB" w:rsidP="00F85D5F">
      <w:pPr>
        <w:pStyle w:val="Prrafodelista"/>
        <w:numPr>
          <w:ilvl w:val="0"/>
          <w:numId w:val="6"/>
        </w:numPr>
        <w:tabs>
          <w:tab w:val="left" w:pos="142"/>
        </w:tabs>
        <w:ind w:left="0" w:firstLine="0"/>
        <w:rPr>
          <w:sz w:val="20"/>
          <w:szCs w:val="20"/>
        </w:rPr>
      </w:pPr>
      <w:bookmarkStart w:id="118" w:name="_bookmark482"/>
      <w:bookmarkEnd w:id="118"/>
      <w:r w:rsidRPr="00C837DD">
        <w:rPr>
          <w:sz w:val="20"/>
          <w:szCs w:val="20"/>
        </w:rPr>
        <w:t xml:space="preserve">In view of the violations declared in this </w:t>
      </w:r>
      <w:r w:rsidR="00F85D5F" w:rsidRPr="00C837DD">
        <w:rPr>
          <w:sz w:val="20"/>
          <w:szCs w:val="20"/>
        </w:rPr>
        <w:t>judgment, the Court order</w:t>
      </w:r>
      <w:r w:rsidR="00790F96" w:rsidRPr="00C837DD">
        <w:rPr>
          <w:sz w:val="20"/>
          <w:szCs w:val="20"/>
        </w:rPr>
        <w:t xml:space="preserve">s the </w:t>
      </w:r>
      <w:r w:rsidR="00F85D5F" w:rsidRPr="00C837DD">
        <w:rPr>
          <w:sz w:val="20"/>
          <w:szCs w:val="20"/>
        </w:rPr>
        <w:t>State t</w:t>
      </w:r>
      <w:r w:rsidR="00790F96" w:rsidRPr="00C837DD">
        <w:rPr>
          <w:sz w:val="20"/>
          <w:szCs w:val="20"/>
        </w:rPr>
        <w:t>o reimburse</w:t>
      </w:r>
      <w:r w:rsidR="00F85D5F" w:rsidRPr="00C837DD">
        <w:rPr>
          <w:sz w:val="20"/>
          <w:szCs w:val="20"/>
        </w:rPr>
        <w:t xml:space="preserve"> th</w:t>
      </w:r>
      <w:r w:rsidRPr="00C837DD">
        <w:rPr>
          <w:sz w:val="20"/>
          <w:szCs w:val="20"/>
        </w:rPr>
        <w:t xml:space="preserve">e said </w:t>
      </w:r>
      <w:r w:rsidR="00F85D5F" w:rsidRPr="00C837DD">
        <w:rPr>
          <w:sz w:val="20"/>
          <w:szCs w:val="20"/>
        </w:rPr>
        <w:t xml:space="preserve">Fund the </w:t>
      </w:r>
      <w:r w:rsidR="00790F96" w:rsidRPr="00C837DD">
        <w:rPr>
          <w:sz w:val="20"/>
          <w:szCs w:val="20"/>
        </w:rPr>
        <w:t xml:space="preserve">amount </w:t>
      </w:r>
      <w:r w:rsidR="00F85D5F" w:rsidRPr="00C837DD">
        <w:rPr>
          <w:sz w:val="20"/>
          <w:szCs w:val="20"/>
        </w:rPr>
        <w:t>of USD $1</w:t>
      </w:r>
      <w:r w:rsidRPr="00C837DD">
        <w:rPr>
          <w:sz w:val="20"/>
          <w:szCs w:val="20"/>
        </w:rPr>
        <w:t>,</w:t>
      </w:r>
      <w:r w:rsidR="00F85D5F" w:rsidRPr="00C837DD">
        <w:rPr>
          <w:sz w:val="20"/>
          <w:szCs w:val="20"/>
        </w:rPr>
        <w:t xml:space="preserve">579.20 (one thousand five hundred and seventy-nine United States dollars and twenty cents). This </w:t>
      </w:r>
      <w:r w:rsidR="00AF16CD">
        <w:rPr>
          <w:sz w:val="20"/>
          <w:szCs w:val="20"/>
        </w:rPr>
        <w:t xml:space="preserve">sum </w:t>
      </w:r>
      <w:r w:rsidR="00F85D5F" w:rsidRPr="00C837DD">
        <w:rPr>
          <w:sz w:val="20"/>
          <w:szCs w:val="20"/>
        </w:rPr>
        <w:t xml:space="preserve">shall be reimbursed within six months from </w:t>
      </w:r>
      <w:r w:rsidR="00AF16CD">
        <w:rPr>
          <w:sz w:val="20"/>
          <w:szCs w:val="20"/>
        </w:rPr>
        <w:t xml:space="preserve">the </w:t>
      </w:r>
      <w:r w:rsidR="00F85D5F" w:rsidRPr="00C837DD">
        <w:rPr>
          <w:sz w:val="20"/>
          <w:szCs w:val="20"/>
        </w:rPr>
        <w:t>notification of this judgment.</w:t>
      </w:r>
    </w:p>
    <w:p w14:paraId="5A20A688" w14:textId="77777777" w:rsidR="00F85D5F" w:rsidRPr="00C837DD" w:rsidRDefault="00F85D5F" w:rsidP="00F85D5F">
      <w:pPr>
        <w:pStyle w:val="Textoindependiente"/>
        <w:tabs>
          <w:tab w:val="left" w:pos="142"/>
        </w:tabs>
        <w:jc w:val="both"/>
      </w:pPr>
    </w:p>
    <w:p w14:paraId="31A198FB" w14:textId="77777777" w:rsidR="00F85D5F" w:rsidRPr="00C837DD" w:rsidRDefault="00F85D5F" w:rsidP="00F85D5F">
      <w:pPr>
        <w:pStyle w:val="Ttulo2"/>
        <w:numPr>
          <w:ilvl w:val="1"/>
          <w:numId w:val="15"/>
        </w:numPr>
        <w:ind w:left="1134" w:hanging="567"/>
        <w:rPr>
          <w:lang w:val="en-US"/>
        </w:rPr>
      </w:pPr>
      <w:bookmarkStart w:id="119" w:name="G._Modalidad_de_cumplimiento_de_los_pago"/>
      <w:bookmarkStart w:id="120" w:name="_bookmark207"/>
      <w:bookmarkStart w:id="121" w:name="_Toc85001912"/>
      <w:bookmarkEnd w:id="119"/>
      <w:bookmarkEnd w:id="120"/>
      <w:r w:rsidRPr="00C837DD">
        <w:rPr>
          <w:lang w:val="en-US"/>
        </w:rPr>
        <w:t xml:space="preserve">Method of compliance with the payments ordered </w:t>
      </w:r>
      <w:bookmarkEnd w:id="121"/>
    </w:p>
    <w:p w14:paraId="1F76AC67" w14:textId="77777777" w:rsidR="00F85D5F" w:rsidRPr="00C837DD" w:rsidRDefault="00F85D5F" w:rsidP="00F85D5F">
      <w:pPr>
        <w:pStyle w:val="Textoindependiente"/>
        <w:tabs>
          <w:tab w:val="left" w:pos="142"/>
        </w:tabs>
        <w:rPr>
          <w:b/>
          <w:i/>
        </w:rPr>
      </w:pPr>
    </w:p>
    <w:p w14:paraId="26C0AF61"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State shall pay compensation for pecuniary and non-pecuniary damage and to reimburse the costs and expenses established in this judgment, </w:t>
      </w:r>
      <w:r w:rsidRPr="00C837DD">
        <w:rPr>
          <w:rFonts w:eastAsia="SimSun"/>
          <w:sz w:val="20"/>
          <w:szCs w:val="20"/>
        </w:rPr>
        <w:t xml:space="preserve">directly to the persons </w:t>
      </w:r>
      <w:r w:rsidRPr="00C837DD">
        <w:rPr>
          <w:sz w:val="20"/>
          <w:szCs w:val="20"/>
        </w:rPr>
        <w:t>and organizations indicated herein, within one year of notification of this judgment</w:t>
      </w:r>
      <w:r w:rsidRPr="00C837DD">
        <w:rPr>
          <w:rFonts w:eastAsia="SimSun"/>
          <w:sz w:val="20"/>
          <w:szCs w:val="20"/>
        </w:rPr>
        <w:t xml:space="preserve">, or it may bring forward full payment, pursuant to </w:t>
      </w:r>
      <w:r w:rsidRPr="00C837DD">
        <w:rPr>
          <w:sz w:val="20"/>
          <w:szCs w:val="20"/>
        </w:rPr>
        <w:t>the following paragraphs. With respect to the compensation awarded in favor of Mr. S.R.S., the State shall pay this to his heirs, in accordance with the applicable domestic law, within one year of notification of this judgment.</w:t>
      </w:r>
    </w:p>
    <w:p w14:paraId="4914EC69" w14:textId="77777777" w:rsidR="00F85D5F" w:rsidRPr="00C837DD" w:rsidRDefault="00F85D5F" w:rsidP="00F85D5F">
      <w:pPr>
        <w:pStyle w:val="Prrafodelista"/>
        <w:tabs>
          <w:tab w:val="left" w:pos="142"/>
        </w:tabs>
        <w:ind w:left="0"/>
        <w:rPr>
          <w:sz w:val="20"/>
          <w:szCs w:val="20"/>
        </w:rPr>
      </w:pPr>
    </w:p>
    <w:p w14:paraId="42BE5F9F"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If the beneficiaries have died or die before they receive the respective compensation, </w:t>
      </w:r>
      <w:r w:rsidRPr="00C837DD">
        <w:rPr>
          <w:rFonts w:cs="Verdana-Italic"/>
          <w:spacing w:val="-2"/>
          <w:sz w:val="20"/>
          <w:szCs w:val="20"/>
          <w:lang w:bidi="en-US"/>
        </w:rPr>
        <w:t>this shall be paid directly to their heirs</w:t>
      </w:r>
      <w:r w:rsidRPr="00C837DD">
        <w:rPr>
          <w:sz w:val="20"/>
          <w:szCs w:val="20"/>
        </w:rPr>
        <w:t xml:space="preserve"> </w:t>
      </w:r>
      <w:r w:rsidRPr="00C837DD">
        <w:rPr>
          <w:rFonts w:cs="Verdana-Italic"/>
          <w:spacing w:val="-2"/>
          <w:sz w:val="20"/>
          <w:szCs w:val="20"/>
          <w:lang w:bidi="en-US"/>
        </w:rPr>
        <w:t>in accordance with the applicable domestic law</w:t>
      </w:r>
      <w:r w:rsidRPr="00C837DD">
        <w:rPr>
          <w:sz w:val="20"/>
          <w:szCs w:val="20"/>
        </w:rPr>
        <w:t>.</w:t>
      </w:r>
    </w:p>
    <w:p w14:paraId="1C672AAF" w14:textId="77777777" w:rsidR="00F85D5F" w:rsidRPr="00C837DD" w:rsidRDefault="00F85D5F" w:rsidP="00F85D5F">
      <w:pPr>
        <w:pStyle w:val="Prrafodelista"/>
        <w:tabs>
          <w:tab w:val="left" w:pos="142"/>
        </w:tabs>
        <w:ind w:left="0"/>
        <w:rPr>
          <w:sz w:val="20"/>
          <w:szCs w:val="20"/>
        </w:rPr>
      </w:pPr>
    </w:p>
    <w:p w14:paraId="3CDD3FD6" w14:textId="289F2A4B"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The State </w:t>
      </w:r>
      <w:r w:rsidRPr="00C837DD">
        <w:rPr>
          <w:rFonts w:eastAsia="SimSun"/>
          <w:sz w:val="20"/>
          <w:szCs w:val="20"/>
        </w:rPr>
        <w:t xml:space="preserve">shall fulfill its monetary obligations </w:t>
      </w:r>
      <w:r w:rsidR="00745795" w:rsidRPr="00C837DD">
        <w:rPr>
          <w:rFonts w:eastAsia="SimSun"/>
          <w:sz w:val="20"/>
          <w:szCs w:val="20"/>
        </w:rPr>
        <w:t xml:space="preserve">by </w:t>
      </w:r>
      <w:r w:rsidRPr="00C837DD">
        <w:rPr>
          <w:rFonts w:eastAsia="SimSun"/>
          <w:sz w:val="20"/>
          <w:szCs w:val="20"/>
        </w:rPr>
        <w:t xml:space="preserve">payment in United States </w:t>
      </w:r>
      <w:r w:rsidR="004A10C1" w:rsidRPr="00C837DD">
        <w:rPr>
          <w:rFonts w:eastAsia="SimSun"/>
          <w:sz w:val="20"/>
          <w:szCs w:val="20"/>
        </w:rPr>
        <w:t>dollars</w:t>
      </w:r>
      <w:r w:rsidR="004A10C1" w:rsidRPr="00C837DD">
        <w:rPr>
          <w:sz w:val="20"/>
          <w:szCs w:val="20"/>
        </w:rPr>
        <w:t xml:space="preserve"> or</w:t>
      </w:r>
      <w:r w:rsidRPr="00C837DD">
        <w:rPr>
          <w:sz w:val="20"/>
          <w:szCs w:val="20"/>
        </w:rPr>
        <w:t xml:space="preserve"> </w:t>
      </w:r>
      <w:r w:rsidR="00745795" w:rsidRPr="00C837DD">
        <w:rPr>
          <w:sz w:val="20"/>
          <w:szCs w:val="20"/>
        </w:rPr>
        <w:t xml:space="preserve">the </w:t>
      </w:r>
      <w:r w:rsidR="006042FC" w:rsidRPr="00C837DD">
        <w:rPr>
          <w:sz w:val="20"/>
          <w:szCs w:val="20"/>
        </w:rPr>
        <w:t>equivalent in national curr</w:t>
      </w:r>
      <w:r w:rsidRPr="00C837DD">
        <w:rPr>
          <w:sz w:val="20"/>
          <w:szCs w:val="20"/>
        </w:rPr>
        <w:t>enc</w:t>
      </w:r>
      <w:r w:rsidR="006042FC" w:rsidRPr="00C837DD">
        <w:rPr>
          <w:sz w:val="20"/>
          <w:szCs w:val="20"/>
        </w:rPr>
        <w:t>y, using for the respective cal</w:t>
      </w:r>
      <w:r w:rsidRPr="00C837DD">
        <w:rPr>
          <w:sz w:val="20"/>
          <w:szCs w:val="20"/>
        </w:rPr>
        <w:t xml:space="preserve">culation the market exchange rate published or calculated by the </w:t>
      </w:r>
      <w:r w:rsidR="00AF16CD">
        <w:rPr>
          <w:sz w:val="20"/>
          <w:szCs w:val="20"/>
        </w:rPr>
        <w:t xml:space="preserve">relevant </w:t>
      </w:r>
      <w:r w:rsidRPr="00C837DD">
        <w:rPr>
          <w:sz w:val="20"/>
          <w:szCs w:val="20"/>
        </w:rPr>
        <w:t xml:space="preserve">banking or financial authority, on the date </w:t>
      </w:r>
      <w:r w:rsidR="00A46822" w:rsidRPr="00C837DD">
        <w:rPr>
          <w:sz w:val="20"/>
          <w:szCs w:val="20"/>
        </w:rPr>
        <w:t>close</w:t>
      </w:r>
      <w:r w:rsidR="00745795" w:rsidRPr="00C837DD">
        <w:rPr>
          <w:sz w:val="20"/>
          <w:szCs w:val="20"/>
        </w:rPr>
        <w:t>s</w:t>
      </w:r>
      <w:r w:rsidR="00A46822" w:rsidRPr="00C837DD">
        <w:rPr>
          <w:sz w:val="20"/>
          <w:szCs w:val="20"/>
        </w:rPr>
        <w:t>t to the day of payment</w:t>
      </w:r>
      <w:r w:rsidRPr="00C837DD">
        <w:rPr>
          <w:sz w:val="20"/>
          <w:szCs w:val="20"/>
        </w:rPr>
        <w:t>.</w:t>
      </w:r>
    </w:p>
    <w:p w14:paraId="0EE6BA6E" w14:textId="77777777" w:rsidR="00F85D5F" w:rsidRPr="00C837DD" w:rsidRDefault="00F85D5F" w:rsidP="00F85D5F">
      <w:pPr>
        <w:pStyle w:val="Prrafodelista"/>
        <w:tabs>
          <w:tab w:val="left" w:pos="142"/>
        </w:tabs>
        <w:ind w:left="0"/>
        <w:rPr>
          <w:sz w:val="20"/>
          <w:szCs w:val="20"/>
        </w:rPr>
      </w:pPr>
    </w:p>
    <w:p w14:paraId="448ABE97" w14:textId="3EAB26E9"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 xml:space="preserve">If, for reasons attributable to the beneficiaries of the compensation or to their heirs, </w:t>
      </w:r>
      <w:r w:rsidRPr="00C837DD">
        <w:rPr>
          <w:spacing w:val="-2"/>
          <w:sz w:val="20"/>
          <w:szCs w:val="20"/>
        </w:rPr>
        <w:t xml:space="preserve">it is not possible to pay the compensation established within the time frame indicated, the State shall deposit </w:t>
      </w:r>
      <w:r w:rsidRPr="00C837DD">
        <w:rPr>
          <w:sz w:val="20"/>
          <w:szCs w:val="20"/>
        </w:rPr>
        <w:t xml:space="preserve">the amount </w:t>
      </w:r>
      <w:r w:rsidRPr="00C837DD">
        <w:rPr>
          <w:spacing w:val="-2"/>
          <w:sz w:val="20"/>
          <w:szCs w:val="20"/>
        </w:rPr>
        <w:t>in an account or certificate of deposit in their favor,</w:t>
      </w:r>
      <w:r w:rsidRPr="00C837DD">
        <w:rPr>
          <w:rFonts w:eastAsia="SimSun"/>
          <w:sz w:val="20"/>
          <w:szCs w:val="20"/>
        </w:rPr>
        <w:t xml:space="preserve"> in a solvent</w:t>
      </w:r>
      <w:r w:rsidRPr="00C837DD">
        <w:rPr>
          <w:sz w:val="20"/>
          <w:szCs w:val="20"/>
        </w:rPr>
        <w:t xml:space="preserve"> </w:t>
      </w:r>
      <w:r w:rsidR="00EB69A7" w:rsidRPr="00C837DD">
        <w:rPr>
          <w:sz w:val="20"/>
          <w:szCs w:val="20"/>
        </w:rPr>
        <w:t>Brazilian</w:t>
      </w:r>
      <w:r w:rsidRPr="00C837DD">
        <w:rPr>
          <w:sz w:val="20"/>
          <w:szCs w:val="20"/>
        </w:rPr>
        <w:t xml:space="preserve"> </w:t>
      </w:r>
      <w:r w:rsidRPr="00C837DD">
        <w:rPr>
          <w:rFonts w:eastAsia="SimSun"/>
          <w:sz w:val="20"/>
          <w:szCs w:val="20"/>
        </w:rPr>
        <w:t>financial institution, in United States dollars</w:t>
      </w:r>
      <w:r w:rsidRPr="00C837DD">
        <w:rPr>
          <w:sz w:val="20"/>
          <w:szCs w:val="20"/>
        </w:rPr>
        <w:t xml:space="preserve"> or the equivalent in national currency, </w:t>
      </w:r>
      <w:r w:rsidRPr="00C837DD">
        <w:rPr>
          <w:spacing w:val="-2"/>
          <w:sz w:val="20"/>
          <w:szCs w:val="20"/>
        </w:rPr>
        <w:t>and on the most favorable financial terms permitted by banking law and practice</w:t>
      </w:r>
      <w:r w:rsidRPr="00C837DD">
        <w:rPr>
          <w:sz w:val="20"/>
          <w:szCs w:val="20"/>
        </w:rPr>
        <w:t xml:space="preserve">. </w:t>
      </w:r>
      <w:r w:rsidRPr="00C837DD">
        <w:rPr>
          <w:spacing w:val="-2"/>
          <w:sz w:val="20"/>
          <w:szCs w:val="20"/>
        </w:rPr>
        <w:t>If the corresponding compensation is not claimed within ten years, the amounts shall be returned to the State with the accrued interest</w:t>
      </w:r>
      <w:r w:rsidRPr="00C837DD">
        <w:rPr>
          <w:sz w:val="20"/>
          <w:szCs w:val="20"/>
        </w:rPr>
        <w:t>.</w:t>
      </w:r>
    </w:p>
    <w:p w14:paraId="19BE7C47" w14:textId="77777777" w:rsidR="00F85D5F" w:rsidRPr="00C837DD" w:rsidRDefault="00F85D5F" w:rsidP="00F85D5F">
      <w:pPr>
        <w:pStyle w:val="Prrafodelista"/>
        <w:tabs>
          <w:tab w:val="left" w:pos="142"/>
        </w:tabs>
        <w:ind w:left="0"/>
        <w:rPr>
          <w:sz w:val="20"/>
          <w:szCs w:val="20"/>
        </w:rPr>
      </w:pPr>
    </w:p>
    <w:p w14:paraId="3BB265F7" w14:textId="356D8410"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 amounts allocated in this judgment as compensation for damage</w:t>
      </w:r>
      <w:r w:rsidR="00745795" w:rsidRPr="00C837DD">
        <w:rPr>
          <w:sz w:val="20"/>
          <w:szCs w:val="20"/>
        </w:rPr>
        <w:t>s</w:t>
      </w:r>
      <w:r w:rsidRPr="00C837DD">
        <w:rPr>
          <w:sz w:val="20"/>
          <w:szCs w:val="20"/>
        </w:rPr>
        <w:t xml:space="preserve"> and as reimbursement of costs and expenses shall be delivered in full to the ben</w:t>
      </w:r>
      <w:r w:rsidR="00102554" w:rsidRPr="00C837DD">
        <w:rPr>
          <w:sz w:val="20"/>
          <w:szCs w:val="20"/>
        </w:rPr>
        <w:t>e</w:t>
      </w:r>
      <w:r w:rsidRPr="00C837DD">
        <w:rPr>
          <w:sz w:val="20"/>
          <w:szCs w:val="20"/>
        </w:rPr>
        <w:t xml:space="preserve">ficiaries, </w:t>
      </w:r>
      <w:r w:rsidRPr="00C837DD">
        <w:rPr>
          <w:spacing w:val="-2"/>
          <w:sz w:val="20"/>
          <w:szCs w:val="20"/>
        </w:rPr>
        <w:t>without any deductions arising from possible charges or taxes</w:t>
      </w:r>
      <w:r w:rsidRPr="00C837DD">
        <w:rPr>
          <w:sz w:val="20"/>
          <w:szCs w:val="20"/>
        </w:rPr>
        <w:t>.</w:t>
      </w:r>
      <w:bookmarkStart w:id="122" w:name="_bookmark485"/>
      <w:bookmarkEnd w:id="122"/>
    </w:p>
    <w:p w14:paraId="45FE9B15" w14:textId="77777777" w:rsidR="00F85D5F" w:rsidRPr="00C837DD" w:rsidRDefault="00F85D5F" w:rsidP="00F85D5F">
      <w:pPr>
        <w:pStyle w:val="Prrafodelista"/>
        <w:tabs>
          <w:tab w:val="left" w:pos="142"/>
        </w:tabs>
        <w:ind w:left="0"/>
        <w:rPr>
          <w:sz w:val="20"/>
          <w:szCs w:val="20"/>
        </w:rPr>
      </w:pPr>
    </w:p>
    <w:p w14:paraId="5390531D" w14:textId="77777777" w:rsidR="00F85D5F" w:rsidRPr="00C837DD" w:rsidRDefault="00F85D5F" w:rsidP="00F85D5F">
      <w:pPr>
        <w:pStyle w:val="Prrafodelista"/>
        <w:numPr>
          <w:ilvl w:val="0"/>
          <w:numId w:val="6"/>
        </w:numPr>
        <w:tabs>
          <w:tab w:val="left" w:pos="142"/>
        </w:tabs>
        <w:ind w:left="0" w:firstLine="0"/>
        <w:rPr>
          <w:sz w:val="20"/>
          <w:szCs w:val="20"/>
        </w:rPr>
      </w:pPr>
      <w:r w:rsidRPr="00C837DD">
        <w:rPr>
          <w:spacing w:val="-2"/>
          <w:sz w:val="20"/>
          <w:szCs w:val="20"/>
        </w:rPr>
        <w:t>If the State should fall into arrears,</w:t>
      </w:r>
      <w:r w:rsidRPr="00C837DD">
        <w:rPr>
          <w:sz w:val="20"/>
          <w:szCs w:val="20"/>
        </w:rPr>
        <w:t xml:space="preserve"> including in the reimbursement of expenses to the Victims’ Legal Assistance Fund, it shall pay interest on the amount owed corresponding to </w:t>
      </w:r>
      <w:r w:rsidRPr="00C837DD">
        <w:rPr>
          <w:spacing w:val="-2"/>
          <w:sz w:val="20"/>
          <w:szCs w:val="20"/>
        </w:rPr>
        <w:t xml:space="preserve">banking interest on arrears in </w:t>
      </w:r>
      <w:r w:rsidRPr="00C837DD">
        <w:rPr>
          <w:sz w:val="20"/>
          <w:szCs w:val="20"/>
        </w:rPr>
        <w:t>the Federative Republic of Brazil.</w:t>
      </w:r>
    </w:p>
    <w:p w14:paraId="62D15B3F" w14:textId="77777777" w:rsidR="000C0A25" w:rsidRPr="00C837DD" w:rsidRDefault="000C0A25">
      <w:pPr>
        <w:widowControl/>
        <w:autoSpaceDE/>
        <w:autoSpaceDN/>
        <w:spacing w:after="160" w:line="259" w:lineRule="auto"/>
        <w:rPr>
          <w:sz w:val="20"/>
          <w:szCs w:val="20"/>
        </w:rPr>
      </w:pPr>
      <w:r w:rsidRPr="00C837DD">
        <w:rPr>
          <w:sz w:val="20"/>
          <w:szCs w:val="20"/>
        </w:rPr>
        <w:br w:type="page"/>
      </w:r>
    </w:p>
    <w:p w14:paraId="14A66651" w14:textId="77777777" w:rsidR="00F85D5F" w:rsidRPr="00C837DD" w:rsidRDefault="00F85D5F" w:rsidP="00F85D5F">
      <w:pPr>
        <w:pStyle w:val="Prrafodelista"/>
        <w:rPr>
          <w:sz w:val="20"/>
          <w:szCs w:val="20"/>
        </w:rPr>
      </w:pPr>
    </w:p>
    <w:p w14:paraId="4EAFF084" w14:textId="77777777" w:rsidR="00F85D5F" w:rsidRPr="00C837DD" w:rsidRDefault="00F85D5F" w:rsidP="00F85D5F">
      <w:pPr>
        <w:pStyle w:val="Ttulo1"/>
        <w:tabs>
          <w:tab w:val="left" w:pos="142"/>
        </w:tabs>
        <w:rPr>
          <w:w w:val="100"/>
          <w:lang w:val="en-US"/>
        </w:rPr>
      </w:pPr>
      <w:bookmarkStart w:id="123" w:name="VIII_PUNTOS_RESOLUTIVOS"/>
      <w:bookmarkStart w:id="124" w:name="_bookmark208"/>
      <w:bookmarkStart w:id="125" w:name="_Toc85001913"/>
      <w:bookmarkEnd w:id="123"/>
      <w:bookmarkEnd w:id="124"/>
      <w:r w:rsidRPr="00C837DD">
        <w:rPr>
          <w:w w:val="100"/>
          <w:lang w:val="en-US"/>
        </w:rPr>
        <w:t>X</w:t>
      </w:r>
      <w:r w:rsidRPr="00C837DD">
        <w:rPr>
          <w:w w:val="100"/>
          <w:lang w:val="en-US"/>
        </w:rPr>
        <w:br/>
        <w:t>OPERATIVE PARAGRAPHS</w:t>
      </w:r>
      <w:bookmarkEnd w:id="125"/>
    </w:p>
    <w:p w14:paraId="4EAACF8B" w14:textId="77777777" w:rsidR="00F85D5F" w:rsidRPr="00C837DD" w:rsidRDefault="00F85D5F" w:rsidP="00F85D5F">
      <w:pPr>
        <w:pStyle w:val="Textoindependiente"/>
        <w:tabs>
          <w:tab w:val="left" w:pos="142"/>
        </w:tabs>
        <w:rPr>
          <w:b/>
        </w:rPr>
      </w:pPr>
    </w:p>
    <w:p w14:paraId="09E8EE4D" w14:textId="32F482F8" w:rsidR="00F85D5F" w:rsidRPr="00C837DD" w:rsidRDefault="00F85D5F" w:rsidP="00F85D5F">
      <w:pPr>
        <w:pStyle w:val="Prrafodelista"/>
        <w:numPr>
          <w:ilvl w:val="0"/>
          <w:numId w:val="6"/>
        </w:numPr>
        <w:tabs>
          <w:tab w:val="left" w:pos="142"/>
        </w:tabs>
        <w:ind w:left="0" w:firstLine="0"/>
        <w:rPr>
          <w:sz w:val="20"/>
          <w:szCs w:val="20"/>
        </w:rPr>
      </w:pPr>
      <w:r w:rsidRPr="00C837DD">
        <w:rPr>
          <w:sz w:val="20"/>
          <w:szCs w:val="20"/>
        </w:rPr>
        <w:t>Therefore,</w:t>
      </w:r>
    </w:p>
    <w:p w14:paraId="480ABB8A" w14:textId="77777777" w:rsidR="00F85D5F" w:rsidRPr="00C837DD" w:rsidRDefault="00F85D5F" w:rsidP="00F85D5F">
      <w:pPr>
        <w:tabs>
          <w:tab w:val="left" w:pos="142"/>
          <w:tab w:val="left" w:pos="684"/>
        </w:tabs>
        <w:rPr>
          <w:sz w:val="20"/>
          <w:szCs w:val="20"/>
        </w:rPr>
      </w:pPr>
    </w:p>
    <w:p w14:paraId="5EC9867B" w14:textId="77777777" w:rsidR="00F85D5F" w:rsidRPr="00C837DD" w:rsidRDefault="00F85D5F" w:rsidP="00F85D5F">
      <w:pPr>
        <w:tabs>
          <w:tab w:val="left" w:pos="142"/>
        </w:tabs>
        <w:rPr>
          <w:b/>
          <w:sz w:val="20"/>
          <w:szCs w:val="20"/>
        </w:rPr>
      </w:pPr>
      <w:bookmarkStart w:id="126" w:name="_bookmark209"/>
      <w:bookmarkEnd w:id="126"/>
      <w:r w:rsidRPr="00C837DD">
        <w:rPr>
          <w:b/>
          <w:sz w:val="20"/>
          <w:szCs w:val="20"/>
        </w:rPr>
        <w:t>THE COURT</w:t>
      </w:r>
    </w:p>
    <w:p w14:paraId="7439055B" w14:textId="77777777" w:rsidR="00F85D5F" w:rsidRPr="00C837DD" w:rsidRDefault="00F85D5F" w:rsidP="00F85D5F">
      <w:pPr>
        <w:tabs>
          <w:tab w:val="left" w:pos="142"/>
        </w:tabs>
        <w:rPr>
          <w:b/>
          <w:sz w:val="20"/>
          <w:szCs w:val="20"/>
        </w:rPr>
      </w:pPr>
    </w:p>
    <w:p w14:paraId="4A8F6ABF" w14:textId="77777777" w:rsidR="00F85D5F" w:rsidRPr="00C837DD" w:rsidRDefault="00F85D5F" w:rsidP="00F85D5F">
      <w:pPr>
        <w:tabs>
          <w:tab w:val="left" w:pos="142"/>
        </w:tabs>
        <w:rPr>
          <w:b/>
          <w:sz w:val="20"/>
          <w:szCs w:val="20"/>
        </w:rPr>
      </w:pPr>
      <w:r w:rsidRPr="00C837DD">
        <w:rPr>
          <w:b/>
          <w:sz w:val="20"/>
          <w:szCs w:val="20"/>
        </w:rPr>
        <w:t>DECIDES,</w:t>
      </w:r>
    </w:p>
    <w:p w14:paraId="7AFEF06F" w14:textId="77777777" w:rsidR="00F85D5F" w:rsidRPr="00C837DD" w:rsidRDefault="00F85D5F" w:rsidP="00F85D5F">
      <w:pPr>
        <w:pStyle w:val="Textoindependiente"/>
        <w:tabs>
          <w:tab w:val="left" w:pos="142"/>
        </w:tabs>
      </w:pPr>
    </w:p>
    <w:p w14:paraId="215AC45E" w14:textId="77777777" w:rsidR="00F85D5F" w:rsidRPr="00C837DD" w:rsidRDefault="00F85D5F" w:rsidP="00F85D5F">
      <w:pPr>
        <w:pStyle w:val="Textoindependiente"/>
        <w:tabs>
          <w:tab w:val="left" w:pos="142"/>
        </w:tabs>
      </w:pPr>
      <w:r w:rsidRPr="00C837DD">
        <w:t>Unanimously:</w:t>
      </w:r>
    </w:p>
    <w:p w14:paraId="322C0F4F" w14:textId="77777777" w:rsidR="00F85D5F" w:rsidRPr="00C837DD" w:rsidRDefault="00F85D5F" w:rsidP="00F85D5F">
      <w:pPr>
        <w:pStyle w:val="Textoindependiente"/>
        <w:tabs>
          <w:tab w:val="left" w:pos="142"/>
        </w:tabs>
      </w:pPr>
    </w:p>
    <w:p w14:paraId="5F541646" w14:textId="550BBB5C" w:rsidR="00F85D5F" w:rsidRPr="00C837DD" w:rsidRDefault="00F85D5F" w:rsidP="00F85D5F">
      <w:pPr>
        <w:pStyle w:val="Prrafodelista"/>
        <w:numPr>
          <w:ilvl w:val="0"/>
          <w:numId w:val="1"/>
        </w:numPr>
        <w:tabs>
          <w:tab w:val="left" w:pos="142"/>
          <w:tab w:val="left" w:pos="685"/>
        </w:tabs>
        <w:ind w:left="0" w:firstLine="0"/>
        <w:rPr>
          <w:sz w:val="20"/>
          <w:szCs w:val="20"/>
        </w:rPr>
      </w:pPr>
      <w:r w:rsidRPr="00C837DD">
        <w:rPr>
          <w:sz w:val="20"/>
          <w:szCs w:val="20"/>
        </w:rPr>
        <w:t xml:space="preserve">To declare partially </w:t>
      </w:r>
      <w:r w:rsidR="004A10C1" w:rsidRPr="00C837DD">
        <w:rPr>
          <w:sz w:val="20"/>
          <w:szCs w:val="20"/>
        </w:rPr>
        <w:t>admissible</w:t>
      </w:r>
      <w:r w:rsidRPr="00C837DD">
        <w:rPr>
          <w:sz w:val="20"/>
          <w:szCs w:val="20"/>
        </w:rPr>
        <w:t xml:space="preserve"> the preliminary objection re</w:t>
      </w:r>
      <w:r w:rsidR="004A10C1" w:rsidRPr="00C837DD">
        <w:rPr>
          <w:sz w:val="20"/>
          <w:szCs w:val="20"/>
        </w:rPr>
        <w:t xml:space="preserve">garding </w:t>
      </w:r>
      <w:r w:rsidRPr="00C837DD">
        <w:rPr>
          <w:sz w:val="20"/>
          <w:szCs w:val="20"/>
        </w:rPr>
        <w:t>the</w:t>
      </w:r>
      <w:r w:rsidR="00AF16CD">
        <w:rPr>
          <w:sz w:val="20"/>
          <w:szCs w:val="20"/>
        </w:rPr>
        <w:t xml:space="preserve"> </w:t>
      </w:r>
      <w:r w:rsidRPr="00C837DD">
        <w:rPr>
          <w:sz w:val="20"/>
          <w:szCs w:val="20"/>
        </w:rPr>
        <w:t xml:space="preserve">alleged lack of jurisdiction </w:t>
      </w:r>
      <w:r w:rsidRPr="00C837DD">
        <w:rPr>
          <w:i/>
          <w:sz w:val="20"/>
          <w:szCs w:val="20"/>
        </w:rPr>
        <w:t>ratione temporis</w:t>
      </w:r>
      <w:r w:rsidRPr="00C837DD">
        <w:rPr>
          <w:sz w:val="20"/>
          <w:szCs w:val="20"/>
        </w:rPr>
        <w:t xml:space="preserve"> </w:t>
      </w:r>
      <w:r w:rsidR="003C3B09" w:rsidRPr="00C837DD">
        <w:rPr>
          <w:sz w:val="20"/>
          <w:szCs w:val="20"/>
        </w:rPr>
        <w:t xml:space="preserve">with </w:t>
      </w:r>
      <w:r w:rsidRPr="00C837DD">
        <w:rPr>
          <w:sz w:val="20"/>
          <w:szCs w:val="20"/>
        </w:rPr>
        <w:t xml:space="preserve">respect to </w:t>
      </w:r>
      <w:r w:rsidR="00AF16CD">
        <w:rPr>
          <w:sz w:val="20"/>
          <w:szCs w:val="20"/>
        </w:rPr>
        <w:t xml:space="preserve">the </w:t>
      </w:r>
      <w:r w:rsidRPr="00C837DD">
        <w:rPr>
          <w:sz w:val="20"/>
          <w:szCs w:val="20"/>
        </w:rPr>
        <w:t xml:space="preserve">facts prior to the date of recognition of the </w:t>
      </w:r>
      <w:r w:rsidR="005B5A26" w:rsidRPr="00C837DD">
        <w:rPr>
          <w:sz w:val="20"/>
          <w:szCs w:val="20"/>
        </w:rPr>
        <w:t xml:space="preserve">Court’s </w:t>
      </w:r>
      <w:r w:rsidRPr="00C837DD">
        <w:rPr>
          <w:sz w:val="20"/>
          <w:szCs w:val="20"/>
        </w:rPr>
        <w:t xml:space="preserve">jurisdiction, </w:t>
      </w:r>
      <w:r w:rsidR="005B5A26" w:rsidRPr="00C837DD">
        <w:rPr>
          <w:sz w:val="20"/>
          <w:szCs w:val="20"/>
        </w:rPr>
        <w:t>in accordance with</w:t>
      </w:r>
      <w:r w:rsidRPr="00C837DD">
        <w:rPr>
          <w:sz w:val="20"/>
          <w:szCs w:val="20"/>
        </w:rPr>
        <w:t xml:space="preserve"> paragraphs 19 to 23 of this judgment.</w:t>
      </w:r>
    </w:p>
    <w:p w14:paraId="37E76DB2" w14:textId="77777777" w:rsidR="00F85D5F" w:rsidRPr="00C837DD" w:rsidRDefault="00F85D5F" w:rsidP="00F85D5F">
      <w:pPr>
        <w:pStyle w:val="Textoindependiente"/>
        <w:tabs>
          <w:tab w:val="left" w:pos="142"/>
        </w:tabs>
        <w:jc w:val="both"/>
      </w:pPr>
    </w:p>
    <w:p w14:paraId="44681F94" w14:textId="287A7826" w:rsidR="00F85D5F" w:rsidRPr="00C837DD" w:rsidRDefault="00F85D5F" w:rsidP="00F85D5F">
      <w:pPr>
        <w:pStyle w:val="Prrafodelista"/>
        <w:numPr>
          <w:ilvl w:val="0"/>
          <w:numId w:val="1"/>
        </w:numPr>
        <w:tabs>
          <w:tab w:val="left" w:pos="142"/>
          <w:tab w:val="left" w:pos="685"/>
        </w:tabs>
        <w:ind w:left="0" w:firstLine="0"/>
        <w:rPr>
          <w:sz w:val="20"/>
          <w:szCs w:val="20"/>
        </w:rPr>
      </w:pPr>
      <w:r w:rsidRPr="00C837DD">
        <w:rPr>
          <w:sz w:val="20"/>
          <w:szCs w:val="20"/>
        </w:rPr>
        <w:t xml:space="preserve">To dismiss the preliminary objection regarding the alleged failure to exhaust domestic remedies, </w:t>
      </w:r>
      <w:r w:rsidR="005B5A26" w:rsidRPr="00C837DD">
        <w:rPr>
          <w:sz w:val="20"/>
          <w:szCs w:val="20"/>
        </w:rPr>
        <w:t>in accordance with</w:t>
      </w:r>
      <w:r w:rsidRPr="00C837DD">
        <w:rPr>
          <w:sz w:val="20"/>
          <w:szCs w:val="20"/>
        </w:rPr>
        <w:t xml:space="preserve"> paragraphs 27 to 34 of this judgment.</w:t>
      </w:r>
    </w:p>
    <w:p w14:paraId="69904967" w14:textId="77777777" w:rsidR="00F85D5F" w:rsidRPr="00C837DD" w:rsidRDefault="00F85D5F" w:rsidP="00F85D5F">
      <w:pPr>
        <w:pStyle w:val="Textoindependiente"/>
        <w:tabs>
          <w:tab w:val="left" w:pos="142"/>
        </w:tabs>
        <w:jc w:val="both"/>
      </w:pPr>
    </w:p>
    <w:p w14:paraId="5F5CF00C" w14:textId="77777777" w:rsidR="00F85D5F" w:rsidRPr="00C837DD" w:rsidRDefault="00F85D5F" w:rsidP="00F85D5F">
      <w:pPr>
        <w:tabs>
          <w:tab w:val="left" w:pos="142"/>
        </w:tabs>
        <w:rPr>
          <w:b/>
          <w:sz w:val="20"/>
          <w:szCs w:val="20"/>
        </w:rPr>
      </w:pPr>
      <w:r w:rsidRPr="00C837DD">
        <w:rPr>
          <w:b/>
          <w:sz w:val="20"/>
          <w:szCs w:val="20"/>
        </w:rPr>
        <w:t>DECLARES,</w:t>
      </w:r>
    </w:p>
    <w:p w14:paraId="0B71F153" w14:textId="77777777" w:rsidR="00F85D5F" w:rsidRPr="00C837DD" w:rsidRDefault="00F85D5F" w:rsidP="00F85D5F">
      <w:pPr>
        <w:tabs>
          <w:tab w:val="left" w:pos="142"/>
        </w:tabs>
        <w:rPr>
          <w:b/>
          <w:sz w:val="20"/>
          <w:szCs w:val="20"/>
        </w:rPr>
      </w:pPr>
    </w:p>
    <w:p w14:paraId="2D43C562" w14:textId="77777777" w:rsidR="00F85D5F" w:rsidRPr="00C837DD" w:rsidRDefault="00F85D5F" w:rsidP="00F85D5F">
      <w:pPr>
        <w:pStyle w:val="Textoindependiente"/>
        <w:tabs>
          <w:tab w:val="left" w:pos="142"/>
        </w:tabs>
        <w:jc w:val="both"/>
      </w:pPr>
      <w:r w:rsidRPr="00C837DD">
        <w:t>Unanimously, that:</w:t>
      </w:r>
    </w:p>
    <w:p w14:paraId="1BF81E57" w14:textId="77777777" w:rsidR="00F85D5F" w:rsidRPr="00C837DD" w:rsidRDefault="00F85D5F" w:rsidP="00F85D5F">
      <w:pPr>
        <w:pStyle w:val="Textoindependiente"/>
        <w:tabs>
          <w:tab w:val="left" w:pos="142"/>
        </w:tabs>
        <w:jc w:val="both"/>
      </w:pPr>
    </w:p>
    <w:p w14:paraId="18B0AC00" w14:textId="74BC1456" w:rsidR="00F85D5F" w:rsidRPr="00C837DD" w:rsidRDefault="00F85D5F" w:rsidP="00F85D5F">
      <w:pPr>
        <w:pStyle w:val="Prrafodelista"/>
        <w:numPr>
          <w:ilvl w:val="0"/>
          <w:numId w:val="1"/>
        </w:numPr>
        <w:tabs>
          <w:tab w:val="left" w:pos="142"/>
          <w:tab w:val="left" w:pos="685"/>
        </w:tabs>
        <w:ind w:left="0" w:firstLine="0"/>
        <w:rPr>
          <w:sz w:val="20"/>
          <w:szCs w:val="20"/>
        </w:rPr>
      </w:pPr>
      <w:r w:rsidRPr="00C837DD">
        <w:rPr>
          <w:sz w:val="20"/>
          <w:szCs w:val="20"/>
        </w:rPr>
        <w:t>The State</w:t>
      </w:r>
      <w:r w:rsidRPr="00C837DD">
        <w:rPr>
          <w:spacing w:val="-5"/>
          <w:sz w:val="20"/>
          <w:szCs w:val="20"/>
        </w:rPr>
        <w:t xml:space="preserve"> is </w:t>
      </w:r>
      <w:r w:rsidRPr="00C837DD">
        <w:rPr>
          <w:sz w:val="20"/>
          <w:szCs w:val="20"/>
        </w:rPr>
        <w:t>responsible for</w:t>
      </w:r>
      <w:r w:rsidRPr="00C837DD">
        <w:rPr>
          <w:spacing w:val="-5"/>
          <w:sz w:val="20"/>
          <w:szCs w:val="20"/>
        </w:rPr>
        <w:t xml:space="preserve"> the </w:t>
      </w:r>
      <w:r w:rsidRPr="00C837DD">
        <w:rPr>
          <w:sz w:val="20"/>
          <w:szCs w:val="20"/>
        </w:rPr>
        <w:t xml:space="preserve">violation of </w:t>
      </w:r>
      <w:r w:rsidRPr="00C837DD">
        <w:rPr>
          <w:bCs/>
          <w:sz w:val="20"/>
          <w:szCs w:val="20"/>
        </w:rPr>
        <w:t xml:space="preserve">the rights to judicial guarantees, </w:t>
      </w:r>
      <w:r w:rsidR="0008161A">
        <w:rPr>
          <w:bCs/>
          <w:sz w:val="20"/>
          <w:szCs w:val="20"/>
        </w:rPr>
        <w:t xml:space="preserve">to </w:t>
      </w:r>
      <w:r w:rsidRPr="00C837DD">
        <w:rPr>
          <w:bCs/>
          <w:sz w:val="20"/>
          <w:szCs w:val="20"/>
        </w:rPr>
        <w:t>equality before the law and to judicial prot</w:t>
      </w:r>
      <w:r w:rsidR="004A10C1" w:rsidRPr="00C837DD">
        <w:rPr>
          <w:bCs/>
          <w:sz w:val="20"/>
          <w:szCs w:val="20"/>
        </w:rPr>
        <w:t>ection, contained in Articles 8(</w:t>
      </w:r>
      <w:r w:rsidRPr="00C837DD">
        <w:rPr>
          <w:bCs/>
          <w:sz w:val="20"/>
          <w:szCs w:val="20"/>
        </w:rPr>
        <w:t>1</w:t>
      </w:r>
      <w:r w:rsidR="004A10C1" w:rsidRPr="00C837DD">
        <w:rPr>
          <w:bCs/>
          <w:sz w:val="20"/>
          <w:szCs w:val="20"/>
        </w:rPr>
        <w:t>)</w:t>
      </w:r>
      <w:r w:rsidRPr="00C837DD">
        <w:rPr>
          <w:bCs/>
          <w:sz w:val="20"/>
          <w:szCs w:val="20"/>
        </w:rPr>
        <w:t xml:space="preserve">, 24 and 25 of the American Convention on Human Rights, in relation to the obligations </w:t>
      </w:r>
      <w:r w:rsidR="005B5A26" w:rsidRPr="00C837DD">
        <w:rPr>
          <w:bCs/>
          <w:sz w:val="20"/>
          <w:szCs w:val="20"/>
        </w:rPr>
        <w:t>to</w:t>
      </w:r>
      <w:r w:rsidRPr="00C837DD">
        <w:rPr>
          <w:bCs/>
          <w:sz w:val="20"/>
          <w:szCs w:val="20"/>
        </w:rPr>
        <w:t xml:space="preserve"> respect and guarantee rights without discrimination and the duty to adopt provisions of domestic law, established in Articles 1(1) and 2 </w:t>
      </w:r>
      <w:r w:rsidR="005B5A26" w:rsidRPr="00C837DD">
        <w:rPr>
          <w:bCs/>
          <w:sz w:val="20"/>
          <w:szCs w:val="20"/>
        </w:rPr>
        <w:t>of the same instrument</w:t>
      </w:r>
      <w:r w:rsidRPr="00C837DD">
        <w:rPr>
          <w:bCs/>
          <w:sz w:val="20"/>
          <w:szCs w:val="20"/>
        </w:rPr>
        <w:t xml:space="preserve">, and in relation to the obligations </w:t>
      </w:r>
      <w:r w:rsidR="005B5A26" w:rsidRPr="00C837DD">
        <w:rPr>
          <w:bCs/>
          <w:sz w:val="20"/>
          <w:szCs w:val="20"/>
        </w:rPr>
        <w:t xml:space="preserve">set forth </w:t>
      </w:r>
      <w:r w:rsidRPr="00C837DD">
        <w:rPr>
          <w:bCs/>
          <w:sz w:val="20"/>
          <w:szCs w:val="20"/>
        </w:rPr>
        <w:t xml:space="preserve">in Article </w:t>
      </w:r>
      <w:r w:rsidRPr="00C837DD">
        <w:rPr>
          <w:sz w:val="20"/>
          <w:szCs w:val="20"/>
        </w:rPr>
        <w:t xml:space="preserve">7(b) of the </w:t>
      </w:r>
      <w:r w:rsidR="00B01422" w:rsidRPr="00C837DD">
        <w:rPr>
          <w:rFonts w:cs="Arial"/>
          <w:sz w:val="20"/>
          <w:szCs w:val="20"/>
          <w:shd w:val="clear" w:color="auto" w:fill="FFFFFF"/>
        </w:rPr>
        <w:t>Inter-American Convention on the Prevention, Punishment, and Eradication of Violence against Women,</w:t>
      </w:r>
      <w:r w:rsidR="00B01422" w:rsidRPr="00C837DD">
        <w:rPr>
          <w:rFonts w:ascii="Arial" w:hAnsi="Arial" w:cs="Arial"/>
          <w:shd w:val="clear" w:color="auto" w:fill="FFFFFF"/>
        </w:rPr>
        <w:t xml:space="preserve"> </w:t>
      </w:r>
      <w:r w:rsidRPr="00C837DD">
        <w:rPr>
          <w:sz w:val="20"/>
          <w:szCs w:val="20"/>
        </w:rPr>
        <w:t>to the detriment of M.B.S. and S.R.S., pursuant to paragraphs 98 to 151 of this judgment.</w:t>
      </w:r>
    </w:p>
    <w:p w14:paraId="4CC33EE9" w14:textId="77777777" w:rsidR="00F85D5F" w:rsidRPr="00C837DD" w:rsidRDefault="00F85D5F" w:rsidP="00F85D5F">
      <w:pPr>
        <w:pStyle w:val="Textoindependiente"/>
        <w:tabs>
          <w:tab w:val="left" w:pos="142"/>
        </w:tabs>
        <w:jc w:val="both"/>
      </w:pPr>
    </w:p>
    <w:p w14:paraId="79515259" w14:textId="60C46C91" w:rsidR="00F85D5F" w:rsidRPr="00C837DD" w:rsidRDefault="00F85D5F" w:rsidP="00F85D5F">
      <w:pPr>
        <w:pStyle w:val="Prrafodelista"/>
        <w:numPr>
          <w:ilvl w:val="0"/>
          <w:numId w:val="1"/>
        </w:numPr>
        <w:tabs>
          <w:tab w:val="left" w:pos="142"/>
          <w:tab w:val="left" w:pos="685"/>
        </w:tabs>
        <w:ind w:left="0" w:firstLine="0"/>
        <w:rPr>
          <w:sz w:val="20"/>
          <w:szCs w:val="20"/>
        </w:rPr>
      </w:pPr>
      <w:r w:rsidRPr="00C837DD">
        <w:rPr>
          <w:sz w:val="20"/>
          <w:szCs w:val="20"/>
        </w:rPr>
        <w:t>The State is responsible for the violation of the right to personal integrity, reco</w:t>
      </w:r>
      <w:r w:rsidR="004A10C1" w:rsidRPr="00C837DD">
        <w:rPr>
          <w:sz w:val="20"/>
          <w:szCs w:val="20"/>
        </w:rPr>
        <w:t xml:space="preserve">gnized </w:t>
      </w:r>
      <w:r w:rsidRPr="00C837DD">
        <w:rPr>
          <w:sz w:val="20"/>
          <w:szCs w:val="20"/>
        </w:rPr>
        <w:t xml:space="preserve">in Article 5(1) of the American Convention on Human Rights, in relation to Article 1(1) of the same instrument, to the detriment of M.B.S. and S.R.S., </w:t>
      </w:r>
      <w:r w:rsidR="0008161A">
        <w:rPr>
          <w:sz w:val="20"/>
          <w:szCs w:val="20"/>
        </w:rPr>
        <w:t xml:space="preserve">pursuant to </w:t>
      </w:r>
      <w:r w:rsidRPr="00C837DD">
        <w:rPr>
          <w:sz w:val="20"/>
          <w:szCs w:val="20"/>
        </w:rPr>
        <w:t xml:space="preserve">paragraphs 155 to 162 of this </w:t>
      </w:r>
      <w:r w:rsidR="00B01422" w:rsidRPr="00C837DD">
        <w:rPr>
          <w:sz w:val="20"/>
          <w:szCs w:val="20"/>
        </w:rPr>
        <w:t>j</w:t>
      </w:r>
      <w:r w:rsidRPr="00C837DD">
        <w:rPr>
          <w:sz w:val="20"/>
          <w:szCs w:val="20"/>
        </w:rPr>
        <w:t>udgment.</w:t>
      </w:r>
    </w:p>
    <w:p w14:paraId="3FD11B24" w14:textId="77777777" w:rsidR="00F85D5F" w:rsidRPr="00C837DD" w:rsidRDefault="00F85D5F" w:rsidP="00F85D5F">
      <w:pPr>
        <w:tabs>
          <w:tab w:val="left" w:pos="142"/>
        </w:tabs>
        <w:jc w:val="center"/>
        <w:rPr>
          <w:b/>
          <w:sz w:val="20"/>
          <w:szCs w:val="20"/>
        </w:rPr>
      </w:pPr>
    </w:p>
    <w:p w14:paraId="540B02D4" w14:textId="77777777" w:rsidR="00F85D5F" w:rsidRPr="00C837DD" w:rsidRDefault="00F85D5F" w:rsidP="00F85D5F">
      <w:pPr>
        <w:tabs>
          <w:tab w:val="left" w:pos="142"/>
        </w:tabs>
        <w:rPr>
          <w:b/>
          <w:sz w:val="20"/>
          <w:szCs w:val="20"/>
        </w:rPr>
      </w:pPr>
      <w:r w:rsidRPr="00C837DD">
        <w:rPr>
          <w:b/>
          <w:sz w:val="20"/>
          <w:szCs w:val="20"/>
        </w:rPr>
        <w:t>AND ESTABLISHES,</w:t>
      </w:r>
    </w:p>
    <w:p w14:paraId="4578552F" w14:textId="77777777" w:rsidR="00F85D5F" w:rsidRPr="00C837DD" w:rsidRDefault="00F85D5F" w:rsidP="00F85D5F">
      <w:pPr>
        <w:tabs>
          <w:tab w:val="left" w:pos="142"/>
        </w:tabs>
        <w:jc w:val="center"/>
        <w:rPr>
          <w:b/>
          <w:sz w:val="20"/>
          <w:szCs w:val="20"/>
        </w:rPr>
      </w:pPr>
    </w:p>
    <w:p w14:paraId="3468C192" w14:textId="77777777" w:rsidR="00F85D5F" w:rsidRPr="00C837DD" w:rsidRDefault="00F85D5F" w:rsidP="00F85D5F">
      <w:pPr>
        <w:pStyle w:val="Textoindependiente"/>
        <w:tabs>
          <w:tab w:val="left" w:pos="142"/>
        </w:tabs>
        <w:jc w:val="both"/>
      </w:pPr>
      <w:r w:rsidRPr="00C837DD">
        <w:t>Unanimously, that:</w:t>
      </w:r>
    </w:p>
    <w:p w14:paraId="31D6BB2F" w14:textId="77777777" w:rsidR="00F85D5F" w:rsidRPr="00C837DD" w:rsidRDefault="00F85D5F" w:rsidP="00F85D5F">
      <w:pPr>
        <w:pStyle w:val="Textoindependiente"/>
        <w:tabs>
          <w:tab w:val="left" w:pos="142"/>
        </w:tabs>
        <w:jc w:val="both"/>
      </w:pPr>
    </w:p>
    <w:p w14:paraId="15D7B5F2" w14:textId="1FF444CE" w:rsidR="00F85D5F" w:rsidRPr="00C837DD" w:rsidRDefault="00F85D5F" w:rsidP="00F85D5F">
      <w:pPr>
        <w:pStyle w:val="Prrafodelista"/>
        <w:numPr>
          <w:ilvl w:val="0"/>
          <w:numId w:val="1"/>
        </w:numPr>
        <w:tabs>
          <w:tab w:val="left" w:pos="142"/>
          <w:tab w:val="left" w:pos="684"/>
        </w:tabs>
        <w:ind w:left="0" w:firstLine="0"/>
        <w:rPr>
          <w:sz w:val="20"/>
          <w:szCs w:val="20"/>
        </w:rPr>
      </w:pPr>
      <w:r w:rsidRPr="00C837DD">
        <w:rPr>
          <w:sz w:val="20"/>
          <w:szCs w:val="20"/>
        </w:rPr>
        <w:t>Th</w:t>
      </w:r>
      <w:r w:rsidR="00B01422" w:rsidRPr="00C837DD">
        <w:rPr>
          <w:sz w:val="20"/>
          <w:szCs w:val="20"/>
        </w:rPr>
        <w:t>is</w:t>
      </w:r>
      <w:r w:rsidRPr="00C837DD">
        <w:rPr>
          <w:sz w:val="20"/>
          <w:szCs w:val="20"/>
        </w:rPr>
        <w:t xml:space="preserve"> </w:t>
      </w:r>
      <w:r w:rsidR="00B01422" w:rsidRPr="00C837DD">
        <w:rPr>
          <w:sz w:val="20"/>
          <w:szCs w:val="20"/>
        </w:rPr>
        <w:t>j</w:t>
      </w:r>
      <w:r w:rsidRPr="00C837DD">
        <w:rPr>
          <w:sz w:val="20"/>
          <w:szCs w:val="20"/>
        </w:rPr>
        <w:t xml:space="preserve">udgment constitutes, </w:t>
      </w:r>
      <w:r w:rsidRPr="00C837DD">
        <w:rPr>
          <w:i/>
          <w:sz w:val="20"/>
          <w:szCs w:val="20"/>
        </w:rPr>
        <w:t>per se</w:t>
      </w:r>
      <w:r w:rsidRPr="00C837DD">
        <w:rPr>
          <w:sz w:val="20"/>
          <w:szCs w:val="20"/>
        </w:rPr>
        <w:t>, a form of reparation.</w:t>
      </w:r>
    </w:p>
    <w:p w14:paraId="0F6BBD6A" w14:textId="77777777" w:rsidR="00F85D5F" w:rsidRPr="00C837DD" w:rsidRDefault="00F85D5F" w:rsidP="00F85D5F">
      <w:pPr>
        <w:pStyle w:val="Prrafodelista"/>
        <w:tabs>
          <w:tab w:val="left" w:pos="142"/>
          <w:tab w:val="left" w:pos="684"/>
        </w:tabs>
        <w:ind w:left="0"/>
        <w:rPr>
          <w:sz w:val="20"/>
          <w:szCs w:val="20"/>
        </w:rPr>
      </w:pPr>
    </w:p>
    <w:p w14:paraId="334E3D56" w14:textId="0330429B" w:rsidR="00F85D5F" w:rsidRPr="00C837DD" w:rsidRDefault="00F85D5F" w:rsidP="00F85D5F">
      <w:pPr>
        <w:pStyle w:val="Prrafodelista"/>
        <w:numPr>
          <w:ilvl w:val="0"/>
          <w:numId w:val="1"/>
        </w:numPr>
        <w:ind w:left="0" w:firstLine="0"/>
        <w:rPr>
          <w:sz w:val="20"/>
          <w:szCs w:val="20"/>
        </w:rPr>
      </w:pPr>
      <w:r w:rsidRPr="00C837DD">
        <w:rPr>
          <w:sz w:val="20"/>
          <w:szCs w:val="20"/>
        </w:rPr>
        <w:t>The State shall issue</w:t>
      </w:r>
      <w:r w:rsidRPr="00C837DD">
        <w:rPr>
          <w:spacing w:val="20"/>
          <w:sz w:val="20"/>
          <w:szCs w:val="20"/>
        </w:rPr>
        <w:t xml:space="preserve"> the </w:t>
      </w:r>
      <w:r w:rsidRPr="00C837DD">
        <w:rPr>
          <w:sz w:val="20"/>
          <w:szCs w:val="20"/>
        </w:rPr>
        <w:t>publications</w:t>
      </w:r>
      <w:r w:rsidRPr="00C837DD">
        <w:rPr>
          <w:spacing w:val="20"/>
          <w:sz w:val="20"/>
          <w:szCs w:val="20"/>
        </w:rPr>
        <w:t xml:space="preserve"> </w:t>
      </w:r>
      <w:r w:rsidRPr="00C837DD">
        <w:rPr>
          <w:sz w:val="20"/>
          <w:szCs w:val="20"/>
        </w:rPr>
        <w:t>indicated in paragraph</w:t>
      </w:r>
      <w:r w:rsidRPr="00C837DD">
        <w:rPr>
          <w:spacing w:val="24"/>
          <w:sz w:val="20"/>
          <w:szCs w:val="20"/>
        </w:rPr>
        <w:t xml:space="preserve"> </w:t>
      </w:r>
      <w:r w:rsidRPr="00C837DD">
        <w:rPr>
          <w:sz w:val="20"/>
          <w:szCs w:val="20"/>
        </w:rPr>
        <w:t>176</w:t>
      </w:r>
      <w:r w:rsidRPr="00C837DD">
        <w:rPr>
          <w:spacing w:val="21"/>
          <w:sz w:val="20"/>
          <w:szCs w:val="20"/>
        </w:rPr>
        <w:t xml:space="preserve"> of this </w:t>
      </w:r>
      <w:r w:rsidR="00B01422" w:rsidRPr="00C837DD">
        <w:rPr>
          <w:spacing w:val="21"/>
          <w:sz w:val="20"/>
          <w:szCs w:val="20"/>
        </w:rPr>
        <w:t>j</w:t>
      </w:r>
      <w:r w:rsidRPr="00C837DD">
        <w:rPr>
          <w:spacing w:val="21"/>
          <w:sz w:val="20"/>
          <w:szCs w:val="20"/>
        </w:rPr>
        <w:t>udgment</w:t>
      </w:r>
      <w:r w:rsidRPr="00C837DD">
        <w:rPr>
          <w:sz w:val="20"/>
          <w:szCs w:val="20"/>
        </w:rPr>
        <w:t xml:space="preserve">, </w:t>
      </w:r>
      <w:r w:rsidR="00102554" w:rsidRPr="00C837DD">
        <w:rPr>
          <w:sz w:val="20"/>
          <w:szCs w:val="20"/>
        </w:rPr>
        <w:t>with</w:t>
      </w:r>
      <w:r w:rsidRPr="00C837DD">
        <w:rPr>
          <w:sz w:val="20"/>
          <w:szCs w:val="20"/>
        </w:rPr>
        <w:t>in</w:t>
      </w:r>
      <w:r w:rsidRPr="00C837DD">
        <w:rPr>
          <w:spacing w:val="-3"/>
          <w:sz w:val="20"/>
          <w:szCs w:val="20"/>
        </w:rPr>
        <w:t xml:space="preserve"> </w:t>
      </w:r>
      <w:r w:rsidRPr="00C837DD">
        <w:rPr>
          <w:sz w:val="20"/>
          <w:szCs w:val="20"/>
        </w:rPr>
        <w:t>s</w:t>
      </w:r>
      <w:r w:rsidR="00102554" w:rsidRPr="00C837DD">
        <w:rPr>
          <w:sz w:val="20"/>
          <w:szCs w:val="20"/>
        </w:rPr>
        <w:t xml:space="preserve">ix months from </w:t>
      </w:r>
      <w:r w:rsidR="00B01422" w:rsidRPr="00C837DD">
        <w:rPr>
          <w:sz w:val="20"/>
          <w:szCs w:val="20"/>
        </w:rPr>
        <w:t xml:space="preserve">its </w:t>
      </w:r>
      <w:r w:rsidRPr="00C837DD">
        <w:rPr>
          <w:sz w:val="20"/>
          <w:szCs w:val="20"/>
        </w:rPr>
        <w:t>notification.</w:t>
      </w:r>
    </w:p>
    <w:p w14:paraId="5B93DE10" w14:textId="77777777" w:rsidR="00F85D5F" w:rsidRPr="00C837DD" w:rsidRDefault="00F85D5F" w:rsidP="00F85D5F">
      <w:pPr>
        <w:pStyle w:val="Textoindependiente"/>
        <w:jc w:val="both"/>
      </w:pPr>
    </w:p>
    <w:p w14:paraId="52BAF323" w14:textId="21771124" w:rsidR="00F85D5F" w:rsidRPr="00C837DD" w:rsidRDefault="00F85D5F" w:rsidP="00F85D5F">
      <w:pPr>
        <w:pStyle w:val="Prrafodelista"/>
        <w:numPr>
          <w:ilvl w:val="0"/>
          <w:numId w:val="1"/>
        </w:numPr>
        <w:ind w:left="0" w:firstLine="0"/>
        <w:rPr>
          <w:sz w:val="20"/>
          <w:szCs w:val="20"/>
        </w:rPr>
      </w:pPr>
      <w:r w:rsidRPr="00C837DD">
        <w:rPr>
          <w:sz w:val="20"/>
          <w:szCs w:val="20"/>
        </w:rPr>
        <w:t>The State</w:t>
      </w:r>
      <w:r w:rsidRPr="00C837DD">
        <w:rPr>
          <w:spacing w:val="1"/>
          <w:sz w:val="20"/>
          <w:szCs w:val="20"/>
        </w:rPr>
        <w:t xml:space="preserve"> </w:t>
      </w:r>
      <w:r w:rsidR="00A46822" w:rsidRPr="00C837DD">
        <w:rPr>
          <w:spacing w:val="1"/>
          <w:sz w:val="20"/>
          <w:szCs w:val="20"/>
        </w:rPr>
        <w:t xml:space="preserve">shall hold </w:t>
      </w:r>
      <w:r w:rsidRPr="00C837DD">
        <w:rPr>
          <w:spacing w:val="1"/>
          <w:sz w:val="20"/>
          <w:szCs w:val="20"/>
        </w:rPr>
        <w:t xml:space="preserve">an </w:t>
      </w:r>
      <w:r w:rsidRPr="00C837DD">
        <w:rPr>
          <w:sz w:val="20"/>
          <w:szCs w:val="20"/>
        </w:rPr>
        <w:t>act of acknowledgement</w:t>
      </w:r>
      <w:r w:rsidRPr="00C837DD">
        <w:rPr>
          <w:spacing w:val="1"/>
          <w:sz w:val="20"/>
          <w:szCs w:val="20"/>
        </w:rPr>
        <w:t xml:space="preserve"> of </w:t>
      </w:r>
      <w:r w:rsidRPr="00C837DD">
        <w:rPr>
          <w:sz w:val="20"/>
          <w:szCs w:val="20"/>
        </w:rPr>
        <w:t xml:space="preserve">international responsibility, in relation to the facts of this case, in the terms of paragraphs 177 and 178 of this </w:t>
      </w:r>
      <w:r w:rsidR="003E4E8A" w:rsidRPr="00C837DD">
        <w:rPr>
          <w:sz w:val="20"/>
          <w:szCs w:val="20"/>
        </w:rPr>
        <w:t>j</w:t>
      </w:r>
      <w:r w:rsidRPr="00C837DD">
        <w:rPr>
          <w:sz w:val="20"/>
          <w:szCs w:val="20"/>
        </w:rPr>
        <w:t>udgment.</w:t>
      </w:r>
    </w:p>
    <w:p w14:paraId="690E720F" w14:textId="77777777" w:rsidR="00F85D5F" w:rsidRPr="00C837DD" w:rsidRDefault="00F85D5F" w:rsidP="00F85D5F">
      <w:pPr>
        <w:pStyle w:val="Prrafodelista"/>
        <w:ind w:left="0"/>
        <w:rPr>
          <w:sz w:val="20"/>
          <w:szCs w:val="20"/>
        </w:rPr>
      </w:pPr>
    </w:p>
    <w:p w14:paraId="6A3A9C50" w14:textId="3F93AC73" w:rsidR="00F85D5F" w:rsidRPr="00C837DD" w:rsidRDefault="00F85D5F" w:rsidP="00F85D5F">
      <w:pPr>
        <w:pStyle w:val="Prrafodelista"/>
        <w:numPr>
          <w:ilvl w:val="0"/>
          <w:numId w:val="1"/>
        </w:numPr>
        <w:ind w:left="0" w:firstLine="0"/>
        <w:rPr>
          <w:sz w:val="20"/>
          <w:szCs w:val="20"/>
        </w:rPr>
      </w:pPr>
      <w:r w:rsidRPr="00C837DD">
        <w:rPr>
          <w:sz w:val="20"/>
          <w:szCs w:val="20"/>
        </w:rPr>
        <w:t xml:space="preserve">The State shall design and implement a national and centralized data collection system that </w:t>
      </w:r>
      <w:r w:rsidR="003E4E8A" w:rsidRPr="00C837DD">
        <w:rPr>
          <w:sz w:val="20"/>
          <w:szCs w:val="20"/>
        </w:rPr>
        <w:t>allows for the quantitative and qualitative analysis of acts of violence against women and, in particular, violent deaths of women, in the terms of paragraph 193 of this</w:t>
      </w:r>
      <w:r w:rsidRPr="00C837DD">
        <w:rPr>
          <w:sz w:val="20"/>
          <w:szCs w:val="20"/>
        </w:rPr>
        <w:t xml:space="preserve"> judgment. </w:t>
      </w:r>
    </w:p>
    <w:p w14:paraId="658B945C" w14:textId="77777777" w:rsidR="00F85D5F" w:rsidRPr="00C837DD" w:rsidRDefault="00F85D5F" w:rsidP="00F85D5F">
      <w:pPr>
        <w:pStyle w:val="Prrafodelista"/>
        <w:ind w:left="0"/>
        <w:rPr>
          <w:sz w:val="20"/>
          <w:szCs w:val="20"/>
        </w:rPr>
      </w:pPr>
    </w:p>
    <w:p w14:paraId="36C76B75" w14:textId="5F5AAB70" w:rsidR="00F85D5F" w:rsidRPr="00C837DD" w:rsidRDefault="00F85D5F" w:rsidP="00F85D5F">
      <w:pPr>
        <w:pStyle w:val="Prrafodelista"/>
        <w:numPr>
          <w:ilvl w:val="0"/>
          <w:numId w:val="1"/>
        </w:numPr>
        <w:ind w:left="0" w:firstLine="0"/>
        <w:rPr>
          <w:sz w:val="20"/>
          <w:szCs w:val="20"/>
        </w:rPr>
      </w:pPr>
      <w:r w:rsidRPr="00C837DD">
        <w:rPr>
          <w:sz w:val="20"/>
          <w:szCs w:val="20"/>
        </w:rPr>
        <w:lastRenderedPageBreak/>
        <w:t>The State shall create and implement a plan for continuous training</w:t>
      </w:r>
      <w:r w:rsidR="00B423C4" w:rsidRPr="00C837DD">
        <w:rPr>
          <w:sz w:val="20"/>
          <w:szCs w:val="20"/>
        </w:rPr>
        <w:t xml:space="preserve">, capacity building </w:t>
      </w:r>
      <w:r w:rsidRPr="00C837DD">
        <w:rPr>
          <w:sz w:val="20"/>
          <w:szCs w:val="20"/>
        </w:rPr>
        <w:t xml:space="preserve"> and </w:t>
      </w:r>
      <w:r w:rsidR="004A10C1" w:rsidRPr="00C837DD">
        <w:rPr>
          <w:sz w:val="20"/>
          <w:szCs w:val="20"/>
        </w:rPr>
        <w:t>awareness</w:t>
      </w:r>
      <w:r w:rsidR="00B423C4" w:rsidRPr="00C837DD">
        <w:rPr>
          <w:sz w:val="20"/>
          <w:szCs w:val="20"/>
        </w:rPr>
        <w:t>-</w:t>
      </w:r>
      <w:r w:rsidR="004A10C1" w:rsidRPr="00C837DD">
        <w:rPr>
          <w:sz w:val="20"/>
          <w:szCs w:val="20"/>
        </w:rPr>
        <w:t xml:space="preserve">raising </w:t>
      </w:r>
      <w:r w:rsidRPr="00C837DD">
        <w:rPr>
          <w:sz w:val="20"/>
          <w:szCs w:val="20"/>
        </w:rPr>
        <w:t>for the police forces in charge of investigation</w:t>
      </w:r>
      <w:r w:rsidR="00B423C4" w:rsidRPr="00C837DD">
        <w:rPr>
          <w:sz w:val="20"/>
          <w:szCs w:val="20"/>
        </w:rPr>
        <w:t>s</w:t>
      </w:r>
      <w:r w:rsidRPr="00C837DD">
        <w:rPr>
          <w:sz w:val="20"/>
          <w:szCs w:val="20"/>
        </w:rPr>
        <w:t xml:space="preserve"> and </w:t>
      </w:r>
      <w:r w:rsidR="00B423C4" w:rsidRPr="00C837DD">
        <w:rPr>
          <w:sz w:val="20"/>
          <w:szCs w:val="20"/>
        </w:rPr>
        <w:t xml:space="preserve">for </w:t>
      </w:r>
      <w:r w:rsidR="004A10C1" w:rsidRPr="00C837DD">
        <w:rPr>
          <w:sz w:val="20"/>
          <w:szCs w:val="20"/>
        </w:rPr>
        <w:t xml:space="preserve">the </w:t>
      </w:r>
      <w:r w:rsidR="00B423C4" w:rsidRPr="00C837DD">
        <w:rPr>
          <w:sz w:val="20"/>
          <w:szCs w:val="20"/>
        </w:rPr>
        <w:t xml:space="preserve">justice </w:t>
      </w:r>
      <w:r w:rsidRPr="00C837DD">
        <w:rPr>
          <w:sz w:val="20"/>
          <w:szCs w:val="20"/>
        </w:rPr>
        <w:t xml:space="preserve">operators in the state of Paraíba, with a gender and race perspective, </w:t>
      </w:r>
      <w:r w:rsidR="00B423C4" w:rsidRPr="00C837DD">
        <w:rPr>
          <w:sz w:val="20"/>
          <w:szCs w:val="20"/>
        </w:rPr>
        <w:t xml:space="preserve">pursuant to </w:t>
      </w:r>
      <w:r w:rsidRPr="00C837DD">
        <w:rPr>
          <w:sz w:val="20"/>
          <w:szCs w:val="20"/>
        </w:rPr>
        <w:t xml:space="preserve">paragraph 196 of this </w:t>
      </w:r>
      <w:r w:rsidR="00B423C4" w:rsidRPr="00C837DD">
        <w:rPr>
          <w:sz w:val="20"/>
          <w:szCs w:val="20"/>
        </w:rPr>
        <w:t>j</w:t>
      </w:r>
      <w:r w:rsidRPr="00C837DD">
        <w:rPr>
          <w:sz w:val="20"/>
          <w:szCs w:val="20"/>
        </w:rPr>
        <w:t>udgment.</w:t>
      </w:r>
    </w:p>
    <w:p w14:paraId="1B723FC6" w14:textId="77777777" w:rsidR="00F85D5F" w:rsidRPr="00C837DD" w:rsidRDefault="00F85D5F" w:rsidP="00F85D5F">
      <w:pPr>
        <w:pStyle w:val="Prrafodelista"/>
        <w:rPr>
          <w:sz w:val="20"/>
          <w:szCs w:val="20"/>
        </w:rPr>
      </w:pPr>
    </w:p>
    <w:p w14:paraId="0905415C" w14:textId="63C3D0A8" w:rsidR="00F85D5F" w:rsidRPr="00C837DD" w:rsidRDefault="00F85D5F" w:rsidP="00F85D5F">
      <w:pPr>
        <w:pStyle w:val="Prrafodelista"/>
        <w:numPr>
          <w:ilvl w:val="0"/>
          <w:numId w:val="1"/>
        </w:numPr>
        <w:ind w:left="0" w:firstLine="0"/>
        <w:rPr>
          <w:sz w:val="20"/>
          <w:szCs w:val="20"/>
        </w:rPr>
      </w:pPr>
      <w:r w:rsidRPr="00C837DD">
        <w:rPr>
          <w:sz w:val="20"/>
          <w:szCs w:val="20"/>
        </w:rPr>
        <w:t xml:space="preserve">The State </w:t>
      </w:r>
      <w:r w:rsidR="00A46822" w:rsidRPr="00C837DD">
        <w:rPr>
          <w:sz w:val="20"/>
          <w:szCs w:val="20"/>
        </w:rPr>
        <w:t xml:space="preserve">shall hold </w:t>
      </w:r>
      <w:r w:rsidRPr="00C837DD">
        <w:rPr>
          <w:sz w:val="20"/>
          <w:szCs w:val="20"/>
        </w:rPr>
        <w:t xml:space="preserve">a </w:t>
      </w:r>
      <w:r w:rsidR="00B423C4" w:rsidRPr="00C837DD">
        <w:rPr>
          <w:sz w:val="20"/>
          <w:szCs w:val="20"/>
        </w:rPr>
        <w:t xml:space="preserve">day </w:t>
      </w:r>
      <w:r w:rsidR="004A10C1" w:rsidRPr="00C837DD">
        <w:rPr>
          <w:sz w:val="20"/>
          <w:szCs w:val="20"/>
        </w:rPr>
        <w:t xml:space="preserve">of reflection and awareness-raising </w:t>
      </w:r>
      <w:r w:rsidRPr="00C837DD">
        <w:rPr>
          <w:sz w:val="20"/>
          <w:szCs w:val="20"/>
        </w:rPr>
        <w:t xml:space="preserve">on the impact </w:t>
      </w:r>
      <w:r w:rsidR="00A46822" w:rsidRPr="00C837DD">
        <w:rPr>
          <w:sz w:val="20"/>
          <w:szCs w:val="20"/>
        </w:rPr>
        <w:t xml:space="preserve">of </w:t>
      </w:r>
      <w:r w:rsidRPr="00C837DD">
        <w:rPr>
          <w:sz w:val="20"/>
          <w:szCs w:val="20"/>
        </w:rPr>
        <w:t>femicide, violence against women and the u</w:t>
      </w:r>
      <w:r w:rsidR="00A46822" w:rsidRPr="00C837DD">
        <w:rPr>
          <w:sz w:val="20"/>
          <w:szCs w:val="20"/>
        </w:rPr>
        <w:t xml:space="preserve">se </w:t>
      </w:r>
      <w:r w:rsidRPr="00C837DD">
        <w:rPr>
          <w:sz w:val="20"/>
          <w:szCs w:val="20"/>
        </w:rPr>
        <w:t xml:space="preserve">of parliamentary immunity, </w:t>
      </w:r>
      <w:r w:rsidR="00BF5AD5" w:rsidRPr="00C837DD">
        <w:rPr>
          <w:sz w:val="20"/>
          <w:szCs w:val="20"/>
        </w:rPr>
        <w:t xml:space="preserve">pursuant to </w:t>
      </w:r>
      <w:r w:rsidRPr="00C837DD">
        <w:rPr>
          <w:sz w:val="20"/>
          <w:szCs w:val="20"/>
        </w:rPr>
        <w:t xml:space="preserve">paragraph 197 of this </w:t>
      </w:r>
      <w:r w:rsidR="00B423C4" w:rsidRPr="00C837DD">
        <w:rPr>
          <w:sz w:val="20"/>
          <w:szCs w:val="20"/>
        </w:rPr>
        <w:t>j</w:t>
      </w:r>
      <w:r w:rsidRPr="00C837DD">
        <w:rPr>
          <w:sz w:val="20"/>
          <w:szCs w:val="20"/>
        </w:rPr>
        <w:t>udgment.</w:t>
      </w:r>
    </w:p>
    <w:p w14:paraId="29A92344" w14:textId="77777777" w:rsidR="00F85D5F" w:rsidRPr="00C837DD" w:rsidRDefault="00F85D5F" w:rsidP="00F85D5F">
      <w:pPr>
        <w:pStyle w:val="Prrafodelista"/>
        <w:ind w:left="0"/>
        <w:rPr>
          <w:sz w:val="20"/>
          <w:szCs w:val="20"/>
        </w:rPr>
      </w:pPr>
    </w:p>
    <w:p w14:paraId="58BAAE0F" w14:textId="2750DC6B" w:rsidR="00F85D5F" w:rsidRPr="00C837DD" w:rsidRDefault="00F85D5F" w:rsidP="00F85D5F">
      <w:pPr>
        <w:pStyle w:val="Prrafodelista"/>
        <w:numPr>
          <w:ilvl w:val="0"/>
          <w:numId w:val="1"/>
        </w:numPr>
        <w:ind w:left="0" w:firstLine="0"/>
        <w:rPr>
          <w:sz w:val="20"/>
          <w:szCs w:val="20"/>
        </w:rPr>
      </w:pPr>
      <w:r w:rsidRPr="00C837DD">
        <w:rPr>
          <w:sz w:val="20"/>
          <w:szCs w:val="20"/>
        </w:rPr>
        <w:t xml:space="preserve">The State shall adopt and implement a national protocol for the investigation of femicides, </w:t>
      </w:r>
      <w:r w:rsidR="00BF5AD5" w:rsidRPr="00C837DD">
        <w:rPr>
          <w:sz w:val="20"/>
          <w:szCs w:val="20"/>
        </w:rPr>
        <w:t xml:space="preserve">pursuant to </w:t>
      </w:r>
      <w:r w:rsidRPr="00C837DD">
        <w:rPr>
          <w:sz w:val="20"/>
          <w:szCs w:val="20"/>
        </w:rPr>
        <w:t xml:space="preserve">paragraphs 201 and 202 of this </w:t>
      </w:r>
      <w:r w:rsidR="00BF5AD5" w:rsidRPr="00C837DD">
        <w:rPr>
          <w:sz w:val="20"/>
          <w:szCs w:val="20"/>
        </w:rPr>
        <w:t>j</w:t>
      </w:r>
      <w:r w:rsidRPr="00C837DD">
        <w:rPr>
          <w:sz w:val="20"/>
          <w:szCs w:val="20"/>
        </w:rPr>
        <w:t>udgment.</w:t>
      </w:r>
    </w:p>
    <w:p w14:paraId="0CB464CC" w14:textId="77777777" w:rsidR="00F85D5F" w:rsidRPr="00C837DD" w:rsidRDefault="00F85D5F" w:rsidP="00F85D5F">
      <w:pPr>
        <w:tabs>
          <w:tab w:val="left" w:pos="142"/>
          <w:tab w:val="left" w:pos="683"/>
        </w:tabs>
        <w:jc w:val="both"/>
        <w:rPr>
          <w:sz w:val="20"/>
          <w:szCs w:val="20"/>
        </w:rPr>
      </w:pPr>
    </w:p>
    <w:p w14:paraId="7F8B966F" w14:textId="3186A285" w:rsidR="00F85D5F" w:rsidRPr="00C837DD" w:rsidRDefault="00F85D5F" w:rsidP="00F85D5F">
      <w:pPr>
        <w:pStyle w:val="Prrafodelista"/>
        <w:numPr>
          <w:ilvl w:val="0"/>
          <w:numId w:val="1"/>
        </w:numPr>
        <w:tabs>
          <w:tab w:val="left" w:pos="142"/>
          <w:tab w:val="left" w:pos="685"/>
        </w:tabs>
        <w:ind w:left="0" w:firstLine="0"/>
        <w:rPr>
          <w:sz w:val="20"/>
          <w:szCs w:val="20"/>
        </w:rPr>
      </w:pPr>
      <w:r w:rsidRPr="00C837DD">
        <w:rPr>
          <w:sz w:val="20"/>
          <w:szCs w:val="20"/>
        </w:rPr>
        <w:t xml:space="preserve">The State shall pay the amounts established in paragraphs 212 and 218 of this judgment as compensation for the omissions in the investigations into the homicide of </w:t>
      </w:r>
      <w:r w:rsidR="00B8009F" w:rsidRPr="00C837DD">
        <w:rPr>
          <w:sz w:val="20"/>
          <w:szCs w:val="20"/>
        </w:rPr>
        <w:t>Márcia</w:t>
      </w:r>
      <w:r w:rsidRPr="00C837DD">
        <w:rPr>
          <w:sz w:val="20"/>
          <w:szCs w:val="20"/>
        </w:rPr>
        <w:t xml:space="preserve"> Barbosa de Souza; </w:t>
      </w:r>
      <w:r w:rsidR="00BF5AD5" w:rsidRPr="00C837DD">
        <w:rPr>
          <w:sz w:val="20"/>
          <w:szCs w:val="20"/>
        </w:rPr>
        <w:t>for</w:t>
      </w:r>
      <w:r w:rsidRPr="00C837DD">
        <w:rPr>
          <w:sz w:val="20"/>
          <w:szCs w:val="20"/>
        </w:rPr>
        <w:t xml:space="preserve"> rehabilitation; </w:t>
      </w:r>
      <w:r w:rsidR="00BF5AD5" w:rsidRPr="00C837DD">
        <w:rPr>
          <w:sz w:val="20"/>
          <w:szCs w:val="20"/>
        </w:rPr>
        <w:t xml:space="preserve">as </w:t>
      </w:r>
      <w:r w:rsidR="00102554" w:rsidRPr="00C837DD">
        <w:rPr>
          <w:sz w:val="20"/>
          <w:szCs w:val="20"/>
        </w:rPr>
        <w:t xml:space="preserve">compensation </w:t>
      </w:r>
      <w:r w:rsidRPr="00C837DD">
        <w:rPr>
          <w:sz w:val="20"/>
          <w:szCs w:val="20"/>
        </w:rPr>
        <w:t>for pecuniary and non-pecuniary damage</w:t>
      </w:r>
      <w:r w:rsidR="00BF5AD5" w:rsidRPr="00C837DD">
        <w:rPr>
          <w:sz w:val="20"/>
          <w:szCs w:val="20"/>
        </w:rPr>
        <w:t>s</w:t>
      </w:r>
      <w:r w:rsidR="003D3570">
        <w:rPr>
          <w:sz w:val="20"/>
          <w:szCs w:val="20"/>
        </w:rPr>
        <w:t>;</w:t>
      </w:r>
      <w:r w:rsidRPr="00C837DD">
        <w:rPr>
          <w:sz w:val="20"/>
          <w:szCs w:val="20"/>
        </w:rPr>
        <w:t xml:space="preserve"> and for reimbursement of costs and expenses, pursuant to paragraphs 224 to 229 of this judgment.</w:t>
      </w:r>
    </w:p>
    <w:p w14:paraId="29172699" w14:textId="77777777" w:rsidR="00F85D5F" w:rsidRPr="00C837DD" w:rsidRDefault="00F85D5F" w:rsidP="00F85D5F">
      <w:pPr>
        <w:pStyle w:val="Prrafodelista"/>
        <w:tabs>
          <w:tab w:val="left" w:pos="142"/>
        </w:tabs>
        <w:ind w:left="0"/>
        <w:rPr>
          <w:sz w:val="20"/>
          <w:szCs w:val="20"/>
        </w:rPr>
      </w:pPr>
    </w:p>
    <w:p w14:paraId="7830823C" w14:textId="045841FE" w:rsidR="00F85D5F" w:rsidRPr="00C837DD" w:rsidRDefault="00F85D5F" w:rsidP="00F85D5F">
      <w:pPr>
        <w:pStyle w:val="Prrafodelista"/>
        <w:numPr>
          <w:ilvl w:val="0"/>
          <w:numId w:val="1"/>
        </w:numPr>
        <w:tabs>
          <w:tab w:val="left" w:pos="142"/>
          <w:tab w:val="left" w:pos="685"/>
        </w:tabs>
        <w:ind w:left="0" w:firstLine="0"/>
        <w:rPr>
          <w:sz w:val="20"/>
          <w:szCs w:val="20"/>
        </w:rPr>
      </w:pPr>
      <w:r w:rsidRPr="00C837DD">
        <w:rPr>
          <w:sz w:val="20"/>
          <w:szCs w:val="20"/>
        </w:rPr>
        <w:t xml:space="preserve">The State shall reimburse the Victims’ Legal Assistance Fund of the Inter-American Court of Human Rights </w:t>
      </w:r>
      <w:r w:rsidR="00BF5AD5" w:rsidRPr="00C837DD">
        <w:rPr>
          <w:sz w:val="20"/>
          <w:szCs w:val="20"/>
        </w:rPr>
        <w:t xml:space="preserve">for </w:t>
      </w:r>
      <w:r w:rsidRPr="00C837DD">
        <w:rPr>
          <w:sz w:val="20"/>
          <w:szCs w:val="20"/>
        </w:rPr>
        <w:t xml:space="preserve">the amount </w:t>
      </w:r>
      <w:r w:rsidR="004A10C1" w:rsidRPr="00C837DD">
        <w:rPr>
          <w:sz w:val="20"/>
          <w:szCs w:val="20"/>
        </w:rPr>
        <w:t xml:space="preserve">disbursed </w:t>
      </w:r>
      <w:r w:rsidRPr="00C837DD">
        <w:rPr>
          <w:sz w:val="20"/>
          <w:szCs w:val="20"/>
        </w:rPr>
        <w:t xml:space="preserve">during the processing of this case, in the terms of paragraphs 223 and 229 of this </w:t>
      </w:r>
      <w:r w:rsidR="00BF5AD5" w:rsidRPr="00C837DD">
        <w:rPr>
          <w:sz w:val="20"/>
          <w:szCs w:val="20"/>
        </w:rPr>
        <w:t>j</w:t>
      </w:r>
      <w:r w:rsidRPr="00C837DD">
        <w:rPr>
          <w:sz w:val="20"/>
          <w:szCs w:val="20"/>
        </w:rPr>
        <w:t>udgment.</w:t>
      </w:r>
    </w:p>
    <w:p w14:paraId="78014303" w14:textId="77777777" w:rsidR="00F85D5F" w:rsidRPr="00C837DD" w:rsidRDefault="00F85D5F" w:rsidP="00F85D5F">
      <w:pPr>
        <w:pStyle w:val="Textoindependiente"/>
        <w:tabs>
          <w:tab w:val="left" w:pos="142"/>
        </w:tabs>
        <w:jc w:val="both"/>
      </w:pPr>
    </w:p>
    <w:p w14:paraId="6374B6CF" w14:textId="7004547A" w:rsidR="00F85D5F" w:rsidRPr="00C837DD" w:rsidRDefault="00F85D5F" w:rsidP="00F85D5F">
      <w:pPr>
        <w:pStyle w:val="Prrafodelista"/>
        <w:numPr>
          <w:ilvl w:val="0"/>
          <w:numId w:val="1"/>
        </w:numPr>
        <w:tabs>
          <w:tab w:val="left" w:pos="142"/>
          <w:tab w:val="left" w:pos="686"/>
        </w:tabs>
        <w:ind w:left="0" w:firstLine="0"/>
        <w:rPr>
          <w:sz w:val="20"/>
          <w:szCs w:val="20"/>
        </w:rPr>
      </w:pPr>
      <w:r w:rsidRPr="00C837DD">
        <w:rPr>
          <w:sz w:val="20"/>
          <w:szCs w:val="20"/>
        </w:rPr>
        <w:t xml:space="preserve">The State shall, within one year </w:t>
      </w:r>
      <w:r w:rsidR="00BF5AD5" w:rsidRPr="00C837DD">
        <w:rPr>
          <w:sz w:val="20"/>
          <w:szCs w:val="20"/>
        </w:rPr>
        <w:t>from</w:t>
      </w:r>
      <w:r w:rsidRPr="00C837DD">
        <w:rPr>
          <w:sz w:val="20"/>
          <w:szCs w:val="20"/>
        </w:rPr>
        <w:t xml:space="preserve"> notification of this judgment, provide the Court with a report on the measures adopted to comply with it, </w:t>
      </w:r>
      <w:r w:rsidR="00BF5AD5" w:rsidRPr="00C837DD">
        <w:rPr>
          <w:sz w:val="20"/>
          <w:szCs w:val="20"/>
        </w:rPr>
        <w:t xml:space="preserve">without prejudice to </w:t>
      </w:r>
      <w:r w:rsidRPr="00C837DD">
        <w:rPr>
          <w:sz w:val="20"/>
          <w:szCs w:val="20"/>
        </w:rPr>
        <w:t>the provisions of paragraph 176 of this judgment.</w:t>
      </w:r>
    </w:p>
    <w:p w14:paraId="0F96129F" w14:textId="77777777" w:rsidR="00F85D5F" w:rsidRPr="00C837DD" w:rsidRDefault="00F85D5F" w:rsidP="00F85D5F">
      <w:pPr>
        <w:pStyle w:val="Textoindependiente"/>
        <w:tabs>
          <w:tab w:val="left" w:pos="142"/>
        </w:tabs>
        <w:jc w:val="both"/>
      </w:pPr>
    </w:p>
    <w:p w14:paraId="0B551510" w14:textId="3AB0868D" w:rsidR="00F85D5F" w:rsidRPr="00C837DD" w:rsidRDefault="00F85D5F" w:rsidP="00F85D5F">
      <w:pPr>
        <w:pStyle w:val="Prrafodelista"/>
        <w:numPr>
          <w:ilvl w:val="0"/>
          <w:numId w:val="1"/>
        </w:numPr>
        <w:tabs>
          <w:tab w:val="left" w:pos="142"/>
          <w:tab w:val="left" w:pos="686"/>
        </w:tabs>
        <w:ind w:left="0" w:firstLine="0"/>
        <w:rPr>
          <w:sz w:val="20"/>
          <w:szCs w:val="20"/>
        </w:rPr>
      </w:pPr>
      <w:r w:rsidRPr="00C837DD">
        <w:rPr>
          <w:sz w:val="20"/>
          <w:szCs w:val="20"/>
        </w:rPr>
        <w:t>The Court will monitor full compliance with this judgment, in exercise of its authority and in fulfilment of its obligations under the American Convention on Human Rights, and will consider th</w:t>
      </w:r>
      <w:r w:rsidR="00E71AB9" w:rsidRPr="00C837DD">
        <w:rPr>
          <w:sz w:val="20"/>
          <w:szCs w:val="20"/>
        </w:rPr>
        <w:t xml:space="preserve">is </w:t>
      </w:r>
      <w:r w:rsidRPr="00C837DD">
        <w:rPr>
          <w:sz w:val="20"/>
          <w:szCs w:val="20"/>
        </w:rPr>
        <w:t xml:space="preserve">case closed </w:t>
      </w:r>
      <w:r w:rsidR="00E71AB9" w:rsidRPr="00C837DD">
        <w:rPr>
          <w:sz w:val="20"/>
          <w:szCs w:val="20"/>
        </w:rPr>
        <w:t xml:space="preserve">when </w:t>
      </w:r>
      <w:r w:rsidRPr="00C837DD">
        <w:rPr>
          <w:sz w:val="20"/>
          <w:szCs w:val="20"/>
        </w:rPr>
        <w:t>the State has fully complied with all its provisions.</w:t>
      </w:r>
    </w:p>
    <w:p w14:paraId="5A15BC3C" w14:textId="77777777" w:rsidR="00F85D5F" w:rsidRPr="00C837DD" w:rsidRDefault="00F85D5F" w:rsidP="00F85D5F">
      <w:pPr>
        <w:pStyle w:val="Prrafodelista"/>
        <w:tabs>
          <w:tab w:val="left" w:pos="142"/>
        </w:tabs>
        <w:ind w:left="0"/>
        <w:rPr>
          <w:sz w:val="20"/>
          <w:szCs w:val="20"/>
        </w:rPr>
      </w:pPr>
    </w:p>
    <w:p w14:paraId="0EE33732" w14:textId="4BEA94B8" w:rsidR="00F85D5F" w:rsidRPr="00C837DD" w:rsidRDefault="00F85D5F" w:rsidP="00F85D5F">
      <w:pPr>
        <w:pStyle w:val="Prrafodelista"/>
        <w:tabs>
          <w:tab w:val="left" w:pos="142"/>
          <w:tab w:val="left" w:pos="686"/>
        </w:tabs>
        <w:ind w:left="0"/>
        <w:rPr>
          <w:sz w:val="20"/>
          <w:szCs w:val="20"/>
        </w:rPr>
      </w:pPr>
      <w:r w:rsidRPr="00C837DD">
        <w:rPr>
          <w:sz w:val="20"/>
          <w:szCs w:val="20"/>
        </w:rPr>
        <w:t>DONE</w:t>
      </w:r>
      <w:r w:rsidR="00E71AB9" w:rsidRPr="00C837DD">
        <w:rPr>
          <w:sz w:val="20"/>
          <w:szCs w:val="20"/>
        </w:rPr>
        <w:t>,</w:t>
      </w:r>
      <w:r w:rsidRPr="00C837DD">
        <w:rPr>
          <w:sz w:val="20"/>
          <w:szCs w:val="20"/>
        </w:rPr>
        <w:t xml:space="preserve"> </w:t>
      </w:r>
      <w:r w:rsidR="00E71AB9" w:rsidRPr="00C837DD">
        <w:rPr>
          <w:sz w:val="20"/>
          <w:szCs w:val="20"/>
        </w:rPr>
        <w:t>at</w:t>
      </w:r>
      <w:r w:rsidRPr="00C837DD">
        <w:rPr>
          <w:sz w:val="20"/>
          <w:szCs w:val="20"/>
        </w:rPr>
        <w:t xml:space="preserve"> San José, Costa Rica, </w:t>
      </w:r>
      <w:r w:rsidR="00E71AB9" w:rsidRPr="00C837DD">
        <w:rPr>
          <w:sz w:val="20"/>
          <w:szCs w:val="20"/>
        </w:rPr>
        <w:t xml:space="preserve">in a virtual session held </w:t>
      </w:r>
      <w:r w:rsidRPr="00C837DD">
        <w:rPr>
          <w:sz w:val="20"/>
          <w:szCs w:val="20"/>
        </w:rPr>
        <w:t>on September 7, 2021</w:t>
      </w:r>
      <w:bookmarkStart w:id="127" w:name="Corte_IDH._Caso_Martínez_Esquivia_Vs._Co"/>
      <w:bookmarkEnd w:id="127"/>
      <w:r w:rsidR="00E71AB9" w:rsidRPr="00C837DD">
        <w:rPr>
          <w:sz w:val="20"/>
          <w:szCs w:val="20"/>
        </w:rPr>
        <w:t>, in the Spanish language.</w:t>
      </w:r>
      <w:r w:rsidRPr="00C837DD">
        <w:rPr>
          <w:sz w:val="20"/>
          <w:szCs w:val="20"/>
        </w:rPr>
        <w:br w:type="page"/>
      </w:r>
    </w:p>
    <w:p w14:paraId="3DC93422" w14:textId="77777777" w:rsidR="00F85D5F" w:rsidRPr="00C837DD" w:rsidRDefault="00F85D5F" w:rsidP="00F85D5F">
      <w:pPr>
        <w:pStyle w:val="Prrafodelista"/>
        <w:tabs>
          <w:tab w:val="left" w:pos="142"/>
          <w:tab w:val="left" w:pos="686"/>
        </w:tabs>
        <w:ind w:left="0"/>
        <w:rPr>
          <w:sz w:val="20"/>
          <w:szCs w:val="20"/>
        </w:rPr>
      </w:pPr>
    </w:p>
    <w:p w14:paraId="6AE1D451" w14:textId="595A9F39" w:rsidR="00F85D5F" w:rsidRPr="00C837DD" w:rsidRDefault="00F85D5F" w:rsidP="00F85D5F">
      <w:pPr>
        <w:pStyle w:val="Prrafodelista"/>
        <w:tabs>
          <w:tab w:val="left" w:pos="142"/>
          <w:tab w:val="left" w:pos="686"/>
        </w:tabs>
        <w:ind w:left="0"/>
        <w:rPr>
          <w:sz w:val="20"/>
          <w:szCs w:val="20"/>
        </w:rPr>
      </w:pPr>
      <w:r w:rsidRPr="00C837DD">
        <w:rPr>
          <w:sz w:val="20"/>
          <w:szCs w:val="20"/>
        </w:rPr>
        <w:t xml:space="preserve">I/A Court HR. </w:t>
      </w:r>
      <w:r w:rsidRPr="00C837DD">
        <w:rPr>
          <w:i/>
          <w:sz w:val="20"/>
          <w:szCs w:val="20"/>
        </w:rPr>
        <w:t xml:space="preserve">Case </w:t>
      </w:r>
      <w:r w:rsidR="00E71AB9" w:rsidRPr="00C837DD">
        <w:rPr>
          <w:i/>
          <w:sz w:val="20"/>
          <w:szCs w:val="20"/>
        </w:rPr>
        <w:t xml:space="preserve">of </w:t>
      </w:r>
      <w:r w:rsidRPr="00C837DD">
        <w:rPr>
          <w:i/>
          <w:sz w:val="20"/>
          <w:szCs w:val="20"/>
        </w:rPr>
        <w:t xml:space="preserve">Barbosa de Souza et al. v. Brazil. </w:t>
      </w:r>
      <w:r w:rsidRPr="00C837DD">
        <w:rPr>
          <w:sz w:val="20"/>
          <w:szCs w:val="20"/>
        </w:rPr>
        <w:t>Preliminary objections, merits, reparations and costs. Judgment of September 7, 2021. Judgment adopted</w:t>
      </w:r>
      <w:r w:rsidR="00E71AB9" w:rsidRPr="00C837DD">
        <w:rPr>
          <w:sz w:val="20"/>
          <w:szCs w:val="20"/>
        </w:rPr>
        <w:t xml:space="preserve"> at</w:t>
      </w:r>
      <w:r w:rsidRPr="00C837DD">
        <w:rPr>
          <w:sz w:val="20"/>
          <w:szCs w:val="20"/>
        </w:rPr>
        <w:t xml:space="preserve"> San José, Costa Rica</w:t>
      </w:r>
      <w:r w:rsidR="00E71AB9" w:rsidRPr="00C837DD">
        <w:rPr>
          <w:sz w:val="20"/>
          <w:szCs w:val="20"/>
        </w:rPr>
        <w:t>, in a virtual session.</w:t>
      </w:r>
      <w:r w:rsidRPr="00C837DD">
        <w:rPr>
          <w:sz w:val="20"/>
          <w:szCs w:val="20"/>
        </w:rPr>
        <w:t xml:space="preserve"> </w:t>
      </w:r>
    </w:p>
    <w:p w14:paraId="749B0AB4" w14:textId="77777777" w:rsidR="00F85D5F" w:rsidRPr="00C837DD" w:rsidRDefault="00F85D5F" w:rsidP="00F85D5F">
      <w:pPr>
        <w:tabs>
          <w:tab w:val="left" w:pos="142"/>
        </w:tabs>
        <w:rPr>
          <w:sz w:val="20"/>
          <w:szCs w:val="20"/>
        </w:rPr>
      </w:pPr>
    </w:p>
    <w:p w14:paraId="7AF68F27" w14:textId="77777777" w:rsidR="00F85D5F" w:rsidRPr="00C837DD" w:rsidRDefault="00F85D5F" w:rsidP="00F85D5F">
      <w:pPr>
        <w:tabs>
          <w:tab w:val="left" w:pos="142"/>
        </w:tabs>
        <w:rPr>
          <w:sz w:val="20"/>
          <w:szCs w:val="20"/>
        </w:rPr>
      </w:pPr>
    </w:p>
    <w:p w14:paraId="5FDEBD6F" w14:textId="77777777" w:rsidR="00F85D5F" w:rsidRPr="00C837DD" w:rsidRDefault="00F85D5F" w:rsidP="00F85D5F">
      <w:pPr>
        <w:tabs>
          <w:tab w:val="left" w:pos="142"/>
        </w:tabs>
        <w:rPr>
          <w:sz w:val="20"/>
          <w:szCs w:val="20"/>
        </w:rPr>
      </w:pPr>
    </w:p>
    <w:p w14:paraId="7F16254F" w14:textId="77777777" w:rsidR="00F85D5F" w:rsidRPr="00C837DD" w:rsidRDefault="00F85D5F" w:rsidP="00F85D5F">
      <w:pPr>
        <w:tabs>
          <w:tab w:val="left" w:pos="142"/>
        </w:tabs>
        <w:rPr>
          <w:sz w:val="20"/>
          <w:szCs w:val="20"/>
        </w:rPr>
      </w:pPr>
    </w:p>
    <w:p w14:paraId="0FA24DAD" w14:textId="77777777" w:rsidR="00F85D5F" w:rsidRPr="00C837DD" w:rsidRDefault="00F85D5F" w:rsidP="00F85D5F">
      <w:pPr>
        <w:jc w:val="center"/>
        <w:rPr>
          <w:szCs w:val="20"/>
        </w:rPr>
      </w:pPr>
    </w:p>
    <w:p w14:paraId="608A90A1" w14:textId="77777777" w:rsidR="00F85D5F" w:rsidRPr="00C837DD" w:rsidRDefault="00F85D5F" w:rsidP="00F85D5F">
      <w:pPr>
        <w:pStyle w:val="Textoindependiente"/>
        <w:spacing w:before="147"/>
        <w:ind w:left="3209" w:right="3211"/>
        <w:jc w:val="center"/>
      </w:pPr>
      <w:r w:rsidRPr="00C837DD">
        <w:t>Elizabeth Odio Benito President</w:t>
      </w:r>
    </w:p>
    <w:p w14:paraId="3EDB65D4" w14:textId="77777777" w:rsidR="00F85D5F" w:rsidRPr="00C837DD" w:rsidRDefault="00F85D5F" w:rsidP="00F85D5F">
      <w:pPr>
        <w:pStyle w:val="Textoindependiente"/>
      </w:pPr>
    </w:p>
    <w:p w14:paraId="01DE3ABB" w14:textId="77777777" w:rsidR="00F85D5F" w:rsidRPr="00C837DD" w:rsidRDefault="00F85D5F" w:rsidP="00F85D5F">
      <w:pPr>
        <w:pStyle w:val="Textoindependiente"/>
      </w:pPr>
    </w:p>
    <w:p w14:paraId="457FBAB3" w14:textId="77777777" w:rsidR="00F85D5F" w:rsidRPr="00C837DD" w:rsidRDefault="00F85D5F" w:rsidP="00F85D5F">
      <w:pPr>
        <w:pStyle w:val="Textoindependiente"/>
      </w:pPr>
    </w:p>
    <w:p w14:paraId="502A49A8" w14:textId="77777777" w:rsidR="00F85D5F" w:rsidRPr="00C837DD" w:rsidRDefault="00F85D5F" w:rsidP="00F85D5F">
      <w:pPr>
        <w:pStyle w:val="Textoindependiente"/>
      </w:pPr>
    </w:p>
    <w:p w14:paraId="0158A0B4" w14:textId="77777777" w:rsidR="00F85D5F" w:rsidRPr="00C837DD" w:rsidRDefault="00F85D5F" w:rsidP="00F85D5F">
      <w:pPr>
        <w:pStyle w:val="Textoindependiente"/>
        <w:spacing w:before="11"/>
      </w:pPr>
    </w:p>
    <w:p w14:paraId="4019D7BB" w14:textId="77777777" w:rsidR="00F85D5F" w:rsidRPr="00C837DD" w:rsidRDefault="00F85D5F" w:rsidP="00F85D5F">
      <w:pPr>
        <w:pStyle w:val="Textoindependiente"/>
        <w:tabs>
          <w:tab w:val="left" w:pos="6096"/>
        </w:tabs>
        <w:ind w:left="121"/>
      </w:pPr>
      <w:r w:rsidRPr="00C837DD">
        <w:t>L. Patricio</w:t>
      </w:r>
      <w:r w:rsidRPr="00C837DD">
        <w:rPr>
          <w:spacing w:val="-6"/>
        </w:rPr>
        <w:t xml:space="preserve"> </w:t>
      </w:r>
      <w:r w:rsidRPr="00C837DD">
        <w:t>Pazmiño</w:t>
      </w:r>
      <w:r w:rsidRPr="00C837DD">
        <w:rPr>
          <w:spacing w:val="-3"/>
        </w:rPr>
        <w:t xml:space="preserve"> </w:t>
      </w:r>
      <w:r w:rsidRPr="00C837DD">
        <w:t>Freire</w:t>
      </w:r>
      <w:r w:rsidRPr="00C837DD">
        <w:tab/>
        <w:t>Humberto Antonio</w:t>
      </w:r>
      <w:r w:rsidRPr="00C837DD">
        <w:rPr>
          <w:spacing w:val="-8"/>
        </w:rPr>
        <w:t xml:space="preserve"> </w:t>
      </w:r>
      <w:r w:rsidRPr="00C837DD">
        <w:t>Sierra</w:t>
      </w:r>
      <w:r w:rsidRPr="00C837DD">
        <w:rPr>
          <w:spacing w:val="-2"/>
        </w:rPr>
        <w:t xml:space="preserve"> </w:t>
      </w:r>
      <w:r w:rsidRPr="00C837DD">
        <w:t>Porto</w:t>
      </w:r>
      <w:r w:rsidRPr="00C837DD" w:rsidDel="00D42A82">
        <w:t xml:space="preserve"> </w:t>
      </w:r>
    </w:p>
    <w:p w14:paraId="3A75FF92" w14:textId="77777777" w:rsidR="00F85D5F" w:rsidRPr="00C837DD" w:rsidRDefault="00F85D5F" w:rsidP="00F85D5F">
      <w:pPr>
        <w:pStyle w:val="Textoindependiente"/>
      </w:pPr>
    </w:p>
    <w:p w14:paraId="5BDA52CA" w14:textId="77777777" w:rsidR="00F85D5F" w:rsidRPr="00C837DD" w:rsidRDefault="00F85D5F" w:rsidP="00F85D5F">
      <w:pPr>
        <w:pStyle w:val="Textoindependiente"/>
      </w:pPr>
    </w:p>
    <w:p w14:paraId="61A6E58C" w14:textId="77777777" w:rsidR="00F85D5F" w:rsidRPr="00C837DD" w:rsidRDefault="00F85D5F" w:rsidP="00F85D5F">
      <w:pPr>
        <w:pStyle w:val="Textoindependiente"/>
      </w:pPr>
    </w:p>
    <w:p w14:paraId="5AC127B7" w14:textId="77777777" w:rsidR="00F85D5F" w:rsidRPr="00C837DD" w:rsidRDefault="00F85D5F" w:rsidP="00F85D5F">
      <w:pPr>
        <w:pStyle w:val="Textoindependiente"/>
      </w:pPr>
    </w:p>
    <w:p w14:paraId="3F1D7AFC" w14:textId="77777777" w:rsidR="00F85D5F" w:rsidRPr="00C837DD" w:rsidRDefault="00F85D5F" w:rsidP="00F85D5F">
      <w:pPr>
        <w:pStyle w:val="Textoindependiente"/>
        <w:spacing w:before="1"/>
      </w:pPr>
    </w:p>
    <w:p w14:paraId="6903F7C7" w14:textId="77777777" w:rsidR="00F85D5F" w:rsidRPr="00C837DD" w:rsidRDefault="00F85D5F" w:rsidP="00F85D5F">
      <w:pPr>
        <w:pStyle w:val="Textoindependiente"/>
        <w:tabs>
          <w:tab w:val="left" w:pos="6096"/>
        </w:tabs>
        <w:spacing w:before="1"/>
        <w:ind w:left="121"/>
      </w:pPr>
      <w:r w:rsidRPr="00C837DD">
        <w:t>Eduardo Ferrer Mac-Gregor</w:t>
      </w:r>
      <w:r w:rsidRPr="00C837DD">
        <w:rPr>
          <w:spacing w:val="-15"/>
        </w:rPr>
        <w:t xml:space="preserve"> </w:t>
      </w:r>
      <w:r w:rsidRPr="00C837DD">
        <w:t>Poisot</w:t>
      </w:r>
      <w:r w:rsidRPr="00C837DD" w:rsidDel="00D42A82">
        <w:t xml:space="preserve"> </w:t>
      </w:r>
      <w:r w:rsidRPr="00C837DD">
        <w:tab/>
        <w:t>Eugenio</w:t>
      </w:r>
      <w:r w:rsidRPr="00C837DD">
        <w:rPr>
          <w:spacing w:val="-5"/>
        </w:rPr>
        <w:t xml:space="preserve"> </w:t>
      </w:r>
      <w:r w:rsidRPr="00C837DD">
        <w:t>Raúl</w:t>
      </w:r>
      <w:r w:rsidRPr="00C837DD">
        <w:rPr>
          <w:spacing w:val="-3"/>
        </w:rPr>
        <w:t xml:space="preserve"> </w:t>
      </w:r>
      <w:r w:rsidRPr="00C837DD">
        <w:t>Zaffaroni</w:t>
      </w:r>
    </w:p>
    <w:p w14:paraId="58456C27" w14:textId="77777777" w:rsidR="00F85D5F" w:rsidRPr="00C837DD" w:rsidRDefault="00F85D5F" w:rsidP="00F85D5F">
      <w:pPr>
        <w:pStyle w:val="Textoindependiente"/>
      </w:pPr>
    </w:p>
    <w:p w14:paraId="7A52EC5B" w14:textId="77777777" w:rsidR="00F85D5F" w:rsidRPr="00C837DD" w:rsidRDefault="00F85D5F" w:rsidP="00F85D5F">
      <w:pPr>
        <w:pStyle w:val="Textoindependiente"/>
      </w:pPr>
    </w:p>
    <w:p w14:paraId="5A42573E" w14:textId="77777777" w:rsidR="00F85D5F" w:rsidRPr="00C837DD" w:rsidRDefault="00F85D5F" w:rsidP="00F85D5F">
      <w:pPr>
        <w:pStyle w:val="Textoindependiente"/>
        <w:spacing w:before="11"/>
      </w:pPr>
    </w:p>
    <w:p w14:paraId="3E19CCDA" w14:textId="77777777" w:rsidR="00F85D5F" w:rsidRPr="00C837DD" w:rsidRDefault="00F85D5F" w:rsidP="00F85D5F">
      <w:pPr>
        <w:pStyle w:val="Textoindependiente"/>
        <w:spacing w:before="11"/>
      </w:pPr>
    </w:p>
    <w:p w14:paraId="7ED48D2D" w14:textId="77777777" w:rsidR="00F85D5F" w:rsidRPr="00C837DD" w:rsidRDefault="00F85D5F" w:rsidP="00F85D5F">
      <w:pPr>
        <w:pStyle w:val="Textoindependiente"/>
        <w:spacing w:before="11"/>
      </w:pPr>
    </w:p>
    <w:p w14:paraId="3B38EA37" w14:textId="77777777" w:rsidR="00F85D5F" w:rsidRPr="00C837DD" w:rsidRDefault="00F85D5F" w:rsidP="00F85D5F">
      <w:pPr>
        <w:pStyle w:val="Textoindependiente"/>
        <w:tabs>
          <w:tab w:val="left" w:pos="5854"/>
        </w:tabs>
        <w:ind w:left="3402"/>
      </w:pPr>
      <w:r w:rsidRPr="00C837DD">
        <w:t>Ricardo C. Pérez</w:t>
      </w:r>
      <w:r w:rsidRPr="00C837DD">
        <w:rPr>
          <w:spacing w:val="-8"/>
        </w:rPr>
        <w:t xml:space="preserve"> </w:t>
      </w:r>
      <w:r w:rsidRPr="00C837DD">
        <w:t>Manrique</w:t>
      </w:r>
    </w:p>
    <w:p w14:paraId="117E04FE" w14:textId="77777777" w:rsidR="00F85D5F" w:rsidRPr="00C837DD" w:rsidRDefault="00F85D5F" w:rsidP="00F85D5F">
      <w:pPr>
        <w:pStyle w:val="Textoindependiente"/>
      </w:pPr>
    </w:p>
    <w:p w14:paraId="2A9242EA" w14:textId="77777777" w:rsidR="00F85D5F" w:rsidRPr="00C837DD" w:rsidRDefault="00F85D5F" w:rsidP="00F85D5F">
      <w:pPr>
        <w:pStyle w:val="Textoindependiente"/>
      </w:pPr>
    </w:p>
    <w:p w14:paraId="481DDF27" w14:textId="77777777" w:rsidR="00F85D5F" w:rsidRPr="00C837DD" w:rsidRDefault="00F85D5F" w:rsidP="00F85D5F">
      <w:pPr>
        <w:pStyle w:val="Textoindependiente"/>
      </w:pPr>
    </w:p>
    <w:p w14:paraId="3D06B455" w14:textId="77777777" w:rsidR="00F85D5F" w:rsidRPr="00C837DD" w:rsidRDefault="00F85D5F" w:rsidP="00F85D5F">
      <w:pPr>
        <w:pStyle w:val="Textoindependiente"/>
      </w:pPr>
    </w:p>
    <w:p w14:paraId="45410090" w14:textId="77777777" w:rsidR="00F85D5F" w:rsidRPr="00C837DD" w:rsidRDefault="00F85D5F" w:rsidP="00F85D5F">
      <w:pPr>
        <w:pStyle w:val="Textoindependiente"/>
        <w:spacing w:before="11"/>
      </w:pPr>
    </w:p>
    <w:p w14:paraId="69BF6C6D" w14:textId="77777777" w:rsidR="00F85D5F" w:rsidRPr="00C837DD" w:rsidRDefault="00F85D5F" w:rsidP="00F85D5F">
      <w:pPr>
        <w:pStyle w:val="Textoindependiente"/>
        <w:spacing w:before="11"/>
      </w:pPr>
    </w:p>
    <w:p w14:paraId="6FAF82D0" w14:textId="77777777" w:rsidR="00F85D5F" w:rsidRPr="00C837DD" w:rsidRDefault="00F85D5F" w:rsidP="00F85D5F">
      <w:pPr>
        <w:pStyle w:val="Textoindependiente"/>
        <w:ind w:left="3209" w:right="3211"/>
        <w:jc w:val="center"/>
      </w:pPr>
      <w:r w:rsidRPr="00C837DD">
        <w:t>Pablo Saavedra Alessandri Secretary</w:t>
      </w:r>
    </w:p>
    <w:p w14:paraId="3B3A5103" w14:textId="77777777" w:rsidR="00F85D5F" w:rsidRPr="00C837DD" w:rsidRDefault="00F85D5F" w:rsidP="00F85D5F">
      <w:pPr>
        <w:pStyle w:val="Textoindependiente"/>
      </w:pPr>
    </w:p>
    <w:p w14:paraId="4742A5D9" w14:textId="77777777" w:rsidR="00F85D5F" w:rsidRPr="00C837DD" w:rsidRDefault="00F85D5F" w:rsidP="00F85D5F">
      <w:pPr>
        <w:pStyle w:val="Textoindependiente"/>
        <w:spacing w:before="195"/>
        <w:ind w:left="121"/>
      </w:pPr>
      <w:r w:rsidRPr="00C837DD">
        <w:t>So ordered,</w:t>
      </w:r>
    </w:p>
    <w:p w14:paraId="62E153CA" w14:textId="77777777" w:rsidR="00F85D5F" w:rsidRPr="00C837DD" w:rsidRDefault="00F85D5F" w:rsidP="00F85D5F">
      <w:pPr>
        <w:pStyle w:val="Textoindependiente"/>
      </w:pPr>
    </w:p>
    <w:p w14:paraId="7958640A" w14:textId="77777777" w:rsidR="00F85D5F" w:rsidRPr="00C837DD" w:rsidRDefault="00F85D5F" w:rsidP="00F85D5F">
      <w:pPr>
        <w:pStyle w:val="Textoindependiente"/>
      </w:pPr>
    </w:p>
    <w:p w14:paraId="4F02D6E8" w14:textId="77777777" w:rsidR="00F85D5F" w:rsidRPr="00C837DD" w:rsidRDefault="00F85D5F" w:rsidP="00F85D5F">
      <w:pPr>
        <w:pStyle w:val="Textoindependiente"/>
      </w:pPr>
    </w:p>
    <w:p w14:paraId="3AFB651D" w14:textId="77777777" w:rsidR="00F85D5F" w:rsidRPr="00C837DD" w:rsidRDefault="00F85D5F" w:rsidP="00F85D5F">
      <w:pPr>
        <w:pStyle w:val="Textoindependiente"/>
        <w:spacing w:before="148"/>
        <w:ind w:left="7232" w:right="103" w:hanging="423"/>
      </w:pPr>
      <w:r w:rsidRPr="00C837DD">
        <w:t>Elizabeth Odio Benito President</w:t>
      </w:r>
    </w:p>
    <w:p w14:paraId="5962D36A" w14:textId="77777777" w:rsidR="00F85D5F" w:rsidRPr="00C837DD" w:rsidRDefault="00F85D5F" w:rsidP="00F85D5F">
      <w:pPr>
        <w:pStyle w:val="Textoindependiente"/>
      </w:pPr>
    </w:p>
    <w:p w14:paraId="3F556718" w14:textId="77777777" w:rsidR="00F85D5F" w:rsidRPr="00C837DD" w:rsidRDefault="00F85D5F" w:rsidP="00F85D5F">
      <w:pPr>
        <w:pStyle w:val="Textoindependiente"/>
        <w:spacing w:before="11"/>
      </w:pPr>
    </w:p>
    <w:p w14:paraId="4A60D88A" w14:textId="77777777" w:rsidR="00F85D5F" w:rsidRPr="00C837DD" w:rsidRDefault="00F85D5F" w:rsidP="00F85D5F">
      <w:pPr>
        <w:pStyle w:val="Textoindependiente"/>
        <w:spacing w:before="11"/>
      </w:pPr>
    </w:p>
    <w:p w14:paraId="005FF14A" w14:textId="77777777" w:rsidR="00F85D5F" w:rsidRPr="00DD4006" w:rsidRDefault="00F85D5F" w:rsidP="00F85D5F">
      <w:pPr>
        <w:pStyle w:val="Textoindependiente"/>
        <w:ind w:left="979" w:right="6283" w:hanging="860"/>
      </w:pPr>
      <w:r w:rsidRPr="00C837DD">
        <w:t>Pablo Saavedra Alessandri Secretary</w:t>
      </w:r>
    </w:p>
    <w:p w14:paraId="77D56A2E" w14:textId="77777777" w:rsidR="00E11C40" w:rsidRPr="00DD4006" w:rsidRDefault="00E11C40">
      <w:bookmarkStart w:id="128" w:name="_GoBack"/>
      <w:bookmarkEnd w:id="128"/>
    </w:p>
    <w:sectPr w:rsidR="00E11C40" w:rsidRPr="00DD4006" w:rsidSect="00F85D5F">
      <w:footerReference w:type="default" r:id="rId7"/>
      <w:pgSz w:w="12240" w:h="15840"/>
      <w:pgMar w:top="1340" w:right="1467" w:bottom="920" w:left="1300" w:header="0"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94A70" w14:textId="77777777" w:rsidR="00A61610" w:rsidRDefault="00A61610" w:rsidP="00F85D5F">
      <w:r>
        <w:separator/>
      </w:r>
    </w:p>
  </w:endnote>
  <w:endnote w:type="continuationSeparator" w:id="0">
    <w:p w14:paraId="7C408550" w14:textId="77777777" w:rsidR="00A61610" w:rsidRDefault="00A61610" w:rsidP="00F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Bold">
    <w:altName w:val="Times New Roman"/>
    <w:charset w:val="00"/>
    <w:family w:val="auto"/>
    <w:pitch w:val="variable"/>
    <w:sig w:usb0="00000001"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Italic">
    <w:altName w:val="Verdana"/>
    <w:panose1 w:val="00000000000000000000"/>
    <w:charset w:val="4D"/>
    <w:family w:val="auto"/>
    <w:notTrueType/>
    <w:pitch w:val="default"/>
    <w:sig w:usb0="03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59643952"/>
      <w:docPartObj>
        <w:docPartGallery w:val="Page Numbers (Bottom of Page)"/>
        <w:docPartUnique/>
      </w:docPartObj>
    </w:sdtPr>
    <w:sdtEndPr/>
    <w:sdtContent>
      <w:p w14:paraId="52782F56" w14:textId="77777777" w:rsidR="005F5F1C" w:rsidRDefault="005F5F1C" w:rsidP="00F85D5F">
        <w:pPr>
          <w:pStyle w:val="Piedepgina"/>
          <w:ind w:left="720"/>
          <w:jc w:val="center"/>
          <w:rPr>
            <w:sz w:val="16"/>
            <w:szCs w:val="16"/>
          </w:rPr>
        </w:pPr>
      </w:p>
      <w:p w14:paraId="67BCE595" w14:textId="77777777" w:rsidR="005F5F1C" w:rsidRPr="00D136D3" w:rsidRDefault="005F5F1C" w:rsidP="00F85D5F">
        <w:pPr>
          <w:pStyle w:val="Piedepgina"/>
          <w:ind w:left="720"/>
          <w:jc w:val="center"/>
          <w:rPr>
            <w:sz w:val="16"/>
            <w:szCs w:val="16"/>
          </w:rPr>
        </w:pPr>
      </w:p>
      <w:p w14:paraId="54C0822F" w14:textId="7940B9FB" w:rsidR="005F5F1C" w:rsidRPr="00D136D3" w:rsidRDefault="005F5F1C" w:rsidP="00F85D5F">
        <w:pPr>
          <w:pStyle w:val="Piedepgina"/>
          <w:ind w:left="720"/>
          <w:jc w:val="center"/>
          <w:rPr>
            <w:sz w:val="16"/>
            <w:szCs w:val="16"/>
          </w:rPr>
        </w:pPr>
        <w:r w:rsidRPr="00D136D3">
          <w:rPr>
            <w:sz w:val="16"/>
            <w:szCs w:val="16"/>
          </w:rPr>
          <w:t>-</w:t>
        </w:r>
        <w:r w:rsidRPr="00D136D3">
          <w:rPr>
            <w:sz w:val="16"/>
            <w:szCs w:val="16"/>
          </w:rPr>
          <w:fldChar w:fldCharType="begin"/>
        </w:r>
        <w:r w:rsidRPr="00D136D3">
          <w:rPr>
            <w:sz w:val="16"/>
            <w:szCs w:val="16"/>
          </w:rPr>
          <w:instrText>PAGE   \* MERGEFORMAT</w:instrText>
        </w:r>
        <w:r w:rsidRPr="00D136D3">
          <w:rPr>
            <w:sz w:val="16"/>
            <w:szCs w:val="16"/>
          </w:rPr>
          <w:fldChar w:fldCharType="separate"/>
        </w:r>
        <w:r w:rsidR="00B05B82" w:rsidRPr="00B05B82">
          <w:rPr>
            <w:noProof/>
            <w:sz w:val="16"/>
            <w:szCs w:val="16"/>
            <w:lang w:val="es-ES"/>
          </w:rPr>
          <w:t>61</w:t>
        </w:r>
        <w:r w:rsidRPr="00D136D3">
          <w:rPr>
            <w:sz w:val="16"/>
            <w:szCs w:val="16"/>
          </w:rPr>
          <w:fldChar w:fldCharType="end"/>
        </w:r>
        <w:r w:rsidRPr="00D136D3">
          <w:rPr>
            <w:sz w:val="16"/>
            <w:szCs w:val="16"/>
          </w:rPr>
          <w:t>-</w:t>
        </w:r>
      </w:p>
    </w:sdtContent>
  </w:sdt>
  <w:p w14:paraId="784F24FB" w14:textId="77777777" w:rsidR="005F5F1C" w:rsidRDefault="005F5F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205E" w14:textId="77777777" w:rsidR="00A61610" w:rsidRDefault="00A61610" w:rsidP="00F85D5F">
      <w:r>
        <w:separator/>
      </w:r>
    </w:p>
  </w:footnote>
  <w:footnote w:type="continuationSeparator" w:id="0">
    <w:p w14:paraId="57179DF1" w14:textId="77777777" w:rsidR="00A61610" w:rsidRDefault="00A61610" w:rsidP="00F85D5F">
      <w:r>
        <w:continuationSeparator/>
      </w:r>
    </w:p>
  </w:footnote>
  <w:footnote w:id="1">
    <w:p w14:paraId="7DE5E676" w14:textId="68951BE9" w:rsidR="005F5F1C" w:rsidRPr="00C837DD" w:rsidRDefault="005F5F1C" w:rsidP="00F85D5F">
      <w:pPr>
        <w:pStyle w:val="Textonotapie"/>
        <w:jc w:val="both"/>
        <w:rPr>
          <w:sz w:val="16"/>
          <w:szCs w:val="16"/>
        </w:rPr>
      </w:pPr>
      <w:r w:rsidRPr="00C837DD">
        <w:rPr>
          <w:rStyle w:val="Refdenotaalpie"/>
          <w:sz w:val="16"/>
          <w:szCs w:val="16"/>
        </w:rPr>
        <w:t>*</w:t>
      </w:r>
      <w:r w:rsidRPr="00C837DD">
        <w:rPr>
          <w:sz w:val="16"/>
          <w:szCs w:val="16"/>
        </w:rPr>
        <w:t xml:space="preserve"> Judge Eduardo Vio Grossi did not participate in the deliberation and signing of this </w:t>
      </w:r>
      <w:r w:rsidR="00335258">
        <w:rPr>
          <w:sz w:val="16"/>
          <w:szCs w:val="16"/>
        </w:rPr>
        <w:t>j</w:t>
      </w:r>
      <w:r w:rsidRPr="00C837DD">
        <w:rPr>
          <w:sz w:val="16"/>
          <w:szCs w:val="16"/>
        </w:rPr>
        <w:t>udgment, for reasons of force majeure.</w:t>
      </w:r>
    </w:p>
  </w:footnote>
  <w:footnote w:id="2">
    <w:p w14:paraId="77C74083" w14:textId="6996FB51" w:rsidR="005F5F1C" w:rsidRPr="00C837DD" w:rsidRDefault="005F5F1C" w:rsidP="00F85D5F">
      <w:pPr>
        <w:pStyle w:val="Textonotapie"/>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Commission concluded that the State is responsible for the violation of the rights to personal integrity, judicial guarantees, equality and non-discrimination and judicial protection, established in Articles 5(1), 8</w:t>
      </w:r>
      <w:r w:rsidR="00F55AEC" w:rsidRPr="00C837DD">
        <w:rPr>
          <w:sz w:val="16"/>
          <w:szCs w:val="16"/>
        </w:rPr>
        <w:t>(</w:t>
      </w:r>
      <w:r w:rsidRPr="00C837DD">
        <w:rPr>
          <w:sz w:val="16"/>
          <w:szCs w:val="16"/>
        </w:rPr>
        <w:t>1</w:t>
      </w:r>
      <w:r w:rsidR="00F55AEC" w:rsidRPr="00C837DD">
        <w:rPr>
          <w:sz w:val="16"/>
          <w:szCs w:val="16"/>
        </w:rPr>
        <w:t>)</w:t>
      </w:r>
      <w:r w:rsidRPr="00C837DD">
        <w:rPr>
          <w:sz w:val="16"/>
          <w:szCs w:val="16"/>
        </w:rPr>
        <w:t xml:space="preserve">, 24 and 25(1) of the American Convention, in relation to the right to life (Article 4 of the Convention) and the obligations established in Articles 1(1) and 2 of the same instrument, to the detriment of M.B.S. and S.R.S., mother and father of Márcia Barbosa de Souza. The Commission also concluded that Brazil violated Article 7 of the Inter-American Convention </w:t>
      </w:r>
      <w:r w:rsidR="00584A9E">
        <w:rPr>
          <w:sz w:val="16"/>
          <w:szCs w:val="16"/>
        </w:rPr>
        <w:t>on</w:t>
      </w:r>
      <w:r w:rsidRPr="00C837DD">
        <w:rPr>
          <w:sz w:val="16"/>
          <w:szCs w:val="16"/>
        </w:rPr>
        <w:t xml:space="preserve"> </w:t>
      </w:r>
      <w:r w:rsidR="00584A9E">
        <w:rPr>
          <w:sz w:val="16"/>
          <w:szCs w:val="16"/>
        </w:rPr>
        <w:t xml:space="preserve">the </w:t>
      </w:r>
      <w:r w:rsidRPr="00C837DD">
        <w:rPr>
          <w:sz w:val="16"/>
          <w:szCs w:val="16"/>
        </w:rPr>
        <w:t>Prevent</w:t>
      </w:r>
      <w:r w:rsidR="00584A9E">
        <w:rPr>
          <w:sz w:val="16"/>
          <w:szCs w:val="16"/>
        </w:rPr>
        <w:t>ion</w:t>
      </w:r>
      <w:r w:rsidRPr="00C837DD">
        <w:rPr>
          <w:sz w:val="16"/>
          <w:szCs w:val="16"/>
        </w:rPr>
        <w:t>, Punish</w:t>
      </w:r>
      <w:r w:rsidR="00584A9E">
        <w:rPr>
          <w:sz w:val="16"/>
          <w:szCs w:val="16"/>
        </w:rPr>
        <w:t>ment</w:t>
      </w:r>
      <w:r w:rsidRPr="00C837DD">
        <w:rPr>
          <w:sz w:val="16"/>
          <w:szCs w:val="16"/>
        </w:rPr>
        <w:t xml:space="preserve"> and Eradicat</w:t>
      </w:r>
      <w:r w:rsidR="00584A9E">
        <w:rPr>
          <w:sz w:val="16"/>
          <w:szCs w:val="16"/>
        </w:rPr>
        <w:t>ion</w:t>
      </w:r>
      <w:r w:rsidRPr="00C837DD">
        <w:rPr>
          <w:sz w:val="16"/>
          <w:szCs w:val="16"/>
        </w:rPr>
        <w:t xml:space="preserve"> </w:t>
      </w:r>
      <w:r w:rsidR="00584A9E">
        <w:rPr>
          <w:sz w:val="16"/>
          <w:szCs w:val="16"/>
        </w:rPr>
        <w:t xml:space="preserve">of </w:t>
      </w:r>
      <w:r w:rsidRPr="00C837DD">
        <w:rPr>
          <w:sz w:val="16"/>
          <w:szCs w:val="16"/>
        </w:rPr>
        <w:t>Violence against Women (hereinafter “Convention of Belém do Pará”) in respect of Márcia Barbosa de Souza.</w:t>
      </w:r>
    </w:p>
  </w:footnote>
  <w:footnote w:id="3">
    <w:p w14:paraId="3202E757" w14:textId="00F3B9DE" w:rsidR="005F5F1C" w:rsidRPr="00C837DD" w:rsidRDefault="005F5F1C" w:rsidP="00F85D5F">
      <w:pPr>
        <w:widowControl/>
        <w:adjustRightInd w:val="0"/>
        <w:spacing w:before="40" w:after="40"/>
        <w:ind w:right="81"/>
        <w:jc w:val="both"/>
        <w:rPr>
          <w:rFonts w:eastAsiaTheme="minorHAnsi" w:cs="Arial"/>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eastAsiaTheme="minorHAnsi" w:cs="Arial"/>
          <w:sz w:val="16"/>
          <w:szCs w:val="16"/>
        </w:rPr>
        <w:t xml:space="preserve">The Commission designated Commissioner Antonia Urrejola Noguera and then Executive Secretary Paulo Abrão as its delegates. It also </w:t>
      </w:r>
      <w:r w:rsidR="00DB0D93" w:rsidRPr="00C837DD">
        <w:rPr>
          <w:rFonts w:eastAsiaTheme="minorHAnsi" w:cs="Arial"/>
          <w:sz w:val="16"/>
          <w:szCs w:val="16"/>
        </w:rPr>
        <w:t xml:space="preserve">appointed </w:t>
      </w:r>
      <w:r w:rsidRPr="00C837DD">
        <w:rPr>
          <w:rFonts w:eastAsiaTheme="minorHAnsi" w:cs="Arial"/>
          <w:sz w:val="16"/>
          <w:szCs w:val="16"/>
        </w:rPr>
        <w:t xml:space="preserve">Silvia Serrano Guzmán and Henrique Napoleão Alves, </w:t>
      </w:r>
      <w:r w:rsidR="00DB0D93" w:rsidRPr="00C837DD">
        <w:rPr>
          <w:rFonts w:eastAsiaTheme="minorHAnsi" w:cs="Arial"/>
          <w:sz w:val="16"/>
          <w:szCs w:val="16"/>
        </w:rPr>
        <w:t xml:space="preserve">lawyers of the IACHR’s Executive Secretariat, </w:t>
      </w:r>
      <w:r w:rsidRPr="00C837DD">
        <w:rPr>
          <w:rFonts w:eastAsiaTheme="minorHAnsi" w:cs="Arial"/>
          <w:sz w:val="16"/>
          <w:szCs w:val="16"/>
        </w:rPr>
        <w:t>as its legal advisers.</w:t>
      </w:r>
    </w:p>
  </w:footnote>
  <w:footnote w:id="4">
    <w:p w14:paraId="3471B0EC"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representatives of the alleged victims are the </w:t>
      </w:r>
      <w:r w:rsidRPr="00C837DD">
        <w:rPr>
          <w:rFonts w:eastAsiaTheme="minorHAnsi" w:cs="Arial"/>
          <w:i/>
          <w:sz w:val="16"/>
          <w:szCs w:val="16"/>
        </w:rPr>
        <w:t>Gabinete de Assessoria às Organizações Populares</w:t>
      </w:r>
      <w:r w:rsidRPr="00C837DD">
        <w:rPr>
          <w:rFonts w:eastAsiaTheme="minorHAnsi" w:cs="Arial"/>
          <w:sz w:val="16"/>
          <w:szCs w:val="16"/>
        </w:rPr>
        <w:t xml:space="preserve"> (GAJOP) and the Center for Justice and International Law (CEJIL).</w:t>
      </w:r>
    </w:p>
  </w:footnote>
  <w:footnote w:id="5">
    <w:p w14:paraId="089D300B" w14:textId="39ACDE00" w:rsidR="005F5F1C" w:rsidRPr="00C837DD" w:rsidRDefault="005F5F1C" w:rsidP="00F85D5F">
      <w:pPr>
        <w:widowControl/>
        <w:adjustRightInd w:val="0"/>
        <w:spacing w:before="40" w:after="40"/>
        <w:ind w:right="81"/>
        <w:jc w:val="both"/>
        <w:rPr>
          <w:rFonts w:eastAsiaTheme="minorHAnsi" w:cs="Arial"/>
          <w:sz w:val="16"/>
          <w:szCs w:val="16"/>
        </w:rPr>
      </w:pPr>
      <w:r w:rsidRPr="00C837DD">
        <w:rPr>
          <w:rStyle w:val="Refdenotaalpie"/>
          <w:sz w:val="16"/>
          <w:szCs w:val="16"/>
        </w:rPr>
        <w:footnoteRef/>
      </w:r>
      <w:r w:rsidRPr="00C837DD">
        <w:rPr>
          <w:sz w:val="16"/>
          <w:szCs w:val="16"/>
        </w:rPr>
        <w:t xml:space="preserve"> </w:t>
      </w:r>
      <w:r w:rsidRPr="00C837DD">
        <w:rPr>
          <w:sz w:val="16"/>
          <w:szCs w:val="16"/>
        </w:rPr>
        <w:tab/>
        <w:t>On January 13, 2021, the State s</w:t>
      </w:r>
      <w:r w:rsidR="00825534" w:rsidRPr="00C837DD">
        <w:rPr>
          <w:sz w:val="16"/>
          <w:szCs w:val="16"/>
        </w:rPr>
        <w:t xml:space="preserve">ubmitted to </w:t>
      </w:r>
      <w:r w:rsidRPr="00C837DD">
        <w:rPr>
          <w:sz w:val="16"/>
          <w:szCs w:val="16"/>
        </w:rPr>
        <w:t xml:space="preserve">the </w:t>
      </w:r>
      <w:r w:rsidR="00825534" w:rsidRPr="00C837DD">
        <w:rPr>
          <w:sz w:val="16"/>
          <w:szCs w:val="16"/>
        </w:rPr>
        <w:t xml:space="preserve">Inter-American </w:t>
      </w:r>
      <w:r w:rsidRPr="00C837DD">
        <w:rPr>
          <w:sz w:val="16"/>
          <w:szCs w:val="16"/>
        </w:rPr>
        <w:t xml:space="preserve">Court an updated list of its designated </w:t>
      </w:r>
      <w:r w:rsidR="0028647F">
        <w:rPr>
          <w:sz w:val="16"/>
          <w:szCs w:val="16"/>
        </w:rPr>
        <w:t>agent</w:t>
      </w:r>
      <w:r w:rsidRPr="00C837DD">
        <w:rPr>
          <w:sz w:val="16"/>
          <w:szCs w:val="16"/>
        </w:rPr>
        <w:t>s in th</w:t>
      </w:r>
      <w:r w:rsidR="00825534" w:rsidRPr="00C837DD">
        <w:rPr>
          <w:sz w:val="16"/>
          <w:szCs w:val="16"/>
        </w:rPr>
        <w:t>e present</w:t>
      </w:r>
      <w:r w:rsidRPr="00C837DD">
        <w:rPr>
          <w:sz w:val="16"/>
          <w:szCs w:val="16"/>
        </w:rPr>
        <w:t xml:space="preserve"> case:</w:t>
      </w:r>
      <w:r w:rsidRPr="00C837DD">
        <w:rPr>
          <w:rFonts w:eastAsiaTheme="minorHAnsi" w:cs="Arial"/>
          <w:bCs/>
          <w:sz w:val="16"/>
          <w:szCs w:val="16"/>
        </w:rPr>
        <w:t xml:space="preserve"> Ambassador Antônio Francisco Da Costa and Silva Neto, </w:t>
      </w:r>
      <w:r w:rsidRPr="00C837DD">
        <w:rPr>
          <w:rFonts w:eastAsiaTheme="minorHAnsi" w:cs="Arial"/>
          <w:sz w:val="16"/>
          <w:szCs w:val="16"/>
        </w:rPr>
        <w:t>Brazil</w:t>
      </w:r>
      <w:r w:rsidR="00825534" w:rsidRPr="00C837DD">
        <w:rPr>
          <w:rFonts w:eastAsiaTheme="minorHAnsi" w:cs="Arial"/>
          <w:sz w:val="16"/>
          <w:szCs w:val="16"/>
        </w:rPr>
        <w:t>’s ambassador</w:t>
      </w:r>
      <w:r w:rsidRPr="00C837DD">
        <w:rPr>
          <w:rFonts w:eastAsiaTheme="minorHAnsi" w:cs="Arial"/>
          <w:sz w:val="16"/>
          <w:szCs w:val="16"/>
        </w:rPr>
        <w:t xml:space="preserve"> in S</w:t>
      </w:r>
      <w:r w:rsidRPr="00C837DD">
        <w:rPr>
          <w:rFonts w:eastAsiaTheme="minorHAnsi" w:cs="Arial"/>
          <w:color w:val="1C1C1C"/>
          <w:sz w:val="16"/>
          <w:szCs w:val="16"/>
        </w:rPr>
        <w:t>an</w:t>
      </w:r>
      <w:r w:rsidRPr="00C837DD">
        <w:rPr>
          <w:rFonts w:eastAsiaTheme="minorHAnsi" w:cs="Arial"/>
          <w:sz w:val="16"/>
          <w:szCs w:val="16"/>
        </w:rPr>
        <w:t xml:space="preserve"> José and </w:t>
      </w:r>
      <w:r w:rsidR="0028647F">
        <w:rPr>
          <w:rFonts w:eastAsiaTheme="minorHAnsi" w:cs="Arial"/>
          <w:sz w:val="16"/>
          <w:szCs w:val="16"/>
        </w:rPr>
        <w:t>agent</w:t>
      </w:r>
      <w:r w:rsidRPr="00C837DD">
        <w:rPr>
          <w:rFonts w:eastAsiaTheme="minorHAnsi" w:cs="Arial"/>
          <w:sz w:val="16"/>
          <w:szCs w:val="16"/>
        </w:rPr>
        <w:t xml:space="preserve"> of the State; </w:t>
      </w:r>
      <w:r w:rsidRPr="00C837DD">
        <w:rPr>
          <w:rFonts w:eastAsiaTheme="minorHAnsi" w:cs="Arial"/>
          <w:bCs/>
          <w:sz w:val="16"/>
          <w:szCs w:val="16"/>
        </w:rPr>
        <w:t xml:space="preserve">Minister João Lucas Quental Novaes </w:t>
      </w:r>
      <w:r w:rsidR="00825534" w:rsidRPr="00C837DD">
        <w:rPr>
          <w:rFonts w:eastAsiaTheme="minorHAnsi" w:cs="Arial"/>
          <w:bCs/>
          <w:sz w:val="16"/>
          <w:szCs w:val="16"/>
        </w:rPr>
        <w:t>de</w:t>
      </w:r>
      <w:r w:rsidRPr="00C837DD">
        <w:rPr>
          <w:rFonts w:eastAsiaTheme="minorHAnsi" w:cs="Arial"/>
          <w:bCs/>
          <w:sz w:val="16"/>
          <w:szCs w:val="16"/>
        </w:rPr>
        <w:t xml:space="preserve"> Almeida, </w:t>
      </w:r>
      <w:r w:rsidR="00825534" w:rsidRPr="00C837DD">
        <w:rPr>
          <w:rFonts w:eastAsiaTheme="minorHAnsi" w:cs="Arial"/>
          <w:sz w:val="16"/>
          <w:szCs w:val="16"/>
        </w:rPr>
        <w:t>D</w:t>
      </w:r>
      <w:r w:rsidRPr="00C837DD">
        <w:rPr>
          <w:rFonts w:eastAsiaTheme="minorHAnsi" w:cs="Arial"/>
          <w:sz w:val="16"/>
          <w:szCs w:val="16"/>
        </w:rPr>
        <w:t xml:space="preserve">irector of the Department of Human Rights and Citizenship; Minister Marcelo Ramos Araújo, Head of the Human Rights Division; Secretary Ricardo Edgard Rolf Lima Bernhard, </w:t>
      </w:r>
      <w:r w:rsidR="00825534" w:rsidRPr="00C837DD">
        <w:rPr>
          <w:rFonts w:eastAsiaTheme="minorHAnsi" w:cs="Arial"/>
          <w:sz w:val="16"/>
          <w:szCs w:val="16"/>
        </w:rPr>
        <w:t>D</w:t>
      </w:r>
      <w:r w:rsidRPr="00C837DD">
        <w:rPr>
          <w:rFonts w:eastAsiaTheme="minorHAnsi" w:cs="Arial"/>
          <w:sz w:val="16"/>
          <w:szCs w:val="16"/>
        </w:rPr>
        <w:t xml:space="preserve">eputy </w:t>
      </w:r>
      <w:r w:rsidR="00825534" w:rsidRPr="00C837DD">
        <w:rPr>
          <w:rFonts w:eastAsiaTheme="minorHAnsi" w:cs="Arial"/>
          <w:sz w:val="16"/>
          <w:szCs w:val="16"/>
        </w:rPr>
        <w:t>H</w:t>
      </w:r>
      <w:r w:rsidRPr="00C837DD">
        <w:rPr>
          <w:rFonts w:eastAsiaTheme="minorHAnsi" w:cs="Arial"/>
          <w:sz w:val="16"/>
          <w:szCs w:val="16"/>
        </w:rPr>
        <w:t xml:space="preserve">ead of the Human Rights Division; </w:t>
      </w:r>
      <w:r w:rsidRPr="00C837DD">
        <w:rPr>
          <w:rFonts w:eastAsiaTheme="minorHAnsi" w:cs="Arial"/>
          <w:bCs/>
          <w:sz w:val="16"/>
          <w:szCs w:val="16"/>
        </w:rPr>
        <w:t xml:space="preserve">Secretary Daniel Leão Sousa, </w:t>
      </w:r>
      <w:r w:rsidRPr="00C837DD">
        <w:rPr>
          <w:rFonts w:eastAsiaTheme="minorHAnsi" w:cs="Arial"/>
          <w:sz w:val="16"/>
          <w:szCs w:val="16"/>
        </w:rPr>
        <w:t xml:space="preserve">adviser of the Human Rights Division; </w:t>
      </w:r>
      <w:r w:rsidRPr="00C837DD">
        <w:rPr>
          <w:rFonts w:eastAsiaTheme="minorHAnsi" w:cs="Arial"/>
          <w:bCs/>
          <w:sz w:val="16"/>
          <w:szCs w:val="16"/>
        </w:rPr>
        <w:t xml:space="preserve">Secretary Débora Antônia Lobato Cândido, </w:t>
      </w:r>
      <w:r w:rsidRPr="00C837DD">
        <w:rPr>
          <w:rFonts w:eastAsiaTheme="minorHAnsi" w:cs="Arial"/>
          <w:sz w:val="16"/>
          <w:szCs w:val="16"/>
        </w:rPr>
        <w:t xml:space="preserve">adviser of the Human Rights Division; Secretary Lucas dos Santos Furquim Ribeiro, Human </w:t>
      </w:r>
      <w:r w:rsidR="00825534" w:rsidRPr="00C837DD">
        <w:rPr>
          <w:rFonts w:eastAsiaTheme="minorHAnsi" w:cs="Arial"/>
          <w:sz w:val="16"/>
          <w:szCs w:val="16"/>
        </w:rPr>
        <w:t>R</w:t>
      </w:r>
      <w:r w:rsidRPr="00C837DD">
        <w:rPr>
          <w:rFonts w:eastAsiaTheme="minorHAnsi" w:cs="Arial"/>
          <w:sz w:val="16"/>
          <w:szCs w:val="16"/>
        </w:rPr>
        <w:t xml:space="preserve">ights </w:t>
      </w:r>
      <w:r w:rsidR="00825534" w:rsidRPr="00C837DD">
        <w:rPr>
          <w:rFonts w:eastAsiaTheme="minorHAnsi" w:cs="Arial"/>
          <w:sz w:val="16"/>
          <w:szCs w:val="16"/>
        </w:rPr>
        <w:t xml:space="preserve">Unit </w:t>
      </w:r>
      <w:r w:rsidRPr="00C837DD">
        <w:rPr>
          <w:rFonts w:eastAsiaTheme="minorHAnsi" w:cs="Arial"/>
          <w:sz w:val="16"/>
          <w:szCs w:val="16"/>
        </w:rPr>
        <w:t>of the Embassy of Brazil in S</w:t>
      </w:r>
      <w:r w:rsidRPr="00C837DD">
        <w:rPr>
          <w:rFonts w:eastAsiaTheme="minorHAnsi" w:cs="Arial"/>
          <w:color w:val="1C1C1C"/>
          <w:sz w:val="16"/>
          <w:szCs w:val="16"/>
        </w:rPr>
        <w:t>an</w:t>
      </w:r>
      <w:r w:rsidRPr="00C837DD">
        <w:rPr>
          <w:rFonts w:eastAsiaTheme="minorHAnsi" w:cs="Arial"/>
          <w:sz w:val="16"/>
          <w:szCs w:val="16"/>
        </w:rPr>
        <w:t xml:space="preserve"> Jose; </w:t>
      </w:r>
      <w:r w:rsidRPr="00C837DD">
        <w:rPr>
          <w:rFonts w:eastAsiaTheme="minorHAnsi" w:cs="Arial"/>
          <w:bCs/>
          <w:sz w:val="16"/>
          <w:szCs w:val="16"/>
        </w:rPr>
        <w:t xml:space="preserve">Tony Teixeira de Lima, </w:t>
      </w:r>
      <w:r w:rsidRPr="00C837DD">
        <w:rPr>
          <w:rFonts w:eastAsiaTheme="minorHAnsi" w:cs="Arial"/>
          <w:sz w:val="16"/>
          <w:szCs w:val="16"/>
        </w:rPr>
        <w:t xml:space="preserve">lawyer of La Unión; </w:t>
      </w:r>
      <w:r w:rsidRPr="00C837DD">
        <w:rPr>
          <w:rFonts w:eastAsiaTheme="minorHAnsi" w:cs="Arial"/>
          <w:bCs/>
          <w:sz w:val="16"/>
          <w:szCs w:val="16"/>
        </w:rPr>
        <w:t xml:space="preserve">Dickson Argenta de Souza, </w:t>
      </w:r>
      <w:r w:rsidRPr="00C837DD">
        <w:rPr>
          <w:rFonts w:eastAsiaTheme="minorHAnsi" w:cs="Arial"/>
          <w:sz w:val="16"/>
          <w:szCs w:val="16"/>
        </w:rPr>
        <w:t xml:space="preserve">lawyer of </w:t>
      </w:r>
      <w:r w:rsidR="00825534" w:rsidRPr="00C837DD">
        <w:rPr>
          <w:rFonts w:eastAsiaTheme="minorHAnsi" w:cs="Arial"/>
          <w:sz w:val="16"/>
          <w:szCs w:val="16"/>
        </w:rPr>
        <w:t>La</w:t>
      </w:r>
      <w:r w:rsidRPr="00C837DD">
        <w:rPr>
          <w:rFonts w:eastAsiaTheme="minorHAnsi" w:cs="Arial"/>
          <w:sz w:val="16"/>
          <w:szCs w:val="16"/>
        </w:rPr>
        <w:t xml:space="preserve"> Unión; T</w:t>
      </w:r>
      <w:r w:rsidRPr="00C837DD">
        <w:rPr>
          <w:rFonts w:eastAsiaTheme="minorHAnsi" w:cs="Arial"/>
          <w:bCs/>
          <w:sz w:val="16"/>
          <w:szCs w:val="16"/>
        </w:rPr>
        <w:t xml:space="preserve">aiz Marrão Batista da Costa, </w:t>
      </w:r>
      <w:r w:rsidRPr="00C837DD">
        <w:rPr>
          <w:rFonts w:eastAsiaTheme="minorHAnsi" w:cs="Arial"/>
          <w:sz w:val="16"/>
          <w:szCs w:val="16"/>
        </w:rPr>
        <w:t xml:space="preserve">lawyer of </w:t>
      </w:r>
      <w:r w:rsidR="00825534" w:rsidRPr="00C837DD">
        <w:rPr>
          <w:rFonts w:eastAsiaTheme="minorHAnsi" w:cs="Arial"/>
          <w:sz w:val="16"/>
          <w:szCs w:val="16"/>
        </w:rPr>
        <w:t xml:space="preserve">La </w:t>
      </w:r>
      <w:r w:rsidRPr="00C837DD">
        <w:rPr>
          <w:rFonts w:eastAsiaTheme="minorHAnsi" w:cs="Arial"/>
          <w:sz w:val="16"/>
          <w:szCs w:val="16"/>
        </w:rPr>
        <w:t>Unión; Beatriz Figuereido Campos da Nóbrega, lawyer of La Unión</w:t>
      </w:r>
      <w:r w:rsidRPr="00C837DD">
        <w:rPr>
          <w:rFonts w:eastAsiaTheme="minorHAnsi" w:cs="Arial"/>
          <w:color w:val="1C1C1C"/>
          <w:sz w:val="16"/>
          <w:szCs w:val="16"/>
        </w:rPr>
        <w:t xml:space="preserve">; </w:t>
      </w:r>
      <w:r w:rsidRPr="00C837DD">
        <w:rPr>
          <w:rFonts w:eastAsiaTheme="minorHAnsi" w:cs="Arial"/>
          <w:bCs/>
          <w:sz w:val="16"/>
          <w:szCs w:val="16"/>
        </w:rPr>
        <w:t xml:space="preserve">Andrea Vergara da Silva, </w:t>
      </w:r>
      <w:r w:rsidRPr="00C837DD">
        <w:rPr>
          <w:rFonts w:eastAsiaTheme="minorHAnsi" w:cs="Arial"/>
          <w:sz w:val="16"/>
          <w:szCs w:val="16"/>
        </w:rPr>
        <w:t xml:space="preserve">lawyer of La Unión; </w:t>
      </w:r>
      <w:r w:rsidRPr="00C837DD">
        <w:rPr>
          <w:rFonts w:eastAsiaTheme="minorHAnsi" w:cs="Arial"/>
          <w:bCs/>
          <w:sz w:val="16"/>
          <w:szCs w:val="16"/>
        </w:rPr>
        <w:t xml:space="preserve">Milton Nunes Toledo Juner, </w:t>
      </w:r>
      <w:r w:rsidR="00854342" w:rsidRPr="00C837DD">
        <w:rPr>
          <w:rFonts w:eastAsiaTheme="minorHAnsi" w:cs="Arial"/>
          <w:sz w:val="16"/>
          <w:szCs w:val="16"/>
        </w:rPr>
        <w:t>H</w:t>
      </w:r>
      <w:r w:rsidRPr="00C837DD">
        <w:rPr>
          <w:rFonts w:eastAsiaTheme="minorHAnsi" w:cs="Arial"/>
          <w:sz w:val="16"/>
          <w:szCs w:val="16"/>
        </w:rPr>
        <w:t xml:space="preserve">ead of </w:t>
      </w:r>
      <w:r w:rsidR="00854342" w:rsidRPr="00C837DD">
        <w:rPr>
          <w:rFonts w:eastAsiaTheme="minorHAnsi" w:cs="Arial"/>
          <w:sz w:val="16"/>
          <w:szCs w:val="16"/>
        </w:rPr>
        <w:t xml:space="preserve">the </w:t>
      </w:r>
      <w:r w:rsidRPr="00C837DD">
        <w:rPr>
          <w:rFonts w:eastAsiaTheme="minorHAnsi" w:cs="Arial"/>
          <w:sz w:val="16"/>
          <w:szCs w:val="16"/>
        </w:rPr>
        <w:t xml:space="preserve">Special Counsel for International Affairs of the Ministry </w:t>
      </w:r>
      <w:r w:rsidR="00854342" w:rsidRPr="00C837DD">
        <w:rPr>
          <w:rFonts w:eastAsiaTheme="minorHAnsi" w:cs="Arial"/>
          <w:sz w:val="16"/>
          <w:szCs w:val="16"/>
        </w:rPr>
        <w:t>for</w:t>
      </w:r>
      <w:r w:rsidRPr="00C837DD">
        <w:rPr>
          <w:rFonts w:eastAsiaTheme="minorHAnsi" w:cs="Arial"/>
          <w:sz w:val="16"/>
          <w:szCs w:val="16"/>
        </w:rPr>
        <w:t xml:space="preserve"> Women, the Family and Human Rights (MMFDH); Bruna Nowak, coordinator of International Human Rights </w:t>
      </w:r>
      <w:r w:rsidR="00854342" w:rsidRPr="00C837DD">
        <w:rPr>
          <w:rFonts w:eastAsiaTheme="minorHAnsi" w:cs="Arial"/>
          <w:sz w:val="16"/>
          <w:szCs w:val="16"/>
        </w:rPr>
        <w:t xml:space="preserve">Disputes </w:t>
      </w:r>
      <w:r w:rsidRPr="00C837DD">
        <w:rPr>
          <w:rFonts w:eastAsiaTheme="minorHAnsi" w:cs="Arial"/>
          <w:sz w:val="16"/>
          <w:szCs w:val="16"/>
        </w:rPr>
        <w:t xml:space="preserve">of the Special Counsel for International Affairs of the MMFDH; </w:t>
      </w:r>
      <w:r w:rsidRPr="00C837DD">
        <w:rPr>
          <w:rFonts w:eastAsiaTheme="minorHAnsi" w:cs="Arial"/>
          <w:bCs/>
          <w:sz w:val="16"/>
          <w:szCs w:val="16"/>
        </w:rPr>
        <w:t xml:space="preserve">Aline Albuquerque Sanf Anna de Oliveira, </w:t>
      </w:r>
      <w:r w:rsidRPr="00C837DD">
        <w:rPr>
          <w:rFonts w:eastAsiaTheme="minorHAnsi" w:cs="Arial"/>
          <w:sz w:val="16"/>
          <w:szCs w:val="16"/>
        </w:rPr>
        <w:t xml:space="preserve">coordinator of International Affairs of the Legal Counsel of the MMFDH; Juliana Mendes Rodrigues, </w:t>
      </w:r>
      <w:r w:rsidR="0028647F">
        <w:rPr>
          <w:rFonts w:eastAsiaTheme="minorHAnsi" w:cs="Arial"/>
          <w:sz w:val="16"/>
          <w:szCs w:val="16"/>
        </w:rPr>
        <w:t>t</w:t>
      </w:r>
      <w:r w:rsidRPr="00C837DD">
        <w:rPr>
          <w:rFonts w:eastAsiaTheme="minorHAnsi" w:cs="Arial"/>
          <w:sz w:val="16"/>
          <w:szCs w:val="16"/>
        </w:rPr>
        <w:t xml:space="preserve">echnical </w:t>
      </w:r>
      <w:r w:rsidR="0028647F">
        <w:rPr>
          <w:rFonts w:eastAsiaTheme="minorHAnsi" w:cs="Arial"/>
          <w:sz w:val="16"/>
          <w:szCs w:val="16"/>
        </w:rPr>
        <w:t>a</w:t>
      </w:r>
      <w:r w:rsidRPr="00C837DD">
        <w:rPr>
          <w:rFonts w:eastAsiaTheme="minorHAnsi" w:cs="Arial"/>
          <w:sz w:val="16"/>
          <w:szCs w:val="16"/>
        </w:rPr>
        <w:t>dviser of the National Secretariat of Policies for Women of the MMFDH; Daniele de Sousa Alc</w:t>
      </w:r>
      <w:r w:rsidRPr="00C837DD">
        <w:rPr>
          <w:rFonts w:cs="Arial"/>
          <w:color w:val="4D5156"/>
          <w:sz w:val="16"/>
          <w:szCs w:val="16"/>
          <w:shd w:val="clear" w:color="auto" w:fill="FFFFFF"/>
        </w:rPr>
        <w:t>â</w:t>
      </w:r>
      <w:r w:rsidRPr="00C837DD">
        <w:rPr>
          <w:rFonts w:eastAsiaTheme="minorHAnsi" w:cs="Arial"/>
          <w:sz w:val="16"/>
          <w:szCs w:val="16"/>
        </w:rPr>
        <w:t>ntara, coordinator of Crime Prevention Policies for Women and Vulnerable Groups of the Ministry of Justice and Public Security (MJSP); Evandro Luiz dos Santos, official of the MJSP, and Joselito de Araújo Sousa, Federal Police Commissioner.</w:t>
      </w:r>
    </w:p>
  </w:footnote>
  <w:footnote w:id="6">
    <w:p w14:paraId="1148D577"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Barbosa de Souza et al. v. Brazil. Summons to a Hearing.</w:t>
      </w:r>
      <w:r w:rsidRPr="00C837DD">
        <w:rPr>
          <w:sz w:val="16"/>
          <w:szCs w:val="16"/>
        </w:rPr>
        <w:t xml:space="preserve"> Order of the President of the Inter-American Court of Human Rights of November 27, 2020. Available at: http://www.Courtidh.or.cr/docs/asuntos/barbosa_27_11_2020_por.pdf. </w:t>
      </w:r>
    </w:p>
  </w:footnote>
  <w:footnote w:id="7">
    <w:p w14:paraId="3231E3F0" w14:textId="2D7F64DA" w:rsidR="005F5F1C" w:rsidRPr="00C837DD" w:rsidRDefault="005F5F1C" w:rsidP="00F85D5F">
      <w:pPr>
        <w:autoSpaceDE/>
        <w:autoSpaceDN/>
        <w:spacing w:before="40" w:after="40"/>
        <w:ind w:right="81"/>
        <w:jc w:val="both"/>
        <w:rPr>
          <w:rFonts w:cs="Calibri"/>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following persons </w:t>
      </w:r>
      <w:r w:rsidR="00891485" w:rsidRPr="00C837DD">
        <w:rPr>
          <w:sz w:val="16"/>
          <w:szCs w:val="16"/>
        </w:rPr>
        <w:t xml:space="preserve">were present at </w:t>
      </w:r>
      <w:r w:rsidRPr="00C837DD">
        <w:rPr>
          <w:sz w:val="16"/>
          <w:szCs w:val="16"/>
        </w:rPr>
        <w:t>the hearing: a) for the Inter-American Commission: J</w:t>
      </w:r>
      <w:r w:rsidRPr="00C837DD">
        <w:rPr>
          <w:bCs/>
          <w:sz w:val="16"/>
          <w:szCs w:val="16"/>
        </w:rPr>
        <w:t>oel Hernández Garcia</w:t>
      </w:r>
      <w:r w:rsidRPr="00C837DD">
        <w:rPr>
          <w:sz w:val="16"/>
          <w:szCs w:val="16"/>
        </w:rPr>
        <w:t xml:space="preserve">, then President of the IACHR; Marisol Blanchard, Deputy Executive Secretary of the IACHR; Jorge Meza Flores and Analía Banfi Vique, </w:t>
      </w:r>
      <w:r w:rsidR="0028647F">
        <w:rPr>
          <w:sz w:val="16"/>
          <w:szCs w:val="16"/>
        </w:rPr>
        <w:t>a</w:t>
      </w:r>
      <w:r w:rsidRPr="00C837DD">
        <w:rPr>
          <w:sz w:val="16"/>
          <w:szCs w:val="16"/>
        </w:rPr>
        <w:t>dviser</w:t>
      </w:r>
      <w:r w:rsidR="00891485" w:rsidRPr="00C837DD">
        <w:rPr>
          <w:sz w:val="16"/>
          <w:szCs w:val="16"/>
        </w:rPr>
        <w:t>s</w:t>
      </w:r>
      <w:r w:rsidRPr="00C837DD">
        <w:rPr>
          <w:sz w:val="16"/>
          <w:szCs w:val="16"/>
        </w:rPr>
        <w:t xml:space="preserve"> of the IACHR, b) for the representatives:</w:t>
      </w:r>
      <w:r w:rsidRPr="00C837DD">
        <w:rPr>
          <w:rFonts w:cs="Calibri"/>
          <w:sz w:val="16"/>
          <w:szCs w:val="16"/>
        </w:rPr>
        <w:t xml:space="preserve"> Beatriz Galli, Thaís Detoni, Gisela de León, </w:t>
      </w:r>
      <w:r w:rsidR="00891485" w:rsidRPr="00C837DD">
        <w:rPr>
          <w:rFonts w:cs="Calibri"/>
          <w:sz w:val="16"/>
          <w:szCs w:val="16"/>
        </w:rPr>
        <w:t>and</w:t>
      </w:r>
      <w:r w:rsidRPr="00C837DD">
        <w:rPr>
          <w:rFonts w:cs="Calibri"/>
          <w:sz w:val="16"/>
          <w:szCs w:val="16"/>
        </w:rPr>
        <w:t xml:space="preserve"> Viviana Kristicevic, of CEJIL; Rodrigo Deodato de Souza Silva</w:t>
      </w:r>
      <w:r w:rsidR="00891485" w:rsidRPr="00C837DD">
        <w:rPr>
          <w:rFonts w:cs="Calibri"/>
          <w:sz w:val="16"/>
          <w:szCs w:val="16"/>
        </w:rPr>
        <w:t xml:space="preserve"> </w:t>
      </w:r>
      <w:r w:rsidRPr="00C837DD">
        <w:rPr>
          <w:rFonts w:cs="Calibri"/>
          <w:sz w:val="16"/>
          <w:szCs w:val="16"/>
        </w:rPr>
        <w:t xml:space="preserve">and Eliel David Alves da Silva, of GAJOP, and c) </w:t>
      </w:r>
      <w:r w:rsidR="00891485" w:rsidRPr="00C837DD">
        <w:rPr>
          <w:rFonts w:cs="Calibri"/>
          <w:sz w:val="16"/>
          <w:szCs w:val="16"/>
        </w:rPr>
        <w:t>for</w:t>
      </w:r>
      <w:r w:rsidRPr="00C837DD">
        <w:rPr>
          <w:rFonts w:cs="Calibri"/>
          <w:sz w:val="16"/>
          <w:szCs w:val="16"/>
        </w:rPr>
        <w:t xml:space="preserve"> the State: </w:t>
      </w:r>
      <w:r w:rsidRPr="00C837DD">
        <w:rPr>
          <w:rFonts w:cs="Arial"/>
          <w:sz w:val="16"/>
          <w:szCs w:val="16"/>
        </w:rPr>
        <w:t xml:space="preserve">Antônio Francisco Da Costa and Silva Neto, Ambassador of Brazil in Costa Rica and </w:t>
      </w:r>
      <w:r w:rsidR="0028647F">
        <w:rPr>
          <w:rFonts w:cs="Arial"/>
          <w:sz w:val="16"/>
          <w:szCs w:val="16"/>
        </w:rPr>
        <w:t>agent</w:t>
      </w:r>
      <w:r w:rsidRPr="00C837DD">
        <w:rPr>
          <w:rFonts w:cs="Arial"/>
          <w:sz w:val="16"/>
          <w:szCs w:val="16"/>
        </w:rPr>
        <w:t>;</w:t>
      </w:r>
      <w:r w:rsidRPr="00C837DD">
        <w:rPr>
          <w:rFonts w:cs="Calibri"/>
          <w:sz w:val="16"/>
          <w:szCs w:val="16"/>
        </w:rPr>
        <w:t xml:space="preserve"> </w:t>
      </w:r>
      <w:r w:rsidRPr="00C837DD">
        <w:rPr>
          <w:rFonts w:cs="Arial"/>
          <w:sz w:val="16"/>
          <w:szCs w:val="16"/>
        </w:rPr>
        <w:t xml:space="preserve">João Lucas Quental Novaes </w:t>
      </w:r>
      <w:r w:rsidR="00891485" w:rsidRPr="00C837DD">
        <w:rPr>
          <w:rFonts w:cs="Arial"/>
          <w:sz w:val="16"/>
          <w:szCs w:val="16"/>
        </w:rPr>
        <w:t>de</w:t>
      </w:r>
      <w:r w:rsidRPr="00C837DD">
        <w:rPr>
          <w:rFonts w:cs="Arial"/>
          <w:sz w:val="16"/>
          <w:szCs w:val="16"/>
        </w:rPr>
        <w:t xml:space="preserve"> Almeida, Director of the Human Rights and Citizenship Division and </w:t>
      </w:r>
      <w:r w:rsidR="00026764">
        <w:rPr>
          <w:rFonts w:cs="Arial"/>
          <w:sz w:val="16"/>
          <w:szCs w:val="16"/>
        </w:rPr>
        <w:t>case a</w:t>
      </w:r>
      <w:r w:rsidR="0028647F">
        <w:rPr>
          <w:rFonts w:cs="Arial"/>
          <w:sz w:val="16"/>
          <w:szCs w:val="16"/>
        </w:rPr>
        <w:t>gent</w:t>
      </w:r>
      <w:r w:rsidRPr="00C837DD">
        <w:rPr>
          <w:rFonts w:cs="Arial"/>
          <w:sz w:val="16"/>
          <w:szCs w:val="16"/>
        </w:rPr>
        <w:t xml:space="preserve">; Minister Marcelo Ramos Araújo, Head of the Human Rights Division and </w:t>
      </w:r>
      <w:r w:rsidR="0028647F">
        <w:rPr>
          <w:rFonts w:cs="Arial"/>
          <w:sz w:val="16"/>
          <w:szCs w:val="16"/>
        </w:rPr>
        <w:t>agent</w:t>
      </w:r>
      <w:r w:rsidRPr="00C837DD">
        <w:rPr>
          <w:rFonts w:cs="Arial"/>
          <w:sz w:val="16"/>
          <w:szCs w:val="16"/>
        </w:rPr>
        <w:t xml:space="preserve">; Secretary Débora Antônia Lobato Cândido, Adviser of the Human Rights Division and </w:t>
      </w:r>
      <w:r w:rsidR="0028647F">
        <w:rPr>
          <w:rFonts w:cs="Arial"/>
          <w:sz w:val="16"/>
          <w:szCs w:val="16"/>
        </w:rPr>
        <w:t>c</w:t>
      </w:r>
      <w:r w:rsidR="004F19FE" w:rsidRPr="00C837DD">
        <w:rPr>
          <w:rFonts w:cs="Arial"/>
          <w:sz w:val="16"/>
          <w:szCs w:val="16"/>
        </w:rPr>
        <w:t xml:space="preserve">ase </w:t>
      </w:r>
      <w:r w:rsidR="0028647F">
        <w:rPr>
          <w:rFonts w:cs="Arial"/>
          <w:sz w:val="16"/>
          <w:szCs w:val="16"/>
        </w:rPr>
        <w:t>agent</w:t>
      </w:r>
      <w:r w:rsidRPr="00C837DD">
        <w:rPr>
          <w:rFonts w:cs="Arial"/>
          <w:sz w:val="16"/>
          <w:szCs w:val="16"/>
        </w:rPr>
        <w:t>;</w:t>
      </w:r>
      <w:r w:rsidRPr="00C837DD">
        <w:rPr>
          <w:rFonts w:cs="Calibri"/>
          <w:sz w:val="16"/>
          <w:szCs w:val="16"/>
        </w:rPr>
        <w:t xml:space="preserve"> </w:t>
      </w:r>
      <w:r w:rsidRPr="00C837DD">
        <w:rPr>
          <w:rFonts w:cs="Arial"/>
          <w:sz w:val="16"/>
          <w:szCs w:val="16"/>
        </w:rPr>
        <w:t>Secretary Lucas dos Santos Furquim Ribeiro, Human Rights Section of the Embassy of Brazil in S</w:t>
      </w:r>
      <w:r w:rsidR="00891485" w:rsidRPr="00C837DD">
        <w:rPr>
          <w:rFonts w:cs="Arial"/>
          <w:sz w:val="16"/>
          <w:szCs w:val="16"/>
        </w:rPr>
        <w:t>an</w:t>
      </w:r>
      <w:r w:rsidRPr="00C837DD">
        <w:rPr>
          <w:rFonts w:cs="Arial"/>
          <w:sz w:val="16"/>
          <w:szCs w:val="16"/>
        </w:rPr>
        <w:t xml:space="preserve"> José and </w:t>
      </w:r>
      <w:r w:rsidR="0028647F">
        <w:rPr>
          <w:rFonts w:cs="Arial"/>
          <w:sz w:val="16"/>
          <w:szCs w:val="16"/>
        </w:rPr>
        <w:t>c</w:t>
      </w:r>
      <w:r w:rsidR="004F19FE" w:rsidRPr="00C837DD">
        <w:rPr>
          <w:rFonts w:cs="Arial"/>
          <w:sz w:val="16"/>
          <w:szCs w:val="16"/>
        </w:rPr>
        <w:t xml:space="preserve">ase </w:t>
      </w:r>
      <w:r w:rsidR="0028647F">
        <w:rPr>
          <w:rFonts w:cs="Arial"/>
          <w:sz w:val="16"/>
          <w:szCs w:val="16"/>
        </w:rPr>
        <w:t>agent</w:t>
      </w:r>
      <w:r w:rsidRPr="00C837DD">
        <w:rPr>
          <w:rFonts w:cs="Arial"/>
          <w:sz w:val="16"/>
          <w:szCs w:val="16"/>
        </w:rPr>
        <w:t>;</w:t>
      </w:r>
      <w:r w:rsidRPr="00C837DD">
        <w:rPr>
          <w:rFonts w:cs="Calibri"/>
          <w:sz w:val="16"/>
          <w:szCs w:val="16"/>
        </w:rPr>
        <w:t xml:space="preserve"> </w:t>
      </w:r>
      <w:r w:rsidRPr="00C837DD">
        <w:rPr>
          <w:rFonts w:cs="Arial"/>
          <w:sz w:val="16"/>
          <w:szCs w:val="16"/>
        </w:rPr>
        <w:t xml:space="preserve">Tony Teixeira de Lima, Lawyer of La Unión and </w:t>
      </w:r>
      <w:r w:rsidR="0028647F">
        <w:rPr>
          <w:rFonts w:cs="Arial"/>
          <w:sz w:val="16"/>
          <w:szCs w:val="16"/>
        </w:rPr>
        <w:t>c</w:t>
      </w:r>
      <w:r w:rsidR="004F19FE" w:rsidRPr="00C837DD">
        <w:rPr>
          <w:rFonts w:cs="Arial"/>
          <w:sz w:val="16"/>
          <w:szCs w:val="16"/>
        </w:rPr>
        <w:t xml:space="preserve">ase </w:t>
      </w:r>
      <w:r w:rsidR="00026764">
        <w:rPr>
          <w:rFonts w:cs="Arial"/>
          <w:sz w:val="16"/>
          <w:szCs w:val="16"/>
        </w:rPr>
        <w:t>a</w:t>
      </w:r>
      <w:r w:rsidR="0028647F">
        <w:rPr>
          <w:rFonts w:cs="Arial"/>
          <w:sz w:val="16"/>
          <w:szCs w:val="16"/>
        </w:rPr>
        <w:t>gent</w:t>
      </w:r>
      <w:r w:rsidR="00891485" w:rsidRPr="00C837DD">
        <w:rPr>
          <w:rFonts w:cs="Arial"/>
          <w:sz w:val="16"/>
          <w:szCs w:val="16"/>
        </w:rPr>
        <w:t>;</w:t>
      </w:r>
      <w:r w:rsidRPr="00C837DD">
        <w:rPr>
          <w:rFonts w:cs="Arial"/>
          <w:sz w:val="16"/>
          <w:szCs w:val="16"/>
        </w:rPr>
        <w:t xml:space="preserve"> Milton Nunes Toledo Juner, Head of the Special Counsel for International Affairs of the Ministry </w:t>
      </w:r>
      <w:r w:rsidR="004F19FE" w:rsidRPr="00C837DD">
        <w:rPr>
          <w:rFonts w:cs="Arial"/>
          <w:sz w:val="16"/>
          <w:szCs w:val="16"/>
        </w:rPr>
        <w:t>for</w:t>
      </w:r>
      <w:r w:rsidRPr="00C837DD">
        <w:rPr>
          <w:rFonts w:cs="Arial"/>
          <w:sz w:val="16"/>
          <w:szCs w:val="16"/>
        </w:rPr>
        <w:t xml:space="preserve"> </w:t>
      </w:r>
      <w:r w:rsidR="00891485" w:rsidRPr="00C837DD">
        <w:rPr>
          <w:rFonts w:cs="Arial"/>
          <w:sz w:val="16"/>
          <w:szCs w:val="16"/>
        </w:rPr>
        <w:t>W</w:t>
      </w:r>
      <w:r w:rsidRPr="00C837DD">
        <w:rPr>
          <w:rFonts w:cs="Arial"/>
          <w:sz w:val="16"/>
          <w:szCs w:val="16"/>
        </w:rPr>
        <w:t xml:space="preserve">omen, the Family and Human </w:t>
      </w:r>
      <w:r w:rsidR="004F19FE" w:rsidRPr="00C837DD">
        <w:rPr>
          <w:rFonts w:cs="Arial"/>
          <w:sz w:val="16"/>
          <w:szCs w:val="16"/>
        </w:rPr>
        <w:t>R</w:t>
      </w:r>
      <w:r w:rsidRPr="00C837DD">
        <w:rPr>
          <w:rFonts w:cs="Arial"/>
          <w:sz w:val="16"/>
          <w:szCs w:val="16"/>
        </w:rPr>
        <w:t xml:space="preserve">ights (MMFDH) and </w:t>
      </w:r>
      <w:r w:rsidR="0028647F">
        <w:rPr>
          <w:rFonts w:cs="Arial"/>
          <w:sz w:val="16"/>
          <w:szCs w:val="16"/>
        </w:rPr>
        <w:t>c</w:t>
      </w:r>
      <w:r w:rsidR="004F19FE" w:rsidRPr="00C837DD">
        <w:rPr>
          <w:rFonts w:cs="Arial"/>
          <w:sz w:val="16"/>
          <w:szCs w:val="16"/>
        </w:rPr>
        <w:t xml:space="preserve">ase </w:t>
      </w:r>
      <w:r w:rsidR="0028647F">
        <w:rPr>
          <w:rFonts w:cs="Arial"/>
          <w:sz w:val="16"/>
          <w:szCs w:val="16"/>
        </w:rPr>
        <w:t>agent</w:t>
      </w:r>
      <w:r w:rsidRPr="00C837DD">
        <w:rPr>
          <w:rFonts w:cs="Arial"/>
          <w:sz w:val="16"/>
          <w:szCs w:val="16"/>
        </w:rPr>
        <w:t>;</w:t>
      </w:r>
      <w:r w:rsidRPr="00C837DD">
        <w:rPr>
          <w:rFonts w:cs="Calibri"/>
          <w:sz w:val="16"/>
          <w:szCs w:val="16"/>
        </w:rPr>
        <w:t xml:space="preserve"> </w:t>
      </w:r>
      <w:r w:rsidRPr="00C837DD">
        <w:rPr>
          <w:rFonts w:cs="Arial"/>
          <w:sz w:val="16"/>
          <w:szCs w:val="16"/>
        </w:rPr>
        <w:t xml:space="preserve">Bruna Nowak, Coordinator of International Human Rights </w:t>
      </w:r>
      <w:r w:rsidR="004F19FE" w:rsidRPr="00C837DD">
        <w:rPr>
          <w:rFonts w:cs="Arial"/>
          <w:sz w:val="16"/>
          <w:szCs w:val="16"/>
        </w:rPr>
        <w:t xml:space="preserve">Disputes </w:t>
      </w:r>
      <w:r w:rsidRPr="00C837DD">
        <w:rPr>
          <w:rFonts w:cs="Arial"/>
          <w:sz w:val="16"/>
          <w:szCs w:val="16"/>
        </w:rPr>
        <w:t>of the Special Counsel</w:t>
      </w:r>
      <w:r w:rsidR="004F19FE" w:rsidRPr="00C837DD">
        <w:rPr>
          <w:rFonts w:cs="Arial"/>
          <w:sz w:val="16"/>
          <w:szCs w:val="16"/>
        </w:rPr>
        <w:t>’s Office</w:t>
      </w:r>
      <w:r w:rsidRPr="00C837DD">
        <w:rPr>
          <w:rFonts w:cs="Arial"/>
          <w:sz w:val="16"/>
          <w:szCs w:val="16"/>
        </w:rPr>
        <w:t xml:space="preserve"> for International Affairs of MMFDH and </w:t>
      </w:r>
      <w:r w:rsidR="00026764">
        <w:rPr>
          <w:rFonts w:cs="Arial"/>
          <w:sz w:val="16"/>
          <w:szCs w:val="16"/>
        </w:rPr>
        <w:t>c</w:t>
      </w:r>
      <w:r w:rsidR="004F19FE" w:rsidRPr="00C837DD">
        <w:rPr>
          <w:rFonts w:cs="Arial"/>
          <w:sz w:val="16"/>
          <w:szCs w:val="16"/>
        </w:rPr>
        <w:t xml:space="preserve">ase </w:t>
      </w:r>
      <w:r w:rsidR="00026764">
        <w:rPr>
          <w:rFonts w:cs="Arial"/>
          <w:sz w:val="16"/>
          <w:szCs w:val="16"/>
        </w:rPr>
        <w:t>a</w:t>
      </w:r>
      <w:r w:rsidR="0028647F">
        <w:rPr>
          <w:rFonts w:cs="Arial"/>
          <w:sz w:val="16"/>
          <w:szCs w:val="16"/>
        </w:rPr>
        <w:t>gent</w:t>
      </w:r>
      <w:r w:rsidRPr="00C837DD">
        <w:rPr>
          <w:rFonts w:cs="Arial"/>
          <w:sz w:val="16"/>
          <w:szCs w:val="16"/>
        </w:rPr>
        <w:t>;</w:t>
      </w:r>
      <w:r w:rsidRPr="00C837DD">
        <w:rPr>
          <w:rFonts w:cs="Calibri"/>
          <w:sz w:val="16"/>
          <w:szCs w:val="16"/>
        </w:rPr>
        <w:t xml:space="preserve"> </w:t>
      </w:r>
      <w:r w:rsidRPr="00C837DD">
        <w:rPr>
          <w:rFonts w:cs="Arial"/>
          <w:sz w:val="16"/>
          <w:szCs w:val="16"/>
        </w:rPr>
        <w:t xml:space="preserve">Aline Albuquerque Sanf Anna </w:t>
      </w:r>
      <w:r w:rsidR="004F19FE" w:rsidRPr="00C837DD">
        <w:rPr>
          <w:rFonts w:cs="Arial"/>
          <w:sz w:val="16"/>
          <w:szCs w:val="16"/>
        </w:rPr>
        <w:t>de</w:t>
      </w:r>
      <w:r w:rsidRPr="00C837DD">
        <w:rPr>
          <w:rFonts w:cs="Arial"/>
          <w:sz w:val="16"/>
          <w:szCs w:val="16"/>
        </w:rPr>
        <w:t xml:space="preserve"> Oliveira, Coordinator of International Affairs of the MMFDH </w:t>
      </w:r>
      <w:r w:rsidR="00305774" w:rsidRPr="00C837DD">
        <w:rPr>
          <w:rFonts w:cs="Arial"/>
          <w:sz w:val="16"/>
          <w:szCs w:val="16"/>
        </w:rPr>
        <w:t xml:space="preserve">Legal Consultancy </w:t>
      </w:r>
      <w:r w:rsidRPr="00C837DD">
        <w:rPr>
          <w:rFonts w:cs="Arial"/>
          <w:sz w:val="16"/>
          <w:szCs w:val="16"/>
        </w:rPr>
        <w:t xml:space="preserve">and </w:t>
      </w:r>
      <w:r w:rsidR="00026764">
        <w:rPr>
          <w:rFonts w:cs="Arial"/>
          <w:sz w:val="16"/>
          <w:szCs w:val="16"/>
        </w:rPr>
        <w:t>c</w:t>
      </w:r>
      <w:r w:rsidR="00305774" w:rsidRPr="00C837DD">
        <w:rPr>
          <w:rFonts w:cs="Arial"/>
          <w:sz w:val="16"/>
          <w:szCs w:val="16"/>
        </w:rPr>
        <w:t xml:space="preserve">ase </w:t>
      </w:r>
      <w:r w:rsidR="00026764">
        <w:rPr>
          <w:rFonts w:cs="Arial"/>
          <w:sz w:val="16"/>
          <w:szCs w:val="16"/>
        </w:rPr>
        <w:t>a</w:t>
      </w:r>
      <w:r w:rsidR="0028647F">
        <w:rPr>
          <w:rFonts w:cs="Arial"/>
          <w:sz w:val="16"/>
          <w:szCs w:val="16"/>
        </w:rPr>
        <w:t>gent</w:t>
      </w:r>
      <w:r w:rsidRPr="00C837DD">
        <w:rPr>
          <w:rFonts w:cs="Arial"/>
          <w:sz w:val="16"/>
          <w:szCs w:val="16"/>
        </w:rPr>
        <w:t xml:space="preserve">; Juliana Mendes Rodrigues, </w:t>
      </w:r>
      <w:r w:rsidR="00305774" w:rsidRPr="00C837DD">
        <w:rPr>
          <w:rFonts w:cs="Arial"/>
          <w:sz w:val="16"/>
          <w:szCs w:val="16"/>
        </w:rPr>
        <w:t>T</w:t>
      </w:r>
      <w:r w:rsidRPr="00C837DD">
        <w:rPr>
          <w:rFonts w:cs="Arial"/>
          <w:sz w:val="16"/>
          <w:szCs w:val="16"/>
        </w:rPr>
        <w:t xml:space="preserve">echnical </w:t>
      </w:r>
      <w:r w:rsidR="00305774" w:rsidRPr="00C837DD">
        <w:rPr>
          <w:rFonts w:cs="Arial"/>
          <w:sz w:val="16"/>
          <w:szCs w:val="16"/>
        </w:rPr>
        <w:t>A</w:t>
      </w:r>
      <w:r w:rsidRPr="00C837DD">
        <w:rPr>
          <w:rFonts w:cs="Arial"/>
          <w:sz w:val="16"/>
          <w:szCs w:val="16"/>
        </w:rPr>
        <w:t xml:space="preserve">dviser </w:t>
      </w:r>
      <w:r w:rsidR="00305774" w:rsidRPr="00C837DD">
        <w:rPr>
          <w:rFonts w:cs="Arial"/>
          <w:sz w:val="16"/>
          <w:szCs w:val="16"/>
        </w:rPr>
        <w:t>to</w:t>
      </w:r>
      <w:r w:rsidRPr="00C837DD">
        <w:rPr>
          <w:rFonts w:cs="Arial"/>
          <w:sz w:val="16"/>
          <w:szCs w:val="16"/>
        </w:rPr>
        <w:t xml:space="preserve"> the National Secretariat of Policies for Women of the MMFDH and </w:t>
      </w:r>
      <w:r w:rsidR="00026764">
        <w:rPr>
          <w:rFonts w:cs="Arial"/>
          <w:sz w:val="16"/>
          <w:szCs w:val="16"/>
        </w:rPr>
        <w:t>c</w:t>
      </w:r>
      <w:r w:rsidR="00305774" w:rsidRPr="00C837DD">
        <w:rPr>
          <w:rFonts w:cs="Arial"/>
          <w:sz w:val="16"/>
          <w:szCs w:val="16"/>
        </w:rPr>
        <w:t xml:space="preserve">ase </w:t>
      </w:r>
      <w:r w:rsidR="00026764">
        <w:rPr>
          <w:rFonts w:cs="Arial"/>
          <w:sz w:val="16"/>
          <w:szCs w:val="16"/>
        </w:rPr>
        <w:t>a</w:t>
      </w:r>
      <w:r w:rsidR="0028647F">
        <w:rPr>
          <w:rFonts w:cs="Arial"/>
          <w:sz w:val="16"/>
          <w:szCs w:val="16"/>
        </w:rPr>
        <w:t>gent</w:t>
      </w:r>
      <w:r w:rsidRPr="00C837DD">
        <w:rPr>
          <w:rFonts w:cs="Arial"/>
          <w:sz w:val="16"/>
          <w:szCs w:val="16"/>
        </w:rPr>
        <w:t xml:space="preserve">; Daniele </w:t>
      </w:r>
      <w:r w:rsidR="00305774" w:rsidRPr="00C837DD">
        <w:rPr>
          <w:rFonts w:cs="Arial"/>
          <w:sz w:val="16"/>
          <w:szCs w:val="16"/>
        </w:rPr>
        <w:t>de</w:t>
      </w:r>
      <w:r w:rsidRPr="00C837DD">
        <w:rPr>
          <w:rFonts w:cs="Arial"/>
          <w:sz w:val="16"/>
          <w:szCs w:val="16"/>
        </w:rPr>
        <w:t xml:space="preserve"> Sousa Alcântara, </w:t>
      </w:r>
      <w:r w:rsidR="00305774" w:rsidRPr="00C837DD">
        <w:rPr>
          <w:rFonts w:cs="Arial"/>
          <w:sz w:val="16"/>
          <w:szCs w:val="16"/>
        </w:rPr>
        <w:t xml:space="preserve">Coordinator of Policies for the Prevention of Crimes against Women and Vulnerable Groups of the Ministry of Justice and Public Security </w:t>
      </w:r>
      <w:r w:rsidRPr="00C837DD">
        <w:rPr>
          <w:rFonts w:cs="Arial"/>
          <w:sz w:val="16"/>
          <w:szCs w:val="16"/>
        </w:rPr>
        <w:t xml:space="preserve">(MJSP) and </w:t>
      </w:r>
      <w:r w:rsidR="00026764">
        <w:rPr>
          <w:rFonts w:cs="Arial"/>
          <w:sz w:val="16"/>
          <w:szCs w:val="16"/>
        </w:rPr>
        <w:t>c</w:t>
      </w:r>
      <w:r w:rsidR="00305774" w:rsidRPr="00C837DD">
        <w:rPr>
          <w:rFonts w:cs="Arial"/>
          <w:sz w:val="16"/>
          <w:szCs w:val="16"/>
        </w:rPr>
        <w:t xml:space="preserve">ase </w:t>
      </w:r>
      <w:r w:rsidR="00026764">
        <w:rPr>
          <w:rFonts w:cs="Arial"/>
          <w:sz w:val="16"/>
          <w:szCs w:val="16"/>
        </w:rPr>
        <w:t>a</w:t>
      </w:r>
      <w:r w:rsidR="0028647F">
        <w:rPr>
          <w:rFonts w:cs="Arial"/>
          <w:sz w:val="16"/>
          <w:szCs w:val="16"/>
        </w:rPr>
        <w:t>gent</w:t>
      </w:r>
      <w:r w:rsidRPr="00C837DD">
        <w:rPr>
          <w:rFonts w:cs="Arial"/>
          <w:sz w:val="16"/>
          <w:szCs w:val="16"/>
        </w:rPr>
        <w:t>;</w:t>
      </w:r>
      <w:r w:rsidRPr="00C837DD">
        <w:rPr>
          <w:rFonts w:cs="Calibri"/>
          <w:sz w:val="16"/>
          <w:szCs w:val="16"/>
        </w:rPr>
        <w:t xml:space="preserve"> </w:t>
      </w:r>
      <w:r w:rsidRPr="00C837DD">
        <w:rPr>
          <w:rFonts w:cs="Arial"/>
          <w:sz w:val="16"/>
          <w:szCs w:val="16"/>
        </w:rPr>
        <w:t xml:space="preserve">Evandro Luiz dos Santos, public official of the MJSP and </w:t>
      </w:r>
      <w:r w:rsidR="00026764">
        <w:rPr>
          <w:rFonts w:cs="Arial"/>
          <w:sz w:val="16"/>
          <w:szCs w:val="16"/>
        </w:rPr>
        <w:t>c</w:t>
      </w:r>
      <w:r w:rsidR="00305774" w:rsidRPr="00C837DD">
        <w:rPr>
          <w:rFonts w:cs="Arial"/>
          <w:sz w:val="16"/>
          <w:szCs w:val="16"/>
        </w:rPr>
        <w:t xml:space="preserve">ase </w:t>
      </w:r>
      <w:r w:rsidR="00026764">
        <w:rPr>
          <w:rFonts w:cs="Arial"/>
          <w:sz w:val="16"/>
          <w:szCs w:val="16"/>
        </w:rPr>
        <w:t>a</w:t>
      </w:r>
      <w:r w:rsidR="0028647F">
        <w:rPr>
          <w:rFonts w:cs="Arial"/>
          <w:sz w:val="16"/>
          <w:szCs w:val="16"/>
        </w:rPr>
        <w:t>gent</w:t>
      </w:r>
      <w:r w:rsidRPr="00C837DD">
        <w:rPr>
          <w:rFonts w:cs="Arial"/>
          <w:sz w:val="16"/>
          <w:szCs w:val="16"/>
        </w:rPr>
        <w:t>, and Joselito de Araújo Sousa, Federal Police Commissioner.</w:t>
      </w:r>
    </w:p>
  </w:footnote>
  <w:footnote w:id="8">
    <w:p w14:paraId="3F024062" w14:textId="2D5F1C6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brief was signed by </w:t>
      </w:r>
      <w:r w:rsidRPr="00C837DD">
        <w:rPr>
          <w:rFonts w:eastAsiaTheme="minorHAnsi" w:cs="Times New Roman"/>
          <w:sz w:val="16"/>
          <w:szCs w:val="16"/>
        </w:rPr>
        <w:t xml:space="preserve">Ramiro Gomes Von Saltiel and Ivonei Souza Trindade. The brief </w:t>
      </w:r>
      <w:r w:rsidR="00026764">
        <w:rPr>
          <w:rFonts w:eastAsiaTheme="minorHAnsi" w:cs="Times New Roman"/>
          <w:sz w:val="16"/>
          <w:szCs w:val="16"/>
        </w:rPr>
        <w:t xml:space="preserve">discusses </w:t>
      </w:r>
      <w:r w:rsidR="00725DDC" w:rsidRPr="00C837DD">
        <w:rPr>
          <w:rFonts w:eastAsiaTheme="minorHAnsi" w:cs="Times New Roman"/>
          <w:sz w:val="16"/>
          <w:szCs w:val="16"/>
        </w:rPr>
        <w:t xml:space="preserve">the </w:t>
      </w:r>
      <w:r w:rsidRPr="00C837DD">
        <w:rPr>
          <w:rFonts w:eastAsiaTheme="minorHAnsi" w:cs="Times New Roman"/>
          <w:sz w:val="16"/>
          <w:szCs w:val="16"/>
        </w:rPr>
        <w:t xml:space="preserve">lack of a </w:t>
      </w:r>
      <w:r w:rsidR="00725DDC" w:rsidRPr="00C837DD">
        <w:rPr>
          <w:rFonts w:eastAsiaTheme="minorHAnsi" w:cs="Times New Roman"/>
          <w:sz w:val="16"/>
          <w:szCs w:val="16"/>
        </w:rPr>
        <w:t xml:space="preserve">legal </w:t>
      </w:r>
      <w:r w:rsidRPr="00C837DD">
        <w:rPr>
          <w:rFonts w:eastAsiaTheme="minorHAnsi" w:cs="Times New Roman"/>
          <w:sz w:val="16"/>
          <w:szCs w:val="16"/>
        </w:rPr>
        <w:t xml:space="preserve">definition of femicide at the time of the facts, the obligation to investigate and </w:t>
      </w:r>
      <w:r w:rsidR="00725DDC" w:rsidRPr="00C837DD">
        <w:rPr>
          <w:rFonts w:eastAsiaTheme="minorHAnsi" w:cs="Times New Roman"/>
          <w:sz w:val="16"/>
          <w:szCs w:val="16"/>
        </w:rPr>
        <w:t xml:space="preserve">the </w:t>
      </w:r>
      <w:r w:rsidRPr="00C837DD">
        <w:rPr>
          <w:rFonts w:eastAsiaTheme="minorHAnsi" w:cs="Times New Roman"/>
          <w:sz w:val="16"/>
          <w:szCs w:val="16"/>
        </w:rPr>
        <w:t xml:space="preserve">alleged responsibility for the violation of the right to life. </w:t>
      </w:r>
      <w:r w:rsidR="00725DDC" w:rsidRPr="00C837DD">
        <w:rPr>
          <w:rFonts w:eastAsiaTheme="minorHAnsi" w:cs="Times New Roman"/>
          <w:sz w:val="16"/>
          <w:szCs w:val="16"/>
        </w:rPr>
        <w:t>I</w:t>
      </w:r>
      <w:r w:rsidRPr="00C837DD">
        <w:rPr>
          <w:rFonts w:eastAsiaTheme="minorHAnsi" w:cs="Times New Roman"/>
          <w:sz w:val="16"/>
          <w:szCs w:val="16"/>
        </w:rPr>
        <w:t xml:space="preserve">t </w:t>
      </w:r>
      <w:r w:rsidR="00725DDC" w:rsidRPr="00C837DD">
        <w:rPr>
          <w:rFonts w:eastAsiaTheme="minorHAnsi" w:cs="Times New Roman"/>
          <w:sz w:val="16"/>
          <w:szCs w:val="16"/>
        </w:rPr>
        <w:t xml:space="preserve">also </w:t>
      </w:r>
      <w:r w:rsidRPr="00C837DD">
        <w:rPr>
          <w:rFonts w:eastAsiaTheme="minorHAnsi" w:cs="Times New Roman"/>
          <w:sz w:val="16"/>
          <w:szCs w:val="16"/>
        </w:rPr>
        <w:t xml:space="preserve">establishes the obligation </w:t>
      </w:r>
      <w:r w:rsidR="00725DDC" w:rsidRPr="00C837DD">
        <w:rPr>
          <w:rFonts w:eastAsiaTheme="minorHAnsi" w:cs="Times New Roman"/>
          <w:sz w:val="16"/>
          <w:szCs w:val="16"/>
        </w:rPr>
        <w:t>to make reparations</w:t>
      </w:r>
      <w:r w:rsidRPr="00C837DD">
        <w:rPr>
          <w:rFonts w:eastAsiaTheme="minorHAnsi" w:cs="Times New Roman"/>
          <w:sz w:val="16"/>
          <w:szCs w:val="16"/>
        </w:rPr>
        <w:t xml:space="preserve">, the right to a reasonable time in criminal proceedings and the alleged violation of the right to reasonable time in the </w:t>
      </w:r>
      <w:r w:rsidR="00725DDC" w:rsidRPr="00C837DD">
        <w:rPr>
          <w:rFonts w:eastAsiaTheme="minorHAnsi" w:cs="Times New Roman"/>
          <w:sz w:val="16"/>
          <w:szCs w:val="16"/>
        </w:rPr>
        <w:t xml:space="preserve">specific </w:t>
      </w:r>
      <w:r w:rsidRPr="00C837DD">
        <w:rPr>
          <w:rFonts w:eastAsiaTheme="minorHAnsi" w:cs="Times New Roman"/>
          <w:sz w:val="16"/>
          <w:szCs w:val="16"/>
        </w:rPr>
        <w:t>case.</w:t>
      </w:r>
    </w:p>
  </w:footnote>
  <w:footnote w:id="9">
    <w:p w14:paraId="546CD368" w14:textId="34D07B3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brief was signed by </w:t>
      </w:r>
      <w:r w:rsidRPr="00C837DD">
        <w:rPr>
          <w:rFonts w:eastAsiaTheme="minorHAnsi" w:cs="Arial"/>
          <w:bCs/>
          <w:sz w:val="16"/>
          <w:szCs w:val="16"/>
        </w:rPr>
        <w:t xml:space="preserve">Priscila Caneparo dos Anjos, Valentina Vaz Boni, Juliana Absher Sá e Silva, Kimberly Coelho </w:t>
      </w:r>
      <w:r w:rsidR="00305774" w:rsidRPr="00C837DD">
        <w:rPr>
          <w:rFonts w:eastAsiaTheme="minorHAnsi" w:cs="Arial"/>
          <w:bCs/>
          <w:sz w:val="16"/>
          <w:szCs w:val="16"/>
        </w:rPr>
        <w:t>de</w:t>
      </w:r>
      <w:r w:rsidRPr="00C837DD">
        <w:rPr>
          <w:rFonts w:eastAsiaTheme="minorHAnsi" w:cs="Arial"/>
          <w:bCs/>
          <w:sz w:val="16"/>
          <w:szCs w:val="16"/>
        </w:rPr>
        <w:t xml:space="preserve"> Oliveira and Sabrina Hatschbach Maciel. The brief </w:t>
      </w:r>
      <w:r w:rsidR="00305774" w:rsidRPr="00C837DD">
        <w:rPr>
          <w:rFonts w:eastAsiaTheme="minorHAnsi" w:cs="Arial"/>
          <w:bCs/>
          <w:sz w:val="16"/>
          <w:szCs w:val="16"/>
        </w:rPr>
        <w:t xml:space="preserve">addresses </w:t>
      </w:r>
      <w:r w:rsidRPr="00C837DD">
        <w:rPr>
          <w:rFonts w:eastAsiaTheme="minorHAnsi" w:cs="Arial"/>
          <w:bCs/>
          <w:sz w:val="16"/>
          <w:szCs w:val="16"/>
        </w:rPr>
        <w:t>parliamentary immunity in the Brazilian Constitution and the alleged structural violence against women in Brazil.</w:t>
      </w:r>
    </w:p>
  </w:footnote>
  <w:footnote w:id="10">
    <w:p w14:paraId="6DF71485" w14:textId="0499A7E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brief was signed by</w:t>
      </w:r>
      <w:r w:rsidRPr="00C837DD">
        <w:rPr>
          <w:rFonts w:eastAsiaTheme="minorHAnsi" w:cs="Arial"/>
          <w:bCs/>
          <w:sz w:val="16"/>
          <w:szCs w:val="16"/>
        </w:rPr>
        <w:t xml:space="preserve"> </w:t>
      </w:r>
      <w:r w:rsidRPr="00C837DD">
        <w:rPr>
          <w:rFonts w:eastAsiaTheme="minorHAnsi" w:cs="Arial"/>
          <w:sz w:val="16"/>
          <w:szCs w:val="16"/>
          <w:lang w:val="pt-BR"/>
        </w:rPr>
        <w:t>Silvia Maria da Silveira Loureiro</w:t>
      </w:r>
      <w:r w:rsidRPr="00C837DD">
        <w:rPr>
          <w:rFonts w:eastAsiaTheme="minorHAnsi" w:cs="Arial"/>
          <w:bCs/>
          <w:sz w:val="16"/>
          <w:szCs w:val="16"/>
          <w:lang w:val="pt-BR"/>
        </w:rPr>
        <w:t xml:space="preserve">, </w:t>
      </w:r>
      <w:r w:rsidRPr="00C837DD">
        <w:rPr>
          <w:rFonts w:eastAsiaTheme="minorHAnsi" w:cs="Arial"/>
          <w:sz w:val="16"/>
          <w:szCs w:val="16"/>
          <w:lang w:val="pt-BR"/>
        </w:rPr>
        <w:t>Jamilly Izabela de Brito Silva, Antonio Lucas Feitoza Pantoja, Fabiana Rodrigues da Rocha, Gabriel Henrique Pinheiro Andion, Isabela Augusto Vilaça, Laura Loureiro Gomes, Luana Vieira Amazonas, Luane Antella Moreira, Lucas Schneider Veríssimo de Aquino, Maiza Lima Bruce Raposo da Câmara, Mayara Ellen Lima e Silva, Raíssa de Morais Pereira, and Rayssa Vinhote dos Santos</w:t>
      </w:r>
      <w:r w:rsidRPr="00C837DD">
        <w:rPr>
          <w:rFonts w:eastAsiaTheme="minorHAnsi" w:cs="Arial"/>
          <w:sz w:val="16"/>
          <w:szCs w:val="16"/>
        </w:rPr>
        <w:t>. The brief describes</w:t>
      </w:r>
      <w:r w:rsidRPr="00C837DD">
        <w:rPr>
          <w:sz w:val="16"/>
          <w:szCs w:val="16"/>
        </w:rPr>
        <w:t xml:space="preserve"> the alleged systematic pattern of gender</w:t>
      </w:r>
      <w:r w:rsidR="0034221F" w:rsidRPr="00C837DD">
        <w:rPr>
          <w:sz w:val="16"/>
          <w:szCs w:val="16"/>
        </w:rPr>
        <w:t>-based</w:t>
      </w:r>
      <w:r w:rsidRPr="00C837DD">
        <w:rPr>
          <w:sz w:val="16"/>
          <w:szCs w:val="16"/>
        </w:rPr>
        <w:t xml:space="preserve"> violence in Brazil, the legislation and policies to combat gender</w:t>
      </w:r>
      <w:r w:rsidR="008E6E4D" w:rsidRPr="00C837DD">
        <w:rPr>
          <w:sz w:val="16"/>
          <w:szCs w:val="16"/>
        </w:rPr>
        <w:t>-based</w:t>
      </w:r>
      <w:r w:rsidRPr="00C837DD">
        <w:rPr>
          <w:sz w:val="16"/>
          <w:szCs w:val="16"/>
        </w:rPr>
        <w:t xml:space="preserve"> violence in Brazil, the criminal </w:t>
      </w:r>
      <w:r w:rsidR="008E6E4D" w:rsidRPr="00C837DD">
        <w:rPr>
          <w:sz w:val="16"/>
          <w:szCs w:val="16"/>
        </w:rPr>
        <w:t xml:space="preserve">protection </w:t>
      </w:r>
      <w:r w:rsidRPr="00C837DD">
        <w:rPr>
          <w:sz w:val="16"/>
          <w:szCs w:val="16"/>
        </w:rPr>
        <w:t>of gender</w:t>
      </w:r>
      <w:r w:rsidR="008E6E4D" w:rsidRPr="00C837DD">
        <w:rPr>
          <w:sz w:val="16"/>
          <w:szCs w:val="16"/>
        </w:rPr>
        <w:t>-based</w:t>
      </w:r>
      <w:r w:rsidRPr="00C837DD">
        <w:rPr>
          <w:sz w:val="16"/>
          <w:szCs w:val="16"/>
        </w:rPr>
        <w:t xml:space="preserve"> violence in Brazilian </w:t>
      </w:r>
      <w:r w:rsidR="008E6E4D" w:rsidRPr="00C837DD">
        <w:rPr>
          <w:sz w:val="16"/>
          <w:szCs w:val="16"/>
        </w:rPr>
        <w:t>c</w:t>
      </w:r>
      <w:r w:rsidRPr="00C837DD">
        <w:rPr>
          <w:sz w:val="16"/>
          <w:szCs w:val="16"/>
        </w:rPr>
        <w:t xml:space="preserve">riminal </w:t>
      </w:r>
      <w:r w:rsidR="008E6E4D" w:rsidRPr="00C837DD">
        <w:rPr>
          <w:sz w:val="16"/>
          <w:szCs w:val="16"/>
        </w:rPr>
        <w:t>law</w:t>
      </w:r>
      <w:r w:rsidRPr="00C837DD">
        <w:rPr>
          <w:sz w:val="16"/>
          <w:szCs w:val="16"/>
        </w:rPr>
        <w:t xml:space="preserve">, femicide and the current understanding of the </w:t>
      </w:r>
      <w:r w:rsidR="008E6E4D" w:rsidRPr="00C837DD">
        <w:rPr>
          <w:sz w:val="16"/>
          <w:szCs w:val="16"/>
        </w:rPr>
        <w:t xml:space="preserve">Brazilian </w:t>
      </w:r>
      <w:r w:rsidRPr="00C837DD">
        <w:rPr>
          <w:sz w:val="16"/>
          <w:szCs w:val="16"/>
        </w:rPr>
        <w:t xml:space="preserve">Supreme Federal Court, the alleged use of the political prerogative of the </w:t>
      </w:r>
      <w:r w:rsidR="008E6E4D" w:rsidRPr="00C837DD">
        <w:rPr>
          <w:sz w:val="16"/>
          <w:szCs w:val="16"/>
        </w:rPr>
        <w:t xml:space="preserve">perpetrator </w:t>
      </w:r>
      <w:r w:rsidRPr="00C837DD">
        <w:rPr>
          <w:sz w:val="16"/>
          <w:szCs w:val="16"/>
        </w:rPr>
        <w:t xml:space="preserve">of the crime as a factor to delay proceedings through parliamentary immunity, and the alleged gap </w:t>
      </w:r>
      <w:r w:rsidR="00026764">
        <w:rPr>
          <w:sz w:val="16"/>
          <w:szCs w:val="16"/>
        </w:rPr>
        <w:t xml:space="preserve">in </w:t>
      </w:r>
      <w:r w:rsidRPr="00C837DD">
        <w:rPr>
          <w:sz w:val="16"/>
          <w:szCs w:val="16"/>
        </w:rPr>
        <w:t xml:space="preserve">regulatory provisions </w:t>
      </w:r>
      <w:r w:rsidR="00026764">
        <w:rPr>
          <w:sz w:val="16"/>
          <w:szCs w:val="16"/>
        </w:rPr>
        <w:t xml:space="preserve">related to </w:t>
      </w:r>
      <w:r w:rsidRPr="00C837DD">
        <w:rPr>
          <w:sz w:val="16"/>
          <w:szCs w:val="16"/>
        </w:rPr>
        <w:t>gender</w:t>
      </w:r>
      <w:r w:rsidR="008E6E4D" w:rsidRPr="00C837DD">
        <w:rPr>
          <w:sz w:val="16"/>
          <w:szCs w:val="16"/>
        </w:rPr>
        <w:t>-based</w:t>
      </w:r>
      <w:r w:rsidRPr="00C837DD">
        <w:rPr>
          <w:sz w:val="16"/>
          <w:szCs w:val="16"/>
        </w:rPr>
        <w:t xml:space="preserve"> violence in Brazil. </w:t>
      </w:r>
    </w:p>
  </w:footnote>
  <w:footnote w:id="11">
    <w:p w14:paraId="3ADB270E" w14:textId="7E9AA47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brief was signed by </w:t>
      </w:r>
      <w:r w:rsidRPr="00C837DD">
        <w:rPr>
          <w:rFonts w:eastAsiaTheme="minorHAnsi" w:cs="Times-Bold"/>
          <w:bCs/>
          <w:sz w:val="16"/>
          <w:szCs w:val="16"/>
          <w:lang w:val="pt-BR"/>
        </w:rPr>
        <w:t>Raisa Duarte Da Silva Ribeiro, Carolina Cyrillo, Thainá Mamede, Alissa Ishakewitsch, Giovanna Neves Barbastefano, Isadora Marques Merli, Matheus Zanon, Tayara Causanilhas, Alanna Aléssia Rodrigues Pereira, Alice Mac Dowell Veras, Ana Beatriz Eufrazino de Araújo, Ana Clara Abrahão Maia Ribeiro, Ariel Linda Gomes de Oliveira, Bruno Stigert de Sousa, Camila Senatore Moore, Giulia Alves Maia, Isabelle Dianne Gibson Pereira, Izabelle Pontes Ramalho Wanderley Monteiro, Janayna Nunes Pereira, Júlia André Roma, Júlia Vasques Siqueira, Juliana Moreira Mendonça, Juliana Santos Bezerra, Lara Campos de Paulo, Lara Ribeiro Pereira Carneiro, Larissa Emilia Guilherme Ribeiro, Leticia Borges Guimarães, Liliane Palha Velho, Livia de Meira Lima Paiva, Luis Alves de Lima Neto, Luziane Alves de Andrade Cruz, Marcela Siqueira Miguens, Maria Pacheco Da Costa Vieira Dos Santos, Marilha Boldt, Marina Müller Dos Santos Moreira, Marina Oliveira Guimarães, Raquel Lopes Folena, Raquel Moreira Dos Santos, Sofia Travancas Vieira, Taís Alvim Vasconcellos, Tarssyo Rocha de Medeiros and Thaisa Da Silva Viana</w:t>
      </w:r>
      <w:r w:rsidRPr="00C837DD">
        <w:rPr>
          <w:rFonts w:eastAsiaTheme="minorHAnsi" w:cs="Times-Bold"/>
          <w:bCs/>
          <w:sz w:val="16"/>
          <w:szCs w:val="16"/>
        </w:rPr>
        <w:t xml:space="preserve">. The brief describes </w:t>
      </w:r>
      <w:r w:rsidR="00C90774" w:rsidRPr="00C837DD">
        <w:rPr>
          <w:rFonts w:eastAsiaTheme="minorHAnsi" w:cs="Times-Bold"/>
          <w:bCs/>
          <w:sz w:val="16"/>
          <w:szCs w:val="16"/>
        </w:rPr>
        <w:t xml:space="preserve">the </w:t>
      </w:r>
      <w:r w:rsidRPr="00C837DD">
        <w:rPr>
          <w:rFonts w:eastAsiaTheme="minorHAnsi" w:cs="Times-Bold"/>
          <w:bCs/>
          <w:sz w:val="16"/>
          <w:szCs w:val="16"/>
        </w:rPr>
        <w:t xml:space="preserve">theoretical and contextual </w:t>
      </w:r>
      <w:r w:rsidR="00C90774" w:rsidRPr="00C837DD">
        <w:rPr>
          <w:rFonts w:eastAsiaTheme="minorHAnsi" w:cs="Times-Bold"/>
          <w:bCs/>
          <w:sz w:val="16"/>
          <w:szCs w:val="16"/>
        </w:rPr>
        <w:t xml:space="preserve">foundations </w:t>
      </w:r>
      <w:r w:rsidRPr="00C837DD">
        <w:rPr>
          <w:rFonts w:eastAsiaTheme="minorHAnsi" w:cs="Times-Bold"/>
          <w:bCs/>
          <w:sz w:val="16"/>
          <w:szCs w:val="16"/>
        </w:rPr>
        <w:t>of femicide and practical applications.</w:t>
      </w:r>
    </w:p>
  </w:footnote>
  <w:footnote w:id="12">
    <w:p w14:paraId="04761DEE" w14:textId="771CEEB8"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brief was signed by </w:t>
      </w:r>
      <w:r w:rsidRPr="00C837DD">
        <w:rPr>
          <w:rFonts w:eastAsiaTheme="minorHAnsi" w:cs="Arial"/>
          <w:sz w:val="16"/>
          <w:szCs w:val="16"/>
        </w:rPr>
        <w:t xml:space="preserve">Maíra de Amorim Rocha, Priscilla Sodré Pereira and Luciana Silva Garcia. The brief addresses the legislative changes </w:t>
      </w:r>
      <w:r w:rsidR="00EB4CD3">
        <w:rPr>
          <w:rFonts w:eastAsiaTheme="minorHAnsi" w:cs="Arial"/>
          <w:sz w:val="16"/>
          <w:szCs w:val="16"/>
        </w:rPr>
        <w:t xml:space="preserve">aimed at </w:t>
      </w:r>
      <w:r w:rsidR="00C90774" w:rsidRPr="00C837DD">
        <w:rPr>
          <w:rFonts w:eastAsiaTheme="minorHAnsi" w:cs="Arial"/>
          <w:sz w:val="16"/>
          <w:szCs w:val="16"/>
        </w:rPr>
        <w:t>modify</w:t>
      </w:r>
      <w:r w:rsidR="00EB4CD3">
        <w:rPr>
          <w:rFonts w:eastAsiaTheme="minorHAnsi" w:cs="Arial"/>
          <w:sz w:val="16"/>
          <w:szCs w:val="16"/>
        </w:rPr>
        <w:t>ing</w:t>
      </w:r>
      <w:r w:rsidR="00C90774" w:rsidRPr="00C837DD">
        <w:rPr>
          <w:rFonts w:eastAsiaTheme="minorHAnsi" w:cs="Arial"/>
          <w:sz w:val="16"/>
          <w:szCs w:val="16"/>
        </w:rPr>
        <w:t xml:space="preserve"> </w:t>
      </w:r>
      <w:r w:rsidRPr="00C837DD">
        <w:rPr>
          <w:rFonts w:eastAsiaTheme="minorHAnsi" w:cs="Arial"/>
          <w:sz w:val="16"/>
          <w:szCs w:val="16"/>
        </w:rPr>
        <w:t xml:space="preserve">the Maria da Penha Law, </w:t>
      </w:r>
      <w:r w:rsidR="00C90774" w:rsidRPr="00C837DD">
        <w:rPr>
          <w:rFonts w:eastAsiaTheme="minorHAnsi" w:cs="Arial"/>
          <w:sz w:val="16"/>
          <w:szCs w:val="16"/>
        </w:rPr>
        <w:t xml:space="preserve">allegedly </w:t>
      </w:r>
      <w:r w:rsidRPr="00C837DD">
        <w:rPr>
          <w:rFonts w:eastAsiaTheme="minorHAnsi" w:cs="Arial"/>
          <w:sz w:val="16"/>
          <w:szCs w:val="16"/>
        </w:rPr>
        <w:t>harming actions to combat violence against women.</w:t>
      </w:r>
    </w:p>
  </w:footnote>
  <w:footnote w:id="13">
    <w:p w14:paraId="4266DEC5" w14:textId="62A7CEF1" w:rsidR="005F5F1C" w:rsidRPr="00C837DD" w:rsidRDefault="005F5F1C" w:rsidP="00F85D5F">
      <w:pPr>
        <w:widowControl/>
        <w:adjustRightInd w:val="0"/>
        <w:spacing w:before="40" w:after="40"/>
        <w:ind w:right="81"/>
        <w:jc w:val="both"/>
        <w:rPr>
          <w:rFonts w:eastAsiaTheme="minorHAnsi" w:cs="Times New Roman"/>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brief was signed by </w:t>
      </w:r>
      <w:r w:rsidRPr="00C837DD">
        <w:rPr>
          <w:rFonts w:eastAsiaTheme="minorHAnsi" w:cs="Times New Roman"/>
          <w:sz w:val="16"/>
          <w:szCs w:val="16"/>
        </w:rPr>
        <w:t xml:space="preserve">Bruna Matos da Silva, Bruna Rafaela de Santana Santos, Carolina Muniz de Oliveira, Christian Lopes Oliveira Alves, Eduarda da Silva Pereira dos Santos, Ianine Vitória dos Anjos, Malu Stanchi, Marina Muniz Pinto de Carvalho Matos, Matheus Ferreira Gois Fontes, Thiago Silva Castro Vieira and </w:t>
      </w:r>
      <w:r w:rsidRPr="00C837DD">
        <w:rPr>
          <w:rFonts w:eastAsiaTheme="minorHAnsi" w:cs="Times New Roman"/>
          <w:bCs/>
          <w:sz w:val="16"/>
          <w:szCs w:val="16"/>
        </w:rPr>
        <w:t xml:space="preserve">Luiza Rosa Barbosa de Lima. The brief </w:t>
      </w:r>
      <w:r w:rsidRPr="00C837DD">
        <w:rPr>
          <w:rFonts w:eastAsiaTheme="minorHAnsi" w:cs="Times New Roman"/>
          <w:sz w:val="16"/>
          <w:szCs w:val="16"/>
        </w:rPr>
        <w:t xml:space="preserve">describes </w:t>
      </w:r>
      <w:r w:rsidR="00C90774" w:rsidRPr="00C837DD">
        <w:rPr>
          <w:rFonts w:eastAsiaTheme="minorHAnsi" w:cs="Times New Roman"/>
          <w:sz w:val="16"/>
          <w:szCs w:val="16"/>
        </w:rPr>
        <w:t xml:space="preserve">the </w:t>
      </w:r>
      <w:r w:rsidRPr="00C837DD">
        <w:rPr>
          <w:rFonts w:eastAsiaTheme="minorHAnsi" w:cs="Times New Roman"/>
          <w:sz w:val="16"/>
          <w:szCs w:val="16"/>
        </w:rPr>
        <w:t>alleged impunity in relation to gender violence, and the socioeconomic, racial and regional markers.</w:t>
      </w:r>
    </w:p>
  </w:footnote>
  <w:footnote w:id="14">
    <w:p w14:paraId="7F7D04F4" w14:textId="28C04436"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In their final written arguments, the representatives of the alleged victims asked the Court to </w:t>
      </w:r>
      <w:r w:rsidR="00CE6033" w:rsidRPr="00C837DD">
        <w:rPr>
          <w:sz w:val="16"/>
          <w:szCs w:val="16"/>
        </w:rPr>
        <w:t xml:space="preserve">withhold </w:t>
      </w:r>
      <w:r w:rsidRPr="00C837DD">
        <w:rPr>
          <w:sz w:val="16"/>
          <w:szCs w:val="16"/>
        </w:rPr>
        <w:t>the names of Márcia Barbosa de Souza</w:t>
      </w:r>
      <w:r w:rsidR="00AC259A" w:rsidRPr="00C837DD">
        <w:rPr>
          <w:sz w:val="16"/>
          <w:szCs w:val="16"/>
        </w:rPr>
        <w:t>’s next of kin</w:t>
      </w:r>
      <w:r w:rsidRPr="00C837DD">
        <w:rPr>
          <w:sz w:val="16"/>
          <w:szCs w:val="16"/>
        </w:rPr>
        <w:t xml:space="preserve">, since they </w:t>
      </w:r>
      <w:r w:rsidR="00AC259A" w:rsidRPr="00C837DD">
        <w:rPr>
          <w:sz w:val="16"/>
          <w:szCs w:val="16"/>
        </w:rPr>
        <w:t xml:space="preserve">fear </w:t>
      </w:r>
      <w:r w:rsidRPr="00C837DD">
        <w:rPr>
          <w:sz w:val="16"/>
          <w:szCs w:val="16"/>
        </w:rPr>
        <w:t xml:space="preserve">the public exposure that the case </w:t>
      </w:r>
      <w:r w:rsidR="00AC259A" w:rsidRPr="00C837DD">
        <w:rPr>
          <w:sz w:val="16"/>
          <w:szCs w:val="16"/>
        </w:rPr>
        <w:t xml:space="preserve">could </w:t>
      </w:r>
      <w:r w:rsidRPr="00C837DD">
        <w:rPr>
          <w:sz w:val="16"/>
          <w:szCs w:val="16"/>
        </w:rPr>
        <w:t xml:space="preserve">have, due to the intense media coverage of the facts and the gender stereotypes </w:t>
      </w:r>
      <w:r w:rsidR="00AC259A" w:rsidRPr="00C837DD">
        <w:rPr>
          <w:sz w:val="16"/>
          <w:szCs w:val="16"/>
        </w:rPr>
        <w:t xml:space="preserve">that have been </w:t>
      </w:r>
      <w:r w:rsidRPr="00C837DD">
        <w:rPr>
          <w:sz w:val="16"/>
          <w:szCs w:val="16"/>
        </w:rPr>
        <w:t xml:space="preserve">constructed around Ms. Barbosa de Souza. The representatives </w:t>
      </w:r>
      <w:r w:rsidR="00AC259A" w:rsidRPr="00C837DD">
        <w:rPr>
          <w:sz w:val="16"/>
          <w:szCs w:val="16"/>
        </w:rPr>
        <w:t>also pointed out that it was for this reason that the mother and sister of Márcia Ba</w:t>
      </w:r>
      <w:r w:rsidR="006C79F3" w:rsidRPr="00C837DD">
        <w:rPr>
          <w:sz w:val="16"/>
          <w:szCs w:val="16"/>
        </w:rPr>
        <w:t>r</w:t>
      </w:r>
      <w:r w:rsidR="00AC259A" w:rsidRPr="00C837DD">
        <w:rPr>
          <w:sz w:val="16"/>
          <w:szCs w:val="16"/>
        </w:rPr>
        <w:t>bosa de Souza did not participate in the public hearing before the Court.</w:t>
      </w:r>
      <w:r w:rsidRPr="00C837DD">
        <w:rPr>
          <w:sz w:val="16"/>
          <w:szCs w:val="16"/>
        </w:rPr>
        <w:t xml:space="preserve"> Finally, they added that the purpose of the confidentiality is to “protect the physical and psychological integrity of Márcia Barbosa</w:t>
      </w:r>
      <w:r w:rsidR="00AC259A" w:rsidRPr="00C837DD">
        <w:rPr>
          <w:sz w:val="16"/>
          <w:szCs w:val="16"/>
        </w:rPr>
        <w:t>’s family</w:t>
      </w:r>
      <w:r w:rsidRPr="00C837DD">
        <w:rPr>
          <w:sz w:val="16"/>
          <w:szCs w:val="16"/>
        </w:rPr>
        <w:t xml:space="preserve">, </w:t>
      </w:r>
      <w:r w:rsidR="00AC259A" w:rsidRPr="00C837DD">
        <w:rPr>
          <w:sz w:val="16"/>
          <w:szCs w:val="16"/>
        </w:rPr>
        <w:t xml:space="preserve">as well as to avoid their revictimization, given the sensitivity of the case" and, therefore, they requested that the Court, in the </w:t>
      </w:r>
      <w:r w:rsidR="003D4CF1" w:rsidRPr="00C837DD">
        <w:rPr>
          <w:sz w:val="16"/>
          <w:szCs w:val="16"/>
        </w:rPr>
        <w:t>j</w:t>
      </w:r>
      <w:r w:rsidR="00AC259A" w:rsidRPr="00C837DD">
        <w:rPr>
          <w:sz w:val="16"/>
          <w:szCs w:val="16"/>
        </w:rPr>
        <w:t>udgment and subsequent documents, refer to Ms. Barbosa de Souza's next of kin only by their initials</w:t>
      </w:r>
      <w:r w:rsidRPr="00C837DD">
        <w:rPr>
          <w:sz w:val="16"/>
          <w:szCs w:val="16"/>
        </w:rPr>
        <w:t xml:space="preserve">. In this regard, the Court considers that </w:t>
      </w:r>
      <w:r w:rsidR="003D4CF1" w:rsidRPr="00C837DD">
        <w:rPr>
          <w:sz w:val="16"/>
          <w:szCs w:val="16"/>
        </w:rPr>
        <w:t xml:space="preserve">the </w:t>
      </w:r>
      <w:r w:rsidRPr="00C837DD">
        <w:rPr>
          <w:sz w:val="16"/>
          <w:szCs w:val="16"/>
        </w:rPr>
        <w:t xml:space="preserve">confidentiality </w:t>
      </w:r>
      <w:r w:rsidR="003D4CF1" w:rsidRPr="00C837DD">
        <w:rPr>
          <w:sz w:val="16"/>
          <w:szCs w:val="16"/>
        </w:rPr>
        <w:t xml:space="preserve">of </w:t>
      </w:r>
      <w:r w:rsidRPr="00C837DD">
        <w:rPr>
          <w:sz w:val="16"/>
          <w:szCs w:val="16"/>
        </w:rPr>
        <w:t xml:space="preserve">the identity </w:t>
      </w:r>
      <w:r w:rsidR="003D4CF1" w:rsidRPr="00C837DD">
        <w:rPr>
          <w:sz w:val="16"/>
          <w:szCs w:val="16"/>
        </w:rPr>
        <w:t>of the next of kin in question is appropriate and must be respected, both in the context of the present proceedings before the Court and with respect to the statements or information that any of the parties may make public about the case</w:t>
      </w:r>
      <w:r w:rsidRPr="00C837DD">
        <w:rPr>
          <w:sz w:val="16"/>
          <w:szCs w:val="16"/>
        </w:rPr>
        <w:t>.</w:t>
      </w:r>
    </w:p>
  </w:footnote>
  <w:footnote w:id="15">
    <w:p w14:paraId="7A33F93A" w14:textId="386A4DDB" w:rsidR="005F5F1C" w:rsidRPr="00C837DD" w:rsidRDefault="005F5F1C" w:rsidP="00F85D5F">
      <w:pPr>
        <w:tabs>
          <w:tab w:val="left" w:pos="686"/>
        </w:tabs>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This </w:t>
      </w:r>
      <w:r w:rsidR="00EB4CD3">
        <w:rPr>
          <w:sz w:val="16"/>
          <w:szCs w:val="16"/>
        </w:rPr>
        <w:t>j</w:t>
      </w:r>
      <w:r w:rsidRPr="00C837DD">
        <w:rPr>
          <w:sz w:val="16"/>
          <w:szCs w:val="16"/>
        </w:rPr>
        <w:t xml:space="preserve">udgment was deliberated and approved during the </w:t>
      </w:r>
      <w:r w:rsidR="003D4CF1" w:rsidRPr="00C837DD">
        <w:rPr>
          <w:sz w:val="16"/>
          <w:szCs w:val="16"/>
        </w:rPr>
        <w:t xml:space="preserve">Court’s </w:t>
      </w:r>
      <w:r w:rsidRPr="00C837DD">
        <w:rPr>
          <w:sz w:val="16"/>
          <w:szCs w:val="16"/>
        </w:rPr>
        <w:t>143</w:t>
      </w:r>
      <w:r w:rsidRPr="00C837DD">
        <w:rPr>
          <w:sz w:val="16"/>
          <w:szCs w:val="16"/>
          <w:vertAlign w:val="superscript"/>
        </w:rPr>
        <w:t>rd</w:t>
      </w:r>
      <w:r w:rsidRPr="00C837DD">
        <w:rPr>
          <w:sz w:val="16"/>
          <w:szCs w:val="16"/>
        </w:rPr>
        <w:t xml:space="preserve"> Special Session which, due to the exceptional circumstances caused by the COVID-19 pandemic, </w:t>
      </w:r>
      <w:r w:rsidR="003D4CF1" w:rsidRPr="00C837DD">
        <w:rPr>
          <w:sz w:val="16"/>
          <w:szCs w:val="16"/>
        </w:rPr>
        <w:t xml:space="preserve">was held </w:t>
      </w:r>
      <w:r w:rsidRPr="00C837DD">
        <w:rPr>
          <w:sz w:val="16"/>
          <w:szCs w:val="16"/>
        </w:rPr>
        <w:t xml:space="preserve">virtually using </w:t>
      </w:r>
      <w:r w:rsidR="00EB4CD3">
        <w:rPr>
          <w:sz w:val="16"/>
          <w:szCs w:val="16"/>
        </w:rPr>
        <w:t xml:space="preserve">digital </w:t>
      </w:r>
      <w:r w:rsidRPr="00C837DD">
        <w:rPr>
          <w:sz w:val="16"/>
          <w:szCs w:val="16"/>
        </w:rPr>
        <w:t>platforms in accordance with the provisions of the Rules of the Court.</w:t>
      </w:r>
    </w:p>
  </w:footnote>
  <w:footnote w:id="16">
    <w:p w14:paraId="36ED1830" w14:textId="37C0588E" w:rsidR="005F5F1C" w:rsidRPr="00C837DD" w:rsidRDefault="005F5F1C" w:rsidP="00F85D5F">
      <w:pPr>
        <w:pStyle w:val="Textonotapie"/>
        <w:spacing w:before="40" w:after="40"/>
        <w:jc w:val="both"/>
        <w:rPr>
          <w:bCs/>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Rodríguez Revolorio et al. v. Guatemala. Preliminary objection, merits, reparations and costs.</w:t>
      </w:r>
      <w:r w:rsidRPr="00C837DD">
        <w:rPr>
          <w:sz w:val="16"/>
          <w:szCs w:val="16"/>
        </w:rPr>
        <w:t xml:space="preserve"> Judgment of October 14, 2019. Series C No. 387, para. 18, and </w:t>
      </w:r>
      <w:r w:rsidRPr="00C837DD">
        <w:rPr>
          <w:i/>
          <w:iCs/>
          <w:sz w:val="16"/>
          <w:szCs w:val="16"/>
        </w:rPr>
        <w:t xml:space="preserve">Case of </w:t>
      </w:r>
      <w:r w:rsidR="00B8009F" w:rsidRPr="00C837DD">
        <w:rPr>
          <w:i/>
          <w:iCs/>
          <w:sz w:val="16"/>
          <w:szCs w:val="16"/>
        </w:rPr>
        <w:t xml:space="preserve">the </w:t>
      </w:r>
      <w:r w:rsidRPr="00C837DD">
        <w:rPr>
          <w:i/>
          <w:iCs/>
          <w:sz w:val="16"/>
          <w:szCs w:val="16"/>
        </w:rPr>
        <w:t xml:space="preserve">Workers of the Fireworks Factory in Santo Antônio </w:t>
      </w:r>
      <w:r w:rsidR="00B8009F" w:rsidRPr="00C837DD">
        <w:rPr>
          <w:i/>
          <w:iCs/>
          <w:sz w:val="16"/>
          <w:szCs w:val="16"/>
        </w:rPr>
        <w:t>de</w:t>
      </w:r>
      <w:r w:rsidRPr="00C837DD">
        <w:rPr>
          <w:i/>
          <w:iCs/>
          <w:sz w:val="16"/>
          <w:szCs w:val="16"/>
        </w:rPr>
        <w:t xml:space="preserve"> Jesus and their Families v. Brazil. Preliminary objections, merits, reparations and costs.</w:t>
      </w:r>
      <w:r w:rsidRPr="00C837DD">
        <w:rPr>
          <w:iCs/>
          <w:sz w:val="16"/>
          <w:szCs w:val="16"/>
        </w:rPr>
        <w:t xml:space="preserve"> Judgment of July 15, 2020. Series C No. 407, para. 16.</w:t>
      </w:r>
    </w:p>
    <w:p w14:paraId="40C5B57D" w14:textId="77777777" w:rsidR="005F5F1C" w:rsidRPr="00C837DD" w:rsidRDefault="005F5F1C" w:rsidP="00F85D5F">
      <w:pPr>
        <w:pStyle w:val="Textonotapie"/>
        <w:spacing w:before="40" w:after="40"/>
        <w:jc w:val="both"/>
        <w:rPr>
          <w:sz w:val="16"/>
          <w:szCs w:val="16"/>
        </w:rPr>
      </w:pPr>
    </w:p>
  </w:footnote>
  <w:footnote w:id="17">
    <w:p w14:paraId="7BD06442" w14:textId="712861E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OAS, </w:t>
      </w:r>
      <w:r w:rsidRPr="00C837DD">
        <w:rPr>
          <w:i/>
          <w:sz w:val="16"/>
          <w:szCs w:val="16"/>
        </w:rPr>
        <w:t>General information on the Treaty: American Convention on Human Rights. Brazil, ac</w:t>
      </w:r>
      <w:r w:rsidR="00BD5E2C" w:rsidRPr="00C837DD">
        <w:rPr>
          <w:i/>
          <w:sz w:val="16"/>
          <w:szCs w:val="16"/>
        </w:rPr>
        <w:t xml:space="preserve">ceptance </w:t>
      </w:r>
      <w:r w:rsidRPr="00C837DD">
        <w:rPr>
          <w:i/>
          <w:sz w:val="16"/>
          <w:szCs w:val="16"/>
        </w:rPr>
        <w:t>of jurisdiction</w:t>
      </w:r>
      <w:r w:rsidRPr="00C837DD">
        <w:rPr>
          <w:sz w:val="16"/>
          <w:szCs w:val="16"/>
        </w:rPr>
        <w:t>. Available at: http://www.oas.org/juridico/spanish/firmas/b-32.html.</w:t>
      </w:r>
    </w:p>
  </w:footnote>
  <w:footnote w:id="18">
    <w:p w14:paraId="04A32EBE"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Gomes Lund et al. (“Guerrilha do Araguaia”) v. Brazil. Preliminary objections, merits, reparations and costs. </w:t>
      </w:r>
      <w:r w:rsidRPr="00C837DD">
        <w:rPr>
          <w:sz w:val="16"/>
          <w:szCs w:val="16"/>
        </w:rPr>
        <w:t>Judgment of November 24, 2010. Series C No. 219, para. 16;</w:t>
      </w:r>
      <w:r w:rsidRPr="00C837DD">
        <w:rPr>
          <w:i/>
          <w:sz w:val="16"/>
          <w:szCs w:val="16"/>
        </w:rPr>
        <w:t xml:space="preserve"> Case of the Workers of Hacienda Brasil Verde v. Brazil. Preliminary objections, merits, reparations and costs. </w:t>
      </w:r>
      <w:r w:rsidRPr="00C837DD">
        <w:rPr>
          <w:sz w:val="16"/>
          <w:szCs w:val="16"/>
        </w:rPr>
        <w:t xml:space="preserve">Judgment of October 20, 2016. Series C No. 318, para. 63; </w:t>
      </w:r>
      <w:r w:rsidRPr="00C837DD">
        <w:rPr>
          <w:i/>
          <w:sz w:val="16"/>
          <w:szCs w:val="16"/>
        </w:rPr>
        <w:t xml:space="preserve">Case of Xucuru Indigenous People and its members v. Brazil. Preliminary objections, merits, reparations and costs. </w:t>
      </w:r>
      <w:r w:rsidRPr="00C837DD">
        <w:rPr>
          <w:sz w:val="16"/>
          <w:szCs w:val="16"/>
        </w:rPr>
        <w:t xml:space="preserve">Judgment of February 5, 2018. Series C No. 346, para. 31, and </w:t>
      </w:r>
      <w:r w:rsidRPr="00C837DD">
        <w:rPr>
          <w:rFonts w:cs="Cambria"/>
          <w:i/>
          <w:sz w:val="16"/>
          <w:szCs w:val="16"/>
          <w:lang w:eastAsia="es-CR"/>
        </w:rPr>
        <w:t>Case of Herzog et al. v. Brazil. Preliminary objections, merits, reparations and costs</w:t>
      </w:r>
      <w:r w:rsidRPr="00C837DD">
        <w:rPr>
          <w:rFonts w:cs="Cambria"/>
          <w:sz w:val="16"/>
          <w:szCs w:val="16"/>
          <w:lang w:eastAsia="es-CR"/>
        </w:rPr>
        <w:t>. Judgment of March 15, 2018. Series C No. 353, para. 27</w:t>
      </w:r>
      <w:r w:rsidRPr="00C837DD">
        <w:rPr>
          <w:sz w:val="16"/>
          <w:szCs w:val="16"/>
        </w:rPr>
        <w:t xml:space="preserve">. </w:t>
      </w:r>
    </w:p>
  </w:footnote>
  <w:footnote w:id="19">
    <w:p w14:paraId="0344DEC2"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the Serrano Cruz Sisters v. El Salvador. Preliminary objections</w:t>
      </w:r>
      <w:r w:rsidRPr="00C837DD">
        <w:rPr>
          <w:sz w:val="16"/>
          <w:szCs w:val="16"/>
        </w:rPr>
        <w:t xml:space="preserve">. Judgment of November 23, 2004. Series C No. 118, para. 84, and </w:t>
      </w:r>
      <w:r w:rsidRPr="00C837DD">
        <w:rPr>
          <w:rFonts w:cs="Cambria"/>
          <w:i/>
          <w:sz w:val="16"/>
          <w:szCs w:val="16"/>
          <w:lang w:eastAsia="es-CR"/>
        </w:rPr>
        <w:t>Case of Herzog et al. v. Brazil, supra</w:t>
      </w:r>
      <w:r w:rsidRPr="00C837DD">
        <w:rPr>
          <w:rFonts w:cs="Cambria"/>
          <w:sz w:val="16"/>
          <w:szCs w:val="16"/>
          <w:lang w:eastAsia="es-CR"/>
        </w:rPr>
        <w:t>, para. 28.</w:t>
      </w:r>
    </w:p>
  </w:footnote>
  <w:footnote w:id="20">
    <w:p w14:paraId="042260A4" w14:textId="5A26DD11" w:rsidR="005F5F1C" w:rsidRPr="00C837DD" w:rsidRDefault="005F5F1C" w:rsidP="00F85D5F">
      <w:pPr>
        <w:pStyle w:val="Textocomentario"/>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According to the Commission’s Admissibility Report, cited in its Merits Report, the formal accusation (“complaint”) was presented in July 2005. However, from the body of evidence it appears that the </w:t>
      </w:r>
      <w:r w:rsidR="006B36A6" w:rsidRPr="00C837DD">
        <w:rPr>
          <w:sz w:val="16"/>
          <w:szCs w:val="16"/>
        </w:rPr>
        <w:t xml:space="preserve">correct </w:t>
      </w:r>
      <w:r w:rsidRPr="00C837DD">
        <w:rPr>
          <w:sz w:val="16"/>
          <w:szCs w:val="16"/>
        </w:rPr>
        <w:t>date is March 2003.</w:t>
      </w:r>
    </w:p>
  </w:footnote>
  <w:footnote w:id="21">
    <w:p w14:paraId="35E234D8" w14:textId="77777777" w:rsidR="005F5F1C" w:rsidRPr="00C837DD" w:rsidRDefault="005F5F1C" w:rsidP="00F85D5F">
      <w:pPr>
        <w:pStyle w:val="Textonotapie"/>
        <w:tabs>
          <w:tab w:val="left" w:pos="709"/>
        </w:tabs>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rFonts w:eastAsia="Calibri"/>
          <w:bCs/>
          <w:i/>
          <w:sz w:val="16"/>
          <w:szCs w:val="16"/>
          <w:shd w:val="clear" w:color="auto" w:fill="FFFFFF"/>
          <w:lang w:eastAsia="es-CR"/>
        </w:rPr>
        <w:t>Velásquez Rodríguez v. Honduras. Preliminary objections</w:t>
      </w:r>
      <w:r w:rsidRPr="00C837DD">
        <w:rPr>
          <w:rFonts w:eastAsia="Calibri"/>
          <w:bCs/>
          <w:sz w:val="16"/>
          <w:szCs w:val="16"/>
          <w:shd w:val="clear" w:color="auto" w:fill="FFFFFF"/>
          <w:lang w:eastAsia="es-CR"/>
        </w:rPr>
        <w:t>. Judgment of June 26, 1987. Series C No. 1, para. 85</w:t>
      </w:r>
      <w:r w:rsidRPr="00C837DD">
        <w:rPr>
          <w:rStyle w:val="Textoennegrita"/>
          <w:b w:val="0"/>
          <w:sz w:val="16"/>
          <w:szCs w:val="16"/>
          <w:shd w:val="clear" w:color="auto" w:fill="FFFFFF"/>
        </w:rPr>
        <w:t xml:space="preserve">, and </w:t>
      </w:r>
      <w:r w:rsidRPr="00C837DD">
        <w:rPr>
          <w:rStyle w:val="Textoennegrita"/>
          <w:b w:val="0"/>
          <w:i/>
          <w:sz w:val="16"/>
          <w:szCs w:val="16"/>
          <w:shd w:val="clear" w:color="auto" w:fill="FFFFFF"/>
        </w:rPr>
        <w:t>Case of Martínez Esquivia v. Colombia. Preliminary objections, merits and reparations</w:t>
      </w:r>
      <w:r w:rsidRPr="00C837DD">
        <w:rPr>
          <w:rStyle w:val="Textoennegrita"/>
          <w:b w:val="0"/>
          <w:sz w:val="16"/>
          <w:szCs w:val="16"/>
          <w:shd w:val="clear" w:color="auto" w:fill="FFFFFF"/>
        </w:rPr>
        <w:t>. Judgment of October 6, 2020. Series C No. 412, para. 20.</w:t>
      </w:r>
    </w:p>
  </w:footnote>
  <w:footnote w:id="22">
    <w:p w14:paraId="421214F5"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Velásquez Rodríguez v. Honduras. Preliminary objections, supra</w:t>
      </w:r>
      <w:r w:rsidRPr="00C837DD">
        <w:rPr>
          <w:sz w:val="16"/>
          <w:szCs w:val="16"/>
        </w:rPr>
        <w:t xml:space="preserve">, para. 88, and </w:t>
      </w:r>
      <w:r w:rsidRPr="00C837DD">
        <w:rPr>
          <w:i/>
          <w:sz w:val="16"/>
          <w:szCs w:val="16"/>
        </w:rPr>
        <w:t>Case of Moya Solís v. Peru. Preliminary objections, merits, reparations and costs</w:t>
      </w:r>
      <w:r w:rsidRPr="00C837DD">
        <w:rPr>
          <w:sz w:val="16"/>
          <w:szCs w:val="16"/>
        </w:rPr>
        <w:t>. Judgment of June 3, 2021. Series C No. 425, para.21.</w:t>
      </w:r>
    </w:p>
  </w:footnote>
  <w:footnote w:id="23">
    <w:p w14:paraId="4ABAC508" w14:textId="5EF718D2"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Velásquez Rodríguez v. Honduras. Preliminary objections, supra</w:t>
      </w:r>
      <w:r w:rsidRPr="00C837DD">
        <w:rPr>
          <w:sz w:val="16"/>
          <w:szCs w:val="16"/>
        </w:rPr>
        <w:t xml:space="preserve">, para. 88, and </w:t>
      </w:r>
      <w:r w:rsidRPr="00C837DD">
        <w:rPr>
          <w:i/>
          <w:sz w:val="16"/>
          <w:szCs w:val="16"/>
        </w:rPr>
        <w:t xml:space="preserve">Case of the Workers of the Fireworks Factory in Santo Antônio </w:t>
      </w:r>
      <w:r w:rsidR="00B4777E" w:rsidRPr="00C837DD">
        <w:rPr>
          <w:i/>
          <w:sz w:val="16"/>
          <w:szCs w:val="16"/>
        </w:rPr>
        <w:t>de</w:t>
      </w:r>
      <w:r w:rsidRPr="00C837DD">
        <w:rPr>
          <w:i/>
          <w:sz w:val="16"/>
          <w:szCs w:val="16"/>
        </w:rPr>
        <w:t xml:space="preserve"> Jesus and their Families v. Brazil</w:t>
      </w:r>
      <w:r w:rsidRPr="00C837DD">
        <w:rPr>
          <w:sz w:val="16"/>
          <w:szCs w:val="16"/>
        </w:rPr>
        <w:t xml:space="preserve">, </w:t>
      </w:r>
      <w:r w:rsidRPr="00C837DD">
        <w:rPr>
          <w:i/>
          <w:sz w:val="16"/>
          <w:szCs w:val="16"/>
        </w:rPr>
        <w:t xml:space="preserve">supra, </w:t>
      </w:r>
      <w:r w:rsidRPr="00C837DD">
        <w:rPr>
          <w:sz w:val="16"/>
          <w:szCs w:val="16"/>
        </w:rPr>
        <w:t>para.30.</w:t>
      </w:r>
    </w:p>
  </w:footnote>
  <w:footnote w:id="24">
    <w:p w14:paraId="7A25AF6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i/>
          <w:sz w:val="16"/>
          <w:szCs w:val="16"/>
        </w:rPr>
        <w:t xml:space="preserve">Cf. Case of Furlan and Family v. Argentina. Preliminary objections, merits, reparations and costs. </w:t>
      </w:r>
      <w:r w:rsidRPr="00C837DD">
        <w:rPr>
          <w:sz w:val="16"/>
          <w:szCs w:val="16"/>
        </w:rPr>
        <w:t>Judgment</w:t>
      </w:r>
    </w:p>
    <w:p w14:paraId="12C7DB8A" w14:textId="77777777" w:rsidR="005F5F1C" w:rsidRPr="00C837DD" w:rsidRDefault="005F5F1C" w:rsidP="00F85D5F">
      <w:pPr>
        <w:pStyle w:val="Textonotapie"/>
        <w:spacing w:before="40" w:after="40"/>
        <w:ind w:right="81"/>
        <w:jc w:val="both"/>
        <w:rPr>
          <w:sz w:val="16"/>
          <w:szCs w:val="16"/>
        </w:rPr>
      </w:pPr>
      <w:r w:rsidRPr="00C837DD">
        <w:rPr>
          <w:sz w:val="16"/>
          <w:szCs w:val="16"/>
        </w:rPr>
        <w:t xml:space="preserve">of August 31, 2012 Series C No. 246, para. 29, and </w:t>
      </w:r>
      <w:r w:rsidRPr="00C837DD">
        <w:rPr>
          <w:i/>
          <w:sz w:val="16"/>
          <w:szCs w:val="16"/>
        </w:rPr>
        <w:t xml:space="preserve">Case of Moya Solís v. Peru, supra, </w:t>
      </w:r>
      <w:r w:rsidRPr="00C837DD">
        <w:rPr>
          <w:sz w:val="16"/>
          <w:szCs w:val="16"/>
        </w:rPr>
        <w:t>para. 21.</w:t>
      </w:r>
    </w:p>
  </w:footnote>
  <w:footnote w:id="25">
    <w:p w14:paraId="183E0930"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pacing w:val="-6"/>
          <w:sz w:val="16"/>
          <w:szCs w:val="16"/>
        </w:rPr>
        <w:t xml:space="preserve"> </w:t>
      </w:r>
      <w:r w:rsidRPr="00C837DD">
        <w:rPr>
          <w:sz w:val="16"/>
          <w:szCs w:val="16"/>
        </w:rPr>
        <w:t>Communication</w:t>
      </w:r>
      <w:r w:rsidRPr="00C837DD">
        <w:rPr>
          <w:spacing w:val="-9"/>
          <w:sz w:val="16"/>
          <w:szCs w:val="16"/>
        </w:rPr>
        <w:t xml:space="preserve"> sent by </w:t>
      </w:r>
      <w:r w:rsidRPr="00C837DD">
        <w:rPr>
          <w:sz w:val="16"/>
          <w:szCs w:val="16"/>
        </w:rPr>
        <w:t>the State</w:t>
      </w:r>
      <w:r w:rsidRPr="00C837DD">
        <w:rPr>
          <w:spacing w:val="-4"/>
          <w:sz w:val="16"/>
          <w:szCs w:val="16"/>
        </w:rPr>
        <w:t xml:space="preserve"> </w:t>
      </w:r>
      <w:r w:rsidRPr="00C837DD">
        <w:rPr>
          <w:sz w:val="16"/>
          <w:szCs w:val="16"/>
        </w:rPr>
        <w:t>to</w:t>
      </w:r>
      <w:r w:rsidRPr="00C837DD">
        <w:rPr>
          <w:spacing w:val="-6"/>
          <w:sz w:val="16"/>
          <w:szCs w:val="16"/>
        </w:rPr>
        <w:t xml:space="preserve"> </w:t>
      </w:r>
      <w:r w:rsidRPr="00C837DD">
        <w:rPr>
          <w:sz w:val="16"/>
          <w:szCs w:val="16"/>
        </w:rPr>
        <w:t>the Inter-American Commission</w:t>
      </w:r>
      <w:r w:rsidRPr="00C837DD">
        <w:rPr>
          <w:spacing w:val="-5"/>
          <w:sz w:val="16"/>
          <w:szCs w:val="16"/>
        </w:rPr>
        <w:t xml:space="preserve"> on July </w:t>
      </w:r>
      <w:r w:rsidRPr="00C837DD">
        <w:rPr>
          <w:sz w:val="16"/>
          <w:szCs w:val="16"/>
        </w:rPr>
        <w:t>19, 2007</w:t>
      </w:r>
      <w:r w:rsidRPr="00C837DD">
        <w:rPr>
          <w:spacing w:val="-4"/>
          <w:sz w:val="16"/>
          <w:szCs w:val="16"/>
        </w:rPr>
        <w:t xml:space="preserve"> </w:t>
      </w:r>
      <w:r w:rsidRPr="00C837DD">
        <w:rPr>
          <w:sz w:val="16"/>
          <w:szCs w:val="16"/>
        </w:rPr>
        <w:t>(evidence file, folios 588 to 619).</w:t>
      </w:r>
    </w:p>
  </w:footnote>
  <w:footnote w:id="26">
    <w:p w14:paraId="1EF337E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Initial petition of the representatives of March 28, 2000 (evidence file, folios 731 to 741).</w:t>
      </w:r>
    </w:p>
  </w:footnote>
  <w:footnote w:id="27">
    <w:p w14:paraId="73B54F7E"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Communication of the petitioners to the Inter-American Commission</w:t>
      </w:r>
      <w:r w:rsidRPr="00C837DD">
        <w:rPr>
          <w:sz w:val="16"/>
          <w:szCs w:val="16"/>
        </w:rPr>
        <w:t xml:space="preserve"> of October </w:t>
      </w:r>
      <w:r w:rsidRPr="00C837DD">
        <w:rPr>
          <w:rFonts w:cs="Calibri"/>
          <w:color w:val="000000"/>
          <w:sz w:val="16"/>
          <w:szCs w:val="16"/>
          <w:lang w:eastAsia="es-CR"/>
        </w:rPr>
        <w:t>2, 2006 (evidence file, folios 641 to 648).</w:t>
      </w:r>
    </w:p>
  </w:footnote>
  <w:footnote w:id="28">
    <w:p w14:paraId="0DB7912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Admissibility Report No. 38/07 (evidence file, folios 383 to 393).</w:t>
      </w:r>
    </w:p>
  </w:footnote>
  <w:footnote w:id="29">
    <w:p w14:paraId="56487316"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Wong Ho Wing v. Peru. Preliminary objection, merits, reparations and costs</w:t>
      </w:r>
      <w:r w:rsidRPr="00C837DD">
        <w:rPr>
          <w:sz w:val="16"/>
          <w:szCs w:val="16"/>
        </w:rPr>
        <w:t xml:space="preserve">. Judgment of June 30, 2015. Series C No. 297, para. 28, and </w:t>
      </w:r>
      <w:r w:rsidRPr="00C837DD">
        <w:rPr>
          <w:rFonts w:cs="Arial"/>
          <w:i/>
          <w:sz w:val="16"/>
          <w:szCs w:val="16"/>
          <w:shd w:val="clear" w:color="auto" w:fill="FFFFFF"/>
        </w:rPr>
        <w:t>Case of the National Association of Discharged and Retired Employees of the National Tax Administration Superintendence (ANCEJUB-SUNAT) v. Peru</w:t>
      </w:r>
      <w:r w:rsidRPr="00C837DD">
        <w:rPr>
          <w:sz w:val="16"/>
          <w:szCs w:val="16"/>
        </w:rPr>
        <w:t>. Preliminary objections, merits, reparations and costs. Judgment of November 21, 2019. Series C No. 394, para. 22.</w:t>
      </w:r>
    </w:p>
  </w:footnote>
  <w:footnote w:id="30">
    <w:p w14:paraId="3473FEB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the Río Negro Massacres v. Guatemala. Preliminary objection, merits, reparations and costs</w:t>
      </w:r>
      <w:r w:rsidRPr="00C837DD">
        <w:rPr>
          <w:sz w:val="16"/>
          <w:szCs w:val="16"/>
        </w:rPr>
        <w:t>. Judgment of September 4, 2012. Series C No. 250, para. 48</w:t>
      </w:r>
      <w:r w:rsidRPr="00C837DD">
        <w:rPr>
          <w:i/>
          <w:sz w:val="16"/>
          <w:szCs w:val="16"/>
        </w:rPr>
        <w:t>, and Case of Ríos Avalos et al. v. Paraguay. Merits, reparations and costs</w:t>
      </w:r>
      <w:r w:rsidRPr="00C837DD">
        <w:rPr>
          <w:sz w:val="16"/>
          <w:szCs w:val="16"/>
        </w:rPr>
        <w:t>. Judgment of August 19, 2021. Series C No. 429, para. 15.</w:t>
      </w:r>
    </w:p>
  </w:footnote>
  <w:footnote w:id="31">
    <w:p w14:paraId="61007A24" w14:textId="339675EC"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This conclusion does not imply </w:t>
      </w:r>
      <w:r w:rsidR="00E57987" w:rsidRPr="00C837DD">
        <w:rPr>
          <w:sz w:val="16"/>
          <w:szCs w:val="16"/>
        </w:rPr>
        <w:t>a denial</w:t>
      </w:r>
      <w:r w:rsidRPr="00C837DD">
        <w:rPr>
          <w:sz w:val="16"/>
          <w:szCs w:val="16"/>
        </w:rPr>
        <w:t xml:space="preserve"> of the </w:t>
      </w:r>
      <w:r w:rsidR="00BE2F6D" w:rsidRPr="00C837DD">
        <w:rPr>
          <w:sz w:val="16"/>
          <w:szCs w:val="16"/>
        </w:rPr>
        <w:t xml:space="preserve">suffering </w:t>
      </w:r>
      <w:r w:rsidR="00D9334D">
        <w:rPr>
          <w:sz w:val="16"/>
          <w:szCs w:val="16"/>
        </w:rPr>
        <w:t xml:space="preserve">endured by </w:t>
      </w:r>
      <w:r w:rsidR="00BE2F6D" w:rsidRPr="00C837DD">
        <w:rPr>
          <w:sz w:val="16"/>
          <w:szCs w:val="16"/>
        </w:rPr>
        <w:t xml:space="preserve">the sister or </w:t>
      </w:r>
      <w:r w:rsidR="00132BC9">
        <w:rPr>
          <w:sz w:val="16"/>
          <w:szCs w:val="16"/>
        </w:rPr>
        <w:t xml:space="preserve">any </w:t>
      </w:r>
      <w:r w:rsidR="00BE2F6D" w:rsidRPr="00C837DD">
        <w:rPr>
          <w:sz w:val="16"/>
          <w:szCs w:val="16"/>
        </w:rPr>
        <w:t>other family members of Márcia Barbosa de Souza as a result of the alleged human rights violations in the case under analysis</w:t>
      </w:r>
      <w:r w:rsidRPr="00C837DD">
        <w:rPr>
          <w:sz w:val="16"/>
          <w:szCs w:val="16"/>
        </w:rPr>
        <w:t xml:space="preserve">. </w:t>
      </w:r>
    </w:p>
  </w:footnote>
  <w:footnote w:id="32">
    <w:p w14:paraId="6A5A9CFA" w14:textId="1DA7813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Documentary evidence may be </w:t>
      </w:r>
      <w:r w:rsidR="00BE2F6D" w:rsidRPr="00C837DD">
        <w:rPr>
          <w:sz w:val="16"/>
          <w:szCs w:val="16"/>
        </w:rPr>
        <w:t>submitted</w:t>
      </w:r>
      <w:r w:rsidRPr="00C837DD">
        <w:rPr>
          <w:sz w:val="16"/>
          <w:szCs w:val="16"/>
        </w:rPr>
        <w:t>, in general and in accordance with Article 57(2) of the Rules</w:t>
      </w:r>
      <w:r w:rsidR="00BE2F6D" w:rsidRPr="00C837DD">
        <w:rPr>
          <w:sz w:val="16"/>
          <w:szCs w:val="16"/>
        </w:rPr>
        <w:t xml:space="preserve"> of Procedure</w:t>
      </w:r>
      <w:r w:rsidRPr="00C837DD">
        <w:rPr>
          <w:sz w:val="16"/>
          <w:szCs w:val="16"/>
        </w:rPr>
        <w:t xml:space="preserve">, </w:t>
      </w:r>
      <w:r w:rsidR="00E57987" w:rsidRPr="00C837DD">
        <w:rPr>
          <w:sz w:val="16"/>
          <w:szCs w:val="16"/>
        </w:rPr>
        <w:t xml:space="preserve">together </w:t>
      </w:r>
      <w:r w:rsidRPr="00C837DD">
        <w:rPr>
          <w:sz w:val="16"/>
          <w:szCs w:val="16"/>
        </w:rPr>
        <w:t xml:space="preserve">with the briefs </w:t>
      </w:r>
      <w:r w:rsidR="00BE2F6D" w:rsidRPr="00C837DD">
        <w:rPr>
          <w:sz w:val="16"/>
          <w:szCs w:val="16"/>
        </w:rPr>
        <w:t xml:space="preserve">of </w:t>
      </w:r>
      <w:r w:rsidRPr="00C837DD">
        <w:rPr>
          <w:sz w:val="16"/>
          <w:szCs w:val="16"/>
        </w:rPr>
        <w:t>submi</w:t>
      </w:r>
      <w:r w:rsidR="00BE2F6D" w:rsidRPr="00C837DD">
        <w:rPr>
          <w:sz w:val="16"/>
          <w:szCs w:val="16"/>
        </w:rPr>
        <w:t xml:space="preserve">ssion of </w:t>
      </w:r>
      <w:r w:rsidRPr="00C837DD">
        <w:rPr>
          <w:sz w:val="16"/>
          <w:szCs w:val="16"/>
        </w:rPr>
        <w:t xml:space="preserve">the case, </w:t>
      </w:r>
      <w:r w:rsidR="00BE2F6D" w:rsidRPr="00C837DD">
        <w:rPr>
          <w:sz w:val="16"/>
          <w:szCs w:val="16"/>
        </w:rPr>
        <w:t xml:space="preserve">of </w:t>
      </w:r>
      <w:r w:rsidRPr="00C837DD">
        <w:rPr>
          <w:sz w:val="16"/>
          <w:szCs w:val="16"/>
        </w:rPr>
        <w:t xml:space="preserve">pleadings and motions or </w:t>
      </w:r>
      <w:r w:rsidR="00BE2F6D" w:rsidRPr="00C837DD">
        <w:rPr>
          <w:sz w:val="16"/>
          <w:szCs w:val="16"/>
        </w:rPr>
        <w:t xml:space="preserve">of response, </w:t>
      </w:r>
      <w:r w:rsidRPr="00C837DD">
        <w:rPr>
          <w:sz w:val="16"/>
          <w:szCs w:val="16"/>
        </w:rPr>
        <w:t>as appropriate. Evidence submitted outside th</w:t>
      </w:r>
      <w:r w:rsidR="00BE2F6D" w:rsidRPr="00C837DD">
        <w:rPr>
          <w:sz w:val="16"/>
          <w:szCs w:val="16"/>
        </w:rPr>
        <w:t>e</w:t>
      </w:r>
      <w:r w:rsidRPr="00C837DD">
        <w:rPr>
          <w:sz w:val="16"/>
          <w:szCs w:val="16"/>
        </w:rPr>
        <w:t xml:space="preserve">se procedural opportunities is not admissible, </w:t>
      </w:r>
      <w:r w:rsidR="00E57987" w:rsidRPr="00C837DD">
        <w:rPr>
          <w:sz w:val="16"/>
          <w:szCs w:val="16"/>
        </w:rPr>
        <w:t xml:space="preserve">except </w:t>
      </w:r>
      <w:r w:rsidRPr="00C837DD">
        <w:rPr>
          <w:sz w:val="16"/>
          <w:szCs w:val="16"/>
        </w:rPr>
        <w:t xml:space="preserve">in the </w:t>
      </w:r>
      <w:r w:rsidR="00BE2F6D" w:rsidRPr="00C837DD">
        <w:rPr>
          <w:sz w:val="16"/>
          <w:szCs w:val="16"/>
        </w:rPr>
        <w:t xml:space="preserve">circumstances </w:t>
      </w:r>
      <w:r w:rsidRPr="00C837DD">
        <w:rPr>
          <w:sz w:val="16"/>
          <w:szCs w:val="16"/>
        </w:rPr>
        <w:t>established in Article 57(2) of the Rules (</w:t>
      </w:r>
      <w:r w:rsidRPr="00132BC9">
        <w:rPr>
          <w:i/>
          <w:iCs/>
          <w:sz w:val="16"/>
          <w:szCs w:val="16"/>
        </w:rPr>
        <w:t>force majeure</w:t>
      </w:r>
      <w:r w:rsidRPr="00C837DD">
        <w:rPr>
          <w:sz w:val="16"/>
          <w:szCs w:val="16"/>
        </w:rPr>
        <w:t xml:space="preserve"> or serious impediment) or if it is a supervening fact, that is, it occurred after th</w:t>
      </w:r>
      <w:r w:rsidR="00E57987" w:rsidRPr="00C837DD">
        <w:rPr>
          <w:sz w:val="16"/>
          <w:szCs w:val="16"/>
        </w:rPr>
        <w:t>os</w:t>
      </w:r>
      <w:r w:rsidRPr="00C837DD">
        <w:rPr>
          <w:sz w:val="16"/>
          <w:szCs w:val="16"/>
        </w:rPr>
        <w:t>e procedural moments.</w:t>
      </w:r>
    </w:p>
  </w:footnote>
  <w:footnote w:id="33">
    <w:p w14:paraId="31452439" w14:textId="03BF7812" w:rsidR="005F5F1C" w:rsidRPr="00C837DD" w:rsidRDefault="005F5F1C" w:rsidP="00F85D5F">
      <w:pPr>
        <w:pStyle w:val="Textonotapie"/>
        <w:snapToGrid w:val="0"/>
        <w:spacing w:before="40" w:after="40"/>
        <w:ind w:right="81"/>
        <w:jc w:val="both"/>
        <w:rPr>
          <w:rFonts w:cs="Arial Unicode MS"/>
          <w:sz w:val="16"/>
          <w:szCs w:val="16"/>
        </w:rPr>
      </w:pPr>
      <w:r w:rsidRPr="00C837DD">
        <w:rPr>
          <w:sz w:val="16"/>
          <w:szCs w:val="16"/>
          <w:vertAlign w:val="superscript"/>
        </w:rPr>
        <w:footnoteRef/>
      </w:r>
      <w:r w:rsidRPr="00C837DD">
        <w:rPr>
          <w:rFonts w:eastAsia="Arial Unicode MS" w:cs="Arial Unicode MS"/>
          <w:sz w:val="16"/>
          <w:szCs w:val="16"/>
        </w:rPr>
        <w:t xml:space="preserve"> </w:t>
      </w:r>
      <w:r w:rsidRPr="00C837DD">
        <w:rPr>
          <w:rFonts w:eastAsia="Arial Unicode MS" w:cs="Arial Unicode MS"/>
          <w:sz w:val="16"/>
          <w:szCs w:val="16"/>
        </w:rPr>
        <w:tab/>
      </w:r>
      <w:r w:rsidRPr="00C837DD">
        <w:rPr>
          <w:rFonts w:eastAsia="Arial Unicode MS" w:cs="Arial Unicode MS"/>
          <w:i/>
          <w:sz w:val="16"/>
          <w:szCs w:val="16"/>
        </w:rPr>
        <w:t>Cf.</w:t>
      </w:r>
      <w:r w:rsidRPr="00C837DD">
        <w:rPr>
          <w:rFonts w:eastAsia="Arial Unicode MS" w:cs="Arial Unicode MS"/>
          <w:sz w:val="16"/>
          <w:szCs w:val="16"/>
        </w:rPr>
        <w:t xml:space="preserve"> </w:t>
      </w:r>
      <w:r w:rsidRPr="00C837DD">
        <w:rPr>
          <w:rFonts w:cs="Arial Unicode MS"/>
          <w:sz w:val="16"/>
          <w:szCs w:val="16"/>
        </w:rPr>
        <w:t xml:space="preserve">Article 57 of the Rules; </w:t>
      </w:r>
      <w:r w:rsidR="00132BC9">
        <w:rPr>
          <w:rFonts w:cs="Arial Unicode MS"/>
          <w:sz w:val="16"/>
          <w:szCs w:val="16"/>
        </w:rPr>
        <w:t xml:space="preserve">see </w:t>
      </w:r>
      <w:r w:rsidRPr="00C837DD">
        <w:rPr>
          <w:rFonts w:cs="Arial Unicode MS"/>
          <w:sz w:val="16"/>
          <w:szCs w:val="16"/>
        </w:rPr>
        <w:t>also</w:t>
      </w:r>
      <w:r w:rsidRPr="00C837DD">
        <w:rPr>
          <w:rFonts w:eastAsia="Arial Unicode MS" w:cs="Arial Unicode MS"/>
          <w:i/>
          <w:iCs/>
          <w:sz w:val="16"/>
          <w:szCs w:val="16"/>
        </w:rPr>
        <w:t xml:space="preserve"> Case of Velásquez Rodríguez v. Honduras. Merits. </w:t>
      </w:r>
      <w:r w:rsidRPr="00C837DD">
        <w:rPr>
          <w:rFonts w:eastAsia="Arial Unicode MS" w:cs="Arial Unicode MS"/>
          <w:sz w:val="16"/>
          <w:szCs w:val="16"/>
        </w:rPr>
        <w:t xml:space="preserve">Judgment of July 29, 1988. Series C No. 4, para. 140, and </w:t>
      </w:r>
      <w:r w:rsidRPr="00C837DD">
        <w:rPr>
          <w:rFonts w:eastAsia="Arial Unicode MS" w:cs="Arial Unicode MS"/>
          <w:i/>
          <w:sz w:val="16"/>
          <w:szCs w:val="16"/>
        </w:rPr>
        <w:t>Case of Garzón Guzmán et al. v. Ecuador. Merits, reparations and costs</w:t>
      </w:r>
      <w:r w:rsidRPr="00C837DD">
        <w:rPr>
          <w:rFonts w:eastAsia="Arial Unicode MS" w:cs="Arial Unicode MS"/>
          <w:sz w:val="16"/>
          <w:szCs w:val="16"/>
        </w:rPr>
        <w:t>. Judgment of September 1, 2021. Series C No. 434, para.</w:t>
      </w:r>
      <w:r w:rsidRPr="00C837DD" w:rsidDel="004F7484">
        <w:rPr>
          <w:rFonts w:eastAsia="Arial Unicode MS" w:cs="Arial Unicode MS"/>
          <w:sz w:val="16"/>
          <w:szCs w:val="16"/>
        </w:rPr>
        <w:t xml:space="preserve"> </w:t>
      </w:r>
      <w:r w:rsidRPr="00C837DD">
        <w:rPr>
          <w:rFonts w:eastAsia="Arial Unicode MS" w:cs="Arial Unicode MS"/>
          <w:sz w:val="16"/>
          <w:szCs w:val="16"/>
        </w:rPr>
        <w:t>33</w:t>
      </w:r>
      <w:r w:rsidRPr="00C837DD">
        <w:rPr>
          <w:rFonts w:cs="Arial Unicode MS"/>
          <w:iCs/>
          <w:sz w:val="16"/>
          <w:szCs w:val="16"/>
        </w:rPr>
        <w:t>.</w:t>
      </w:r>
    </w:p>
  </w:footnote>
  <w:footnote w:id="34">
    <w:p w14:paraId="448B6CC8" w14:textId="3FF66F43" w:rsidR="005F5F1C" w:rsidRPr="00C837DD" w:rsidRDefault="005F5F1C" w:rsidP="00F85D5F">
      <w:pPr>
        <w:pStyle w:val="Textonotapie"/>
        <w:snapToGrid w:val="0"/>
        <w:spacing w:before="40" w:after="40"/>
        <w:ind w:right="81"/>
        <w:jc w:val="both"/>
        <w:rPr>
          <w:rFonts w:cs="Arial Unicode MS"/>
          <w:sz w:val="16"/>
          <w:szCs w:val="16"/>
        </w:rPr>
      </w:pPr>
      <w:r w:rsidRPr="00C837DD">
        <w:rPr>
          <w:sz w:val="16"/>
          <w:szCs w:val="16"/>
          <w:vertAlign w:val="superscript"/>
        </w:rPr>
        <w:footnoteRef/>
      </w:r>
      <w:r w:rsidRPr="00C837DD">
        <w:rPr>
          <w:rFonts w:eastAsia="Arial Unicode MS" w:cs="Arial Unicode MS"/>
          <w:sz w:val="16"/>
          <w:szCs w:val="16"/>
        </w:rPr>
        <w:t xml:space="preserve"> </w:t>
      </w:r>
      <w:r w:rsidRPr="00C837DD">
        <w:rPr>
          <w:rFonts w:eastAsia="Arial Unicode MS" w:cs="Arial Unicode MS"/>
          <w:sz w:val="16"/>
          <w:szCs w:val="16"/>
        </w:rPr>
        <w:tab/>
        <w:t xml:space="preserve">These documents are: Collective decision No. 1.721/2009, issued by the Regional Electoral Court of Acre (Annex 1); decision on Special Appeal AGR 2000215- 90.1999.822.0000, issued by the Court of Justice of Rondônia (Annex 2); decision on Special Appeal AGR 0027924- 33.2005.8.11.0000, issued by the Court of Justice do Mato Grosso (Annex 3); decision on Special Appeal AGR 0043167-46.2007.8.11.0000, issued by the Court of Justice of Mato Grosso (Annex 4); </w:t>
      </w:r>
      <w:r w:rsidR="00132BC9">
        <w:rPr>
          <w:rFonts w:eastAsia="Arial Unicode MS" w:cs="Arial Unicode MS"/>
          <w:sz w:val="16"/>
          <w:szCs w:val="16"/>
        </w:rPr>
        <w:t>d</w:t>
      </w:r>
      <w:r w:rsidRPr="00C837DD">
        <w:rPr>
          <w:rFonts w:eastAsia="Arial Unicode MS" w:cs="Arial Unicode MS"/>
          <w:sz w:val="16"/>
          <w:szCs w:val="16"/>
        </w:rPr>
        <w:t>ecision</w:t>
      </w:r>
      <w:r w:rsidRPr="00C837DD">
        <w:rPr>
          <w:rFonts w:eastAsia="Arial Unicode MS" w:cs="Arial Unicode MS"/>
          <w:bCs/>
          <w:sz w:val="16"/>
          <w:szCs w:val="16"/>
        </w:rPr>
        <w:t xml:space="preserve"> </w:t>
      </w:r>
      <w:r w:rsidR="00132BC9">
        <w:rPr>
          <w:rFonts w:eastAsia="Arial Unicode MS" w:cs="Arial Unicode MS"/>
          <w:bCs/>
          <w:sz w:val="16"/>
          <w:szCs w:val="16"/>
        </w:rPr>
        <w:t>on</w:t>
      </w:r>
      <w:r w:rsidRPr="00C837DD">
        <w:rPr>
          <w:rFonts w:eastAsia="Arial Unicode MS" w:cs="Arial Unicode MS"/>
          <w:bCs/>
          <w:sz w:val="16"/>
          <w:szCs w:val="16"/>
        </w:rPr>
        <w:t xml:space="preserve"> </w:t>
      </w:r>
      <w:r w:rsidRPr="00C837DD">
        <w:rPr>
          <w:rFonts w:eastAsia="Arial Unicode MS" w:cs="Arial Unicode MS"/>
          <w:sz w:val="16"/>
          <w:szCs w:val="16"/>
        </w:rPr>
        <w:t>Habeas Corpus No 209.076 – BA (2011/0130407-9), issued by the Superior Court of Justice (Annex 5); Ordinary Proceeding 0000013- 19.2015.8.03.0000 AP, Court of Justice of Amapá (Annex 6); Tables of expenses and the respective receipts for expenses of GAJOP</w:t>
      </w:r>
      <w:r w:rsidRPr="00C837DD" w:rsidDel="00CF5259">
        <w:rPr>
          <w:rFonts w:eastAsia="Arial Unicode MS" w:cs="Arial Unicode MS"/>
          <w:sz w:val="16"/>
          <w:szCs w:val="16"/>
        </w:rPr>
        <w:t xml:space="preserve"> </w:t>
      </w:r>
      <w:r w:rsidRPr="00C837DD">
        <w:rPr>
          <w:rFonts w:eastAsia="Arial Unicode MS" w:cs="Arial Unicode MS"/>
          <w:sz w:val="16"/>
          <w:szCs w:val="16"/>
        </w:rPr>
        <w:t xml:space="preserve"> (Annex 7); </w:t>
      </w:r>
      <w:r w:rsidRPr="00C837DD">
        <w:rPr>
          <w:rFonts w:cs="Arial"/>
          <w:sz w:val="16"/>
          <w:szCs w:val="16"/>
        </w:rPr>
        <w:t xml:space="preserve">Tables of expenses and the respective </w:t>
      </w:r>
      <w:r w:rsidRPr="00C837DD">
        <w:rPr>
          <w:rFonts w:eastAsia="Arial Unicode MS" w:cs="Arial Unicode MS"/>
          <w:sz w:val="16"/>
          <w:szCs w:val="16"/>
        </w:rPr>
        <w:t xml:space="preserve">receipts </w:t>
      </w:r>
      <w:r w:rsidRPr="00C837DD">
        <w:rPr>
          <w:rFonts w:cs="Arial"/>
          <w:sz w:val="16"/>
          <w:szCs w:val="16"/>
        </w:rPr>
        <w:t>of CEJIL</w:t>
      </w:r>
      <w:r w:rsidRPr="00C837DD" w:rsidDel="00CF5259">
        <w:rPr>
          <w:rFonts w:eastAsia="Arial Unicode MS" w:cs="Arial Unicode MS"/>
          <w:sz w:val="16"/>
          <w:szCs w:val="16"/>
        </w:rPr>
        <w:t xml:space="preserve"> </w:t>
      </w:r>
      <w:r w:rsidRPr="00C837DD">
        <w:rPr>
          <w:rFonts w:eastAsia="Arial Unicode MS" w:cs="Arial Unicode MS"/>
          <w:sz w:val="16"/>
          <w:szCs w:val="16"/>
        </w:rPr>
        <w:t xml:space="preserve">(Annex 8); and Expenses </w:t>
      </w:r>
      <w:r w:rsidRPr="00C837DD">
        <w:rPr>
          <w:rFonts w:cs="Arial"/>
          <w:sz w:val="16"/>
          <w:szCs w:val="16"/>
        </w:rPr>
        <w:t>related to the request for access to the Victims’ Legal Assistance Fund – table of costs for preparation and sending of expert opinions and statements</w:t>
      </w:r>
      <w:r w:rsidRPr="00C837DD">
        <w:rPr>
          <w:rFonts w:eastAsia="Arial Unicode MS" w:cs="Arial Unicode MS"/>
          <w:sz w:val="16"/>
          <w:szCs w:val="16"/>
        </w:rPr>
        <w:t xml:space="preserve"> (Annex 9)</w:t>
      </w:r>
      <w:r w:rsidRPr="00C837DD">
        <w:rPr>
          <w:rFonts w:cs="Arial Unicode MS"/>
          <w:iCs/>
          <w:sz w:val="16"/>
          <w:szCs w:val="16"/>
        </w:rPr>
        <w:t>.</w:t>
      </w:r>
    </w:p>
  </w:footnote>
  <w:footnote w:id="35">
    <w:p w14:paraId="33D918D6" w14:textId="4B532E8F" w:rsidR="005F5F1C" w:rsidRPr="00C837DD" w:rsidRDefault="005F5F1C" w:rsidP="00F85D5F">
      <w:pPr>
        <w:pStyle w:val="Textonotapie"/>
        <w:tabs>
          <w:tab w:val="left" w:pos="567"/>
        </w:tabs>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Court received the statements of the following persons: M.B.S, statement rendered by affidavit on January 8, 2021 (evidence file, folios 10170 to 10174), accompanied by a video presented to the Court on January 14,</w:t>
      </w:r>
      <w:r w:rsidR="00331975" w:rsidRPr="00C837DD">
        <w:rPr>
          <w:sz w:val="16"/>
          <w:szCs w:val="16"/>
        </w:rPr>
        <w:t xml:space="preserve"> </w:t>
      </w:r>
      <w:r w:rsidRPr="00C837DD">
        <w:rPr>
          <w:sz w:val="16"/>
          <w:szCs w:val="16"/>
        </w:rPr>
        <w:t>2021 (evidence file, video archive); Mt.B.S., statement rendered by affidavit on January 8,</w:t>
      </w:r>
      <w:r w:rsidR="00331975" w:rsidRPr="00C837DD">
        <w:rPr>
          <w:sz w:val="16"/>
          <w:szCs w:val="16"/>
        </w:rPr>
        <w:t xml:space="preserve"> </w:t>
      </w:r>
      <w:r w:rsidRPr="00C837DD">
        <w:rPr>
          <w:sz w:val="16"/>
          <w:szCs w:val="16"/>
        </w:rPr>
        <w:t>2021 (evidence file, folios 10178 to 10182), accompanied by a video presented to the Court on January 14,</w:t>
      </w:r>
      <w:r w:rsidR="00331975" w:rsidRPr="00C837DD">
        <w:rPr>
          <w:sz w:val="16"/>
          <w:szCs w:val="16"/>
        </w:rPr>
        <w:t xml:space="preserve"> </w:t>
      </w:r>
      <w:r w:rsidRPr="00C837DD">
        <w:rPr>
          <w:sz w:val="16"/>
          <w:szCs w:val="16"/>
        </w:rPr>
        <w:t>2021 (evidence file, video file); Luiz Albuquerque Couto, statement rendered by affidavit on January 7,</w:t>
      </w:r>
      <w:r w:rsidR="00331975" w:rsidRPr="00C837DD">
        <w:rPr>
          <w:sz w:val="16"/>
          <w:szCs w:val="16"/>
        </w:rPr>
        <w:t xml:space="preserve"> </w:t>
      </w:r>
      <w:r w:rsidRPr="00C837DD">
        <w:rPr>
          <w:sz w:val="16"/>
          <w:szCs w:val="16"/>
        </w:rPr>
        <w:t>2021 (evidence file, folios 10187 to 10191); Wânia Pasinato, expert opinion rendered by affidavit on January 12,</w:t>
      </w:r>
      <w:r w:rsidR="00331975" w:rsidRPr="00C837DD">
        <w:rPr>
          <w:sz w:val="16"/>
          <w:szCs w:val="16"/>
        </w:rPr>
        <w:t xml:space="preserve"> </w:t>
      </w:r>
      <w:r w:rsidRPr="00C837DD">
        <w:rPr>
          <w:sz w:val="16"/>
          <w:szCs w:val="16"/>
        </w:rPr>
        <w:t>2021 (evidence file, folios 10193 to 10333); Gilberta Santos Soares, expert psychosocial opinion rendered by affidavit on December 18, 2020 (evidence file, folios 10335 to 10358); Javier Hernández García, expert opinion rendered by affidavit on December 20, 2020 (evidence file, folios 10379 to 10395); Edvaldo Fernandes da Silva, expert opinion rendered by affidavit on January 14,</w:t>
      </w:r>
      <w:r w:rsidR="00331975" w:rsidRPr="00C837DD">
        <w:rPr>
          <w:sz w:val="16"/>
          <w:szCs w:val="16"/>
        </w:rPr>
        <w:t xml:space="preserve"> </w:t>
      </w:r>
      <w:r w:rsidRPr="00C837DD">
        <w:rPr>
          <w:sz w:val="16"/>
          <w:szCs w:val="16"/>
        </w:rPr>
        <w:t>2021 (evidence file, folios 10480 to 10504); Geraldine Grace da Fonseca da Justa, statement rendered by affidavit on January 14,</w:t>
      </w:r>
      <w:r w:rsidR="00016BC9" w:rsidRPr="00C837DD">
        <w:rPr>
          <w:sz w:val="16"/>
          <w:szCs w:val="16"/>
        </w:rPr>
        <w:t xml:space="preserve"> </w:t>
      </w:r>
      <w:r w:rsidRPr="00C837DD">
        <w:rPr>
          <w:sz w:val="16"/>
          <w:szCs w:val="16"/>
        </w:rPr>
        <w:t>2021 (evidence file, folios 10505 to 10515); Daniel Sarmento, expert opinion rendered by affidavit on January 14,</w:t>
      </w:r>
      <w:r w:rsidR="00016BC9" w:rsidRPr="00C837DD">
        <w:rPr>
          <w:sz w:val="16"/>
          <w:szCs w:val="16"/>
        </w:rPr>
        <w:t xml:space="preserve"> </w:t>
      </w:r>
      <w:r w:rsidRPr="00C837DD">
        <w:rPr>
          <w:sz w:val="16"/>
          <w:szCs w:val="16"/>
        </w:rPr>
        <w:t>2021 (evidence file, folios 10127 to 10167), and Soraia da Rosa Mendes, expert opinion rendered on January 14,</w:t>
      </w:r>
      <w:r w:rsidR="00016BC9" w:rsidRPr="00C837DD">
        <w:rPr>
          <w:sz w:val="16"/>
          <w:szCs w:val="16"/>
        </w:rPr>
        <w:t xml:space="preserve"> </w:t>
      </w:r>
      <w:r w:rsidRPr="00C837DD">
        <w:rPr>
          <w:sz w:val="16"/>
          <w:szCs w:val="16"/>
        </w:rPr>
        <w:t xml:space="preserve">2021 (evidence file, folios 10397 to 10478). </w:t>
      </w:r>
    </w:p>
  </w:footnote>
  <w:footnote w:id="36">
    <w:p w14:paraId="2A9A9DF7" w14:textId="47393810" w:rsidR="005F5F1C" w:rsidRPr="00C837DD" w:rsidRDefault="005F5F1C" w:rsidP="00F85D5F">
      <w:pPr>
        <w:pStyle w:val="Textonotapie"/>
        <w:tabs>
          <w:tab w:val="left" w:pos="567"/>
        </w:tabs>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Court received the statements of Valquíria Alencar, Melina Fachin, Henrique Marques Ribeiro and Carmen Hein of Campos</w:t>
      </w:r>
      <w:r w:rsidR="00016BC9" w:rsidRPr="00C837DD">
        <w:rPr>
          <w:sz w:val="16"/>
          <w:szCs w:val="16"/>
        </w:rPr>
        <w:t xml:space="preserve"> at the public hearing held in this case.</w:t>
      </w:r>
    </w:p>
  </w:footnote>
  <w:footnote w:id="37">
    <w:p w14:paraId="08AAC681" w14:textId="792891CE"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See,</w:t>
      </w:r>
      <w:r w:rsidRPr="00C837DD">
        <w:rPr>
          <w:i/>
          <w:sz w:val="16"/>
          <w:szCs w:val="16"/>
        </w:rPr>
        <w:t xml:space="preserve"> </w:t>
      </w:r>
      <w:r w:rsidRPr="00C837DD">
        <w:rPr>
          <w:sz w:val="16"/>
          <w:szCs w:val="16"/>
        </w:rPr>
        <w:t>statement of April 9, 2020</w:t>
      </w:r>
      <w:r w:rsidR="00016BC9" w:rsidRPr="00C837DD">
        <w:rPr>
          <w:sz w:val="16"/>
          <w:szCs w:val="16"/>
        </w:rPr>
        <w:t>,</w:t>
      </w:r>
      <w:r w:rsidRPr="00C837DD">
        <w:rPr>
          <w:sz w:val="16"/>
          <w:szCs w:val="16"/>
        </w:rPr>
        <w:t xml:space="preserve"> of the Inter-American Court, “Covid-19 and Human Rights: the problems and challenges must be addressed with a human rights perspective and respecting international obligations.” Available at: </w:t>
      </w:r>
      <w:hyperlink r:id="rId1" w:history="1">
        <w:r w:rsidRPr="00C837DD">
          <w:rPr>
            <w:rStyle w:val="Hipervnculo"/>
            <w:sz w:val="16"/>
            <w:szCs w:val="16"/>
          </w:rPr>
          <w:t>https://www.Courtidh.or.cr/tablas/alerta/comunicado/cp-27-2020.html</w:t>
        </w:r>
      </w:hyperlink>
      <w:r w:rsidRPr="00C837DD">
        <w:rPr>
          <w:sz w:val="16"/>
          <w:szCs w:val="16"/>
        </w:rPr>
        <w:t>.</w:t>
      </w:r>
    </w:p>
  </w:footnote>
  <w:footnote w:id="38">
    <w:p w14:paraId="1A8DF811" w14:textId="4ADAB041" w:rsidR="005F5F1C" w:rsidRPr="00C837DD" w:rsidRDefault="005F5F1C" w:rsidP="00F85D5F">
      <w:pPr>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the Serrano Cruz Sisters v. El Salvador. Merits, reparations and costs.</w:t>
      </w:r>
      <w:r w:rsidRPr="00C837DD">
        <w:rPr>
          <w:sz w:val="16"/>
          <w:szCs w:val="16"/>
        </w:rPr>
        <w:t xml:space="preserve"> Judgment of March 1, 2005. Series C No. 120, para. 27, and </w:t>
      </w:r>
      <w:r w:rsidRPr="00C837DD">
        <w:rPr>
          <w:i/>
          <w:sz w:val="16"/>
          <w:szCs w:val="16"/>
        </w:rPr>
        <w:t xml:space="preserve">Case of the Workers of the Fireworks Factory in Santo Antônio </w:t>
      </w:r>
      <w:r w:rsidR="00016BC9" w:rsidRPr="00C837DD">
        <w:rPr>
          <w:i/>
          <w:sz w:val="16"/>
          <w:szCs w:val="16"/>
        </w:rPr>
        <w:t>de</w:t>
      </w:r>
      <w:r w:rsidRPr="00C837DD">
        <w:rPr>
          <w:i/>
          <w:sz w:val="16"/>
          <w:szCs w:val="16"/>
        </w:rPr>
        <w:t xml:space="preserve"> Jesus and their Families v. Brazil, supra, </w:t>
      </w:r>
      <w:r w:rsidRPr="00C837DD">
        <w:rPr>
          <w:sz w:val="16"/>
          <w:szCs w:val="16"/>
        </w:rPr>
        <w:t>para. 55.</w:t>
      </w:r>
    </w:p>
  </w:footnote>
  <w:footnote w:id="39">
    <w:p w14:paraId="5372564D" w14:textId="7D79C38C"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IACHR. </w:t>
      </w:r>
      <w:r w:rsidRPr="00C837DD">
        <w:rPr>
          <w:i/>
          <w:iCs/>
          <w:sz w:val="16"/>
          <w:szCs w:val="16"/>
        </w:rPr>
        <w:t>Report on the Situation of Human Rights in Brazil</w:t>
      </w:r>
      <w:r w:rsidRPr="00C837DD">
        <w:rPr>
          <w:sz w:val="16"/>
          <w:szCs w:val="16"/>
        </w:rPr>
        <w:t xml:space="preserve">. OAS/Ser.L/V/II.97. Doc. 29 rev.1, September 29, 1997, Chapter VIII, and IACHR. </w:t>
      </w:r>
      <w:r w:rsidRPr="00C837DD">
        <w:rPr>
          <w:i/>
          <w:iCs/>
          <w:sz w:val="16"/>
          <w:szCs w:val="16"/>
        </w:rPr>
        <w:t>Report on the Situation of Human Rights in Brazil</w:t>
      </w:r>
      <w:r w:rsidRPr="00C837DD">
        <w:rPr>
          <w:sz w:val="16"/>
          <w:szCs w:val="16"/>
        </w:rPr>
        <w:t xml:space="preserve">. OAS/Ser.L/V/II, February </w:t>
      </w:r>
      <w:r w:rsidR="00D70620" w:rsidRPr="00C837DD">
        <w:rPr>
          <w:sz w:val="16"/>
          <w:szCs w:val="16"/>
        </w:rPr>
        <w:t xml:space="preserve">12, </w:t>
      </w:r>
      <w:r w:rsidRPr="00C837DD">
        <w:rPr>
          <w:sz w:val="16"/>
          <w:szCs w:val="16"/>
        </w:rPr>
        <w:t xml:space="preserve">2021, paras. 87 to 101. </w:t>
      </w:r>
      <w:r w:rsidR="008E507F">
        <w:rPr>
          <w:sz w:val="16"/>
          <w:szCs w:val="16"/>
        </w:rPr>
        <w:t xml:space="preserve">See also the </w:t>
      </w:r>
      <w:r w:rsidRPr="00C837DD">
        <w:rPr>
          <w:sz w:val="16"/>
          <w:szCs w:val="16"/>
        </w:rPr>
        <w:t xml:space="preserve">expert opinion rendered by Carmen Hein in </w:t>
      </w:r>
      <w:r w:rsidR="00D70620" w:rsidRPr="00C837DD">
        <w:rPr>
          <w:sz w:val="16"/>
          <w:szCs w:val="16"/>
        </w:rPr>
        <w:t>the p</w:t>
      </w:r>
      <w:r w:rsidRPr="00C837DD">
        <w:rPr>
          <w:sz w:val="16"/>
          <w:szCs w:val="16"/>
        </w:rPr>
        <w:t>ublic hearing held on February 3 and 4, 2021 before the Inter</w:t>
      </w:r>
      <w:r w:rsidRPr="00C837DD">
        <w:rPr>
          <w:sz w:val="16"/>
          <w:szCs w:val="16"/>
          <w:lang w:val="en-GB"/>
        </w:rPr>
        <w:t xml:space="preserve">-American </w:t>
      </w:r>
      <w:r w:rsidRPr="00C837DD">
        <w:rPr>
          <w:sz w:val="16"/>
          <w:szCs w:val="16"/>
        </w:rPr>
        <w:t>Court.</w:t>
      </w:r>
    </w:p>
  </w:footnote>
  <w:footnote w:id="40">
    <w:p w14:paraId="6465B5AA" w14:textId="7188074A"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opinions rendered by Carmen Hein and Henrique Marques Ribeiro at the public hearing held on February 3 and 4, 2021</w:t>
      </w:r>
      <w:r w:rsidR="00D70620" w:rsidRPr="00C837DD">
        <w:rPr>
          <w:sz w:val="16"/>
          <w:szCs w:val="16"/>
        </w:rPr>
        <w:t>, before the Inter-American</w:t>
      </w:r>
      <w:r w:rsidRPr="00C837DD">
        <w:rPr>
          <w:sz w:val="16"/>
          <w:szCs w:val="16"/>
        </w:rPr>
        <w:t xml:space="preserve"> Court.</w:t>
      </w:r>
    </w:p>
  </w:footnote>
  <w:footnote w:id="41">
    <w:p w14:paraId="2CF737F7"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Expert opinion </w:t>
      </w:r>
      <w:r w:rsidRPr="00C837DD">
        <w:rPr>
          <w:sz w:val="16"/>
          <w:szCs w:val="16"/>
          <w:lang w:eastAsia="es-ES"/>
        </w:rPr>
        <w:t>rendered by affidavit by Wânia Pasinato on January 12, 2021 (evidence file, folio 10289).</w:t>
      </w:r>
    </w:p>
  </w:footnote>
  <w:footnote w:id="42">
    <w:p w14:paraId="232AC637" w14:textId="6B0CF02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Carmen Hein </w:t>
      </w:r>
      <w:r w:rsidR="00152B8A" w:rsidRPr="00C837DD">
        <w:rPr>
          <w:sz w:val="16"/>
          <w:szCs w:val="16"/>
        </w:rPr>
        <w:t>at the</w:t>
      </w:r>
      <w:r w:rsidRPr="00C837DD">
        <w:rPr>
          <w:sz w:val="16"/>
          <w:szCs w:val="16"/>
        </w:rPr>
        <w:t xml:space="preserve"> </w:t>
      </w:r>
      <w:r w:rsidR="00152B8A" w:rsidRPr="00C837DD">
        <w:rPr>
          <w:sz w:val="16"/>
          <w:szCs w:val="16"/>
        </w:rPr>
        <w:t>p</w:t>
      </w:r>
      <w:r w:rsidRPr="00C837DD">
        <w:rPr>
          <w:sz w:val="16"/>
          <w:szCs w:val="16"/>
        </w:rPr>
        <w:t>ublic hearing held on February 3 and 4, 2021 before the Court.</w:t>
      </w:r>
    </w:p>
  </w:footnote>
  <w:footnote w:id="43">
    <w:p w14:paraId="3B02EA65"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BLAY, </w:t>
      </w:r>
      <w:r w:rsidRPr="00C837DD">
        <w:rPr>
          <w:sz w:val="16"/>
          <w:szCs w:val="16"/>
          <w:lang w:val="es-CR"/>
        </w:rPr>
        <w:t>Eva Alterman. “</w:t>
      </w:r>
      <w:r w:rsidRPr="00C837DD">
        <w:rPr>
          <w:i/>
          <w:iCs/>
          <w:sz w:val="16"/>
          <w:szCs w:val="16"/>
          <w:lang w:val="es-CR"/>
        </w:rPr>
        <w:t>Violencia contra la mujer y políticas públicas</w:t>
      </w:r>
      <w:r w:rsidRPr="00C837DD">
        <w:rPr>
          <w:sz w:val="16"/>
          <w:szCs w:val="16"/>
          <w:lang w:val="es-CR"/>
        </w:rPr>
        <w:t xml:space="preserve">. Estudios Avanzados” </w:t>
      </w:r>
      <w:r w:rsidRPr="00C837DD">
        <w:rPr>
          <w:sz w:val="16"/>
          <w:szCs w:val="16"/>
        </w:rPr>
        <w:t>(Violence against women and public policies. Advanced Studies)</w:t>
      </w:r>
      <w:r w:rsidRPr="00C837DD">
        <w:rPr>
          <w:sz w:val="16"/>
          <w:szCs w:val="16"/>
          <w:lang w:val="es-CR"/>
        </w:rPr>
        <w:t xml:space="preserve"> </w:t>
      </w:r>
      <w:r w:rsidRPr="00C837DD">
        <w:rPr>
          <w:sz w:val="16"/>
          <w:szCs w:val="16"/>
        </w:rPr>
        <w:t xml:space="preserve">vol. 17, nº 49, São Paulo, Sept./Dec. 2003, page 93. Available at: http://www.scielo.br/scielo.php?script=sci_arttext&amp;pid=S0103-40142003000300006. </w:t>
      </w:r>
    </w:p>
  </w:footnote>
  <w:footnote w:id="44">
    <w:p w14:paraId="79E70A4A" w14:textId="78B3F70D"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Geneva Declaration Secretariat</w:t>
      </w:r>
      <w:r w:rsidRPr="00C837DD">
        <w:rPr>
          <w:i/>
          <w:iCs/>
          <w:sz w:val="16"/>
          <w:szCs w:val="16"/>
        </w:rPr>
        <w:t xml:space="preserve">. </w:t>
      </w:r>
      <w:r w:rsidRPr="00C837DD">
        <w:rPr>
          <w:sz w:val="16"/>
          <w:szCs w:val="16"/>
        </w:rPr>
        <w:t>Chapter 4: When the Victim is a Woman. G</w:t>
      </w:r>
      <w:r w:rsidRPr="00C837DD">
        <w:rPr>
          <w:i/>
          <w:iCs/>
          <w:sz w:val="16"/>
          <w:szCs w:val="16"/>
        </w:rPr>
        <w:t>lobal Burden of Armed Violence: Lethal Encounters.</w:t>
      </w:r>
      <w:r w:rsidRPr="00C837DD">
        <w:rPr>
          <w:sz w:val="16"/>
          <w:szCs w:val="16"/>
        </w:rPr>
        <w:t xml:space="preserve"> 2011, pg. 122. Available at: </w:t>
      </w:r>
      <w:hyperlink r:id="rId2" w:history="1">
        <w:r w:rsidRPr="00C837DD">
          <w:rPr>
            <w:rStyle w:val="Hipervnculo"/>
            <w:sz w:val="16"/>
            <w:szCs w:val="16"/>
          </w:rPr>
          <w:t>http://www.genevastatement.org/fileadmin/docs/GBAV2/GBAV2011_CH4_rev.pdf</w:t>
        </w:r>
      </w:hyperlink>
      <w:r w:rsidRPr="00C837DD">
        <w:rPr>
          <w:sz w:val="16"/>
          <w:szCs w:val="16"/>
        </w:rPr>
        <w:t>. The Geneva Declaration</w:t>
      </w:r>
      <w:r w:rsidRPr="00C837DD">
        <w:rPr>
          <w:i/>
          <w:sz w:val="16"/>
          <w:szCs w:val="16"/>
        </w:rPr>
        <w:t xml:space="preserve"> on Armed Violence and Development</w:t>
      </w:r>
      <w:r w:rsidRPr="00C837DD">
        <w:rPr>
          <w:sz w:val="16"/>
          <w:szCs w:val="16"/>
        </w:rPr>
        <w:t>, which is now endorsed by over 100 states, is a diplomatic initiative aimed at “addressing the interrelations between armed violence and development”. The Geneva Declaration was first adopted by 42 states on June 7, 2006 during a Ministerial Summit in Geneva. The Ministerial Summit “</w:t>
      </w:r>
      <w:r w:rsidRPr="00BE1BB5">
        <w:rPr>
          <w:rFonts w:cs="Arial"/>
          <w:sz w:val="16"/>
          <w:szCs w:val="16"/>
          <w:shd w:val="clear" w:color="auto" w:fill="FFFFFF"/>
        </w:rPr>
        <w:t xml:space="preserve">reflected a strong common political will by both representatives of the donor community and </w:t>
      </w:r>
      <w:r w:rsidR="00885B3E" w:rsidRPr="00BE1BB5">
        <w:rPr>
          <w:rFonts w:cs="Arial"/>
          <w:sz w:val="16"/>
          <w:szCs w:val="16"/>
          <w:shd w:val="clear" w:color="auto" w:fill="FFFFFF"/>
        </w:rPr>
        <w:t xml:space="preserve">by </w:t>
      </w:r>
      <w:r w:rsidRPr="00BE1BB5">
        <w:rPr>
          <w:rFonts w:cs="Arial"/>
          <w:sz w:val="16"/>
          <w:szCs w:val="16"/>
          <w:shd w:val="clear" w:color="auto" w:fill="FFFFFF"/>
        </w:rPr>
        <w:t>countries directly affected by armed violence to address the challenge of </w:t>
      </w:r>
      <w:r w:rsidRPr="00BE1BB5">
        <w:rPr>
          <w:rFonts w:cs="Arial"/>
          <w:bCs/>
          <w:sz w:val="16"/>
          <w:szCs w:val="16"/>
          <w:shd w:val="clear" w:color="auto" w:fill="FFFFFF"/>
        </w:rPr>
        <w:t>developing measures</w:t>
      </w:r>
      <w:r w:rsidRPr="00BE1BB5">
        <w:rPr>
          <w:rFonts w:cs="Arial"/>
          <w:b/>
          <w:bCs/>
          <w:sz w:val="16"/>
          <w:szCs w:val="16"/>
          <w:shd w:val="clear" w:color="auto" w:fill="FFFFFF"/>
        </w:rPr>
        <w:t xml:space="preserve"> </w:t>
      </w:r>
      <w:r w:rsidRPr="00BE1BB5">
        <w:rPr>
          <w:rFonts w:cs="Arial"/>
          <w:bCs/>
          <w:sz w:val="16"/>
          <w:szCs w:val="16"/>
          <w:shd w:val="clear" w:color="auto" w:fill="FFFFFF"/>
        </w:rPr>
        <w:t>to reduce political and criminal armed violence</w:t>
      </w:r>
      <w:r w:rsidRPr="00BE1BB5">
        <w:rPr>
          <w:sz w:val="16"/>
          <w:szCs w:val="16"/>
        </w:rPr>
        <w:t xml:space="preserve"> in order to enhance </w:t>
      </w:r>
      <w:r w:rsidRPr="00C837DD">
        <w:rPr>
          <w:sz w:val="16"/>
          <w:szCs w:val="16"/>
        </w:rPr>
        <w:t>sustainable development at the global, regional, and national level. Information Available at: http://www.genevastatement.org/the-geneva-statement/what-is-the-statement.html.</w:t>
      </w:r>
      <w:r w:rsidRPr="00C837DD" w:rsidDel="007104BA">
        <w:rPr>
          <w:sz w:val="16"/>
          <w:szCs w:val="16"/>
        </w:rPr>
        <w:t xml:space="preserve"> </w:t>
      </w:r>
      <w:r w:rsidRPr="00C837DD">
        <w:rPr>
          <w:sz w:val="16"/>
          <w:szCs w:val="16"/>
        </w:rPr>
        <w:t xml:space="preserve"> </w:t>
      </w:r>
    </w:p>
  </w:footnote>
  <w:footnote w:id="45">
    <w:p w14:paraId="2F82C4C6" w14:textId="7045EF5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LINHARES, Leila. Violence against women in Brazil and the Convention of Belém do Pára In </w:t>
      </w:r>
      <w:r w:rsidR="00885B3E" w:rsidRPr="00C837DD">
        <w:rPr>
          <w:i/>
          <w:sz w:val="16"/>
          <w:szCs w:val="16"/>
          <w:lang w:val="es-CR"/>
        </w:rPr>
        <w:t xml:space="preserve">El Progreso de las Mujeres en Brasil </w:t>
      </w:r>
      <w:r w:rsidRPr="00C837DD">
        <w:rPr>
          <w:sz w:val="16"/>
          <w:szCs w:val="16"/>
        </w:rPr>
        <w:t xml:space="preserve">UNIFEM, Ford Foundation, CEPIA: Brasilia. 2006, p. 261. Available at: </w:t>
      </w:r>
      <w:hyperlink r:id="rId3" w:history="1">
        <w:r w:rsidRPr="00C837DD">
          <w:rPr>
            <w:rStyle w:val="Hipervnculo"/>
            <w:sz w:val="16"/>
            <w:szCs w:val="16"/>
          </w:rPr>
          <w:t>http://www.mpsp.mp.br/portal/page/portal/Cartilhas/Progresso%20das%20Mulheres%20no%20Brazil.pdf</w:t>
        </w:r>
      </w:hyperlink>
      <w:r w:rsidRPr="00C837DD">
        <w:rPr>
          <w:sz w:val="16"/>
          <w:szCs w:val="16"/>
        </w:rPr>
        <w:t xml:space="preserve">. </w:t>
      </w:r>
    </w:p>
  </w:footnote>
  <w:footnote w:id="46">
    <w:p w14:paraId="46C3BE90" w14:textId="1CE795B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LINHARES, Leila. Violence against women in Brazil and the Convention of Belém do Pára. In </w:t>
      </w:r>
      <w:r w:rsidR="00885B3E" w:rsidRPr="00C837DD">
        <w:rPr>
          <w:i/>
          <w:sz w:val="16"/>
          <w:szCs w:val="16"/>
          <w:lang w:val="es-CR"/>
        </w:rPr>
        <w:t>El Progreso de las Mujeres en Brasil</w:t>
      </w:r>
      <w:r w:rsidRPr="00C837DD">
        <w:rPr>
          <w:sz w:val="16"/>
          <w:szCs w:val="16"/>
        </w:rPr>
        <w:t xml:space="preserve">, </w:t>
      </w:r>
      <w:r w:rsidRPr="00C837DD">
        <w:rPr>
          <w:i/>
          <w:sz w:val="16"/>
          <w:szCs w:val="16"/>
        </w:rPr>
        <w:t xml:space="preserve">supra, </w:t>
      </w:r>
      <w:r w:rsidRPr="00C837DD">
        <w:rPr>
          <w:sz w:val="16"/>
          <w:szCs w:val="16"/>
        </w:rPr>
        <w:t>p. 262.</w:t>
      </w:r>
    </w:p>
  </w:footnote>
  <w:footnote w:id="47">
    <w:p w14:paraId="5E7283F6" w14:textId="18F9328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008725F8" w:rsidRPr="00C837DD">
        <w:rPr>
          <w:i/>
          <w:sz w:val="16"/>
          <w:szCs w:val="16"/>
        </w:rPr>
        <w:t xml:space="preserve"> </w:t>
      </w:r>
      <w:r w:rsidRPr="00C837DD">
        <w:rPr>
          <w:sz w:val="16"/>
          <w:szCs w:val="16"/>
        </w:rPr>
        <w:t xml:space="preserve">VENTURI, Gustavo; Recamán, Marisol; Oliveira, Suely of (Orgs.). </w:t>
      </w:r>
      <w:r w:rsidR="008725F8" w:rsidRPr="00C837DD">
        <w:rPr>
          <w:i/>
          <w:sz w:val="16"/>
          <w:szCs w:val="16"/>
          <w:lang w:val="es-CR"/>
        </w:rPr>
        <w:t>La mujer brasileña en los espacios público y privado</w:t>
      </w:r>
      <w:r w:rsidRPr="00C837DD">
        <w:rPr>
          <w:sz w:val="16"/>
          <w:szCs w:val="16"/>
        </w:rPr>
        <w:t xml:space="preserve">. 1. edition. São Paulo: Editora Fundaçión Perseu Abramo. 2004, p. 26. Available at: </w:t>
      </w:r>
      <w:hyperlink r:id="rId4" w:history="1">
        <w:r w:rsidRPr="00C837DD">
          <w:rPr>
            <w:rStyle w:val="Hipervnculo"/>
            <w:sz w:val="16"/>
            <w:szCs w:val="16"/>
          </w:rPr>
          <w:t>https://library.fes.de/pdffiles/bueros/Brazilien/05629-introd.pdf</w:t>
        </w:r>
      </w:hyperlink>
      <w:r w:rsidRPr="00C837DD">
        <w:rPr>
          <w:sz w:val="16"/>
          <w:szCs w:val="16"/>
        </w:rPr>
        <w:t>.</w:t>
      </w:r>
    </w:p>
  </w:footnote>
  <w:footnote w:id="48">
    <w:p w14:paraId="6A3D528D" w14:textId="52F98B2F"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According to Article 5 of Law No. 11.340 (“Maria da Penha Law”), “[…] domestic and family violence against women </w:t>
      </w:r>
      <w:r w:rsidR="000A510B" w:rsidRPr="00C837DD">
        <w:rPr>
          <w:sz w:val="16"/>
          <w:szCs w:val="16"/>
        </w:rPr>
        <w:t xml:space="preserve">is </w:t>
      </w:r>
      <w:r w:rsidRPr="00C837DD">
        <w:rPr>
          <w:sz w:val="16"/>
          <w:szCs w:val="16"/>
        </w:rPr>
        <w:t xml:space="preserve">any act or omission based on gender that causes death, injury, physical, sexual or psychological suffering and moral or patrimonial </w:t>
      </w:r>
      <w:r w:rsidR="000A510B" w:rsidRPr="00C837DD">
        <w:rPr>
          <w:sz w:val="16"/>
          <w:szCs w:val="16"/>
        </w:rPr>
        <w:t xml:space="preserve">damage </w:t>
      </w:r>
      <w:r w:rsidRPr="00C837DD">
        <w:rPr>
          <w:sz w:val="16"/>
          <w:szCs w:val="16"/>
        </w:rPr>
        <w:t>[</w:t>
      </w:r>
      <w:r w:rsidR="000A510B" w:rsidRPr="00C837DD">
        <w:rPr>
          <w:sz w:val="16"/>
          <w:szCs w:val="16"/>
        </w:rPr>
        <w:t>if it occurs</w:t>
      </w:r>
      <w:r w:rsidRPr="00C837DD">
        <w:rPr>
          <w:sz w:val="16"/>
          <w:szCs w:val="16"/>
        </w:rPr>
        <w:t xml:space="preserve">] within the domestic unit, understood as </w:t>
      </w:r>
      <w:r w:rsidR="000A510B" w:rsidRPr="00C837DD">
        <w:rPr>
          <w:sz w:val="16"/>
          <w:szCs w:val="16"/>
        </w:rPr>
        <w:t>the permanent living space of persons, with or without family ties, including those added sporadically</w:t>
      </w:r>
      <w:r w:rsidRPr="00C837DD">
        <w:rPr>
          <w:sz w:val="16"/>
          <w:szCs w:val="16"/>
        </w:rPr>
        <w:t xml:space="preserve">; […] within the family, understood as the community formed by persons who are or </w:t>
      </w:r>
      <w:r w:rsidR="000A510B" w:rsidRPr="00C837DD">
        <w:rPr>
          <w:sz w:val="16"/>
          <w:szCs w:val="16"/>
        </w:rPr>
        <w:t xml:space="preserve">are </w:t>
      </w:r>
      <w:r w:rsidRPr="00C837DD">
        <w:rPr>
          <w:sz w:val="16"/>
          <w:szCs w:val="16"/>
        </w:rPr>
        <w:t>consider</w:t>
      </w:r>
      <w:r w:rsidR="000A510B" w:rsidRPr="00C837DD">
        <w:rPr>
          <w:sz w:val="16"/>
          <w:szCs w:val="16"/>
        </w:rPr>
        <w:t>ed</w:t>
      </w:r>
      <w:r w:rsidRPr="00C837DD">
        <w:rPr>
          <w:sz w:val="16"/>
          <w:szCs w:val="16"/>
        </w:rPr>
        <w:t xml:space="preserve"> to be</w:t>
      </w:r>
      <w:r w:rsidR="000A510B" w:rsidRPr="00C837DD">
        <w:rPr>
          <w:sz w:val="16"/>
          <w:szCs w:val="16"/>
        </w:rPr>
        <w:t xml:space="preserve"> related</w:t>
      </w:r>
      <w:r w:rsidRPr="00C837DD">
        <w:rPr>
          <w:sz w:val="16"/>
          <w:szCs w:val="16"/>
        </w:rPr>
        <w:t xml:space="preserve">, united by ties of kinship, affinity or by express will; […] </w:t>
      </w:r>
      <w:r w:rsidR="000A510B" w:rsidRPr="00C837DD">
        <w:rPr>
          <w:sz w:val="16"/>
          <w:szCs w:val="16"/>
        </w:rPr>
        <w:t>in any intimate relationship of affection, in which the aggressor lives or has lived with the victim, regardless of cohabitation</w:t>
      </w:r>
      <w:r w:rsidRPr="00C837DD">
        <w:rPr>
          <w:sz w:val="16"/>
          <w:szCs w:val="16"/>
        </w:rPr>
        <w:t xml:space="preserve">.” This provision also states that personal relationships are independent of sexual orientation. </w:t>
      </w:r>
      <w:r w:rsidRPr="00C837DD">
        <w:rPr>
          <w:i/>
          <w:sz w:val="16"/>
          <w:szCs w:val="16"/>
        </w:rPr>
        <w:t>Cf.</w:t>
      </w:r>
      <w:r w:rsidRPr="00C837DD">
        <w:rPr>
          <w:sz w:val="16"/>
          <w:szCs w:val="16"/>
        </w:rPr>
        <w:t xml:space="preserve"> Law </w:t>
      </w:r>
      <w:r w:rsidR="00B8131C" w:rsidRPr="00C837DD">
        <w:rPr>
          <w:sz w:val="16"/>
          <w:szCs w:val="16"/>
        </w:rPr>
        <w:t>N</w:t>
      </w:r>
      <w:r w:rsidRPr="00C837DD">
        <w:rPr>
          <w:sz w:val="16"/>
          <w:szCs w:val="16"/>
        </w:rPr>
        <w:t>º 11.340 of August 7, 2006 (evidence file, folios 8922 to 8931).</w:t>
      </w:r>
    </w:p>
  </w:footnote>
  <w:footnote w:id="49">
    <w:p w14:paraId="4D94D16D" w14:textId="27A941D4"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 xml:space="preserve">Report “Domestic </w:t>
      </w:r>
      <w:r w:rsidR="00B8131C" w:rsidRPr="00C837DD">
        <w:rPr>
          <w:i/>
          <w:sz w:val="16"/>
          <w:szCs w:val="16"/>
        </w:rPr>
        <w:t xml:space="preserve">and family </w:t>
      </w:r>
      <w:r w:rsidRPr="00C837DD">
        <w:rPr>
          <w:i/>
          <w:sz w:val="16"/>
          <w:szCs w:val="16"/>
        </w:rPr>
        <w:t xml:space="preserve">violence against women”, </w:t>
      </w:r>
      <w:r w:rsidRPr="00C837DD">
        <w:rPr>
          <w:sz w:val="16"/>
          <w:szCs w:val="16"/>
        </w:rPr>
        <w:t xml:space="preserve">published in August 2015 by the Federal Senate of Brazil, p. 11 to 18. Available at: </w:t>
      </w:r>
      <w:hyperlink r:id="rId5" w:history="1">
        <w:r w:rsidRPr="00C837DD">
          <w:rPr>
            <w:rStyle w:val="Hipervnculo"/>
            <w:sz w:val="16"/>
            <w:szCs w:val="16"/>
          </w:rPr>
          <w:t>https://www12.Senate.leg.br/institucional/omv/entenda-a-violence/pdfs/violence-domestica-e-familiar-contra-a-mulher</w:t>
        </w:r>
      </w:hyperlink>
      <w:r w:rsidRPr="00C837DD">
        <w:rPr>
          <w:sz w:val="16"/>
          <w:szCs w:val="16"/>
        </w:rPr>
        <w:t>.</w:t>
      </w:r>
    </w:p>
  </w:footnote>
  <w:footnote w:id="50">
    <w:p w14:paraId="61331325" w14:textId="2CDEC88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Law No. 11.340</w:t>
      </w:r>
      <w:r w:rsidRPr="00C837DD">
        <w:rPr>
          <w:i/>
          <w:sz w:val="16"/>
          <w:szCs w:val="16"/>
        </w:rPr>
        <w:t xml:space="preserve"> </w:t>
      </w:r>
      <w:r w:rsidR="00B8131C" w:rsidRPr="00C837DD">
        <w:rPr>
          <w:iCs/>
          <w:sz w:val="16"/>
          <w:szCs w:val="16"/>
        </w:rPr>
        <w:t xml:space="preserve">of </w:t>
      </w:r>
      <w:r w:rsidRPr="00C837DD">
        <w:rPr>
          <w:sz w:val="16"/>
          <w:szCs w:val="16"/>
        </w:rPr>
        <w:t xml:space="preserve">August </w:t>
      </w:r>
      <w:r w:rsidR="00B8131C" w:rsidRPr="00C837DD">
        <w:rPr>
          <w:sz w:val="16"/>
          <w:szCs w:val="16"/>
        </w:rPr>
        <w:t xml:space="preserve">7, </w:t>
      </w:r>
      <w:r w:rsidRPr="00C837DD">
        <w:rPr>
          <w:sz w:val="16"/>
          <w:szCs w:val="16"/>
        </w:rPr>
        <w:t>2006</w:t>
      </w:r>
      <w:r w:rsidRPr="00C837DD">
        <w:rPr>
          <w:rStyle w:val="Hipervnculo"/>
          <w:sz w:val="16"/>
          <w:szCs w:val="16"/>
        </w:rPr>
        <w:t xml:space="preserve"> </w:t>
      </w:r>
      <w:r w:rsidRPr="00C837DD">
        <w:rPr>
          <w:sz w:val="16"/>
          <w:szCs w:val="16"/>
        </w:rPr>
        <w:t xml:space="preserve">(evidence file, folios 8922 </w:t>
      </w:r>
      <w:r w:rsidR="006C79F3" w:rsidRPr="00C837DD">
        <w:rPr>
          <w:sz w:val="16"/>
          <w:szCs w:val="16"/>
        </w:rPr>
        <w:t>to</w:t>
      </w:r>
      <w:r w:rsidRPr="00C837DD">
        <w:rPr>
          <w:sz w:val="16"/>
          <w:szCs w:val="16"/>
        </w:rPr>
        <w:t xml:space="preserve"> 8931). </w:t>
      </w:r>
    </w:p>
  </w:footnote>
  <w:footnote w:id="51">
    <w:p w14:paraId="7F725664" w14:textId="326C100F"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WAISELFISZ, Julio Jacobo. </w:t>
      </w:r>
      <w:r w:rsidRPr="00C837DD">
        <w:rPr>
          <w:i/>
          <w:iCs/>
          <w:sz w:val="16"/>
          <w:szCs w:val="16"/>
        </w:rPr>
        <w:t xml:space="preserve">Map of violence 2015: </w:t>
      </w:r>
      <w:r w:rsidRPr="00C837DD">
        <w:rPr>
          <w:i/>
          <w:sz w:val="16"/>
          <w:szCs w:val="16"/>
        </w:rPr>
        <w:t>Homicid</w:t>
      </w:r>
      <w:r w:rsidR="00B8131C" w:rsidRPr="00C837DD">
        <w:rPr>
          <w:i/>
          <w:sz w:val="16"/>
          <w:szCs w:val="16"/>
        </w:rPr>
        <w:t>e</w:t>
      </w:r>
      <w:r w:rsidRPr="00C837DD">
        <w:rPr>
          <w:i/>
          <w:sz w:val="16"/>
          <w:szCs w:val="16"/>
        </w:rPr>
        <w:t xml:space="preserve"> of Women in Brazil</w:t>
      </w:r>
      <w:r w:rsidRPr="00C837DD">
        <w:rPr>
          <w:sz w:val="16"/>
          <w:szCs w:val="16"/>
        </w:rPr>
        <w:t>. Brasilia: FLACSO BRAZIL. 2015,</w:t>
      </w:r>
      <w:r w:rsidR="00B8131C" w:rsidRPr="00C837DD">
        <w:rPr>
          <w:sz w:val="16"/>
          <w:szCs w:val="16"/>
        </w:rPr>
        <w:t xml:space="preserve"> p. 12-20</w:t>
      </w:r>
      <w:r w:rsidRPr="00C837DD">
        <w:rPr>
          <w:sz w:val="16"/>
          <w:szCs w:val="16"/>
        </w:rPr>
        <w:t xml:space="preserve">. Available at: </w:t>
      </w:r>
      <w:hyperlink r:id="rId6" w:history="1">
        <w:r w:rsidRPr="00C837DD">
          <w:rPr>
            <w:rStyle w:val="Hipervnculo"/>
            <w:sz w:val="16"/>
            <w:szCs w:val="16"/>
          </w:rPr>
          <w:t>http://www.onumulheres.org.br/wp-content/uploads/2016/04/MapaViolence_2015_mulheres.pdf</w:t>
        </w:r>
      </w:hyperlink>
      <w:r w:rsidRPr="00C837DD">
        <w:rPr>
          <w:sz w:val="16"/>
          <w:szCs w:val="16"/>
        </w:rPr>
        <w:t>.</w:t>
      </w:r>
      <w:r w:rsidRPr="00C837DD" w:rsidDel="00753780">
        <w:rPr>
          <w:sz w:val="16"/>
          <w:szCs w:val="16"/>
        </w:rPr>
        <w:t xml:space="preserve"> </w:t>
      </w:r>
    </w:p>
  </w:footnote>
  <w:footnote w:id="52">
    <w:p w14:paraId="6069465E" w14:textId="6F50557C"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WAISELFISZ, Julio Jacobo. </w:t>
      </w:r>
      <w:r w:rsidRPr="00C837DD">
        <w:rPr>
          <w:i/>
          <w:iCs/>
          <w:sz w:val="16"/>
          <w:szCs w:val="16"/>
        </w:rPr>
        <w:t xml:space="preserve">Map of violence 2012 </w:t>
      </w:r>
      <w:r w:rsidR="00B8131C" w:rsidRPr="00C837DD">
        <w:rPr>
          <w:i/>
          <w:sz w:val="16"/>
          <w:szCs w:val="16"/>
        </w:rPr>
        <w:t>–</w:t>
      </w:r>
      <w:r w:rsidRPr="00C837DD">
        <w:rPr>
          <w:i/>
          <w:sz w:val="16"/>
          <w:szCs w:val="16"/>
        </w:rPr>
        <w:t xml:space="preserve"> </w:t>
      </w:r>
      <w:r w:rsidR="00B8131C" w:rsidRPr="00C837DD">
        <w:rPr>
          <w:i/>
          <w:sz w:val="16"/>
          <w:szCs w:val="16"/>
        </w:rPr>
        <w:t xml:space="preserve">Supplementary Notebook </w:t>
      </w:r>
      <w:r w:rsidRPr="00C837DD">
        <w:rPr>
          <w:i/>
          <w:sz w:val="16"/>
          <w:szCs w:val="16"/>
        </w:rPr>
        <w:t>1: Homicid</w:t>
      </w:r>
      <w:r w:rsidR="00B8131C" w:rsidRPr="00C837DD">
        <w:rPr>
          <w:i/>
          <w:sz w:val="16"/>
          <w:szCs w:val="16"/>
        </w:rPr>
        <w:t>e</w:t>
      </w:r>
      <w:r w:rsidRPr="00C837DD">
        <w:rPr>
          <w:i/>
          <w:sz w:val="16"/>
          <w:szCs w:val="16"/>
        </w:rPr>
        <w:t xml:space="preserve"> of Women in Brazil</w:t>
      </w:r>
      <w:r w:rsidRPr="00C837DD">
        <w:rPr>
          <w:sz w:val="16"/>
          <w:szCs w:val="16"/>
        </w:rPr>
        <w:t xml:space="preserve">. São Paulo: Instituto Sangari. 2012, p. 11. Available at: </w:t>
      </w:r>
      <w:hyperlink r:id="rId7" w:history="1">
        <w:r w:rsidRPr="00C837DD">
          <w:rPr>
            <w:rStyle w:val="Hipervnculo"/>
            <w:sz w:val="16"/>
            <w:szCs w:val="16"/>
          </w:rPr>
          <w:t>https://assets-compromissOAStitude-ipg.sfo2.digitaloceanspaces.com/2012/08/Mapa-Violence-2012_HomicidiosMulheres.pdf</w:t>
        </w:r>
      </w:hyperlink>
      <w:r w:rsidRPr="00C837DD">
        <w:rPr>
          <w:sz w:val="16"/>
          <w:szCs w:val="16"/>
        </w:rPr>
        <w:t xml:space="preserve">. </w:t>
      </w:r>
    </w:p>
  </w:footnote>
  <w:footnote w:id="53">
    <w:p w14:paraId="41BD70B8" w14:textId="7A9F5CD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i/>
          <w:sz w:val="16"/>
          <w:szCs w:val="16"/>
        </w:rPr>
        <w:t>Cf.</w:t>
      </w:r>
      <w:r w:rsidRPr="00C837DD">
        <w:rPr>
          <w:sz w:val="16"/>
          <w:szCs w:val="16"/>
        </w:rPr>
        <w:t xml:space="preserve">  Law </w:t>
      </w:r>
      <w:r w:rsidR="00B8131C" w:rsidRPr="00C837DD">
        <w:rPr>
          <w:sz w:val="16"/>
          <w:szCs w:val="16"/>
        </w:rPr>
        <w:t>N</w:t>
      </w:r>
      <w:r w:rsidRPr="00C837DD">
        <w:rPr>
          <w:sz w:val="16"/>
          <w:szCs w:val="16"/>
        </w:rPr>
        <w:t xml:space="preserve">º 13.104 of March 9, 2015. Available at: </w:t>
      </w:r>
      <w:hyperlink r:id="rId8" w:history="1">
        <w:r w:rsidRPr="00C837DD">
          <w:rPr>
            <w:rStyle w:val="Hipervnculo"/>
            <w:sz w:val="16"/>
            <w:szCs w:val="16"/>
          </w:rPr>
          <w:t>http://www.planalto.gov.br/ccivil_03/_Ato2015-2018/2015/lei/L13104.htm</w:t>
        </w:r>
      </w:hyperlink>
      <w:r w:rsidRPr="00C837DD">
        <w:rPr>
          <w:sz w:val="16"/>
          <w:szCs w:val="16"/>
        </w:rPr>
        <w:t>.</w:t>
      </w:r>
    </w:p>
  </w:footnote>
  <w:footnote w:id="54">
    <w:p w14:paraId="1B9A2441" w14:textId="4143EE1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WAISELFISZ, Julio Jacobo. </w:t>
      </w:r>
      <w:r w:rsidRPr="00C837DD">
        <w:rPr>
          <w:i/>
          <w:iCs/>
          <w:sz w:val="16"/>
          <w:szCs w:val="16"/>
        </w:rPr>
        <w:t xml:space="preserve">Map of </w:t>
      </w:r>
      <w:r w:rsidR="00B8131C" w:rsidRPr="00C837DD">
        <w:rPr>
          <w:i/>
          <w:iCs/>
          <w:sz w:val="16"/>
          <w:szCs w:val="16"/>
        </w:rPr>
        <w:t>V</w:t>
      </w:r>
      <w:r w:rsidRPr="00C837DD">
        <w:rPr>
          <w:i/>
          <w:iCs/>
          <w:sz w:val="16"/>
          <w:szCs w:val="16"/>
        </w:rPr>
        <w:t xml:space="preserve">iolence 2015: </w:t>
      </w:r>
      <w:r w:rsidRPr="00C837DD">
        <w:rPr>
          <w:i/>
          <w:sz w:val="16"/>
          <w:szCs w:val="16"/>
        </w:rPr>
        <w:t>Homicid</w:t>
      </w:r>
      <w:r w:rsidR="00B8131C" w:rsidRPr="00C837DD">
        <w:rPr>
          <w:i/>
          <w:sz w:val="16"/>
          <w:szCs w:val="16"/>
        </w:rPr>
        <w:t>e</w:t>
      </w:r>
      <w:r w:rsidRPr="00C837DD">
        <w:rPr>
          <w:i/>
          <w:sz w:val="16"/>
          <w:szCs w:val="16"/>
        </w:rPr>
        <w:t xml:space="preserve"> of Women in Brazil</w:t>
      </w:r>
      <w:r w:rsidRPr="00C837DD">
        <w:rPr>
          <w:sz w:val="16"/>
          <w:szCs w:val="16"/>
        </w:rPr>
        <w:t xml:space="preserve">, </w:t>
      </w:r>
      <w:r w:rsidRPr="00C837DD">
        <w:rPr>
          <w:i/>
          <w:sz w:val="16"/>
          <w:szCs w:val="16"/>
        </w:rPr>
        <w:t>supra.</w:t>
      </w:r>
    </w:p>
  </w:footnote>
  <w:footnote w:id="55">
    <w:p w14:paraId="036D8A30" w14:textId="6AEE0045" w:rsidR="005F5F1C" w:rsidRPr="00C837DD" w:rsidRDefault="005F5F1C" w:rsidP="00F85D5F">
      <w:pPr>
        <w:pStyle w:val="Textonotapie"/>
        <w:spacing w:before="40" w:after="40"/>
        <w:ind w:right="81"/>
        <w:jc w:val="both"/>
        <w:rPr>
          <w:i/>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UN. “UN: </w:t>
      </w:r>
      <w:r w:rsidR="00EE17B8" w:rsidRPr="00C837DD">
        <w:rPr>
          <w:sz w:val="16"/>
          <w:szCs w:val="16"/>
        </w:rPr>
        <w:t>F</w:t>
      </w:r>
      <w:r w:rsidRPr="00C837DD">
        <w:rPr>
          <w:sz w:val="16"/>
          <w:szCs w:val="16"/>
        </w:rPr>
        <w:t>emicide</w:t>
      </w:r>
      <w:r w:rsidR="00EE17B8" w:rsidRPr="00C837DD">
        <w:rPr>
          <w:sz w:val="16"/>
          <w:szCs w:val="16"/>
        </w:rPr>
        <w:t xml:space="preserve"> rate</w:t>
      </w:r>
      <w:r w:rsidRPr="00C837DD">
        <w:rPr>
          <w:sz w:val="16"/>
          <w:szCs w:val="16"/>
        </w:rPr>
        <w:t xml:space="preserve"> in Brazil is the </w:t>
      </w:r>
      <w:r w:rsidR="00EE17B8" w:rsidRPr="00C837DD">
        <w:rPr>
          <w:sz w:val="16"/>
          <w:szCs w:val="16"/>
        </w:rPr>
        <w:t xml:space="preserve">fifth highest in </w:t>
      </w:r>
      <w:r w:rsidRPr="00C837DD">
        <w:rPr>
          <w:sz w:val="16"/>
          <w:szCs w:val="16"/>
        </w:rPr>
        <w:t xml:space="preserve">the </w:t>
      </w:r>
      <w:r w:rsidR="00EE17B8" w:rsidRPr="00C837DD">
        <w:rPr>
          <w:sz w:val="16"/>
          <w:szCs w:val="16"/>
        </w:rPr>
        <w:t>world</w:t>
      </w:r>
      <w:r w:rsidRPr="00C837DD">
        <w:rPr>
          <w:sz w:val="16"/>
          <w:szCs w:val="16"/>
        </w:rPr>
        <w:t xml:space="preserve">; National Guidelines </w:t>
      </w:r>
      <w:r w:rsidR="00EE17B8" w:rsidRPr="00C837DD">
        <w:rPr>
          <w:sz w:val="16"/>
          <w:szCs w:val="16"/>
        </w:rPr>
        <w:t xml:space="preserve">seek </w:t>
      </w:r>
      <w:r w:rsidRPr="00C837DD">
        <w:rPr>
          <w:sz w:val="16"/>
          <w:szCs w:val="16"/>
        </w:rPr>
        <w:t>solution</w:t>
      </w:r>
      <w:r w:rsidR="00EE17B8" w:rsidRPr="00C837DD">
        <w:rPr>
          <w:sz w:val="16"/>
          <w:szCs w:val="16"/>
        </w:rPr>
        <w:t>.</w:t>
      </w:r>
      <w:r w:rsidRPr="00C837DD">
        <w:rPr>
          <w:sz w:val="16"/>
          <w:szCs w:val="16"/>
        </w:rPr>
        <w:t xml:space="preserve">” April 9, 2016, updated on April 12, 2016. Available at: </w:t>
      </w:r>
      <w:hyperlink r:id="rId9" w:history="1">
        <w:r w:rsidRPr="00C837DD">
          <w:rPr>
            <w:rStyle w:val="Hipervnculo"/>
            <w:sz w:val="16"/>
            <w:szCs w:val="16"/>
          </w:rPr>
          <w:t>https://Brazil.un.org/pt-br/72703-onu-taxa-de-femicides-no-Brazil-e-quinta-maior-do-mundo-diretrizes-nacionais-buscam</w:t>
        </w:r>
      </w:hyperlink>
      <w:r w:rsidRPr="00C837DD">
        <w:rPr>
          <w:sz w:val="16"/>
          <w:szCs w:val="16"/>
        </w:rPr>
        <w:t>.</w:t>
      </w:r>
    </w:p>
  </w:footnote>
  <w:footnote w:id="56">
    <w:p w14:paraId="1C5B0C3C" w14:textId="6E9616F6"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IPEA, “Brazil su</w:t>
      </w:r>
      <w:r w:rsidR="00EE17B8" w:rsidRPr="00C837DD">
        <w:rPr>
          <w:sz w:val="16"/>
          <w:szCs w:val="16"/>
        </w:rPr>
        <w:t>r</w:t>
      </w:r>
      <w:r w:rsidRPr="00C837DD">
        <w:rPr>
          <w:sz w:val="16"/>
          <w:szCs w:val="16"/>
        </w:rPr>
        <w:t>p</w:t>
      </w:r>
      <w:r w:rsidR="00EE17B8" w:rsidRPr="00C837DD">
        <w:rPr>
          <w:sz w:val="16"/>
          <w:szCs w:val="16"/>
        </w:rPr>
        <w:t>asses</w:t>
      </w:r>
      <w:r w:rsidRPr="00C837DD">
        <w:rPr>
          <w:sz w:val="16"/>
          <w:szCs w:val="16"/>
        </w:rPr>
        <w:t xml:space="preserve"> </w:t>
      </w:r>
      <w:r w:rsidR="00EE17B8" w:rsidRPr="00C837DD">
        <w:rPr>
          <w:sz w:val="16"/>
          <w:szCs w:val="16"/>
        </w:rPr>
        <w:t xml:space="preserve">for the first time the threshold of </w:t>
      </w:r>
      <w:r w:rsidRPr="00C837DD">
        <w:rPr>
          <w:sz w:val="16"/>
          <w:szCs w:val="16"/>
        </w:rPr>
        <w:t>30 homicides per 100,000 inhabitants.” June 5, 2018. Available</w:t>
      </w:r>
      <w:hyperlink r:id="rId10" w:history="1">
        <w:r w:rsidRPr="00C837DD">
          <w:rPr>
            <w:rStyle w:val="Hipervnculo"/>
            <w:sz w:val="16"/>
            <w:szCs w:val="16"/>
          </w:rPr>
          <w:t>http://www.ipea.gov.br/portal/index.php?option=comcontent&amp;view=article&amp;id=33411&amp;catid=8&amp;Itemid=6</w:t>
        </w:r>
      </w:hyperlink>
      <w:r w:rsidRPr="00C837DD">
        <w:rPr>
          <w:sz w:val="16"/>
          <w:szCs w:val="16"/>
        </w:rPr>
        <w:t>.</w:t>
      </w:r>
    </w:p>
  </w:footnote>
  <w:footnote w:id="57">
    <w:p w14:paraId="6BF1277F" w14:textId="0EFBC5E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Velasco, Clara; Caesar, Gabriela; and Reis, Thiago. “</w:t>
      </w:r>
      <w:r w:rsidR="00B8131C" w:rsidRPr="00C837DD">
        <w:rPr>
          <w:sz w:val="16"/>
          <w:szCs w:val="16"/>
        </w:rPr>
        <w:t>The n</w:t>
      </w:r>
      <w:r w:rsidRPr="00C837DD">
        <w:rPr>
          <w:sz w:val="16"/>
          <w:szCs w:val="16"/>
        </w:rPr>
        <w:t>umber of women victims of homicid</w:t>
      </w:r>
      <w:r w:rsidR="00B8131C" w:rsidRPr="00C837DD">
        <w:rPr>
          <w:sz w:val="16"/>
          <w:szCs w:val="16"/>
        </w:rPr>
        <w:t>e</w:t>
      </w:r>
      <w:r w:rsidRPr="00C837DD">
        <w:rPr>
          <w:sz w:val="16"/>
          <w:szCs w:val="16"/>
        </w:rPr>
        <w:t xml:space="preserve"> </w:t>
      </w:r>
      <w:r w:rsidR="00B8131C" w:rsidRPr="00C837DD">
        <w:rPr>
          <w:sz w:val="16"/>
          <w:szCs w:val="16"/>
        </w:rPr>
        <w:t xml:space="preserve">grows </w:t>
      </w:r>
      <w:r w:rsidRPr="00C837DD">
        <w:rPr>
          <w:sz w:val="16"/>
          <w:szCs w:val="16"/>
        </w:rPr>
        <w:t xml:space="preserve">in Brazil”. </w:t>
      </w:r>
      <w:r w:rsidR="00B8131C" w:rsidRPr="00C837DD">
        <w:rPr>
          <w:i/>
          <w:sz w:val="16"/>
          <w:szCs w:val="16"/>
        </w:rPr>
        <w:t xml:space="preserve">Online newspaper </w:t>
      </w:r>
      <w:r w:rsidRPr="00C837DD">
        <w:rPr>
          <w:i/>
          <w:sz w:val="16"/>
          <w:szCs w:val="16"/>
        </w:rPr>
        <w:t>G1.</w:t>
      </w:r>
      <w:r w:rsidRPr="00C837DD">
        <w:rPr>
          <w:sz w:val="16"/>
          <w:szCs w:val="16"/>
        </w:rPr>
        <w:t xml:space="preserve">7. March 2018. Available at: </w:t>
      </w:r>
      <w:hyperlink r:id="rId11" w:history="1">
        <w:r w:rsidRPr="00C837DD">
          <w:rPr>
            <w:rStyle w:val="Hipervnculo"/>
            <w:sz w:val="16"/>
            <w:szCs w:val="16"/>
          </w:rPr>
          <w:t>https://g1.globo.com/monitor-da-violence/noticia/cresce-n-de-mulheres-vitimas-de-homicidio-no-Brazil-dados-de-femicide-sao-subnotificados.ghtml</w:t>
        </w:r>
      </w:hyperlink>
      <w:r w:rsidRPr="00C837DD">
        <w:rPr>
          <w:sz w:val="16"/>
          <w:szCs w:val="16"/>
        </w:rPr>
        <w:t xml:space="preserve">.  </w:t>
      </w:r>
    </w:p>
  </w:footnote>
  <w:footnote w:id="58">
    <w:p w14:paraId="1D851AD7"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Amicus curiae</w:t>
      </w:r>
      <w:r w:rsidRPr="00C837DD">
        <w:rPr>
          <w:sz w:val="16"/>
          <w:szCs w:val="16"/>
        </w:rPr>
        <w:t xml:space="preserve"> brief presented by the International Law Clinic of the University of Curitiba (UNICURITIBA) (merits file, folios 647-648).</w:t>
      </w:r>
    </w:p>
  </w:footnote>
  <w:footnote w:id="59">
    <w:p w14:paraId="16636C92" w14:textId="4F1D697C" w:rsidR="005F5F1C" w:rsidRPr="00C837DD" w:rsidRDefault="005F5F1C" w:rsidP="00F85D5F">
      <w:pPr>
        <w:pStyle w:val="Textonotapie"/>
        <w:spacing w:before="40" w:after="40"/>
        <w:jc w:val="both"/>
        <w:rPr>
          <w:i/>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expert witness </w:t>
      </w:r>
      <w:r w:rsidRPr="00C837DD">
        <w:rPr>
          <w:iCs/>
          <w:sz w:val="16"/>
          <w:szCs w:val="16"/>
        </w:rPr>
        <w:t xml:space="preserve">Geraldine Grace da Fonseca da Justa stated that the poorest women, especially black women, are among the main victims of violence in </w:t>
      </w:r>
      <w:r w:rsidR="005E54A3" w:rsidRPr="00C837DD">
        <w:rPr>
          <w:iCs/>
          <w:sz w:val="16"/>
          <w:szCs w:val="16"/>
        </w:rPr>
        <w:t>Brazil</w:t>
      </w:r>
      <w:r w:rsidRPr="00C837DD">
        <w:rPr>
          <w:iCs/>
          <w:sz w:val="16"/>
          <w:szCs w:val="16"/>
        </w:rPr>
        <w:t xml:space="preserve">. </w:t>
      </w:r>
      <w:r w:rsidRPr="00C837DD">
        <w:rPr>
          <w:i/>
          <w:iCs/>
          <w:sz w:val="16"/>
          <w:szCs w:val="16"/>
        </w:rPr>
        <w:t xml:space="preserve">Cf. </w:t>
      </w:r>
      <w:r w:rsidR="005E54A3" w:rsidRPr="00C837DD">
        <w:rPr>
          <w:sz w:val="16"/>
          <w:szCs w:val="16"/>
        </w:rPr>
        <w:t>A</w:t>
      </w:r>
      <w:r w:rsidRPr="00C837DD">
        <w:rPr>
          <w:sz w:val="16"/>
          <w:szCs w:val="16"/>
        </w:rPr>
        <w:t xml:space="preserve">ffidavit </w:t>
      </w:r>
      <w:r w:rsidR="005E54A3" w:rsidRPr="00C837DD">
        <w:rPr>
          <w:sz w:val="16"/>
          <w:szCs w:val="16"/>
        </w:rPr>
        <w:t xml:space="preserve">rendered by </w:t>
      </w:r>
      <w:r w:rsidRPr="00C837DD">
        <w:rPr>
          <w:iCs/>
          <w:sz w:val="16"/>
          <w:szCs w:val="16"/>
        </w:rPr>
        <w:t>Geraldine Grace da Fonseca da Justa</w:t>
      </w:r>
      <w:r w:rsidRPr="00C837DD">
        <w:rPr>
          <w:sz w:val="16"/>
          <w:szCs w:val="16"/>
        </w:rPr>
        <w:t xml:space="preserve"> on January 14, 2021 (evidence file, folios 10505 to 10515).</w:t>
      </w:r>
    </w:p>
  </w:footnote>
  <w:footnote w:id="60">
    <w:p w14:paraId="7F48D4EF" w14:textId="11872E9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of Carmen Hein </w:t>
      </w:r>
      <w:r w:rsidR="001E2B2E" w:rsidRPr="00C837DD">
        <w:rPr>
          <w:sz w:val="16"/>
          <w:szCs w:val="16"/>
        </w:rPr>
        <w:t>rendered during</w:t>
      </w:r>
      <w:r w:rsidRPr="00C837DD">
        <w:rPr>
          <w:sz w:val="16"/>
          <w:szCs w:val="16"/>
        </w:rPr>
        <w:t xml:space="preserve"> the public hearing held on February 3 and 4, 2021 before the Court.</w:t>
      </w:r>
    </w:p>
  </w:footnote>
  <w:footnote w:id="61">
    <w:p w14:paraId="281DC1FF" w14:textId="553B646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w:t>
      </w:r>
      <w:r w:rsidR="00127247">
        <w:rPr>
          <w:sz w:val="16"/>
          <w:szCs w:val="16"/>
          <w:lang w:eastAsia="es-ES"/>
        </w:rPr>
        <w:t>of</w:t>
      </w:r>
      <w:r w:rsidRPr="00C837DD">
        <w:rPr>
          <w:sz w:val="16"/>
          <w:szCs w:val="16"/>
          <w:lang w:eastAsia="es-ES"/>
        </w:rPr>
        <w:t xml:space="preserve"> Wânia Pasinato, </w:t>
      </w:r>
      <w:r w:rsidR="00127247" w:rsidRPr="00C837DD">
        <w:rPr>
          <w:sz w:val="16"/>
          <w:szCs w:val="16"/>
          <w:lang w:eastAsia="es-ES"/>
        </w:rPr>
        <w:t>rendered by affidavit</w:t>
      </w:r>
      <w:r w:rsidR="00127247">
        <w:rPr>
          <w:sz w:val="16"/>
          <w:szCs w:val="16"/>
          <w:lang w:eastAsia="es-ES"/>
        </w:rPr>
        <w:t>,</w:t>
      </w:r>
      <w:r w:rsidR="00127247" w:rsidRPr="00C837DD">
        <w:rPr>
          <w:sz w:val="16"/>
          <w:szCs w:val="16"/>
          <w:lang w:eastAsia="es-ES"/>
        </w:rPr>
        <w:t xml:space="preserve"> </w:t>
      </w:r>
      <w:r w:rsidRPr="00C837DD">
        <w:rPr>
          <w:i/>
          <w:sz w:val="16"/>
          <w:szCs w:val="16"/>
          <w:lang w:eastAsia="es-ES"/>
        </w:rPr>
        <w:t>supra</w:t>
      </w:r>
      <w:r w:rsidRPr="00C837DD">
        <w:rPr>
          <w:sz w:val="16"/>
          <w:szCs w:val="16"/>
          <w:lang w:eastAsia="es-ES"/>
        </w:rPr>
        <w:t xml:space="preserve"> (evidence file, folio 10289), and </w:t>
      </w:r>
      <w:r w:rsidRPr="00C837DD">
        <w:rPr>
          <w:sz w:val="16"/>
          <w:szCs w:val="16"/>
        </w:rPr>
        <w:t xml:space="preserve">Expert opinion rendered by Carmen Hein in Public hearing, </w:t>
      </w:r>
      <w:r w:rsidRPr="00C837DD">
        <w:rPr>
          <w:i/>
          <w:sz w:val="16"/>
          <w:szCs w:val="16"/>
        </w:rPr>
        <w:t>supra.</w:t>
      </w:r>
    </w:p>
  </w:footnote>
  <w:footnote w:id="62">
    <w:p w14:paraId="18A82024" w14:textId="77777777" w:rsidR="005F5F1C" w:rsidRPr="00C837DD" w:rsidRDefault="005F5F1C" w:rsidP="00F85D5F">
      <w:pPr>
        <w:adjustRightInd w:val="0"/>
        <w:spacing w:before="40" w:after="40"/>
        <w:jc w:val="both"/>
        <w:rPr>
          <w:rFonts w:cs="Times New Roman"/>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rFonts w:cs="Times New Roman"/>
          <w:sz w:val="16"/>
          <w:szCs w:val="16"/>
        </w:rPr>
        <w:t xml:space="preserve">CAESAR, Gabriela; Grandin, Felipe; Reis, Thiago and Velasco, Clara. “Black women are the main victims of homicide; white women account for almost half of all cases of physical injury and rape.” 2020. Available at: </w:t>
      </w:r>
      <w:hyperlink r:id="rId12" w:history="1">
        <w:r w:rsidRPr="00C837DD">
          <w:rPr>
            <w:rStyle w:val="Hipervnculo"/>
            <w:rFonts w:cs="Times New Roman"/>
            <w:sz w:val="16"/>
            <w:szCs w:val="16"/>
          </w:rPr>
          <w:t>https://g1.globo.com/monitor-da-violence/noticia/2020/09/16/mulheres-negras-sao-as-principais-vitimas-de-homicidios-ja-as-brancas-compoem-quase-metade-dos-casos-de-lesao-corporal-e-estupro.ghtml</w:t>
        </w:r>
      </w:hyperlink>
      <w:r w:rsidRPr="00C837DD">
        <w:rPr>
          <w:rFonts w:cs="Times New Roman"/>
          <w:sz w:val="16"/>
          <w:szCs w:val="16"/>
        </w:rPr>
        <w:t xml:space="preserve">. </w:t>
      </w:r>
    </w:p>
  </w:footnote>
  <w:footnote w:id="63">
    <w:p w14:paraId="04E5CA04"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Amicus curiae</w:t>
      </w:r>
      <w:r w:rsidRPr="00C837DD">
        <w:rPr>
          <w:sz w:val="16"/>
          <w:szCs w:val="16"/>
        </w:rPr>
        <w:t xml:space="preserve"> brief presented by the Inter-American of Human Rights Clinic of the Federal University of Río of Janeiro (merits file, folio 902).</w:t>
      </w:r>
    </w:p>
  </w:footnote>
  <w:footnote w:id="64">
    <w:p w14:paraId="7E83B31F"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Carmen Hein in Public hearing, </w:t>
      </w:r>
      <w:r w:rsidRPr="00C837DD">
        <w:rPr>
          <w:i/>
          <w:sz w:val="16"/>
          <w:szCs w:val="16"/>
        </w:rPr>
        <w:t>supra</w:t>
      </w:r>
      <w:r w:rsidRPr="00C837DD">
        <w:rPr>
          <w:sz w:val="16"/>
          <w:szCs w:val="16"/>
        </w:rPr>
        <w:t>.</w:t>
      </w:r>
    </w:p>
  </w:footnote>
  <w:footnote w:id="65">
    <w:p w14:paraId="1D7BAAE5" w14:textId="77777777" w:rsidR="005F5F1C" w:rsidRPr="00C837DD" w:rsidRDefault="005F5F1C" w:rsidP="00F85D5F">
      <w:pPr>
        <w:spacing w:before="40" w:after="40"/>
        <w:ind w:right="109"/>
        <w:jc w:val="both"/>
        <w:rPr>
          <w:i/>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Amicus curiae</w:t>
      </w:r>
      <w:r w:rsidRPr="00C837DD">
        <w:rPr>
          <w:sz w:val="16"/>
          <w:szCs w:val="16"/>
        </w:rPr>
        <w:t xml:space="preserve"> brief presented by the Human Rights Clinic of the Federal University of Bahia (merits file, folio 1056), and IPEA, “</w:t>
      </w:r>
      <w:r w:rsidRPr="00C837DD">
        <w:rPr>
          <w:i/>
          <w:sz w:val="16"/>
          <w:szCs w:val="16"/>
        </w:rPr>
        <w:t>Atlas da Violência”</w:t>
      </w:r>
      <w:r w:rsidRPr="00C837DD">
        <w:rPr>
          <w:sz w:val="16"/>
          <w:szCs w:val="16"/>
        </w:rPr>
        <w:t xml:space="preserve">, Filtro UF: PB. Available at: </w:t>
      </w:r>
      <w:hyperlink r:id="rId13" w:history="1">
        <w:r w:rsidRPr="00C837DD">
          <w:rPr>
            <w:rStyle w:val="Hipervnculo"/>
            <w:sz w:val="16"/>
            <w:szCs w:val="16"/>
          </w:rPr>
          <w:t>https://www.ipea.gov.br/atlasviolence/dados-series/142</w:t>
        </w:r>
      </w:hyperlink>
      <w:r w:rsidRPr="00C837DD">
        <w:rPr>
          <w:sz w:val="16"/>
          <w:szCs w:val="16"/>
        </w:rPr>
        <w:t xml:space="preserve">. </w:t>
      </w:r>
      <w:r w:rsidRPr="00C837DD">
        <w:rPr>
          <w:i/>
          <w:sz w:val="16"/>
          <w:szCs w:val="16"/>
        </w:rPr>
        <w:t xml:space="preserve"> </w:t>
      </w:r>
    </w:p>
  </w:footnote>
  <w:footnote w:id="66">
    <w:p w14:paraId="2C57C5C5" w14:textId="77777777" w:rsidR="005F5F1C" w:rsidRPr="00C837DD" w:rsidRDefault="005F5F1C" w:rsidP="00F85D5F">
      <w:pPr>
        <w:spacing w:before="40" w:after="40"/>
        <w:ind w:right="109"/>
        <w:jc w:val="both"/>
        <w:rPr>
          <w:i/>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Amicus curiae</w:t>
      </w:r>
      <w:r w:rsidRPr="00C837DD">
        <w:rPr>
          <w:sz w:val="16"/>
          <w:szCs w:val="16"/>
        </w:rPr>
        <w:t xml:space="preserve"> brief presented by the Human Rights Clinic of the Federal University of Bahia </w:t>
      </w:r>
      <w:r w:rsidRPr="00C837DD">
        <w:rPr>
          <w:i/>
          <w:sz w:val="16"/>
          <w:szCs w:val="16"/>
        </w:rPr>
        <w:t>supra</w:t>
      </w:r>
      <w:r w:rsidRPr="00C837DD">
        <w:rPr>
          <w:sz w:val="16"/>
          <w:szCs w:val="16"/>
        </w:rPr>
        <w:t>, and IPEA “</w:t>
      </w:r>
      <w:r w:rsidRPr="00C837DD">
        <w:rPr>
          <w:i/>
          <w:sz w:val="16"/>
          <w:szCs w:val="16"/>
        </w:rPr>
        <w:t>Atlas da Violêncito 2</w:t>
      </w:r>
      <w:r w:rsidRPr="00C837DD">
        <w:rPr>
          <w:sz w:val="16"/>
          <w:szCs w:val="16"/>
        </w:rPr>
        <w:t xml:space="preserve">020”, p. 37. Available at: </w:t>
      </w:r>
      <w:hyperlink r:id="rId14" w:history="1">
        <w:r w:rsidRPr="00C837DD">
          <w:rPr>
            <w:rStyle w:val="Hipervnculo"/>
            <w:sz w:val="16"/>
            <w:szCs w:val="16"/>
          </w:rPr>
          <w:t>https://www.ipea.gov.br/atlasviolence/arquivos/artigos/3519-atlasdaviolence2020completo.pdf</w:t>
        </w:r>
      </w:hyperlink>
      <w:r w:rsidRPr="00C837DD">
        <w:rPr>
          <w:i/>
          <w:sz w:val="16"/>
          <w:szCs w:val="16"/>
        </w:rPr>
        <w:t>.</w:t>
      </w:r>
    </w:p>
  </w:footnote>
  <w:footnote w:id="67">
    <w:p w14:paraId="3E4AE158"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Law No. 9.099 of September 26, 1995. Available at: </w:t>
      </w:r>
      <w:hyperlink r:id="rId15" w:history="1">
        <w:r w:rsidRPr="00C837DD">
          <w:rPr>
            <w:rStyle w:val="Hipervnculo"/>
            <w:sz w:val="16"/>
            <w:szCs w:val="16"/>
          </w:rPr>
          <w:t>http://www.planalto.gov.br/ccivil_03/leis/l9099.htm</w:t>
        </w:r>
      </w:hyperlink>
      <w:r w:rsidRPr="00C837DD">
        <w:rPr>
          <w:sz w:val="16"/>
          <w:szCs w:val="16"/>
        </w:rPr>
        <w:t>.</w:t>
      </w:r>
    </w:p>
  </w:footnote>
  <w:footnote w:id="68">
    <w:p w14:paraId="59B3D172"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 xml:space="preserve">Cf. </w:t>
      </w:r>
      <w:r w:rsidRPr="00C837DD">
        <w:rPr>
          <w:sz w:val="16"/>
          <w:szCs w:val="16"/>
        </w:rPr>
        <w:t xml:space="preserve">Expert opinion of Wânia Pasinato rendered by affidavit, </w:t>
      </w:r>
      <w:r w:rsidRPr="00C837DD">
        <w:rPr>
          <w:i/>
          <w:sz w:val="16"/>
          <w:szCs w:val="16"/>
        </w:rPr>
        <w:t>supra</w:t>
      </w:r>
      <w:r w:rsidRPr="00C837DD">
        <w:rPr>
          <w:sz w:val="16"/>
          <w:szCs w:val="16"/>
        </w:rPr>
        <w:t xml:space="preserve"> (evidence file, folio 10205 to 10207).</w:t>
      </w:r>
      <w:r w:rsidRPr="00C837DD" w:rsidDel="00A9135B">
        <w:rPr>
          <w:sz w:val="16"/>
          <w:szCs w:val="16"/>
        </w:rPr>
        <w:t xml:space="preserve"> </w:t>
      </w:r>
    </w:p>
  </w:footnote>
  <w:footnote w:id="69">
    <w:p w14:paraId="6276F281"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IACHR. </w:t>
      </w:r>
      <w:r w:rsidRPr="00127247">
        <w:rPr>
          <w:sz w:val="16"/>
          <w:szCs w:val="16"/>
        </w:rPr>
        <w:t>Report on the Situation of Human Rights in Brazil</w:t>
      </w:r>
      <w:r w:rsidRPr="00C837DD">
        <w:rPr>
          <w:sz w:val="16"/>
          <w:szCs w:val="16"/>
        </w:rPr>
        <w:t xml:space="preserve">. OAS/Ser.L/V/II.97, </w:t>
      </w:r>
      <w:r w:rsidRPr="00C837DD">
        <w:rPr>
          <w:i/>
          <w:sz w:val="16"/>
          <w:szCs w:val="16"/>
        </w:rPr>
        <w:t>supra.</w:t>
      </w:r>
    </w:p>
  </w:footnote>
  <w:footnote w:id="70">
    <w:p w14:paraId="084234E1" w14:textId="13AF63F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IACHR. </w:t>
      </w:r>
      <w:r w:rsidRPr="00127247">
        <w:rPr>
          <w:sz w:val="16"/>
          <w:szCs w:val="16"/>
        </w:rPr>
        <w:t>Report on the Situation of Human Rights in Brazil</w:t>
      </w:r>
      <w:r w:rsidRPr="00C837DD">
        <w:rPr>
          <w:sz w:val="16"/>
          <w:szCs w:val="16"/>
        </w:rPr>
        <w:t xml:space="preserve">. OAS/Ser.L/V/II.97, </w:t>
      </w:r>
      <w:r w:rsidRPr="00C837DD">
        <w:rPr>
          <w:i/>
          <w:sz w:val="16"/>
          <w:szCs w:val="16"/>
        </w:rPr>
        <w:t>supra</w:t>
      </w:r>
      <w:r w:rsidRPr="00C837DD">
        <w:rPr>
          <w:sz w:val="16"/>
          <w:szCs w:val="16"/>
        </w:rPr>
        <w:t>, p. 142 to 145. Also, in 2001, in its Merits Report in the case Maria da Penha Maia Fernandes, the Commission held that: “</w:t>
      </w:r>
      <w:r w:rsidRPr="00C837DD">
        <w:rPr>
          <w:color w:val="000000"/>
          <w:sz w:val="16"/>
          <w:szCs w:val="16"/>
          <w:shd w:val="clear" w:color="auto" w:fill="FFFFFF"/>
        </w:rPr>
        <w:t>Given the fact that the violence suffered by Maria da Penha is part of a general pattern of negligence and lack of effective action by the State in prosecuting and convicting aggressors, it is the view of the</w:t>
      </w:r>
      <w:r w:rsidRPr="00C837DD">
        <w:rPr>
          <w:color w:val="000000"/>
          <w:sz w:val="27"/>
          <w:szCs w:val="27"/>
          <w:shd w:val="clear" w:color="auto" w:fill="FFFFFF"/>
        </w:rPr>
        <w:t xml:space="preserve"> </w:t>
      </w:r>
      <w:r w:rsidRPr="00C837DD">
        <w:rPr>
          <w:color w:val="000000"/>
          <w:sz w:val="16"/>
          <w:szCs w:val="16"/>
          <w:shd w:val="clear" w:color="auto" w:fill="FFFFFF"/>
        </w:rPr>
        <w:t>Commission that this case involves not only failure to fulfill the obligation to prosecute and convict, but also the obligation to prevent these degrading practices.</w:t>
      </w:r>
      <w:r w:rsidRPr="00C837DD">
        <w:rPr>
          <w:i/>
          <w:sz w:val="16"/>
          <w:szCs w:val="16"/>
        </w:rPr>
        <w:t> </w:t>
      </w:r>
      <w:r w:rsidRPr="00C837DD">
        <w:rPr>
          <w:color w:val="000000"/>
          <w:sz w:val="16"/>
          <w:szCs w:val="16"/>
          <w:shd w:val="clear" w:color="auto" w:fill="FFFFFF"/>
        </w:rPr>
        <w:t>Th</w:t>
      </w:r>
      <w:r w:rsidR="001F5663" w:rsidRPr="00C837DD">
        <w:rPr>
          <w:color w:val="000000"/>
          <w:sz w:val="16"/>
          <w:szCs w:val="16"/>
          <w:shd w:val="clear" w:color="auto" w:fill="FFFFFF"/>
        </w:rPr>
        <w:t>e</w:t>
      </w:r>
      <w:r w:rsidRPr="00C837DD">
        <w:rPr>
          <w:color w:val="000000"/>
          <w:sz w:val="16"/>
          <w:szCs w:val="16"/>
          <w:shd w:val="clear" w:color="auto" w:fill="FFFFFF"/>
        </w:rPr>
        <w:t xml:space="preserve"> general and discriminatory judicial ineffectiveness also creates a climate that is conducive to domestic violence, since society</w:t>
      </w:r>
      <w:r w:rsidRPr="00C837DD">
        <w:rPr>
          <w:color w:val="000000"/>
          <w:sz w:val="27"/>
          <w:szCs w:val="27"/>
          <w:shd w:val="clear" w:color="auto" w:fill="FFFFFF"/>
        </w:rPr>
        <w:t xml:space="preserve"> </w:t>
      </w:r>
      <w:r w:rsidRPr="00C837DD">
        <w:rPr>
          <w:color w:val="000000"/>
          <w:sz w:val="16"/>
          <w:szCs w:val="16"/>
          <w:shd w:val="clear" w:color="auto" w:fill="FFFFFF"/>
        </w:rPr>
        <w:t>sees no evidence of willingness by the State, as the representative of society, to take effective action to sanction such acts</w:t>
      </w:r>
      <w:r w:rsidRPr="00C837DD">
        <w:rPr>
          <w:i/>
          <w:sz w:val="16"/>
          <w:szCs w:val="16"/>
          <w:vertAlign w:val="superscript"/>
        </w:rPr>
        <w:t>”</w:t>
      </w:r>
      <w:r w:rsidRPr="00C837DD">
        <w:rPr>
          <w:i/>
          <w:sz w:val="16"/>
          <w:szCs w:val="16"/>
        </w:rPr>
        <w:t>.</w:t>
      </w:r>
      <w:r w:rsidRPr="00C837DD">
        <w:rPr>
          <w:sz w:val="16"/>
          <w:szCs w:val="16"/>
        </w:rPr>
        <w:t xml:space="preserve"> </w:t>
      </w:r>
      <w:r w:rsidRPr="00C837DD">
        <w:rPr>
          <w:i/>
          <w:sz w:val="16"/>
          <w:szCs w:val="16"/>
        </w:rPr>
        <w:t>Cf.</w:t>
      </w:r>
      <w:r w:rsidRPr="00C837DD">
        <w:rPr>
          <w:sz w:val="16"/>
          <w:szCs w:val="16"/>
        </w:rPr>
        <w:t xml:space="preserve"> IACHR. Merits Report No. 54/2001 of April 16, 2001, para. 56. Available at: </w:t>
      </w:r>
      <w:hyperlink r:id="rId16" w:anchor="_ftn1" w:history="1">
        <w:r w:rsidRPr="00C837DD">
          <w:rPr>
            <w:rStyle w:val="Hipervnculo"/>
            <w:sz w:val="16"/>
            <w:szCs w:val="16"/>
          </w:rPr>
          <w:t>http://www.IACHR.oas.org/annualrep/2000sp/CapituloIII/Fondo/Brazil12.051.htm#_ftn1</w:t>
        </w:r>
      </w:hyperlink>
      <w:r w:rsidRPr="00C837DD">
        <w:rPr>
          <w:sz w:val="16"/>
          <w:szCs w:val="16"/>
        </w:rPr>
        <w:t>.</w:t>
      </w:r>
    </w:p>
  </w:footnote>
  <w:footnote w:id="71">
    <w:p w14:paraId="6EF3526F"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Henrique Marques Ribeiro at the public hearing, </w:t>
      </w:r>
      <w:r w:rsidRPr="00C837DD">
        <w:rPr>
          <w:i/>
          <w:sz w:val="16"/>
          <w:szCs w:val="16"/>
        </w:rPr>
        <w:t>supra</w:t>
      </w:r>
      <w:r w:rsidRPr="00C837DD">
        <w:rPr>
          <w:sz w:val="16"/>
          <w:szCs w:val="16"/>
        </w:rPr>
        <w:t>.</w:t>
      </w:r>
    </w:p>
  </w:footnote>
  <w:footnote w:id="72">
    <w:p w14:paraId="07AE5D18" w14:textId="4C4683E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UN, CEDAW Committee. </w:t>
      </w:r>
      <w:r w:rsidR="00CD27F8" w:rsidRPr="00C837DD">
        <w:rPr>
          <w:i/>
          <w:sz w:val="16"/>
          <w:szCs w:val="16"/>
        </w:rPr>
        <w:t>Final o</w:t>
      </w:r>
      <w:r w:rsidRPr="00C837DD">
        <w:rPr>
          <w:i/>
          <w:sz w:val="16"/>
          <w:szCs w:val="16"/>
        </w:rPr>
        <w:t xml:space="preserve">bservations of the Committee </w:t>
      </w:r>
      <w:r w:rsidR="00CD27F8" w:rsidRPr="00C837DD">
        <w:rPr>
          <w:i/>
          <w:sz w:val="16"/>
          <w:szCs w:val="16"/>
        </w:rPr>
        <w:t>on</w:t>
      </w:r>
      <w:r w:rsidRPr="00C837DD">
        <w:rPr>
          <w:i/>
          <w:sz w:val="16"/>
          <w:szCs w:val="16"/>
        </w:rPr>
        <w:t xml:space="preserve"> the Elimination of Discrimination Against Women</w:t>
      </w:r>
      <w:r w:rsidRPr="00C837DD">
        <w:rPr>
          <w:sz w:val="16"/>
          <w:szCs w:val="16"/>
        </w:rPr>
        <w:t xml:space="preserve">. Brazil. Doc. CEDAW/C/BRA/CO/7. March 23, 2012, para. 18. Available at: </w:t>
      </w:r>
      <w:hyperlink r:id="rId17" w:history="1">
        <w:r w:rsidRPr="00C837DD">
          <w:rPr>
            <w:rStyle w:val="Hipervnculo"/>
            <w:sz w:val="16"/>
            <w:szCs w:val="16"/>
          </w:rPr>
          <w:t>http://docstore.ohchr.org/SelfServices/FilesHandler.ashx?enc=6QkG1d%2FPPRiCAqhKb7yhsmPYo5NfAsNvhO7uZb6iXOQTk81jjBPn%2BluOW1Jupg%2BCZo86RoOdq25SNCEYrK%2FTqi8PcoAl7yAywQZwia%2F4Lki4NfXwOHkXuwIbpqojl80U</w:t>
        </w:r>
      </w:hyperlink>
      <w:r w:rsidRPr="00C837DD">
        <w:rPr>
          <w:sz w:val="16"/>
          <w:szCs w:val="16"/>
        </w:rPr>
        <w:t>.</w:t>
      </w:r>
    </w:p>
  </w:footnote>
  <w:footnote w:id="73">
    <w:p w14:paraId="4736236E" w14:textId="707AF106"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CNJ and IPEA. Re</w:t>
      </w:r>
      <w:r w:rsidR="00DB4CD8" w:rsidRPr="00C837DD">
        <w:rPr>
          <w:sz w:val="16"/>
          <w:szCs w:val="16"/>
        </w:rPr>
        <w:t>search Re</w:t>
      </w:r>
      <w:r w:rsidRPr="00C837DD">
        <w:rPr>
          <w:sz w:val="16"/>
          <w:szCs w:val="16"/>
        </w:rPr>
        <w:t>port</w:t>
      </w:r>
      <w:r w:rsidRPr="00C837DD">
        <w:rPr>
          <w:i/>
          <w:sz w:val="16"/>
          <w:szCs w:val="16"/>
        </w:rPr>
        <w:t xml:space="preserve">: </w:t>
      </w:r>
      <w:r w:rsidR="00CD27F8" w:rsidRPr="00C837DD">
        <w:rPr>
          <w:i/>
          <w:sz w:val="16"/>
          <w:szCs w:val="16"/>
        </w:rPr>
        <w:t>The Judiciary</w:t>
      </w:r>
      <w:r w:rsidR="00DB4CD8" w:rsidRPr="00C837DD">
        <w:rPr>
          <w:i/>
          <w:sz w:val="16"/>
          <w:szCs w:val="16"/>
        </w:rPr>
        <w:t>-</w:t>
      </w:r>
      <w:r w:rsidR="00CD27F8" w:rsidRPr="00C837DD">
        <w:rPr>
          <w:i/>
          <w:sz w:val="16"/>
          <w:szCs w:val="16"/>
        </w:rPr>
        <w:t xml:space="preserve"> confronting domestic and family violence against women</w:t>
      </w:r>
      <w:r w:rsidRPr="00C837DD">
        <w:rPr>
          <w:i/>
          <w:sz w:val="16"/>
          <w:szCs w:val="16"/>
        </w:rPr>
        <w:t xml:space="preserve">. </w:t>
      </w:r>
      <w:r w:rsidRPr="00C837DD">
        <w:rPr>
          <w:sz w:val="16"/>
          <w:szCs w:val="16"/>
        </w:rPr>
        <w:t xml:space="preserve">2019, p. 158. Available at: </w:t>
      </w:r>
      <w:hyperlink r:id="rId18" w:history="1">
        <w:r w:rsidRPr="00C837DD">
          <w:rPr>
            <w:rStyle w:val="Hipervnculo"/>
            <w:sz w:val="16"/>
            <w:szCs w:val="16"/>
          </w:rPr>
          <w:t>https://bibliotecadigital.cnj.jus.br/jspui/bitstream/123456789/377/1/Relat%c3%b3rio%20-%20O%20Poder%20Judici%c3%a1rio%20no%20Enfrentament%20%c3%a0%20Viol%c3%aancia%20Dom%c3%a9tica%20e%20Familiar%20Contra%20as%20Mulheres.pdf</w:t>
        </w:r>
      </w:hyperlink>
      <w:r w:rsidRPr="00C837DD">
        <w:rPr>
          <w:sz w:val="16"/>
          <w:szCs w:val="16"/>
        </w:rPr>
        <w:t xml:space="preserve">. </w:t>
      </w:r>
    </w:p>
  </w:footnote>
  <w:footnote w:id="74">
    <w:p w14:paraId="02FA1845" w14:textId="508B7643"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CNJ and IPEA. </w:t>
      </w:r>
      <w:r w:rsidR="00DB4CD8" w:rsidRPr="00C837DD">
        <w:rPr>
          <w:sz w:val="16"/>
          <w:szCs w:val="16"/>
        </w:rPr>
        <w:t>Research Report</w:t>
      </w:r>
      <w:r w:rsidR="00DB4CD8" w:rsidRPr="00C837DD">
        <w:rPr>
          <w:i/>
          <w:sz w:val="16"/>
          <w:szCs w:val="16"/>
        </w:rPr>
        <w:t>: The Judiciary</w:t>
      </w:r>
      <w:r w:rsidR="00054644">
        <w:rPr>
          <w:i/>
          <w:sz w:val="16"/>
          <w:szCs w:val="16"/>
        </w:rPr>
        <w:t>:</w:t>
      </w:r>
      <w:r w:rsidR="00DB4CD8" w:rsidRPr="00C837DD">
        <w:rPr>
          <w:i/>
          <w:sz w:val="16"/>
          <w:szCs w:val="16"/>
        </w:rPr>
        <w:t xml:space="preserve"> confronting domestic and family violence against</w:t>
      </w:r>
      <w:r w:rsidR="00DB4CD8" w:rsidRPr="00C837DD">
        <w:rPr>
          <w:sz w:val="16"/>
          <w:szCs w:val="16"/>
        </w:rPr>
        <w:t xml:space="preserve"> </w:t>
      </w:r>
      <w:r w:rsidR="00DB4CD8" w:rsidRPr="00C837DD">
        <w:rPr>
          <w:i/>
          <w:iCs/>
          <w:sz w:val="16"/>
          <w:szCs w:val="16"/>
        </w:rPr>
        <w:t>women</w:t>
      </w:r>
      <w:r w:rsidR="00DB4CD8" w:rsidRPr="00C837DD">
        <w:rPr>
          <w:sz w:val="16"/>
          <w:szCs w:val="16"/>
        </w:rPr>
        <w:t xml:space="preserve">, </w:t>
      </w:r>
      <w:r w:rsidRPr="00C837DD">
        <w:rPr>
          <w:i/>
          <w:sz w:val="16"/>
          <w:szCs w:val="16"/>
        </w:rPr>
        <w:t>supra</w:t>
      </w:r>
      <w:r w:rsidRPr="00C837DD">
        <w:rPr>
          <w:sz w:val="16"/>
          <w:szCs w:val="16"/>
        </w:rPr>
        <w:t xml:space="preserve">. </w:t>
      </w:r>
      <w:r w:rsidR="00DB4CD8" w:rsidRPr="00C837DD">
        <w:rPr>
          <w:sz w:val="16"/>
          <w:szCs w:val="16"/>
        </w:rPr>
        <w:t>T</w:t>
      </w:r>
      <w:r w:rsidRPr="00C837DD">
        <w:rPr>
          <w:sz w:val="16"/>
          <w:szCs w:val="16"/>
        </w:rPr>
        <w:t xml:space="preserve">he </w:t>
      </w:r>
      <w:r w:rsidR="00DB4CD8" w:rsidRPr="00C837DD">
        <w:rPr>
          <w:sz w:val="16"/>
          <w:szCs w:val="16"/>
        </w:rPr>
        <w:t xml:space="preserve">study </w:t>
      </w:r>
      <w:r w:rsidRPr="00C837DD">
        <w:rPr>
          <w:sz w:val="16"/>
          <w:szCs w:val="16"/>
        </w:rPr>
        <w:t>in question found that: "</w:t>
      </w:r>
      <w:r w:rsidRPr="00C837DD">
        <w:rPr>
          <w:i/>
          <w:iCs/>
          <w:sz w:val="16"/>
          <w:szCs w:val="16"/>
        </w:rPr>
        <w:t xml:space="preserve">Although the primary objective of the legislation is to provide humanized attention to women in situations of domestic violence, it was </w:t>
      </w:r>
      <w:r w:rsidR="00DB4CD8" w:rsidRPr="00C837DD">
        <w:rPr>
          <w:i/>
          <w:iCs/>
          <w:sz w:val="16"/>
          <w:szCs w:val="16"/>
        </w:rPr>
        <w:t xml:space="preserve">found </w:t>
      </w:r>
      <w:r w:rsidRPr="00C837DD">
        <w:rPr>
          <w:i/>
          <w:iCs/>
          <w:sz w:val="16"/>
          <w:szCs w:val="16"/>
        </w:rPr>
        <w:t>that some legal actors do not believe that the Judicial Branch has the role of providing special attention to women or should carry out actions close to what can be called "public policy</w:t>
      </w:r>
      <w:r w:rsidR="00054644">
        <w:rPr>
          <w:i/>
          <w:iCs/>
          <w:sz w:val="16"/>
          <w:szCs w:val="16"/>
        </w:rPr>
        <w:t>,</w:t>
      </w:r>
      <w:r w:rsidRPr="00C837DD">
        <w:rPr>
          <w:i/>
          <w:iCs/>
          <w:sz w:val="16"/>
          <w:szCs w:val="16"/>
        </w:rPr>
        <w:t>" showing indignation at the expansion of public action on the issue or what they refer to as "indiscriminate use of criminal law</w:t>
      </w:r>
      <w:r w:rsidR="00DB4CD8" w:rsidRPr="00C837DD">
        <w:rPr>
          <w:i/>
          <w:iCs/>
          <w:sz w:val="16"/>
          <w:szCs w:val="16"/>
        </w:rPr>
        <w:t>.</w:t>
      </w:r>
      <w:r w:rsidRPr="00C837DD">
        <w:rPr>
          <w:i/>
          <w:iCs/>
          <w:sz w:val="16"/>
          <w:szCs w:val="16"/>
        </w:rPr>
        <w:t xml:space="preserve">" </w:t>
      </w:r>
      <w:r w:rsidR="00DB4CD8" w:rsidRPr="00C837DD">
        <w:rPr>
          <w:i/>
          <w:iCs/>
          <w:sz w:val="16"/>
          <w:szCs w:val="16"/>
        </w:rPr>
        <w:t>T</w:t>
      </w:r>
      <w:r w:rsidRPr="00C837DD">
        <w:rPr>
          <w:i/>
          <w:iCs/>
          <w:sz w:val="16"/>
          <w:szCs w:val="16"/>
        </w:rPr>
        <w:t>he processing of proceedings in the Judiciary is, as a general rule, much more rigid than the real dynamics of domestic violence conflicts and the treatment they require</w:t>
      </w:r>
      <w:r w:rsidRPr="00C837DD">
        <w:rPr>
          <w:i/>
          <w:sz w:val="16"/>
          <w:szCs w:val="16"/>
        </w:rPr>
        <w:t>.”</w:t>
      </w:r>
      <w:r w:rsidRPr="00C837DD">
        <w:rPr>
          <w:sz w:val="16"/>
          <w:szCs w:val="16"/>
        </w:rPr>
        <w:t xml:space="preserve"> </w:t>
      </w:r>
    </w:p>
  </w:footnote>
  <w:footnote w:id="75">
    <w:p w14:paraId="4F81B25B"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Original text of Article 53 of the Constitution of the Federative Republic of Brazil, October 5, 1988. Available at: </w:t>
      </w:r>
      <w:hyperlink r:id="rId19" w:history="1">
        <w:r w:rsidRPr="00C837DD">
          <w:rPr>
            <w:rStyle w:val="Hipervnculo"/>
            <w:sz w:val="16"/>
            <w:szCs w:val="16"/>
          </w:rPr>
          <w:t>https://www.Senate.leg.br/atividade/const/con1988/con1988_atual/art_53_.asp</w:t>
        </w:r>
      </w:hyperlink>
      <w:r w:rsidRPr="00C837DD">
        <w:rPr>
          <w:sz w:val="16"/>
          <w:szCs w:val="16"/>
        </w:rPr>
        <w:t xml:space="preserve">. </w:t>
      </w:r>
    </w:p>
  </w:footnote>
  <w:footnote w:id="76">
    <w:p w14:paraId="3DA43C1B"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Constitutional Amendment No. 35, December 20, 2001. Available at: </w:t>
      </w:r>
      <w:hyperlink r:id="rId20" w:history="1">
        <w:r w:rsidRPr="00C837DD">
          <w:rPr>
            <w:rStyle w:val="Hipervnculo"/>
            <w:sz w:val="16"/>
            <w:szCs w:val="16"/>
          </w:rPr>
          <w:t>http://www.planalto.gov.br/ccivil_03/constituicao/emendas/emc/emc35.htm</w:t>
        </w:r>
      </w:hyperlink>
      <w:r w:rsidRPr="00C837DD">
        <w:rPr>
          <w:sz w:val="16"/>
          <w:szCs w:val="16"/>
        </w:rPr>
        <w:t xml:space="preserve">. </w:t>
      </w:r>
    </w:p>
  </w:footnote>
  <w:footnote w:id="77">
    <w:p w14:paraId="60A2A9A1"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Federative Republic of Brazil, October 5, 1988, Article 53. Available at: </w:t>
      </w:r>
      <w:hyperlink r:id="rId21" w:history="1">
        <w:r w:rsidRPr="00C837DD">
          <w:rPr>
            <w:rStyle w:val="Hipervnculo"/>
            <w:sz w:val="16"/>
            <w:szCs w:val="16"/>
          </w:rPr>
          <w:t>http://www.planalto.gov.br/ccivil_03/constituicao/constituicao.htm</w:t>
        </w:r>
      </w:hyperlink>
      <w:r w:rsidRPr="00C837DD">
        <w:rPr>
          <w:sz w:val="16"/>
          <w:szCs w:val="16"/>
        </w:rPr>
        <w:t>.</w:t>
      </w:r>
    </w:p>
  </w:footnote>
  <w:footnote w:id="78">
    <w:p w14:paraId="5B526CD0"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Federative Republic of Brazil, </w:t>
      </w:r>
      <w:r w:rsidRPr="00C837DD">
        <w:rPr>
          <w:i/>
          <w:sz w:val="16"/>
          <w:szCs w:val="16"/>
        </w:rPr>
        <w:t>supra,</w:t>
      </w:r>
      <w:r w:rsidRPr="00C837DD">
        <w:rPr>
          <w:sz w:val="16"/>
          <w:szCs w:val="16"/>
        </w:rPr>
        <w:t xml:space="preserve"> Article 27, para. 1.</w:t>
      </w:r>
    </w:p>
  </w:footnote>
  <w:footnote w:id="79">
    <w:p w14:paraId="042553EA"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state of Paraíba, October 5, 1988, Article 55. Available at: </w:t>
      </w:r>
      <w:hyperlink r:id="rId22" w:history="1">
        <w:r w:rsidRPr="00C837DD">
          <w:rPr>
            <w:rStyle w:val="Hipervnculo"/>
            <w:sz w:val="16"/>
            <w:szCs w:val="16"/>
          </w:rPr>
          <w:t>http://www2.Senate.leg.br/bdsf/handle/id/70448</w:t>
        </w:r>
      </w:hyperlink>
      <w:r w:rsidRPr="00C837DD">
        <w:rPr>
          <w:sz w:val="16"/>
          <w:szCs w:val="16"/>
        </w:rPr>
        <w:t>.</w:t>
      </w:r>
    </w:p>
  </w:footnote>
  <w:footnote w:id="80">
    <w:p w14:paraId="2710DE26" w14:textId="048B319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Internal Rules </w:t>
      </w:r>
      <w:r w:rsidR="00E32C5A">
        <w:rPr>
          <w:sz w:val="16"/>
          <w:szCs w:val="16"/>
        </w:rPr>
        <w:t xml:space="preserve">of Procedure </w:t>
      </w:r>
      <w:r w:rsidRPr="00C837DD">
        <w:rPr>
          <w:sz w:val="16"/>
          <w:szCs w:val="16"/>
        </w:rPr>
        <w:t>of the Legislative Assembly of the state of Paraíba, Resolution n. 469/91 (evidence file, folios 5993 to 6090).</w:t>
      </w:r>
    </w:p>
  </w:footnote>
  <w:footnote w:id="81">
    <w:p w14:paraId="4D271CBD"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21 stated that “the Standing Committees and their respective thematic fields or areas of activity are as follows: I- Constitution, Justice and Drafting Committee: […] p) authorization to prosecute a deputy […].”</w:t>
      </w:r>
    </w:p>
  </w:footnote>
  <w:footnote w:id="82">
    <w:p w14:paraId="70865CB1"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Internal Rules of the Legislative Assembly of the state of Paraíba, Articles 227 and 229 (evidence file, folio 6071).</w:t>
      </w:r>
    </w:p>
  </w:footnote>
  <w:footnote w:id="83">
    <w:p w14:paraId="6D9EF0ED" w14:textId="401DED58"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Internal Rules of </w:t>
      </w:r>
      <w:r w:rsidR="00A2257A" w:rsidRPr="00C837DD">
        <w:rPr>
          <w:sz w:val="16"/>
          <w:szCs w:val="16"/>
        </w:rPr>
        <w:t xml:space="preserve">Procedure of </w:t>
      </w:r>
      <w:r w:rsidRPr="00C837DD">
        <w:rPr>
          <w:sz w:val="16"/>
          <w:szCs w:val="16"/>
        </w:rPr>
        <w:t xml:space="preserve">the Legislative Assembly of the state of Paraíba, </w:t>
      </w:r>
      <w:r w:rsidRPr="00C837DD">
        <w:rPr>
          <w:i/>
          <w:sz w:val="16"/>
          <w:szCs w:val="16"/>
        </w:rPr>
        <w:t>supra.</w:t>
      </w:r>
    </w:p>
  </w:footnote>
  <w:footnote w:id="84">
    <w:p w14:paraId="058DB368" w14:textId="12A03A30" w:rsidR="005F5F1C" w:rsidRPr="00C837DD" w:rsidRDefault="005F5F1C" w:rsidP="00F85D5F">
      <w:pPr>
        <w:adjustRightInd w:val="0"/>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Helvetica"/>
          <w:sz w:val="16"/>
          <w:szCs w:val="16"/>
        </w:rPr>
        <w:t xml:space="preserve">Code of Ethics and Parliamentary Decorum, Resolution </w:t>
      </w:r>
      <w:r w:rsidR="00A2257A" w:rsidRPr="00C837DD">
        <w:rPr>
          <w:rFonts w:cs="Helvetica"/>
          <w:sz w:val="16"/>
          <w:szCs w:val="16"/>
        </w:rPr>
        <w:t>N</w:t>
      </w:r>
      <w:r w:rsidRPr="00C837DD">
        <w:rPr>
          <w:rFonts w:cs="Helvetica"/>
          <w:sz w:val="16"/>
          <w:szCs w:val="16"/>
        </w:rPr>
        <w:t>º 599/97 of the Legislative Assembly of the state da Paraíba</w:t>
      </w:r>
      <w:r w:rsidRPr="00C837DD">
        <w:rPr>
          <w:sz w:val="16"/>
          <w:szCs w:val="16"/>
        </w:rPr>
        <w:t xml:space="preserve"> (evidence file, folio 6093).</w:t>
      </w:r>
    </w:p>
  </w:footnote>
  <w:footnote w:id="85">
    <w:p w14:paraId="28284146" w14:textId="32614FF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Death certificate of Márcia Barbosa de Souza (evidence file, folios 4590). Said death certificate </w:t>
      </w:r>
      <w:r w:rsidR="00A2257A" w:rsidRPr="00C837DD">
        <w:rPr>
          <w:sz w:val="16"/>
          <w:szCs w:val="16"/>
        </w:rPr>
        <w:t xml:space="preserve">described </w:t>
      </w:r>
      <w:r w:rsidRPr="00C837DD">
        <w:rPr>
          <w:sz w:val="16"/>
          <w:szCs w:val="16"/>
        </w:rPr>
        <w:t xml:space="preserve">Ms. Barbosa de Souza as brown (“parda”). </w:t>
      </w:r>
      <w:r w:rsidRPr="00C837DD">
        <w:rPr>
          <w:sz w:val="16"/>
          <w:szCs w:val="16"/>
          <w:vertAlign w:val="superscript"/>
        </w:rPr>
        <w:t xml:space="preserve"> </w:t>
      </w:r>
      <w:r w:rsidRPr="00C837DD">
        <w:rPr>
          <w:sz w:val="16"/>
          <w:szCs w:val="16"/>
        </w:rPr>
        <w:t>In its census, the Brazilian Institute of Geography and Statistics (IBGE) considers the Brazilian population, by self-declaration, as white, black, yellow, brown and indigenous (“branca”, “preta”, “amarela”, “parda” and “indígena”).</w:t>
      </w:r>
    </w:p>
  </w:footnote>
  <w:footnote w:id="86">
    <w:p w14:paraId="2B5CDF84" w14:textId="649171D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Medical-legal autopsy report, of June 18, 1998 (evidence file, folios 34 </w:t>
      </w:r>
      <w:r w:rsidR="00E32C5A">
        <w:rPr>
          <w:sz w:val="16"/>
          <w:szCs w:val="16"/>
        </w:rPr>
        <w:t>to</w:t>
      </w:r>
      <w:r w:rsidRPr="00C837DD">
        <w:rPr>
          <w:sz w:val="16"/>
          <w:szCs w:val="16"/>
        </w:rPr>
        <w:t xml:space="preserve"> 46).</w:t>
      </w:r>
    </w:p>
  </w:footnote>
  <w:footnote w:id="87">
    <w:p w14:paraId="24F79090" w14:textId="4938E653"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Video statement of M.B.S., </w:t>
      </w:r>
      <w:r w:rsidRPr="00C837DD">
        <w:rPr>
          <w:i/>
          <w:sz w:val="16"/>
          <w:szCs w:val="16"/>
        </w:rPr>
        <w:t xml:space="preserve">supra; </w:t>
      </w:r>
      <w:r w:rsidRPr="00C837DD">
        <w:rPr>
          <w:sz w:val="16"/>
          <w:szCs w:val="16"/>
        </w:rPr>
        <w:t xml:space="preserve">Statement rendered by affidavit by M.B.S, </w:t>
      </w:r>
      <w:r w:rsidRPr="00C837DD">
        <w:rPr>
          <w:i/>
          <w:sz w:val="16"/>
          <w:szCs w:val="16"/>
        </w:rPr>
        <w:t>supra</w:t>
      </w:r>
      <w:r w:rsidRPr="00C837DD">
        <w:rPr>
          <w:sz w:val="16"/>
          <w:szCs w:val="16"/>
        </w:rPr>
        <w:t xml:space="preserve">; Video statement of Mt.B.S., </w:t>
      </w:r>
      <w:r w:rsidRPr="00C837DD">
        <w:rPr>
          <w:i/>
          <w:sz w:val="16"/>
          <w:szCs w:val="16"/>
        </w:rPr>
        <w:t>supra</w:t>
      </w:r>
      <w:r w:rsidRPr="00C837DD">
        <w:rPr>
          <w:sz w:val="16"/>
          <w:szCs w:val="16"/>
        </w:rPr>
        <w:t xml:space="preserve">; Affidavit of Mt.B.S, </w:t>
      </w:r>
      <w:r w:rsidRPr="00C837DD">
        <w:rPr>
          <w:i/>
          <w:sz w:val="16"/>
          <w:szCs w:val="16"/>
        </w:rPr>
        <w:t>supra</w:t>
      </w:r>
      <w:r w:rsidRPr="00C837DD">
        <w:rPr>
          <w:sz w:val="16"/>
          <w:szCs w:val="16"/>
        </w:rPr>
        <w:t xml:space="preserve">; Expert psychosocial opinion </w:t>
      </w:r>
      <w:r w:rsidR="00A17144" w:rsidRPr="00C837DD">
        <w:rPr>
          <w:sz w:val="16"/>
          <w:szCs w:val="16"/>
        </w:rPr>
        <w:t xml:space="preserve">of </w:t>
      </w:r>
      <w:r w:rsidRPr="00C837DD">
        <w:rPr>
          <w:sz w:val="16"/>
          <w:szCs w:val="16"/>
        </w:rPr>
        <w:t xml:space="preserve">Gilberta Santos Soares, </w:t>
      </w:r>
      <w:r w:rsidR="00A17144" w:rsidRPr="00C837DD">
        <w:rPr>
          <w:sz w:val="16"/>
          <w:szCs w:val="16"/>
        </w:rPr>
        <w:t xml:space="preserve">rendered by affidavit, </w:t>
      </w:r>
      <w:r w:rsidRPr="00C837DD">
        <w:rPr>
          <w:i/>
          <w:sz w:val="16"/>
          <w:szCs w:val="16"/>
        </w:rPr>
        <w:t>supra</w:t>
      </w:r>
      <w:r w:rsidRPr="00C837DD">
        <w:rPr>
          <w:sz w:val="16"/>
          <w:szCs w:val="16"/>
        </w:rPr>
        <w:t xml:space="preserve"> (evidence file, folio 10337), and newspaper article in “</w:t>
      </w:r>
      <w:r w:rsidRPr="00C837DD">
        <w:rPr>
          <w:i/>
          <w:sz w:val="16"/>
          <w:szCs w:val="16"/>
        </w:rPr>
        <w:t>Correio da Paraíba</w:t>
      </w:r>
      <w:r w:rsidRPr="00C837DD">
        <w:rPr>
          <w:sz w:val="16"/>
          <w:szCs w:val="16"/>
        </w:rPr>
        <w:t>” of  July 23, 1998 (evidence file, folio 282).</w:t>
      </w:r>
    </w:p>
  </w:footnote>
  <w:footnote w:id="88">
    <w:p w14:paraId="4871B456"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Mt.B.S. rendered by affidavit, </w:t>
      </w:r>
      <w:r w:rsidRPr="00C837DD">
        <w:rPr>
          <w:i/>
          <w:sz w:val="16"/>
          <w:szCs w:val="16"/>
        </w:rPr>
        <w:t>supra</w:t>
      </w:r>
      <w:r w:rsidRPr="00C837DD">
        <w:rPr>
          <w:sz w:val="16"/>
          <w:szCs w:val="16"/>
        </w:rPr>
        <w:t>.</w:t>
      </w:r>
    </w:p>
  </w:footnote>
  <w:footnote w:id="89">
    <w:p w14:paraId="4D2020C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M.B.S. rendered by affidavit, </w:t>
      </w:r>
      <w:r w:rsidRPr="00C837DD">
        <w:rPr>
          <w:i/>
          <w:sz w:val="16"/>
          <w:szCs w:val="16"/>
        </w:rPr>
        <w:t>supra</w:t>
      </w:r>
      <w:r w:rsidRPr="00C837DD">
        <w:rPr>
          <w:sz w:val="16"/>
          <w:szCs w:val="16"/>
        </w:rPr>
        <w:t>.</w:t>
      </w:r>
    </w:p>
  </w:footnote>
  <w:footnote w:id="90">
    <w:p w14:paraId="649674D1" w14:textId="3AC84A4C"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S.R.S., of June 19, 1998, to the Police Homicide Division of João Pessoa (evidence file, folios 18 and 19); Death certificate of Márcia Barbosa de Souza, </w:t>
      </w:r>
      <w:r w:rsidRPr="00C837DD">
        <w:rPr>
          <w:i/>
          <w:sz w:val="16"/>
          <w:szCs w:val="16"/>
        </w:rPr>
        <w:t>supra</w:t>
      </w:r>
      <w:r w:rsidRPr="00C837DD">
        <w:rPr>
          <w:sz w:val="16"/>
          <w:szCs w:val="16"/>
        </w:rPr>
        <w:t>, and newspaper article in “</w:t>
      </w:r>
      <w:r w:rsidRPr="00C837DD">
        <w:rPr>
          <w:i/>
          <w:sz w:val="16"/>
          <w:szCs w:val="16"/>
        </w:rPr>
        <w:t>Correio da Paraíba</w:t>
      </w:r>
      <w:r w:rsidRPr="00C837DD">
        <w:rPr>
          <w:sz w:val="16"/>
          <w:szCs w:val="16"/>
        </w:rPr>
        <w:t xml:space="preserve">”, </w:t>
      </w:r>
      <w:r w:rsidRPr="00C837DD">
        <w:rPr>
          <w:i/>
          <w:sz w:val="16"/>
          <w:szCs w:val="16"/>
        </w:rPr>
        <w:t>supra</w:t>
      </w:r>
      <w:r w:rsidRPr="00C837DD">
        <w:rPr>
          <w:sz w:val="16"/>
          <w:szCs w:val="16"/>
        </w:rPr>
        <w:t xml:space="preserve">. </w:t>
      </w:r>
    </w:p>
  </w:footnote>
  <w:footnote w:id="91">
    <w:p w14:paraId="7B0C5FCC"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M.S.C., of August 10, 1998, to the Police Homicide Division of João Pessoa (evidence file, folios </w:t>
      </w:r>
      <w:r w:rsidRPr="00C837DD">
        <w:rPr>
          <w:rFonts w:cs="Calibri"/>
          <w:color w:val="000000"/>
          <w:sz w:val="16"/>
          <w:szCs w:val="16"/>
          <w:lang w:eastAsia="es-CR"/>
        </w:rPr>
        <w:t>21 to 23</w:t>
      </w:r>
      <w:r w:rsidRPr="00C837DD">
        <w:rPr>
          <w:sz w:val="16"/>
          <w:szCs w:val="16"/>
        </w:rPr>
        <w:t>).</w:t>
      </w:r>
    </w:p>
  </w:footnote>
  <w:footnote w:id="92">
    <w:p w14:paraId="24C40834"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Cf. Statement of S.R.S., </w:t>
      </w:r>
      <w:r w:rsidRPr="00C837DD">
        <w:rPr>
          <w:i/>
          <w:sz w:val="16"/>
          <w:szCs w:val="16"/>
        </w:rPr>
        <w:t>supra.</w:t>
      </w:r>
    </w:p>
  </w:footnote>
  <w:footnote w:id="93">
    <w:p w14:paraId="0F7B665F"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M.S.C., </w:t>
      </w:r>
      <w:r w:rsidRPr="00C837DD">
        <w:rPr>
          <w:i/>
          <w:sz w:val="16"/>
          <w:szCs w:val="16"/>
        </w:rPr>
        <w:t>supra</w:t>
      </w:r>
      <w:r w:rsidRPr="00C837DD">
        <w:rPr>
          <w:sz w:val="16"/>
          <w:szCs w:val="16"/>
        </w:rPr>
        <w:t>; stenographic record of the public hearing prepared by the Human Rights Commission of the Legislative Assembly of Paraíba on July 30, 1998 (evidence file, folios 4774 to 4807), and newspaper article “</w:t>
      </w:r>
      <w:r w:rsidRPr="00C837DD">
        <w:rPr>
          <w:i/>
          <w:iCs/>
          <w:sz w:val="16"/>
          <w:szCs w:val="16"/>
        </w:rPr>
        <w:t>PMs will provide security at PMDB meeting”</w:t>
      </w:r>
      <w:r w:rsidRPr="00C837DD">
        <w:rPr>
          <w:sz w:val="16"/>
          <w:szCs w:val="16"/>
        </w:rPr>
        <w:t xml:space="preserve">, published in </w:t>
      </w:r>
      <w:r w:rsidRPr="00C837DD">
        <w:rPr>
          <w:i/>
          <w:sz w:val="16"/>
          <w:szCs w:val="16"/>
        </w:rPr>
        <w:t>Folha de São Paulo</w:t>
      </w:r>
      <w:r w:rsidRPr="00C837DD">
        <w:rPr>
          <w:sz w:val="16"/>
          <w:szCs w:val="16"/>
        </w:rPr>
        <w:t xml:space="preserve">, of June 10, 1998. </w:t>
      </w:r>
      <w:r w:rsidRPr="00C837DD">
        <w:rPr>
          <w:rFonts w:cs="Arial"/>
          <w:color w:val="000000"/>
          <w:sz w:val="16"/>
          <w:szCs w:val="16"/>
          <w:lang w:eastAsia="es-CR"/>
        </w:rPr>
        <w:t>Available at</w:t>
      </w:r>
      <w:r w:rsidRPr="00C837DD">
        <w:rPr>
          <w:rFonts w:cs="Arial"/>
          <w:sz w:val="16"/>
          <w:szCs w:val="16"/>
          <w:lang w:eastAsia="es-CR"/>
        </w:rPr>
        <w:t xml:space="preserve">: </w:t>
      </w:r>
      <w:hyperlink r:id="rId23" w:history="1">
        <w:r w:rsidRPr="00C837DD">
          <w:rPr>
            <w:rStyle w:val="Hipervnculo"/>
            <w:rFonts w:cs="Arial"/>
            <w:sz w:val="16"/>
            <w:szCs w:val="16"/>
            <w:lang w:eastAsia="es-CR"/>
          </w:rPr>
          <w:t>https://www1.folha.uol.com.br/fsp/Brazil/fc10069816.htm</w:t>
        </w:r>
      </w:hyperlink>
      <w:r w:rsidRPr="00C837DD">
        <w:rPr>
          <w:sz w:val="16"/>
          <w:szCs w:val="16"/>
        </w:rPr>
        <w:t>.</w:t>
      </w:r>
    </w:p>
  </w:footnote>
  <w:footnote w:id="94">
    <w:p w14:paraId="0C12F5D3" w14:textId="2BF3FAAA"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Statement of Mt.B.S. of July </w:t>
      </w:r>
      <w:r w:rsidRPr="00C837DD">
        <w:rPr>
          <w:sz w:val="16"/>
          <w:szCs w:val="16"/>
        </w:rPr>
        <w:t xml:space="preserve">2, 1998, </w:t>
      </w:r>
      <w:r w:rsidR="0018464A">
        <w:rPr>
          <w:sz w:val="16"/>
          <w:szCs w:val="16"/>
        </w:rPr>
        <w:t>to</w:t>
      </w:r>
      <w:r w:rsidRPr="00C837DD">
        <w:rPr>
          <w:sz w:val="16"/>
          <w:szCs w:val="16"/>
        </w:rPr>
        <w:t xml:space="preserve"> the Homicide Division of João Pessoa (evidence file, folios 8631 and 8632).</w:t>
      </w:r>
    </w:p>
  </w:footnote>
  <w:footnote w:id="95">
    <w:p w14:paraId="4E6D52AE"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Mt.B.S. rendered by affidavit, </w:t>
      </w:r>
      <w:r w:rsidRPr="00C837DD">
        <w:rPr>
          <w:i/>
          <w:sz w:val="16"/>
          <w:szCs w:val="16"/>
        </w:rPr>
        <w:t>supra</w:t>
      </w:r>
      <w:r w:rsidRPr="00C837DD">
        <w:rPr>
          <w:sz w:val="16"/>
          <w:szCs w:val="16"/>
        </w:rPr>
        <w:t xml:space="preserve"> (evidence file, folios 10178 and 10182).</w:t>
      </w:r>
    </w:p>
  </w:footnote>
  <w:footnote w:id="96">
    <w:p w14:paraId="5309AB6F" w14:textId="32BF8CDF"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Statement of Wilson Martins de Souza, of June 29, 1998, </w:t>
      </w:r>
      <w:r w:rsidR="00A17144" w:rsidRPr="00C837DD">
        <w:rPr>
          <w:sz w:val="16"/>
          <w:szCs w:val="16"/>
        </w:rPr>
        <w:t>made to</w:t>
      </w:r>
      <w:r w:rsidRPr="00C837DD">
        <w:rPr>
          <w:sz w:val="16"/>
          <w:szCs w:val="16"/>
        </w:rPr>
        <w:t xml:space="preserve"> the Homicide Division of João Pessoa (evidence file, folio 3888).</w:t>
      </w:r>
    </w:p>
  </w:footnote>
  <w:footnote w:id="97">
    <w:p w14:paraId="3502B371" w14:textId="3854C01D"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F2005C" w:rsidRPr="00C837DD">
        <w:rPr>
          <w:sz w:val="16"/>
          <w:szCs w:val="16"/>
        </w:rPr>
        <w:t>p</w:t>
      </w:r>
      <w:r w:rsidRPr="00C837DD">
        <w:rPr>
          <w:sz w:val="16"/>
          <w:szCs w:val="16"/>
        </w:rPr>
        <w:t xml:space="preserve">olice department for crimes against the person of August 27, 1998 </w:t>
      </w:r>
      <w:r w:rsidRPr="00C837DD">
        <w:rPr>
          <w:rFonts w:cs="Calibri"/>
          <w:color w:val="000000"/>
          <w:sz w:val="16"/>
          <w:szCs w:val="16"/>
          <w:lang w:eastAsia="es-CR"/>
        </w:rPr>
        <w:t>(evidence file folios 5 to 8).</w:t>
      </w:r>
    </w:p>
  </w:footnote>
  <w:footnote w:id="98">
    <w:p w14:paraId="43AAC207" w14:textId="08BDEDD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F2005C" w:rsidRPr="00C837DD">
        <w:rPr>
          <w:sz w:val="16"/>
          <w:szCs w:val="16"/>
        </w:rPr>
        <w:t>p</w:t>
      </w:r>
      <w:r w:rsidRPr="00C837DD">
        <w:rPr>
          <w:sz w:val="16"/>
          <w:szCs w:val="16"/>
        </w:rPr>
        <w:t xml:space="preserve">olice department for crimes against the person, </w:t>
      </w:r>
      <w:r w:rsidRPr="00C837DD">
        <w:rPr>
          <w:i/>
          <w:sz w:val="16"/>
          <w:szCs w:val="16"/>
        </w:rPr>
        <w:t>supra.</w:t>
      </w:r>
    </w:p>
  </w:footnote>
  <w:footnote w:id="99">
    <w:p w14:paraId="08E2676E" w14:textId="6341FF8C"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F2005C" w:rsidRPr="00C837DD">
        <w:rPr>
          <w:sz w:val="16"/>
          <w:szCs w:val="16"/>
        </w:rPr>
        <w:t>p</w:t>
      </w:r>
      <w:r w:rsidRPr="00C837DD">
        <w:rPr>
          <w:sz w:val="16"/>
          <w:szCs w:val="16"/>
        </w:rPr>
        <w:t xml:space="preserve">olice department for crimes against the person, </w:t>
      </w:r>
      <w:r w:rsidRPr="00C837DD">
        <w:rPr>
          <w:i/>
          <w:sz w:val="16"/>
          <w:szCs w:val="16"/>
        </w:rPr>
        <w:t>supra.</w:t>
      </w:r>
    </w:p>
  </w:footnote>
  <w:footnote w:id="100">
    <w:p w14:paraId="70A6951D" w14:textId="51E603C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F2005C" w:rsidRPr="00C837DD">
        <w:rPr>
          <w:sz w:val="16"/>
          <w:szCs w:val="16"/>
        </w:rPr>
        <w:t>p</w:t>
      </w:r>
      <w:r w:rsidRPr="00C837DD">
        <w:rPr>
          <w:sz w:val="16"/>
          <w:szCs w:val="16"/>
        </w:rPr>
        <w:t xml:space="preserve">olice department for crimes against the person, </w:t>
      </w:r>
      <w:r w:rsidRPr="00C837DD">
        <w:rPr>
          <w:i/>
          <w:sz w:val="16"/>
          <w:szCs w:val="16"/>
        </w:rPr>
        <w:t xml:space="preserve">supra, </w:t>
      </w:r>
      <w:r w:rsidR="00F2005C" w:rsidRPr="00C837DD">
        <w:rPr>
          <w:rFonts w:cs="Calibri"/>
          <w:color w:val="000000"/>
          <w:sz w:val="16"/>
          <w:szCs w:val="16"/>
          <w:lang w:eastAsia="es-CR"/>
        </w:rPr>
        <w:t>and</w:t>
      </w:r>
      <w:r w:rsidRPr="00C837DD">
        <w:rPr>
          <w:sz w:val="16"/>
          <w:szCs w:val="16"/>
        </w:rPr>
        <w:t xml:space="preserve"> </w:t>
      </w:r>
      <w:r w:rsidR="00F2005C" w:rsidRPr="00C837DD">
        <w:rPr>
          <w:sz w:val="16"/>
          <w:szCs w:val="16"/>
        </w:rPr>
        <w:t>s</w:t>
      </w:r>
      <w:r w:rsidRPr="00C837DD">
        <w:rPr>
          <w:sz w:val="16"/>
          <w:szCs w:val="16"/>
        </w:rPr>
        <w:t xml:space="preserve">tatement of M.S.C., </w:t>
      </w:r>
      <w:r w:rsidRPr="00C837DD">
        <w:rPr>
          <w:i/>
          <w:sz w:val="16"/>
          <w:szCs w:val="16"/>
        </w:rPr>
        <w:t>supra</w:t>
      </w:r>
      <w:r w:rsidRPr="00C837DD">
        <w:rPr>
          <w:rFonts w:cs="Calibri"/>
          <w:color w:val="000000"/>
          <w:sz w:val="16"/>
          <w:szCs w:val="16"/>
          <w:lang w:eastAsia="es-CR"/>
        </w:rPr>
        <w:t>.</w:t>
      </w:r>
    </w:p>
  </w:footnote>
  <w:footnote w:id="101">
    <w:p w14:paraId="41B3758B"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w:t>
      </w:r>
      <w:r w:rsidRPr="00C837DD">
        <w:rPr>
          <w:rFonts w:cs="Calibri"/>
          <w:color w:val="000000"/>
          <w:sz w:val="16"/>
          <w:szCs w:val="16"/>
          <w:lang w:eastAsia="es-CR"/>
        </w:rPr>
        <w:t xml:space="preserve">Antonio Lopes of Brito, </w:t>
      </w:r>
      <w:r w:rsidRPr="00C837DD">
        <w:rPr>
          <w:sz w:val="16"/>
          <w:szCs w:val="16"/>
        </w:rPr>
        <w:t>made on June 25, 1998 in the Homicide Division of João Pessoa</w:t>
      </w:r>
      <w:r w:rsidRPr="00C837DD">
        <w:rPr>
          <w:rFonts w:cs="Calibri"/>
          <w:color w:val="000000"/>
          <w:sz w:val="16"/>
          <w:szCs w:val="16"/>
          <w:lang w:eastAsia="es-CR"/>
        </w:rPr>
        <w:t xml:space="preserve"> </w:t>
      </w:r>
      <w:r w:rsidRPr="00C837DD">
        <w:rPr>
          <w:sz w:val="16"/>
          <w:szCs w:val="16"/>
        </w:rPr>
        <w:t>(evidence file, folios 51 and 52), and complaint of the Public Prosecutor’s Office against Deputy Aércio Pereira of October 8,1998 (evidence file, folios 10 to 16).</w:t>
      </w:r>
    </w:p>
  </w:footnote>
  <w:footnote w:id="102">
    <w:p w14:paraId="1CB120A7" w14:textId="112C278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Márcia Maria Gabarra Pires, made on June 22, 1998 </w:t>
      </w:r>
      <w:r w:rsidR="00F2005C" w:rsidRPr="00C837DD">
        <w:rPr>
          <w:sz w:val="16"/>
          <w:szCs w:val="16"/>
        </w:rPr>
        <w:t>at</w:t>
      </w:r>
      <w:r w:rsidRPr="00C837DD">
        <w:rPr>
          <w:sz w:val="16"/>
          <w:szCs w:val="16"/>
        </w:rPr>
        <w:t xml:space="preserve"> the Homicide Division of João Pessoa</w:t>
      </w:r>
      <w:r w:rsidRPr="00C837DD">
        <w:rPr>
          <w:rFonts w:cs="Calibri"/>
          <w:color w:val="000000"/>
          <w:sz w:val="16"/>
          <w:szCs w:val="16"/>
          <w:lang w:eastAsia="es-CR"/>
        </w:rPr>
        <w:t xml:space="preserve"> </w:t>
      </w:r>
      <w:r w:rsidRPr="00C837DD">
        <w:rPr>
          <w:sz w:val="16"/>
          <w:szCs w:val="16"/>
        </w:rPr>
        <w:t>(evidence file, folios 3880 and 3881), and complaint of the Public Prosecutor’s Office against Deputy Aércio Pereira, of October 8,1998 (evidence file, folios 10 to 16).</w:t>
      </w:r>
    </w:p>
  </w:footnote>
  <w:footnote w:id="103">
    <w:p w14:paraId="523E6143" w14:textId="4F66DCB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w:t>
      </w:r>
      <w:r w:rsidRPr="00C837DD">
        <w:rPr>
          <w:rFonts w:cs="Calibri"/>
          <w:color w:val="000000"/>
          <w:sz w:val="16"/>
          <w:szCs w:val="16"/>
          <w:lang w:eastAsia="es-CR"/>
        </w:rPr>
        <w:t xml:space="preserve">Antonio Lopes </w:t>
      </w:r>
      <w:r w:rsidR="00F2005C" w:rsidRPr="00C837DD">
        <w:rPr>
          <w:rFonts w:cs="Calibri"/>
          <w:color w:val="000000"/>
          <w:sz w:val="16"/>
          <w:szCs w:val="16"/>
          <w:lang w:eastAsia="es-CR"/>
        </w:rPr>
        <w:t>de</w:t>
      </w:r>
      <w:r w:rsidRPr="00C837DD">
        <w:rPr>
          <w:rFonts w:cs="Calibri"/>
          <w:color w:val="000000"/>
          <w:sz w:val="16"/>
          <w:szCs w:val="16"/>
          <w:lang w:eastAsia="es-CR"/>
        </w:rPr>
        <w:t xml:space="preserve"> Brito, of June </w:t>
      </w:r>
      <w:r w:rsidRPr="00C837DD">
        <w:rPr>
          <w:sz w:val="16"/>
          <w:szCs w:val="16"/>
        </w:rPr>
        <w:t xml:space="preserve">25, 1998 </w:t>
      </w:r>
      <w:r w:rsidR="00F2005C" w:rsidRPr="00C837DD">
        <w:rPr>
          <w:sz w:val="16"/>
          <w:szCs w:val="16"/>
        </w:rPr>
        <w:t>at</w:t>
      </w:r>
      <w:r w:rsidRPr="00C837DD">
        <w:rPr>
          <w:sz w:val="16"/>
          <w:szCs w:val="16"/>
        </w:rPr>
        <w:t xml:space="preserve"> the Homicide Division of João Pessoa</w:t>
      </w:r>
      <w:r w:rsidRPr="00C837DD">
        <w:rPr>
          <w:rFonts w:cs="Calibri"/>
          <w:color w:val="000000"/>
          <w:sz w:val="16"/>
          <w:szCs w:val="16"/>
          <w:lang w:eastAsia="es-CR"/>
        </w:rPr>
        <w:t xml:space="preserve"> </w:t>
      </w:r>
      <w:r w:rsidRPr="00C837DD">
        <w:rPr>
          <w:sz w:val="16"/>
          <w:szCs w:val="16"/>
        </w:rPr>
        <w:t xml:space="preserve">(evidence file, folios 51 and 52); Complaint of the Public Prosecutor’s Office against the Deputy Aércio Pereira, </w:t>
      </w:r>
      <w:r w:rsidRPr="00C837DD">
        <w:rPr>
          <w:i/>
          <w:sz w:val="16"/>
          <w:szCs w:val="16"/>
        </w:rPr>
        <w:t xml:space="preserve">supra, and </w:t>
      </w:r>
      <w:r w:rsidRPr="00C837DD">
        <w:rPr>
          <w:sz w:val="16"/>
          <w:szCs w:val="16"/>
        </w:rPr>
        <w:t xml:space="preserve">Final report of the </w:t>
      </w:r>
      <w:r w:rsidR="00F2005C" w:rsidRPr="00C837DD">
        <w:rPr>
          <w:sz w:val="16"/>
          <w:szCs w:val="16"/>
        </w:rPr>
        <w:t>p</w:t>
      </w:r>
      <w:r w:rsidRPr="00C837DD">
        <w:rPr>
          <w:sz w:val="16"/>
          <w:szCs w:val="16"/>
        </w:rPr>
        <w:t xml:space="preserve">olice department for crimes against the person  of August 27, 1998 </w:t>
      </w:r>
      <w:r w:rsidRPr="00C837DD">
        <w:rPr>
          <w:rFonts w:cs="Calibri"/>
          <w:color w:val="000000"/>
          <w:sz w:val="16"/>
          <w:szCs w:val="16"/>
          <w:lang w:eastAsia="es-CR"/>
        </w:rPr>
        <w:t xml:space="preserve">(evidence file folios 5 </w:t>
      </w:r>
      <w:r w:rsidR="006C79F3" w:rsidRPr="00C837DD">
        <w:rPr>
          <w:rFonts w:cs="Calibri"/>
          <w:color w:val="000000"/>
          <w:sz w:val="16"/>
          <w:szCs w:val="16"/>
          <w:lang w:eastAsia="es-CR"/>
        </w:rPr>
        <w:t>to</w:t>
      </w:r>
      <w:r w:rsidRPr="00C837DD">
        <w:rPr>
          <w:rFonts w:cs="Calibri"/>
          <w:color w:val="000000"/>
          <w:sz w:val="16"/>
          <w:szCs w:val="16"/>
          <w:lang w:eastAsia="es-CR"/>
        </w:rPr>
        <w:t xml:space="preserve"> 8)</w:t>
      </w:r>
      <w:r w:rsidRPr="00C837DD">
        <w:rPr>
          <w:sz w:val="16"/>
          <w:szCs w:val="16"/>
        </w:rPr>
        <w:t>.</w:t>
      </w:r>
    </w:p>
  </w:footnote>
  <w:footnote w:id="104">
    <w:p w14:paraId="3E2622D4" w14:textId="1B7B4D14"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Medical-legal autopsy report, </w:t>
      </w:r>
      <w:r w:rsidR="00B60BA3" w:rsidRPr="00C837DD">
        <w:rPr>
          <w:sz w:val="16"/>
          <w:szCs w:val="16"/>
        </w:rPr>
        <w:t xml:space="preserve">carried out on </w:t>
      </w:r>
      <w:r w:rsidRPr="00C837DD">
        <w:rPr>
          <w:sz w:val="16"/>
          <w:szCs w:val="16"/>
        </w:rPr>
        <w:t xml:space="preserve">June 18, 1998 (evidence file, folios 35 and 36); statement of the medical-legal expert </w:t>
      </w:r>
      <w:r w:rsidR="00C9001D" w:rsidRPr="00C837DD">
        <w:rPr>
          <w:sz w:val="16"/>
          <w:szCs w:val="16"/>
        </w:rPr>
        <w:t xml:space="preserve">before </w:t>
      </w:r>
      <w:r w:rsidRPr="00C837DD">
        <w:rPr>
          <w:sz w:val="16"/>
          <w:szCs w:val="16"/>
        </w:rPr>
        <w:t xml:space="preserve">the </w:t>
      </w:r>
      <w:r w:rsidR="00B60BA3" w:rsidRPr="00C837DD">
        <w:rPr>
          <w:sz w:val="16"/>
          <w:szCs w:val="16"/>
        </w:rPr>
        <w:t>Attorney General's Office of Paraíba, carried out on October 2, 1998</w:t>
      </w:r>
      <w:r w:rsidRPr="00C837DD">
        <w:rPr>
          <w:sz w:val="16"/>
          <w:szCs w:val="16"/>
        </w:rPr>
        <w:t xml:space="preserve"> (evidence file, folios 48 and 49), and complaint of the Public Prosecutor’s Office against Deputy Aércio Pereira, </w:t>
      </w:r>
      <w:r w:rsidRPr="00C837DD">
        <w:rPr>
          <w:i/>
          <w:sz w:val="16"/>
          <w:szCs w:val="16"/>
        </w:rPr>
        <w:t>supra</w:t>
      </w:r>
      <w:r w:rsidRPr="00C837DD">
        <w:rPr>
          <w:sz w:val="16"/>
          <w:szCs w:val="16"/>
        </w:rPr>
        <w:t>.</w:t>
      </w:r>
    </w:p>
  </w:footnote>
  <w:footnote w:id="105">
    <w:p w14:paraId="5812F089" w14:textId="2770FEAA"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4103B1" w:rsidRPr="00C837DD">
        <w:rPr>
          <w:sz w:val="16"/>
          <w:szCs w:val="16"/>
        </w:rPr>
        <w:t>p</w:t>
      </w:r>
      <w:r w:rsidRPr="00C837DD">
        <w:rPr>
          <w:sz w:val="16"/>
          <w:szCs w:val="16"/>
        </w:rPr>
        <w:t xml:space="preserve">olice department for crimes against the person , </w:t>
      </w:r>
      <w:r w:rsidRPr="00C837DD">
        <w:rPr>
          <w:i/>
          <w:sz w:val="16"/>
          <w:szCs w:val="16"/>
        </w:rPr>
        <w:t>supra.</w:t>
      </w:r>
    </w:p>
  </w:footnote>
  <w:footnote w:id="106">
    <w:p w14:paraId="69A2A995"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medical-legal expert before the Attorney General’s Office of Paraíba, </w:t>
      </w:r>
      <w:r w:rsidRPr="00C837DD">
        <w:rPr>
          <w:i/>
          <w:sz w:val="16"/>
          <w:szCs w:val="16"/>
        </w:rPr>
        <w:t xml:space="preserve">supra </w:t>
      </w:r>
      <w:r w:rsidRPr="00C837DD">
        <w:rPr>
          <w:sz w:val="16"/>
          <w:szCs w:val="16"/>
        </w:rPr>
        <w:t>(evidence file, folio 49).</w:t>
      </w:r>
    </w:p>
  </w:footnote>
  <w:footnote w:id="107">
    <w:p w14:paraId="2050B5F6"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Brazilian Criminal Code, in Article 121.2, contemplates some circumstances that make the crime of homicide more serious and, therefore, increase the penalty. A murder that takes place under any of these circumstances is classified as “aggravated homicide.”</w:t>
      </w:r>
    </w:p>
  </w:footnote>
  <w:footnote w:id="108">
    <w:p w14:paraId="5361695F"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Complaint of the Public Prosecutor’s Office against the Deputy Aércio Pereira, of October 8, 1998 (evidence file, folios 10 to 16).</w:t>
      </w:r>
    </w:p>
  </w:footnote>
  <w:footnote w:id="109">
    <w:p w14:paraId="5B143488" w14:textId="4A13548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4103B1" w:rsidRPr="00C837DD">
        <w:rPr>
          <w:sz w:val="16"/>
          <w:szCs w:val="16"/>
        </w:rPr>
        <w:t>p</w:t>
      </w:r>
      <w:r w:rsidRPr="00C837DD">
        <w:rPr>
          <w:sz w:val="16"/>
          <w:szCs w:val="16"/>
        </w:rPr>
        <w:t xml:space="preserve">olice department for crimes against the person, </w:t>
      </w:r>
      <w:r w:rsidRPr="00C837DD">
        <w:rPr>
          <w:i/>
          <w:sz w:val="16"/>
          <w:szCs w:val="16"/>
        </w:rPr>
        <w:t xml:space="preserve">supra, and </w:t>
      </w:r>
      <w:r w:rsidR="004103B1" w:rsidRPr="00C837DD">
        <w:rPr>
          <w:sz w:val="16"/>
          <w:szCs w:val="16"/>
        </w:rPr>
        <w:t>s</w:t>
      </w:r>
      <w:r w:rsidRPr="00C837DD">
        <w:rPr>
          <w:sz w:val="16"/>
          <w:szCs w:val="16"/>
        </w:rPr>
        <w:t xml:space="preserve">tatement of M.S.C, </w:t>
      </w:r>
      <w:r w:rsidRPr="00C837DD">
        <w:rPr>
          <w:i/>
          <w:sz w:val="16"/>
          <w:szCs w:val="16"/>
        </w:rPr>
        <w:t>supra</w:t>
      </w:r>
      <w:r w:rsidRPr="00C837DD">
        <w:rPr>
          <w:sz w:val="16"/>
          <w:szCs w:val="16"/>
        </w:rPr>
        <w:t>.</w:t>
      </w:r>
    </w:p>
  </w:footnote>
  <w:footnote w:id="110">
    <w:p w14:paraId="31302923" w14:textId="7BFE3C08"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then </w:t>
      </w:r>
      <w:r w:rsidR="00BA0F2C" w:rsidRPr="00C837DD">
        <w:rPr>
          <w:sz w:val="16"/>
          <w:szCs w:val="16"/>
        </w:rPr>
        <w:t>d</w:t>
      </w:r>
      <w:r w:rsidRPr="00C837DD">
        <w:rPr>
          <w:sz w:val="16"/>
          <w:szCs w:val="16"/>
        </w:rPr>
        <w:t>eputy Aércio Pereira de Lima, rendered on September 24, 1998, before the Attorney General’s Office of Paraíba (evidence file, folios 79 to 83).</w:t>
      </w:r>
    </w:p>
  </w:footnote>
  <w:footnote w:id="111">
    <w:p w14:paraId="1FA6F47D" w14:textId="5B8C68BA"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Final report of the </w:t>
      </w:r>
      <w:r w:rsidR="00BA0F2C" w:rsidRPr="00C837DD">
        <w:rPr>
          <w:sz w:val="16"/>
          <w:szCs w:val="16"/>
        </w:rPr>
        <w:t>p</w:t>
      </w:r>
      <w:r w:rsidRPr="00C837DD">
        <w:rPr>
          <w:sz w:val="16"/>
          <w:szCs w:val="16"/>
        </w:rPr>
        <w:t xml:space="preserve">olice department for crimes against the person, </w:t>
      </w:r>
      <w:r w:rsidRPr="00C837DD">
        <w:rPr>
          <w:i/>
          <w:sz w:val="16"/>
          <w:szCs w:val="16"/>
        </w:rPr>
        <w:t>supra.</w:t>
      </w:r>
    </w:p>
  </w:footnote>
  <w:footnote w:id="112">
    <w:p w14:paraId="62FE31E8" w14:textId="19AEE09C"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Request for authorization of further inquiries, presented by the Public Prosecutor’s Office to the </w:t>
      </w:r>
      <w:r w:rsidR="00BA0F2C" w:rsidRPr="00C837DD">
        <w:rPr>
          <w:sz w:val="16"/>
          <w:szCs w:val="16"/>
        </w:rPr>
        <w:t>j</w:t>
      </w:r>
      <w:r w:rsidRPr="00C837DD">
        <w:rPr>
          <w:sz w:val="16"/>
          <w:szCs w:val="16"/>
        </w:rPr>
        <w:t>udge, o</w:t>
      </w:r>
      <w:r w:rsidR="00BA0F2C" w:rsidRPr="00C837DD">
        <w:rPr>
          <w:sz w:val="16"/>
          <w:szCs w:val="16"/>
        </w:rPr>
        <w:t>n</w:t>
      </w:r>
      <w:r w:rsidRPr="00C837DD">
        <w:rPr>
          <w:sz w:val="16"/>
          <w:szCs w:val="16"/>
        </w:rPr>
        <w:t xml:space="preserve"> July 27, 1998 (evidence file, folios 54 to 57).</w:t>
      </w:r>
    </w:p>
  </w:footnote>
  <w:footnote w:id="113">
    <w:p w14:paraId="4CCD6A98"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Cover page of the police investigation file (evidence file, folios 3844).</w:t>
      </w:r>
    </w:p>
  </w:footnote>
  <w:footnote w:id="114">
    <w:p w14:paraId="7F7F36D6" w14:textId="0B886D3C"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Report of the </w:t>
      </w:r>
      <w:r w:rsidR="00BA0F2C" w:rsidRPr="00C837DD">
        <w:rPr>
          <w:sz w:val="16"/>
          <w:szCs w:val="16"/>
        </w:rPr>
        <w:t xml:space="preserve">Police </w:t>
      </w:r>
      <w:r w:rsidRPr="00C837DD">
        <w:rPr>
          <w:sz w:val="16"/>
          <w:szCs w:val="16"/>
        </w:rPr>
        <w:t xml:space="preserve">Commissioner of the department </w:t>
      </w:r>
      <w:r w:rsidR="00BA0F2C" w:rsidRPr="00C837DD">
        <w:rPr>
          <w:sz w:val="16"/>
          <w:szCs w:val="16"/>
        </w:rPr>
        <w:t xml:space="preserve">of </w:t>
      </w:r>
      <w:r w:rsidRPr="00C837DD">
        <w:rPr>
          <w:sz w:val="16"/>
          <w:szCs w:val="16"/>
        </w:rPr>
        <w:t>crimes against the person of João Pessoa, of July 21, 1998 (evidence file folios 3931 to 3934).</w:t>
      </w:r>
    </w:p>
  </w:footnote>
  <w:footnote w:id="115">
    <w:p w14:paraId="4E67A5FA" w14:textId="06274092"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For example, in response to the questions asked, </w:t>
      </w:r>
      <w:r w:rsidR="00BA0F2C" w:rsidRPr="00C837DD">
        <w:rPr>
          <w:sz w:val="16"/>
          <w:szCs w:val="16"/>
        </w:rPr>
        <w:t>U.M.S</w:t>
      </w:r>
      <w:r w:rsidR="001E35C8" w:rsidRPr="00C837DD">
        <w:rPr>
          <w:sz w:val="16"/>
          <w:szCs w:val="16"/>
        </w:rPr>
        <w:t>.</w:t>
      </w:r>
      <w:r w:rsidR="00BA0F2C" w:rsidRPr="00C837DD">
        <w:rPr>
          <w:sz w:val="16"/>
          <w:szCs w:val="16"/>
        </w:rPr>
        <w:t xml:space="preserve"> </w:t>
      </w:r>
      <w:r w:rsidRPr="00C837DD">
        <w:rPr>
          <w:sz w:val="16"/>
          <w:szCs w:val="16"/>
        </w:rPr>
        <w:t>made significant references to Márcia Barbosa</w:t>
      </w:r>
      <w:r w:rsidR="00BA0F2C" w:rsidRPr="00C837DD">
        <w:rPr>
          <w:sz w:val="16"/>
          <w:szCs w:val="16"/>
        </w:rPr>
        <w:t>’s sexuality</w:t>
      </w:r>
      <w:r w:rsidRPr="00C837DD">
        <w:rPr>
          <w:sz w:val="16"/>
          <w:szCs w:val="16"/>
        </w:rPr>
        <w:t xml:space="preserve"> and to aspects of her personal life. During his testimony, on May 20, 2003, he </w:t>
      </w:r>
      <w:r w:rsidR="00DB1DE4" w:rsidRPr="00C837DD">
        <w:rPr>
          <w:sz w:val="16"/>
          <w:szCs w:val="16"/>
        </w:rPr>
        <w:t xml:space="preserve">confirmed that </w:t>
      </w:r>
      <w:r w:rsidRPr="00C837DD">
        <w:rPr>
          <w:iCs/>
          <w:sz w:val="16"/>
          <w:szCs w:val="16"/>
        </w:rPr>
        <w:t>his wife</w:t>
      </w:r>
      <w:r w:rsidRPr="00C837DD">
        <w:rPr>
          <w:i/>
          <w:sz w:val="16"/>
          <w:szCs w:val="16"/>
        </w:rPr>
        <w:t xml:space="preserve"> </w:t>
      </w:r>
      <w:r w:rsidR="00DB1DE4" w:rsidRPr="00C837DD">
        <w:rPr>
          <w:i/>
          <w:sz w:val="16"/>
          <w:szCs w:val="16"/>
        </w:rPr>
        <w:t>“</w:t>
      </w:r>
      <w:r w:rsidRPr="00C837DD">
        <w:rPr>
          <w:i/>
          <w:sz w:val="16"/>
          <w:szCs w:val="16"/>
        </w:rPr>
        <w:t xml:space="preserve">expressed concern about Márcia’s excessive drug use, when she had it easy; that Márcia, the victim, was a novice addict […]; </w:t>
      </w:r>
      <w:r w:rsidR="001E35C8" w:rsidRPr="00C837DD">
        <w:rPr>
          <w:i/>
          <w:sz w:val="16"/>
          <w:szCs w:val="16"/>
        </w:rPr>
        <w:t xml:space="preserve">that </w:t>
      </w:r>
      <w:r w:rsidR="00FC3DDA" w:rsidRPr="00C837DD">
        <w:rPr>
          <w:i/>
          <w:sz w:val="16"/>
          <w:szCs w:val="16"/>
        </w:rPr>
        <w:t xml:space="preserve">when questioned </w:t>
      </w:r>
      <w:r w:rsidRPr="00C837DD">
        <w:rPr>
          <w:i/>
          <w:sz w:val="16"/>
          <w:szCs w:val="16"/>
        </w:rPr>
        <w:t xml:space="preserve">by the </w:t>
      </w:r>
      <w:r w:rsidR="00FC3DDA" w:rsidRPr="00C837DD">
        <w:rPr>
          <w:i/>
          <w:sz w:val="16"/>
          <w:szCs w:val="16"/>
        </w:rPr>
        <w:t>j</w:t>
      </w:r>
      <w:r w:rsidRPr="00C837DD">
        <w:rPr>
          <w:i/>
          <w:sz w:val="16"/>
          <w:szCs w:val="16"/>
        </w:rPr>
        <w:t xml:space="preserve">udge, </w:t>
      </w:r>
      <w:r w:rsidR="00FC3DDA" w:rsidRPr="00C837DD">
        <w:rPr>
          <w:i/>
          <w:sz w:val="16"/>
          <w:szCs w:val="16"/>
        </w:rPr>
        <w:t xml:space="preserve">he stated </w:t>
      </w:r>
      <w:r w:rsidRPr="00C837DD">
        <w:rPr>
          <w:i/>
          <w:sz w:val="16"/>
          <w:szCs w:val="16"/>
        </w:rPr>
        <w:t>that Márcia Barbosa met Aércio "s</w:t>
      </w:r>
      <w:r w:rsidR="001E35C8" w:rsidRPr="00C837DD">
        <w:rPr>
          <w:i/>
          <w:sz w:val="16"/>
          <w:szCs w:val="16"/>
        </w:rPr>
        <w:t>melling</w:t>
      </w:r>
      <w:r w:rsidRPr="00C837DD">
        <w:rPr>
          <w:i/>
          <w:sz w:val="16"/>
          <w:szCs w:val="16"/>
        </w:rPr>
        <w:t xml:space="preserve">" but </w:t>
      </w:r>
      <w:r w:rsidR="001E35C8" w:rsidRPr="00C837DD">
        <w:rPr>
          <w:i/>
          <w:sz w:val="16"/>
          <w:szCs w:val="16"/>
        </w:rPr>
        <w:t>at the deponent’s house</w:t>
      </w:r>
      <w:r w:rsidRPr="00C837DD">
        <w:rPr>
          <w:i/>
          <w:sz w:val="16"/>
          <w:szCs w:val="16"/>
        </w:rPr>
        <w:t xml:space="preserve">. </w:t>
      </w:r>
      <w:r w:rsidRPr="00C837DD">
        <w:rPr>
          <w:sz w:val="16"/>
          <w:szCs w:val="16"/>
        </w:rPr>
        <w:t xml:space="preserve">Similarly, on September 26, 2007, in his statement before the Jury Court, M.S.C. stated that Márcia Barbosa had gone to the </w:t>
      </w:r>
      <w:r w:rsidR="005F0679" w:rsidRPr="00C837DD">
        <w:rPr>
          <w:sz w:val="16"/>
          <w:szCs w:val="16"/>
        </w:rPr>
        <w:t>Trevo Motel</w:t>
      </w:r>
      <w:r w:rsidRPr="00C837DD">
        <w:rPr>
          <w:sz w:val="16"/>
          <w:szCs w:val="16"/>
        </w:rPr>
        <w:t xml:space="preserve"> to “prostitute herself”, since “you don’t go [to a motel] to pray.” </w:t>
      </w:r>
      <w:r w:rsidRPr="00C837DD">
        <w:rPr>
          <w:i/>
          <w:sz w:val="16"/>
          <w:szCs w:val="16"/>
        </w:rPr>
        <w:t xml:space="preserve">Cf. </w:t>
      </w:r>
      <w:r w:rsidR="001E35C8" w:rsidRPr="00C837DD">
        <w:rPr>
          <w:sz w:val="16"/>
          <w:szCs w:val="16"/>
        </w:rPr>
        <w:t xml:space="preserve">Provisional decision </w:t>
      </w:r>
      <w:r w:rsidRPr="00C837DD">
        <w:rPr>
          <w:sz w:val="16"/>
          <w:szCs w:val="16"/>
        </w:rPr>
        <w:t>of July 27, 2005 (evidence file, folios 576 to 577), and Statement of M.S.C, made on September 27, 2007 before the First Jury Court (evidence file, folio 3166).</w:t>
      </w:r>
    </w:p>
  </w:footnote>
  <w:footnote w:id="116">
    <w:p w14:paraId="795759EF"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w:t>
      </w:r>
      <w:r w:rsidRPr="00C837DD">
        <w:rPr>
          <w:i/>
          <w:sz w:val="16"/>
          <w:szCs w:val="16"/>
        </w:rPr>
        <w:t xml:space="preserve"> </w:t>
      </w:r>
      <w:r w:rsidRPr="00C837DD">
        <w:rPr>
          <w:sz w:val="16"/>
          <w:szCs w:val="16"/>
        </w:rPr>
        <w:t xml:space="preserve">Soraia da Rosa Mendes, </w:t>
      </w:r>
      <w:r w:rsidRPr="00C837DD">
        <w:rPr>
          <w:i/>
          <w:sz w:val="16"/>
          <w:szCs w:val="16"/>
        </w:rPr>
        <w:t>supra</w:t>
      </w:r>
      <w:r w:rsidRPr="00C837DD">
        <w:rPr>
          <w:sz w:val="16"/>
          <w:szCs w:val="16"/>
        </w:rPr>
        <w:t xml:space="preserve"> (merits file, folio 10445)</w:t>
      </w:r>
      <w:r w:rsidRPr="00C837DD">
        <w:rPr>
          <w:rFonts w:cs="Arial"/>
          <w:sz w:val="16"/>
          <w:szCs w:val="16"/>
        </w:rPr>
        <w:t>.</w:t>
      </w:r>
    </w:p>
  </w:footnote>
  <w:footnote w:id="117">
    <w:p w14:paraId="2722182B"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Note of the prosecutor in the police investigation file of July 23, 1998 (evidence file, folios 3942). </w:t>
      </w:r>
    </w:p>
  </w:footnote>
  <w:footnote w:id="118">
    <w:p w14:paraId="6205E44A"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Request for authorization of further inquiries, presented by the Public Prosecutor’s Office to the Judge, on July 27, 1998 (evidence file, folios 54 to 57).</w:t>
      </w:r>
    </w:p>
  </w:footnote>
  <w:footnote w:id="119">
    <w:p w14:paraId="1713CD57"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i/>
          <w:sz w:val="16"/>
          <w:szCs w:val="16"/>
        </w:rPr>
        <w:t xml:space="preserve"> </w:t>
      </w:r>
      <w:r w:rsidRPr="00C837DD">
        <w:rPr>
          <w:i/>
          <w:sz w:val="16"/>
          <w:szCs w:val="16"/>
        </w:rPr>
        <w:tab/>
        <w:t>Cf.</w:t>
      </w:r>
      <w:r w:rsidRPr="00C837DD">
        <w:rPr>
          <w:sz w:val="16"/>
          <w:szCs w:val="16"/>
        </w:rPr>
        <w:t xml:space="preserve"> Decision of the judge of July 28, 1998 (evidence file, folio 59).</w:t>
      </w:r>
    </w:p>
  </w:footnote>
  <w:footnote w:id="120">
    <w:p w14:paraId="6DB95001"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Official letter No. 005/98, to Aércio Pereira de Lima of August 19, 1998 </w:t>
      </w:r>
      <w:r w:rsidRPr="00C837DD">
        <w:rPr>
          <w:sz w:val="16"/>
          <w:szCs w:val="16"/>
        </w:rPr>
        <w:t>(evidence file, folios 62).</w:t>
      </w:r>
    </w:p>
  </w:footnote>
  <w:footnote w:id="121">
    <w:p w14:paraId="793F288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Response of Aércio Pereira de Lima, presented on August 24, 1998 (evidence file, folios 64 and 65).</w:t>
      </w:r>
    </w:p>
  </w:footnote>
  <w:footnote w:id="122">
    <w:p w14:paraId="0703A289"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Police report of August 27, 1998 </w:t>
      </w:r>
      <w:r w:rsidRPr="00C837DD">
        <w:rPr>
          <w:sz w:val="16"/>
          <w:szCs w:val="16"/>
        </w:rPr>
        <w:t>(evidence file, folios 67 to 70).</w:t>
      </w:r>
    </w:p>
  </w:footnote>
  <w:footnote w:id="123">
    <w:p w14:paraId="317F183E"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Request of the Public Prosecutor’s Office of September 4, 1998 </w:t>
      </w:r>
      <w:r w:rsidRPr="00C837DD">
        <w:rPr>
          <w:sz w:val="16"/>
          <w:szCs w:val="16"/>
        </w:rPr>
        <w:t>(evidence file, folios 72 to 74).</w:t>
      </w:r>
    </w:p>
  </w:footnote>
  <w:footnote w:id="124">
    <w:p w14:paraId="73D1DE62" w14:textId="4D44EC1A"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Acknowledgement of receipt </w:t>
      </w:r>
      <w:r w:rsidR="0058180C" w:rsidRPr="00C837DD">
        <w:rPr>
          <w:sz w:val="16"/>
          <w:szCs w:val="16"/>
        </w:rPr>
        <w:t xml:space="preserve">from </w:t>
      </w:r>
      <w:r w:rsidRPr="00C837DD">
        <w:rPr>
          <w:sz w:val="16"/>
          <w:szCs w:val="16"/>
        </w:rPr>
        <w:t>the Attorney General's Office (evidence file, folio 75).</w:t>
      </w:r>
    </w:p>
  </w:footnote>
  <w:footnote w:id="125">
    <w:p w14:paraId="554D49F7"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Letter from the Attorney General’s Office of September 14, 1998 </w:t>
      </w:r>
      <w:r w:rsidRPr="00C837DD">
        <w:rPr>
          <w:sz w:val="16"/>
          <w:szCs w:val="16"/>
        </w:rPr>
        <w:t>(evidence file, folios 4132 and 4133).</w:t>
      </w:r>
    </w:p>
  </w:footnote>
  <w:footnote w:id="126">
    <w:p w14:paraId="111B6605" w14:textId="66C3B98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Complaint of the Public Prosecutor’s Office against </w:t>
      </w:r>
      <w:r w:rsidR="0058180C" w:rsidRPr="00C837DD">
        <w:rPr>
          <w:sz w:val="16"/>
          <w:szCs w:val="16"/>
        </w:rPr>
        <w:t>D</w:t>
      </w:r>
      <w:r w:rsidRPr="00C837DD">
        <w:rPr>
          <w:sz w:val="16"/>
          <w:szCs w:val="16"/>
        </w:rPr>
        <w:t>eputy Aércio Pereira of October 8, 1998 (evidence file, folios 10 to 16).</w:t>
      </w:r>
    </w:p>
  </w:footnote>
  <w:footnote w:id="127">
    <w:p w14:paraId="632586C3" w14:textId="68227404"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Letter requesting authorization to open criminal proceedings against Deputy Aércio Pereira de Lima, of October 14, 1998 </w:t>
      </w:r>
      <w:r w:rsidRPr="00C837DD">
        <w:rPr>
          <w:sz w:val="16"/>
          <w:szCs w:val="16"/>
        </w:rPr>
        <w:t>(evidence file, folios 25).</w:t>
      </w:r>
    </w:p>
  </w:footnote>
  <w:footnote w:id="128">
    <w:p w14:paraId="31AFC27A" w14:textId="742ED4C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Resolution of the Legislative Assembly of Paraíba denying the request for authorization to criminally prosecute </w:t>
      </w:r>
      <w:r w:rsidR="0058180C" w:rsidRPr="00C837DD">
        <w:rPr>
          <w:rFonts w:cs="Calibri"/>
          <w:color w:val="000000"/>
          <w:sz w:val="16"/>
          <w:szCs w:val="16"/>
          <w:lang w:eastAsia="es-CR"/>
        </w:rPr>
        <w:t>then D</w:t>
      </w:r>
      <w:r w:rsidRPr="00C837DD">
        <w:rPr>
          <w:rFonts w:cs="Calibri"/>
          <w:color w:val="000000"/>
          <w:sz w:val="16"/>
          <w:szCs w:val="16"/>
          <w:lang w:eastAsia="es-CR"/>
        </w:rPr>
        <w:t xml:space="preserve">eputy Aércio Pereira de Lima, published on December 18, 1998 </w:t>
      </w:r>
      <w:r w:rsidRPr="00C837DD">
        <w:rPr>
          <w:sz w:val="16"/>
          <w:szCs w:val="16"/>
        </w:rPr>
        <w:t>(evidence file, folios 27 to 30).</w:t>
      </w:r>
    </w:p>
  </w:footnote>
  <w:footnote w:id="129">
    <w:p w14:paraId="3EC4A1C8" w14:textId="649BFD52"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New letter requesting authorization to open criminal proceedings against then Deputy Aércio Pereira de Lima, of March </w:t>
      </w:r>
      <w:r w:rsidR="0058180C" w:rsidRPr="00C837DD">
        <w:rPr>
          <w:rFonts w:cs="Calibri"/>
          <w:color w:val="000000"/>
          <w:sz w:val="16"/>
          <w:szCs w:val="16"/>
          <w:lang w:eastAsia="es-CR"/>
        </w:rPr>
        <w:t xml:space="preserve">31, </w:t>
      </w:r>
      <w:r w:rsidRPr="00C837DD">
        <w:rPr>
          <w:rFonts w:cs="Calibri"/>
          <w:color w:val="000000"/>
          <w:sz w:val="16"/>
          <w:szCs w:val="16"/>
          <w:lang w:eastAsia="es-CR"/>
        </w:rPr>
        <w:t xml:space="preserve">1999 </w:t>
      </w:r>
      <w:r w:rsidRPr="00C837DD">
        <w:rPr>
          <w:sz w:val="16"/>
          <w:szCs w:val="16"/>
        </w:rPr>
        <w:t>(evidence file, folio 32).</w:t>
      </w:r>
    </w:p>
  </w:footnote>
  <w:footnote w:id="130">
    <w:p w14:paraId="187F38DF" w14:textId="6F7E50F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Letter Nº 0008/GP </w:t>
      </w:r>
      <w:r w:rsidR="0058180C" w:rsidRPr="00C837DD">
        <w:rPr>
          <w:rFonts w:cs="Calibri"/>
          <w:color w:val="000000"/>
          <w:sz w:val="16"/>
          <w:szCs w:val="16"/>
          <w:lang w:eastAsia="es-CR"/>
        </w:rPr>
        <w:t xml:space="preserve">from </w:t>
      </w:r>
      <w:r w:rsidRPr="00C837DD">
        <w:rPr>
          <w:rFonts w:cs="Calibri"/>
          <w:color w:val="000000"/>
          <w:sz w:val="16"/>
          <w:szCs w:val="16"/>
          <w:lang w:eastAsia="es-CR"/>
        </w:rPr>
        <w:t xml:space="preserve">the President of the Legislative Assembly of Paraíba </w:t>
      </w:r>
      <w:r w:rsidR="0058180C" w:rsidRPr="00C837DD">
        <w:rPr>
          <w:rFonts w:cs="Calibri"/>
          <w:color w:val="000000"/>
          <w:sz w:val="16"/>
          <w:szCs w:val="16"/>
          <w:lang w:eastAsia="es-CR"/>
        </w:rPr>
        <w:t xml:space="preserve">to the </w:t>
      </w:r>
      <w:r w:rsidRPr="00C837DD">
        <w:rPr>
          <w:rFonts w:cs="Calibri"/>
          <w:color w:val="000000"/>
          <w:sz w:val="16"/>
          <w:szCs w:val="16"/>
          <w:lang w:eastAsia="es-CR"/>
        </w:rPr>
        <w:t xml:space="preserve">President of the Court of Justice, </w:t>
      </w:r>
      <w:r w:rsidR="0058180C" w:rsidRPr="00C837DD">
        <w:rPr>
          <w:rFonts w:cs="Calibri"/>
          <w:color w:val="000000"/>
          <w:sz w:val="16"/>
          <w:szCs w:val="16"/>
          <w:lang w:eastAsia="es-CR"/>
        </w:rPr>
        <w:t xml:space="preserve">dated </w:t>
      </w:r>
      <w:r w:rsidRPr="00C837DD">
        <w:rPr>
          <w:rFonts w:cs="Calibri"/>
          <w:color w:val="000000"/>
          <w:sz w:val="16"/>
          <w:szCs w:val="16"/>
          <w:lang w:eastAsia="es-CR"/>
        </w:rPr>
        <w:t xml:space="preserve">February 9, 2000 </w:t>
      </w:r>
      <w:r w:rsidRPr="00C837DD">
        <w:rPr>
          <w:sz w:val="16"/>
          <w:szCs w:val="16"/>
        </w:rPr>
        <w:t>(evidence file, folio 101).</w:t>
      </w:r>
    </w:p>
  </w:footnote>
  <w:footnote w:id="131">
    <w:p w14:paraId="63B573D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Communication of April 12, 2002 </w:t>
      </w:r>
      <w:r w:rsidRPr="00C837DD">
        <w:rPr>
          <w:sz w:val="16"/>
          <w:szCs w:val="16"/>
        </w:rPr>
        <w:t>(evidence file, folios 103 and 104).</w:t>
      </w:r>
    </w:p>
  </w:footnote>
  <w:footnote w:id="132">
    <w:p w14:paraId="432ACF9C" w14:textId="7BEB320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Order to send the </w:t>
      </w:r>
      <w:r w:rsidR="0058180C" w:rsidRPr="00C837DD">
        <w:rPr>
          <w:sz w:val="16"/>
          <w:szCs w:val="16"/>
        </w:rPr>
        <w:t xml:space="preserve">case </w:t>
      </w:r>
      <w:r w:rsidRPr="00C837DD">
        <w:rPr>
          <w:sz w:val="16"/>
          <w:szCs w:val="16"/>
        </w:rPr>
        <w:t>file to the Attorney General's Office of April 16, 2002</w:t>
      </w:r>
      <w:r w:rsidRPr="00C837DD">
        <w:rPr>
          <w:rFonts w:cs="Calibri"/>
          <w:color w:val="000000"/>
          <w:sz w:val="16"/>
          <w:szCs w:val="16"/>
          <w:lang w:eastAsia="es-CR"/>
        </w:rPr>
        <w:t xml:space="preserve"> </w:t>
      </w:r>
      <w:r w:rsidRPr="00C837DD">
        <w:rPr>
          <w:sz w:val="16"/>
          <w:szCs w:val="16"/>
        </w:rPr>
        <w:t>(evidence file, folio 108).</w:t>
      </w:r>
    </w:p>
  </w:footnote>
  <w:footnote w:id="133">
    <w:p w14:paraId="5C6B63D8"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Written opinion of the </w:t>
      </w:r>
      <w:r w:rsidRPr="00C837DD">
        <w:rPr>
          <w:sz w:val="16"/>
          <w:szCs w:val="16"/>
        </w:rPr>
        <w:t>Attorney General</w:t>
      </w:r>
      <w:r w:rsidRPr="00C837DD">
        <w:rPr>
          <w:rFonts w:cs="Calibri"/>
          <w:color w:val="000000"/>
          <w:sz w:val="16"/>
          <w:szCs w:val="16"/>
          <w:lang w:eastAsia="es-CR"/>
        </w:rPr>
        <w:t xml:space="preserve"> of October 21, 2002 </w:t>
      </w:r>
      <w:r w:rsidRPr="00C837DD">
        <w:rPr>
          <w:sz w:val="16"/>
          <w:szCs w:val="16"/>
        </w:rPr>
        <w:t>(evidence file, folios 111 to 114).</w:t>
      </w:r>
    </w:p>
  </w:footnote>
  <w:footnote w:id="134">
    <w:p w14:paraId="1EE23CF2" w14:textId="588C211C"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Order of the </w:t>
      </w:r>
      <w:r w:rsidR="0058180C" w:rsidRPr="00C837DD">
        <w:rPr>
          <w:sz w:val="16"/>
          <w:szCs w:val="16"/>
        </w:rPr>
        <w:t xml:space="preserve">reporting </w:t>
      </w:r>
      <w:r w:rsidRPr="00C837DD">
        <w:rPr>
          <w:sz w:val="16"/>
          <w:szCs w:val="16"/>
        </w:rPr>
        <w:t xml:space="preserve">magistrate of </w:t>
      </w:r>
      <w:r w:rsidRPr="00C837DD">
        <w:rPr>
          <w:rFonts w:cs="Calibri"/>
          <w:color w:val="000000"/>
          <w:sz w:val="16"/>
          <w:szCs w:val="16"/>
          <w:lang w:eastAsia="es-CR"/>
        </w:rPr>
        <w:t xml:space="preserve">February 3, 2003 </w:t>
      </w:r>
      <w:r w:rsidRPr="00C837DD">
        <w:rPr>
          <w:sz w:val="16"/>
          <w:szCs w:val="16"/>
        </w:rPr>
        <w:t>(evidence file, folio 118).</w:t>
      </w:r>
    </w:p>
  </w:footnote>
  <w:footnote w:id="135">
    <w:p w14:paraId="6848E3D5"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rFonts w:cs="Calibri"/>
          <w:color w:val="000000"/>
          <w:sz w:val="16"/>
          <w:szCs w:val="16"/>
          <w:lang w:eastAsia="es-CR"/>
        </w:rPr>
        <w:t xml:space="preserve">Letter Nº 24/2003/SJ of February 14, 2003 </w:t>
      </w:r>
      <w:r w:rsidRPr="00C837DD">
        <w:rPr>
          <w:sz w:val="16"/>
          <w:szCs w:val="16"/>
        </w:rPr>
        <w:t>(evidence file, folio 120).</w:t>
      </w:r>
    </w:p>
  </w:footnote>
  <w:footnote w:id="136">
    <w:p w14:paraId="4F594D00" w14:textId="636F01F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Order of the </w:t>
      </w:r>
      <w:r w:rsidR="0058180C" w:rsidRPr="00C837DD">
        <w:rPr>
          <w:sz w:val="16"/>
          <w:szCs w:val="16"/>
        </w:rPr>
        <w:t xml:space="preserve">reporting </w:t>
      </w:r>
      <w:r w:rsidRPr="00C837DD">
        <w:rPr>
          <w:sz w:val="16"/>
          <w:szCs w:val="16"/>
        </w:rPr>
        <w:t xml:space="preserve">magistrate of </w:t>
      </w:r>
      <w:r w:rsidRPr="00C837DD">
        <w:rPr>
          <w:rFonts w:cs="Calibri"/>
          <w:color w:val="000000"/>
          <w:sz w:val="16"/>
          <w:szCs w:val="16"/>
          <w:lang w:eastAsia="es-CR"/>
        </w:rPr>
        <w:t>February 24, 2003</w:t>
      </w:r>
      <w:r w:rsidRPr="00C837DD">
        <w:rPr>
          <w:sz w:val="16"/>
          <w:szCs w:val="16"/>
        </w:rPr>
        <w:t xml:space="preserve"> (evidence file, folio 122).</w:t>
      </w:r>
    </w:p>
  </w:footnote>
  <w:footnote w:id="137">
    <w:p w14:paraId="2FEBE50C" w14:textId="7402E6DA"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Decision of the </w:t>
      </w:r>
      <w:r w:rsidR="00D34CF0" w:rsidRPr="00C837DD">
        <w:rPr>
          <w:sz w:val="16"/>
          <w:szCs w:val="16"/>
        </w:rPr>
        <w:t>presiding j</w:t>
      </w:r>
      <w:r w:rsidRPr="00C837DD">
        <w:rPr>
          <w:sz w:val="16"/>
          <w:szCs w:val="16"/>
        </w:rPr>
        <w:t>udge of the Jury Court of March 14, 2003 (evidence file, folio 4242).</w:t>
      </w:r>
    </w:p>
  </w:footnote>
  <w:footnote w:id="138">
    <w:p w14:paraId="07BED45B" w14:textId="5507DD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Report o</w:t>
      </w:r>
      <w:r w:rsidR="0058180C" w:rsidRPr="00C837DD">
        <w:rPr>
          <w:rFonts w:cs="Calibri"/>
          <w:color w:val="000000"/>
          <w:sz w:val="16"/>
          <w:szCs w:val="16"/>
          <w:lang w:eastAsia="es-CR"/>
        </w:rPr>
        <w:t>n</w:t>
      </w:r>
      <w:r w:rsidRPr="00C837DD">
        <w:rPr>
          <w:rFonts w:cs="Calibri"/>
          <w:color w:val="000000"/>
          <w:sz w:val="16"/>
          <w:szCs w:val="16"/>
          <w:lang w:eastAsia="es-CR"/>
        </w:rPr>
        <w:t xml:space="preserve"> interrogation and minutes of the hearing of April 7, 2003 </w:t>
      </w:r>
      <w:r w:rsidRPr="00C837DD">
        <w:rPr>
          <w:sz w:val="16"/>
          <w:szCs w:val="16"/>
        </w:rPr>
        <w:t>(evidence file, folios 124 to 127).</w:t>
      </w:r>
    </w:p>
  </w:footnote>
  <w:footnote w:id="139">
    <w:p w14:paraId="3EE5561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Minutes of the hearings (evidence file, folios 129 to 144).</w:t>
      </w:r>
    </w:p>
  </w:footnote>
  <w:footnote w:id="140">
    <w:p w14:paraId="7F257311" w14:textId="2A9E4F7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00C30344" w:rsidRPr="00C837DD">
        <w:rPr>
          <w:sz w:val="16"/>
          <w:szCs w:val="16"/>
        </w:rPr>
        <w:t>Decision to arraign</w:t>
      </w:r>
      <w:r w:rsidRPr="00C837DD">
        <w:rPr>
          <w:sz w:val="16"/>
          <w:szCs w:val="16"/>
        </w:rPr>
        <w:t>, issued on July 27, 2005 (evidence file, folios 4431 to 4439).</w:t>
      </w:r>
    </w:p>
  </w:footnote>
  <w:footnote w:id="141">
    <w:p w14:paraId="5ABC5FE4"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“Reasons for the Appeal in the Strict Sense” of August 25, 2005</w:t>
      </w:r>
      <w:r w:rsidRPr="00C837DD">
        <w:rPr>
          <w:sz w:val="16"/>
          <w:szCs w:val="16"/>
        </w:rPr>
        <w:t xml:space="preserve"> (evidence file, folios 174 to 185).</w:t>
      </w:r>
    </w:p>
  </w:footnote>
  <w:footnote w:id="142">
    <w:p w14:paraId="07B78C77"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Decision of November 1, 2005 </w:t>
      </w:r>
      <w:r w:rsidRPr="00C837DD">
        <w:rPr>
          <w:sz w:val="16"/>
          <w:szCs w:val="16"/>
        </w:rPr>
        <w:t>(evidence file, folio 187).</w:t>
      </w:r>
    </w:p>
  </w:footnote>
  <w:footnote w:id="143">
    <w:p w14:paraId="27947485"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 xml:space="preserve">Cf. </w:t>
      </w:r>
      <w:r w:rsidRPr="00C837DD">
        <w:rPr>
          <w:rFonts w:cs="Calibri"/>
          <w:color w:val="000000"/>
          <w:sz w:val="16"/>
          <w:szCs w:val="16"/>
          <w:lang w:eastAsia="es-CR"/>
        </w:rPr>
        <w:t xml:space="preserve">Decision of the Court of Justice of Paraíba of January 31, 2006 </w:t>
      </w:r>
      <w:r w:rsidRPr="00C837DD">
        <w:rPr>
          <w:sz w:val="16"/>
          <w:szCs w:val="16"/>
        </w:rPr>
        <w:t>(evidence file, folios 197 to 202).</w:t>
      </w:r>
    </w:p>
  </w:footnote>
  <w:footnote w:id="144">
    <w:p w14:paraId="0546CA24"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Special appeal filed by the defense on February 15, 2006 </w:t>
      </w:r>
      <w:r w:rsidRPr="00C837DD">
        <w:rPr>
          <w:sz w:val="16"/>
          <w:szCs w:val="16"/>
        </w:rPr>
        <w:t>(evidence file, folios 204 to 212).</w:t>
      </w:r>
    </w:p>
  </w:footnote>
  <w:footnote w:id="145">
    <w:p w14:paraId="07C586EC"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Order of January 19, 2007 </w:t>
      </w:r>
      <w:r w:rsidRPr="00C837DD">
        <w:rPr>
          <w:sz w:val="16"/>
          <w:szCs w:val="16"/>
        </w:rPr>
        <w:t>(evidence file, folio 224).</w:t>
      </w:r>
    </w:p>
  </w:footnote>
  <w:footnote w:id="146">
    <w:p w14:paraId="3FD5B5EB" w14:textId="1B6540DD"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Minutes of the session of the </w:t>
      </w:r>
      <w:r w:rsidR="00D34CF0" w:rsidRPr="00C837DD">
        <w:rPr>
          <w:rFonts w:cs="Calibri"/>
          <w:color w:val="000000"/>
          <w:sz w:val="16"/>
          <w:szCs w:val="16"/>
          <w:lang w:eastAsia="es-CR"/>
        </w:rPr>
        <w:t xml:space="preserve">First </w:t>
      </w:r>
      <w:r w:rsidRPr="00C837DD">
        <w:rPr>
          <w:rFonts w:cs="Calibri"/>
          <w:color w:val="000000"/>
          <w:sz w:val="16"/>
          <w:szCs w:val="16"/>
          <w:lang w:eastAsia="es-CR"/>
        </w:rPr>
        <w:t xml:space="preserve"> Jury Court of June 25, 2007 (evidence file, folios 233 to 235).</w:t>
      </w:r>
    </w:p>
  </w:footnote>
  <w:footnote w:id="147">
    <w:p w14:paraId="04B0DC54" w14:textId="577E5D1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Minutes of the session of the </w:t>
      </w:r>
      <w:r w:rsidR="00D34CF0" w:rsidRPr="00C837DD">
        <w:rPr>
          <w:rFonts w:cs="Calibri"/>
          <w:color w:val="000000"/>
          <w:sz w:val="16"/>
          <w:szCs w:val="16"/>
          <w:lang w:eastAsia="es-CR"/>
        </w:rPr>
        <w:t xml:space="preserve">First </w:t>
      </w:r>
      <w:r w:rsidRPr="00C837DD">
        <w:rPr>
          <w:rFonts w:cs="Calibri"/>
          <w:color w:val="000000"/>
          <w:sz w:val="16"/>
          <w:szCs w:val="16"/>
          <w:lang w:eastAsia="es-CR"/>
        </w:rPr>
        <w:t xml:space="preserve">Jury Court of September 26, 2007 </w:t>
      </w:r>
      <w:r w:rsidRPr="00C837DD">
        <w:rPr>
          <w:sz w:val="16"/>
          <w:szCs w:val="16"/>
        </w:rPr>
        <w:t>(evidence file, folios 237 to 240).</w:t>
      </w:r>
    </w:p>
  </w:footnote>
  <w:footnote w:id="148">
    <w:p w14:paraId="100141D5" w14:textId="16E072B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Judgment of </w:t>
      </w:r>
      <w:r w:rsidR="00D34CF0" w:rsidRPr="00C837DD">
        <w:rPr>
          <w:rFonts w:cs="Calibri"/>
          <w:color w:val="000000"/>
          <w:sz w:val="16"/>
          <w:szCs w:val="16"/>
          <w:lang w:eastAsia="es-CR"/>
        </w:rPr>
        <w:t>F</w:t>
      </w:r>
      <w:r w:rsidRPr="00C837DD">
        <w:rPr>
          <w:rFonts w:cs="Calibri"/>
          <w:color w:val="000000"/>
          <w:sz w:val="16"/>
          <w:szCs w:val="16"/>
          <w:lang w:eastAsia="es-CR"/>
        </w:rPr>
        <w:t xml:space="preserve">irst instance of September 26, 2007 </w:t>
      </w:r>
      <w:r w:rsidRPr="00C837DD">
        <w:rPr>
          <w:sz w:val="16"/>
          <w:szCs w:val="16"/>
        </w:rPr>
        <w:t>(evidence file, folios 242 to 245).</w:t>
      </w:r>
    </w:p>
  </w:footnote>
  <w:footnote w:id="149">
    <w:p w14:paraId="1B474E84"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Appeal against the judgment of first instance and admission of appeal by the Judge </w:t>
      </w:r>
      <w:r w:rsidRPr="00C837DD">
        <w:rPr>
          <w:sz w:val="16"/>
          <w:szCs w:val="16"/>
        </w:rPr>
        <w:t>(evidence file, folios 247 to 249).</w:t>
      </w:r>
    </w:p>
  </w:footnote>
  <w:footnote w:id="150">
    <w:p w14:paraId="199BD208"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Death certificate of Mr. Aércio Pereira de Lima (evidence file, folio 9732).</w:t>
      </w:r>
    </w:p>
  </w:footnote>
  <w:footnote w:id="151">
    <w:p w14:paraId="09D5399A"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Calibri"/>
          <w:i/>
          <w:color w:val="000000"/>
          <w:sz w:val="16"/>
          <w:szCs w:val="16"/>
          <w:lang w:eastAsia="es-CR"/>
        </w:rPr>
        <w:t>Cf.</w:t>
      </w:r>
      <w:r w:rsidRPr="00C837DD">
        <w:rPr>
          <w:rFonts w:cs="Calibri"/>
          <w:color w:val="000000"/>
          <w:sz w:val="16"/>
          <w:szCs w:val="16"/>
          <w:lang w:eastAsia="es-CR"/>
        </w:rPr>
        <w:t xml:space="preserve"> Procedural consultation on the website of the Court of Justice of Paraíba </w:t>
      </w:r>
      <w:r w:rsidRPr="00C837DD">
        <w:rPr>
          <w:sz w:val="16"/>
          <w:szCs w:val="16"/>
        </w:rPr>
        <w:t>(evidence file, folio 251).</w:t>
      </w:r>
    </w:p>
  </w:footnote>
  <w:footnote w:id="152">
    <w:p w14:paraId="540F815E" w14:textId="5D42B4EB"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FERREIRA, Lilla. “</w:t>
      </w:r>
      <w:r w:rsidRPr="00C837DD">
        <w:rPr>
          <w:i/>
          <w:sz w:val="16"/>
          <w:szCs w:val="16"/>
        </w:rPr>
        <w:t>Aércio</w:t>
      </w:r>
      <w:r w:rsidR="00C30344" w:rsidRPr="00C837DD">
        <w:rPr>
          <w:i/>
          <w:sz w:val="16"/>
          <w:szCs w:val="16"/>
        </w:rPr>
        <w:t>’s body</w:t>
      </w:r>
      <w:r w:rsidRPr="00C837DD">
        <w:rPr>
          <w:i/>
          <w:sz w:val="16"/>
          <w:szCs w:val="16"/>
        </w:rPr>
        <w:t xml:space="preserve"> is laid to rest in the AL; the burial will be today at 10am.” </w:t>
      </w:r>
      <w:r w:rsidRPr="00C837DD">
        <w:rPr>
          <w:sz w:val="16"/>
          <w:szCs w:val="16"/>
        </w:rPr>
        <w:t>February 12, 2008. In “</w:t>
      </w:r>
      <w:r w:rsidRPr="00C837DD">
        <w:rPr>
          <w:i/>
          <w:sz w:val="16"/>
          <w:szCs w:val="16"/>
        </w:rPr>
        <w:t xml:space="preserve">Portal </w:t>
      </w:r>
      <w:r w:rsidR="00C30344" w:rsidRPr="00C837DD">
        <w:rPr>
          <w:i/>
          <w:sz w:val="16"/>
          <w:szCs w:val="16"/>
        </w:rPr>
        <w:t xml:space="preserve">de </w:t>
      </w:r>
      <w:r w:rsidRPr="00C837DD">
        <w:rPr>
          <w:i/>
          <w:sz w:val="16"/>
          <w:szCs w:val="16"/>
        </w:rPr>
        <w:t>Notícias da Paraíba</w:t>
      </w:r>
      <w:r w:rsidRPr="00C837DD">
        <w:rPr>
          <w:sz w:val="16"/>
          <w:szCs w:val="16"/>
        </w:rPr>
        <w:t xml:space="preserve">”: Click PB. Available at: </w:t>
      </w:r>
      <w:hyperlink r:id="rId24" w:history="1">
        <w:r w:rsidRPr="00C837DD">
          <w:rPr>
            <w:rStyle w:val="Hipervnculo"/>
            <w:sz w:val="16"/>
            <w:szCs w:val="16"/>
          </w:rPr>
          <w:t>https://www.clickpb.com.br/paraiba/corpo-de-aercio-e-velado-na-al-enterro-sera-hoje-as-10h-29339.html</w:t>
        </w:r>
      </w:hyperlink>
      <w:r w:rsidRPr="00C837DD">
        <w:rPr>
          <w:sz w:val="16"/>
          <w:szCs w:val="16"/>
        </w:rPr>
        <w:t xml:space="preserve">. </w:t>
      </w:r>
    </w:p>
  </w:footnote>
  <w:footnote w:id="153">
    <w:p w14:paraId="71E2C45E" w14:textId="382E7562"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FERNANDES, Hélder. </w:t>
      </w:r>
      <w:r w:rsidRPr="00C837DD">
        <w:rPr>
          <w:sz w:val="16"/>
          <w:szCs w:val="16"/>
        </w:rPr>
        <w:t>“</w:t>
      </w:r>
      <w:r w:rsidRPr="00C837DD">
        <w:rPr>
          <w:i/>
          <w:sz w:val="16"/>
          <w:szCs w:val="16"/>
        </w:rPr>
        <w:t>O Bê-a-Bá Do Sertão</w:t>
      </w:r>
      <w:r w:rsidRPr="00C837DD">
        <w:rPr>
          <w:sz w:val="16"/>
          <w:szCs w:val="16"/>
        </w:rPr>
        <w:t xml:space="preserve">. </w:t>
      </w:r>
      <w:r w:rsidRPr="00C837DD">
        <w:rPr>
          <w:i/>
          <w:sz w:val="16"/>
          <w:szCs w:val="16"/>
        </w:rPr>
        <w:t xml:space="preserve">Autoridades prestigiam velório </w:t>
      </w:r>
      <w:r w:rsidR="00C30344" w:rsidRPr="00C837DD">
        <w:rPr>
          <w:i/>
          <w:sz w:val="16"/>
          <w:szCs w:val="16"/>
        </w:rPr>
        <w:t>de</w:t>
      </w:r>
      <w:r w:rsidRPr="00C837DD">
        <w:rPr>
          <w:i/>
          <w:sz w:val="16"/>
          <w:szCs w:val="16"/>
        </w:rPr>
        <w:t xml:space="preserve"> Aécio Pereira</w:t>
      </w:r>
      <w:r w:rsidR="00C30344" w:rsidRPr="00C837DD">
        <w:rPr>
          <w:i/>
          <w:sz w:val="16"/>
          <w:szCs w:val="16"/>
        </w:rPr>
        <w:t>.</w:t>
      </w:r>
      <w:r w:rsidRPr="00C837DD">
        <w:rPr>
          <w:sz w:val="16"/>
          <w:szCs w:val="16"/>
        </w:rPr>
        <w:t>”</w:t>
      </w:r>
      <w:r w:rsidRPr="00C837DD">
        <w:rPr>
          <w:i/>
          <w:sz w:val="16"/>
          <w:szCs w:val="16"/>
        </w:rPr>
        <w:t xml:space="preserve"> February</w:t>
      </w:r>
      <w:r w:rsidR="00C30344" w:rsidRPr="00C837DD">
        <w:rPr>
          <w:i/>
          <w:sz w:val="16"/>
          <w:szCs w:val="16"/>
        </w:rPr>
        <w:t xml:space="preserve"> 12,</w:t>
      </w:r>
      <w:r w:rsidRPr="00C837DD">
        <w:rPr>
          <w:i/>
          <w:sz w:val="16"/>
          <w:szCs w:val="16"/>
        </w:rPr>
        <w:t xml:space="preserve"> 2008</w:t>
      </w:r>
      <w:r w:rsidRPr="00C837DD">
        <w:rPr>
          <w:sz w:val="16"/>
          <w:szCs w:val="16"/>
        </w:rPr>
        <w:t xml:space="preserve">. Available at: </w:t>
      </w:r>
      <w:hyperlink r:id="rId25" w:history="1">
        <w:r w:rsidRPr="00C837DD">
          <w:rPr>
            <w:rStyle w:val="Hipervnculo"/>
            <w:sz w:val="16"/>
            <w:szCs w:val="16"/>
          </w:rPr>
          <w:t>https://obeabadosertao.com.br/portal/2008/02/12/Authoridades-prestigiam-velorio-de-Aecio-Pereira/</w:t>
        </w:r>
      </w:hyperlink>
      <w:r w:rsidRPr="00C837DD">
        <w:rPr>
          <w:sz w:val="16"/>
          <w:szCs w:val="16"/>
        </w:rPr>
        <w:t>.</w:t>
      </w:r>
      <w:r w:rsidRPr="00C837DD" w:rsidDel="0071510E">
        <w:rPr>
          <w:sz w:val="16"/>
          <w:szCs w:val="16"/>
        </w:rPr>
        <w:t xml:space="preserve"> </w:t>
      </w:r>
    </w:p>
  </w:footnote>
  <w:footnote w:id="154">
    <w:p w14:paraId="23944675" w14:textId="4219B8E8"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prosecutor requested the opinion of a </w:t>
      </w:r>
      <w:r w:rsidR="00715B7F" w:rsidRPr="00C837DD">
        <w:rPr>
          <w:sz w:val="16"/>
          <w:szCs w:val="16"/>
        </w:rPr>
        <w:t>forensic medical</w:t>
      </w:r>
      <w:r w:rsidRPr="00C837DD">
        <w:rPr>
          <w:sz w:val="16"/>
          <w:szCs w:val="16"/>
        </w:rPr>
        <w:t xml:space="preserve"> </w:t>
      </w:r>
      <w:r w:rsidR="00715B7F" w:rsidRPr="00C837DD">
        <w:rPr>
          <w:sz w:val="16"/>
          <w:szCs w:val="16"/>
        </w:rPr>
        <w:t xml:space="preserve">expert to </w:t>
      </w:r>
      <w:r w:rsidRPr="00C837DD">
        <w:rPr>
          <w:sz w:val="16"/>
          <w:szCs w:val="16"/>
        </w:rPr>
        <w:t>d</w:t>
      </w:r>
      <w:r w:rsidR="00715B7F" w:rsidRPr="00C837DD">
        <w:rPr>
          <w:sz w:val="16"/>
          <w:szCs w:val="16"/>
        </w:rPr>
        <w:t xml:space="preserve">etermine whether </w:t>
      </w:r>
      <w:r w:rsidRPr="00C837DD">
        <w:rPr>
          <w:sz w:val="16"/>
          <w:szCs w:val="16"/>
        </w:rPr>
        <w:t xml:space="preserve">the information contained in the </w:t>
      </w:r>
      <w:r w:rsidR="00715B7F" w:rsidRPr="00C837DD">
        <w:rPr>
          <w:sz w:val="16"/>
          <w:szCs w:val="16"/>
        </w:rPr>
        <w:t xml:space="preserve">autopsy report </w:t>
      </w:r>
      <w:r w:rsidR="00FD0542" w:rsidRPr="00C837DD">
        <w:rPr>
          <w:sz w:val="16"/>
          <w:szCs w:val="16"/>
        </w:rPr>
        <w:t xml:space="preserve">would </w:t>
      </w:r>
      <w:r w:rsidRPr="00C837DD">
        <w:rPr>
          <w:sz w:val="16"/>
          <w:szCs w:val="16"/>
        </w:rPr>
        <w:t>suggest that Marcia did not die by strangulation, but by asphyxia</w:t>
      </w:r>
      <w:r w:rsidR="00FD0542" w:rsidRPr="00C837DD">
        <w:rPr>
          <w:sz w:val="16"/>
          <w:szCs w:val="16"/>
        </w:rPr>
        <w:t>tion</w:t>
      </w:r>
      <w:r w:rsidRPr="00C837DD">
        <w:rPr>
          <w:sz w:val="16"/>
          <w:szCs w:val="16"/>
        </w:rPr>
        <w:t xml:space="preserve"> caused by an overdose, given some testimoni</w:t>
      </w:r>
      <w:r w:rsidR="00FD0542" w:rsidRPr="00C837DD">
        <w:rPr>
          <w:sz w:val="16"/>
          <w:szCs w:val="16"/>
        </w:rPr>
        <w:t xml:space="preserve">es </w:t>
      </w:r>
      <w:r w:rsidR="005F0679" w:rsidRPr="00C837DD">
        <w:rPr>
          <w:sz w:val="16"/>
          <w:szCs w:val="16"/>
        </w:rPr>
        <w:t xml:space="preserve">claiming </w:t>
      </w:r>
      <w:r w:rsidRPr="00C837DD">
        <w:rPr>
          <w:sz w:val="16"/>
          <w:szCs w:val="16"/>
        </w:rPr>
        <w:t xml:space="preserve">that she was a drug addict. </w:t>
      </w:r>
      <w:r w:rsidR="005F0679" w:rsidRPr="00C837DD">
        <w:rPr>
          <w:sz w:val="16"/>
          <w:szCs w:val="16"/>
        </w:rPr>
        <w:t>Also</w:t>
      </w:r>
      <w:r w:rsidR="00D17BDE" w:rsidRPr="00C837DD">
        <w:rPr>
          <w:sz w:val="16"/>
          <w:szCs w:val="16"/>
        </w:rPr>
        <w:t>, in view of the possible contact between the victim and the then deputy Aércio on the night of her death, he requested the list of vehicle entries and exits on the date of the event from several motels, including the Trevo Motel</w:t>
      </w:r>
      <w:r w:rsidRPr="00C837DD">
        <w:rPr>
          <w:sz w:val="16"/>
          <w:szCs w:val="16"/>
        </w:rPr>
        <w:t xml:space="preserve">. </w:t>
      </w:r>
      <w:r w:rsidR="00D17BDE" w:rsidRPr="00C837DD">
        <w:rPr>
          <w:sz w:val="16"/>
          <w:szCs w:val="16"/>
        </w:rPr>
        <w:t>He a</w:t>
      </w:r>
      <w:r w:rsidRPr="00C837DD">
        <w:rPr>
          <w:sz w:val="16"/>
          <w:szCs w:val="16"/>
        </w:rPr>
        <w:t>lso requested s</w:t>
      </w:r>
      <w:r w:rsidR="00D17BDE" w:rsidRPr="00C837DD">
        <w:rPr>
          <w:sz w:val="16"/>
          <w:szCs w:val="16"/>
        </w:rPr>
        <w:t xml:space="preserve">tatements from </w:t>
      </w:r>
      <w:r w:rsidRPr="00C837DD">
        <w:rPr>
          <w:sz w:val="16"/>
          <w:szCs w:val="16"/>
        </w:rPr>
        <w:t>the owners and managers of the Trevo</w:t>
      </w:r>
      <w:r w:rsidR="00D17BDE" w:rsidRPr="00C837DD">
        <w:rPr>
          <w:sz w:val="16"/>
          <w:szCs w:val="16"/>
        </w:rPr>
        <w:t xml:space="preserve"> Motel</w:t>
      </w:r>
      <w:r w:rsidRPr="00C837DD">
        <w:rPr>
          <w:sz w:val="16"/>
          <w:szCs w:val="16"/>
        </w:rPr>
        <w:t xml:space="preserve">, as well as the doorman and other employees who </w:t>
      </w:r>
      <w:r w:rsidR="00F11C66">
        <w:rPr>
          <w:sz w:val="16"/>
          <w:szCs w:val="16"/>
        </w:rPr>
        <w:t xml:space="preserve">had </w:t>
      </w:r>
      <w:r w:rsidRPr="00C837DD">
        <w:rPr>
          <w:sz w:val="16"/>
          <w:szCs w:val="16"/>
        </w:rPr>
        <w:t xml:space="preserve">worked </w:t>
      </w:r>
      <w:r w:rsidR="00D17BDE" w:rsidRPr="00C837DD">
        <w:rPr>
          <w:sz w:val="16"/>
          <w:szCs w:val="16"/>
        </w:rPr>
        <w:t xml:space="preserve">in </w:t>
      </w:r>
      <w:r w:rsidRPr="00C837DD">
        <w:rPr>
          <w:sz w:val="16"/>
          <w:szCs w:val="16"/>
        </w:rPr>
        <w:t xml:space="preserve">the early hours on the day of Marcia’s death. In addition, </w:t>
      </w:r>
      <w:r w:rsidR="00D17BDE" w:rsidRPr="00C837DD">
        <w:rPr>
          <w:sz w:val="16"/>
          <w:szCs w:val="16"/>
        </w:rPr>
        <w:t xml:space="preserve">he requested that handwriting </w:t>
      </w:r>
      <w:r w:rsidR="00482A21" w:rsidRPr="00C837DD">
        <w:rPr>
          <w:sz w:val="16"/>
          <w:szCs w:val="16"/>
        </w:rPr>
        <w:t>t</w:t>
      </w:r>
      <w:r w:rsidR="00D17BDE" w:rsidRPr="00C837DD">
        <w:rPr>
          <w:sz w:val="16"/>
          <w:szCs w:val="16"/>
        </w:rPr>
        <w:t>ests be carried out o</w:t>
      </w:r>
      <w:r w:rsidRPr="00C837DD">
        <w:rPr>
          <w:sz w:val="16"/>
          <w:szCs w:val="16"/>
        </w:rPr>
        <w:t xml:space="preserve">n the notes found in Márcia’s </w:t>
      </w:r>
      <w:r w:rsidR="00D17BDE" w:rsidRPr="00C837DD">
        <w:rPr>
          <w:sz w:val="16"/>
          <w:szCs w:val="16"/>
        </w:rPr>
        <w:t xml:space="preserve">pockets and </w:t>
      </w:r>
      <w:r w:rsidRPr="00C837DD">
        <w:rPr>
          <w:sz w:val="16"/>
          <w:szCs w:val="16"/>
        </w:rPr>
        <w:t xml:space="preserve">belongings, </w:t>
      </w:r>
      <w:r w:rsidR="00482A21" w:rsidRPr="00C837DD">
        <w:rPr>
          <w:sz w:val="16"/>
          <w:szCs w:val="16"/>
        </w:rPr>
        <w:t>which record</w:t>
      </w:r>
      <w:r w:rsidR="00F11C66">
        <w:rPr>
          <w:sz w:val="16"/>
          <w:szCs w:val="16"/>
        </w:rPr>
        <w:t>ed</w:t>
      </w:r>
      <w:r w:rsidR="00482A21" w:rsidRPr="00C837DD">
        <w:rPr>
          <w:sz w:val="16"/>
          <w:szCs w:val="16"/>
        </w:rPr>
        <w:t xml:space="preserve"> </w:t>
      </w:r>
      <w:r w:rsidRPr="00C837DD">
        <w:rPr>
          <w:sz w:val="16"/>
          <w:szCs w:val="16"/>
        </w:rPr>
        <w:t>the telephone numbers used by Aércio Pereira de Lima and other</w:t>
      </w:r>
      <w:r w:rsidR="00482A21" w:rsidRPr="00C837DD">
        <w:rPr>
          <w:sz w:val="16"/>
          <w:szCs w:val="16"/>
        </w:rPr>
        <w:t>s</w:t>
      </w:r>
      <w:r w:rsidRPr="00C837DD">
        <w:rPr>
          <w:sz w:val="16"/>
          <w:szCs w:val="16"/>
        </w:rPr>
        <w:t xml:space="preserve"> to clarify whether th</w:t>
      </w:r>
      <w:r w:rsidR="00F11C66">
        <w:rPr>
          <w:sz w:val="16"/>
          <w:szCs w:val="16"/>
        </w:rPr>
        <w:t>e</w:t>
      </w:r>
      <w:r w:rsidRPr="00C837DD">
        <w:rPr>
          <w:sz w:val="16"/>
          <w:szCs w:val="16"/>
        </w:rPr>
        <w:t>se notes had been written by Ms. Barbosa de Souza or by a third party.</w:t>
      </w:r>
      <w:r w:rsidRPr="00C837DD">
        <w:rPr>
          <w:i/>
          <w:sz w:val="16"/>
          <w:szCs w:val="16"/>
        </w:rPr>
        <w:t xml:space="preserve"> Cf.</w:t>
      </w:r>
      <w:r w:rsidRPr="00C837DD">
        <w:rPr>
          <w:sz w:val="16"/>
          <w:szCs w:val="16"/>
        </w:rPr>
        <w:t xml:space="preserve"> Written opinion of the Public Prosecutor’s Office of October 1, 1998 (evidence file, folios </w:t>
      </w:r>
      <w:r w:rsidRPr="00C837DD">
        <w:rPr>
          <w:rFonts w:cs="Calibri"/>
          <w:color w:val="000000"/>
          <w:sz w:val="16"/>
          <w:szCs w:val="16"/>
          <w:lang w:eastAsia="es-CR"/>
        </w:rPr>
        <w:t>269 to 274</w:t>
      </w:r>
      <w:r w:rsidRPr="00C837DD">
        <w:rPr>
          <w:sz w:val="16"/>
          <w:szCs w:val="16"/>
        </w:rPr>
        <w:t>).</w:t>
      </w:r>
    </w:p>
  </w:footnote>
  <w:footnote w:id="155">
    <w:p w14:paraId="0A5FB72C" w14:textId="392BA5C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Decision of the </w:t>
      </w:r>
      <w:r w:rsidR="00F11C66">
        <w:rPr>
          <w:sz w:val="16"/>
          <w:szCs w:val="16"/>
        </w:rPr>
        <w:t>j</w:t>
      </w:r>
      <w:r w:rsidRPr="00C837DD">
        <w:rPr>
          <w:sz w:val="16"/>
          <w:szCs w:val="16"/>
        </w:rPr>
        <w:t>udge of October 1, 1998 (evidence file, folio 5478).</w:t>
      </w:r>
    </w:p>
  </w:footnote>
  <w:footnote w:id="156">
    <w:p w14:paraId="1502BD19"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Public Prosecutor’s Office of December 14, 1998 (evidence file, folios 254 and 255).</w:t>
      </w:r>
    </w:p>
  </w:footnote>
  <w:footnote w:id="157">
    <w:p w14:paraId="251D1EB5"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Statements of August 6 and September 20, 1999 (evidence file, folios 5546, 5554 and 5555).</w:t>
      </w:r>
    </w:p>
  </w:footnote>
  <w:footnote w:id="158">
    <w:p w14:paraId="692FC930"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Official letter Nº. 278/2000 of June 19, 2000 (evidence file, folios 5568 and 5569).</w:t>
      </w:r>
    </w:p>
  </w:footnote>
  <w:footnote w:id="159">
    <w:p w14:paraId="6946228F"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Public Prosecutor’s Office of August 8, 2000 (evidence file, folio 256).</w:t>
      </w:r>
    </w:p>
  </w:footnote>
  <w:footnote w:id="160">
    <w:p w14:paraId="42A8A5E9"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Decision of the Judge of August 14, 2000 (evidence file, folio 257).</w:t>
      </w:r>
    </w:p>
  </w:footnote>
  <w:footnote w:id="161">
    <w:p w14:paraId="5AF1ACF1"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Note of the Commissioner of December 26, 2000 (evidence file, folio 5575).</w:t>
      </w:r>
    </w:p>
  </w:footnote>
  <w:footnote w:id="162">
    <w:p w14:paraId="04847677" w14:textId="7D4CDC80"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On this occasion, the Public Prosecutor’s Office asked the owner of the </w:t>
      </w:r>
      <w:r w:rsidR="005F0679" w:rsidRPr="00C837DD">
        <w:rPr>
          <w:sz w:val="16"/>
          <w:szCs w:val="16"/>
        </w:rPr>
        <w:t>Trevo Motel</w:t>
      </w:r>
      <w:r w:rsidRPr="00C837DD">
        <w:rPr>
          <w:sz w:val="16"/>
          <w:szCs w:val="16"/>
        </w:rPr>
        <w:t xml:space="preserve"> to hand over the complete list of vehicles that entered and left the </w:t>
      </w:r>
      <w:r w:rsidR="00F11C66">
        <w:rPr>
          <w:sz w:val="16"/>
          <w:szCs w:val="16"/>
        </w:rPr>
        <w:t xml:space="preserve">Trevo </w:t>
      </w:r>
      <w:r w:rsidRPr="00C837DD">
        <w:rPr>
          <w:sz w:val="16"/>
          <w:szCs w:val="16"/>
        </w:rPr>
        <w:t xml:space="preserve">Motel between June 17 and 18, 1998; that the person </w:t>
      </w:r>
      <w:r w:rsidR="00D91141" w:rsidRPr="00C837DD">
        <w:rPr>
          <w:sz w:val="16"/>
          <w:szCs w:val="16"/>
        </w:rPr>
        <w:t>in charge of the computer department of the motel be questioned so that he could report who had changed or not submitted the complete list of vehicles previously requested, since the list that had been sent contained numbers that were strangely below the average number of clients per day; the search for and return to the records of a cassette tape that had disappeared; that the witness who had seen Márcia's body thrown from a car on the morning of June 18, 1998, A.L.B., be heard again to ask him how many people were present in that vehicle; the cross-examination of D.M., owner of the car</w:t>
      </w:r>
      <w:r w:rsidR="00F11C66">
        <w:rPr>
          <w:sz w:val="16"/>
          <w:szCs w:val="16"/>
        </w:rPr>
        <w:t xml:space="preserve"> that</w:t>
      </w:r>
      <w:r w:rsidR="00D91141" w:rsidRPr="00C837DD">
        <w:rPr>
          <w:sz w:val="16"/>
          <w:szCs w:val="16"/>
        </w:rPr>
        <w:t xml:space="preserve"> was on loan to Deputy Aércio, to know the details of the return of the vehicle; </w:t>
      </w:r>
      <w:r w:rsidR="00CD5382" w:rsidRPr="00C837DD">
        <w:rPr>
          <w:sz w:val="16"/>
          <w:szCs w:val="16"/>
        </w:rPr>
        <w:t xml:space="preserve">further questioning </w:t>
      </w:r>
      <w:r w:rsidRPr="00C837DD">
        <w:rPr>
          <w:sz w:val="16"/>
          <w:szCs w:val="16"/>
        </w:rPr>
        <w:t xml:space="preserve">of M.D.M. </w:t>
      </w:r>
      <w:r w:rsidR="00CD5382" w:rsidRPr="00C837DD">
        <w:rPr>
          <w:sz w:val="16"/>
          <w:szCs w:val="16"/>
        </w:rPr>
        <w:t>to find out whether Aércio Pereira de Lima's advisor, "Carlos", had gone to wash the vehicle before returning it or picking it up elsewhere; the cross-examination of C.A.O. to clarify the reasons that led him to omit M.D.M.'s statement that he was in possession of the vehicle used in the disposal of Márcia's body</w:t>
      </w:r>
      <w:r w:rsidRPr="00C837DD">
        <w:rPr>
          <w:sz w:val="16"/>
          <w:szCs w:val="16"/>
        </w:rPr>
        <w:t xml:space="preserve">; </w:t>
      </w:r>
      <w:r w:rsidR="00CD5382" w:rsidRPr="00C837DD">
        <w:rPr>
          <w:sz w:val="16"/>
          <w:szCs w:val="16"/>
        </w:rPr>
        <w:t xml:space="preserve">the questioning of </w:t>
      </w:r>
      <w:r w:rsidRPr="00C837DD">
        <w:rPr>
          <w:sz w:val="16"/>
          <w:szCs w:val="16"/>
        </w:rPr>
        <w:t xml:space="preserve">the son of Deputy Aércio Pereira de Lima and M.C.C.S. to clarify the </w:t>
      </w:r>
      <w:r w:rsidR="00BB2105" w:rsidRPr="00C837DD">
        <w:rPr>
          <w:sz w:val="16"/>
          <w:szCs w:val="16"/>
        </w:rPr>
        <w:t xml:space="preserve">large </w:t>
      </w:r>
      <w:r w:rsidRPr="00C837DD">
        <w:rPr>
          <w:sz w:val="16"/>
          <w:szCs w:val="16"/>
        </w:rPr>
        <w:t xml:space="preserve">number of calls that both made to the </w:t>
      </w:r>
      <w:r w:rsidR="00BB2105" w:rsidRPr="00C837DD">
        <w:rPr>
          <w:sz w:val="16"/>
          <w:szCs w:val="16"/>
        </w:rPr>
        <w:t xml:space="preserve">congressman </w:t>
      </w:r>
      <w:r w:rsidRPr="00C837DD">
        <w:rPr>
          <w:sz w:val="16"/>
          <w:szCs w:val="16"/>
        </w:rPr>
        <w:t>between June 17 and 18</w:t>
      </w:r>
      <w:r w:rsidR="00BE5671">
        <w:rPr>
          <w:sz w:val="16"/>
          <w:szCs w:val="16"/>
        </w:rPr>
        <w:t>;</w:t>
      </w:r>
      <w:r w:rsidRPr="00C837DD">
        <w:rPr>
          <w:sz w:val="16"/>
          <w:szCs w:val="16"/>
        </w:rPr>
        <w:t xml:space="preserve"> and the cross-examination of U.M.S</w:t>
      </w:r>
      <w:r w:rsidR="003C5A07">
        <w:rPr>
          <w:sz w:val="16"/>
          <w:szCs w:val="16"/>
        </w:rPr>
        <w:t>.</w:t>
      </w:r>
      <w:r w:rsidRPr="00C837DD">
        <w:rPr>
          <w:sz w:val="16"/>
          <w:szCs w:val="16"/>
        </w:rPr>
        <w:t xml:space="preserve"> to see if he had additional information on the pe</w:t>
      </w:r>
      <w:r w:rsidR="00BB2105" w:rsidRPr="00C837DD">
        <w:rPr>
          <w:sz w:val="16"/>
          <w:szCs w:val="16"/>
        </w:rPr>
        <w:t xml:space="preserve">ople </w:t>
      </w:r>
      <w:r w:rsidRPr="00C837DD">
        <w:rPr>
          <w:sz w:val="16"/>
          <w:szCs w:val="16"/>
        </w:rPr>
        <w:t xml:space="preserve">who </w:t>
      </w:r>
      <w:r w:rsidR="003C5A07">
        <w:rPr>
          <w:sz w:val="16"/>
          <w:szCs w:val="16"/>
        </w:rPr>
        <w:t xml:space="preserve">had </w:t>
      </w:r>
      <w:r w:rsidRPr="00C837DD">
        <w:rPr>
          <w:sz w:val="16"/>
          <w:szCs w:val="16"/>
        </w:rPr>
        <w:t xml:space="preserve">helped the then deputy to remove </w:t>
      </w:r>
      <w:r w:rsidR="003C5A07" w:rsidRPr="003C5A07">
        <w:rPr>
          <w:sz w:val="16"/>
          <w:szCs w:val="16"/>
        </w:rPr>
        <w:t>Márcia’s</w:t>
      </w:r>
      <w:r w:rsidR="003C5A07">
        <w:rPr>
          <w:sz w:val="16"/>
          <w:szCs w:val="16"/>
        </w:rPr>
        <w:t xml:space="preserve"> </w:t>
      </w:r>
      <w:r w:rsidRPr="00C837DD">
        <w:rPr>
          <w:sz w:val="16"/>
          <w:szCs w:val="16"/>
        </w:rPr>
        <w:t xml:space="preserve">body from inside the </w:t>
      </w:r>
      <w:r w:rsidR="005F0679" w:rsidRPr="00C837DD">
        <w:rPr>
          <w:sz w:val="16"/>
          <w:szCs w:val="16"/>
        </w:rPr>
        <w:t>Trevo Motel</w:t>
      </w:r>
      <w:r w:rsidRPr="00C837DD">
        <w:rPr>
          <w:sz w:val="16"/>
          <w:szCs w:val="16"/>
        </w:rPr>
        <w:t>.</w:t>
      </w:r>
      <w:r w:rsidRPr="00C837DD">
        <w:rPr>
          <w:i/>
          <w:sz w:val="16"/>
          <w:szCs w:val="16"/>
        </w:rPr>
        <w:t xml:space="preserve"> Cf.</w:t>
      </w:r>
      <w:r w:rsidRPr="00C837DD">
        <w:rPr>
          <w:sz w:val="16"/>
          <w:szCs w:val="16"/>
        </w:rPr>
        <w:t xml:space="preserve"> Statement of the Public Prosecutor’s Office of March 8, 2001, (evidence file, folios 258 to 260).</w:t>
      </w:r>
    </w:p>
  </w:footnote>
  <w:footnote w:id="163">
    <w:p w14:paraId="68C16FB2"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Police Commissioner of April 2, 2001 (evidence file, folios 5594 to 5595).</w:t>
      </w:r>
    </w:p>
  </w:footnote>
  <w:footnote w:id="164">
    <w:p w14:paraId="5FE6EFE8"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Public Prosecutor’s Office of April 23, 2001 (evidence file, folio 262).</w:t>
      </w:r>
    </w:p>
  </w:footnote>
  <w:footnote w:id="165">
    <w:p w14:paraId="398E74DE"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Public Prosecutor’s Office of June 28, 2001 (evidence file, folio 263).</w:t>
      </w:r>
    </w:p>
  </w:footnote>
  <w:footnote w:id="166">
    <w:p w14:paraId="29263D78"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Public Prosecutor’s Office of August 22, 2001 (evidence file, folio 264).</w:t>
      </w:r>
    </w:p>
  </w:footnote>
  <w:footnote w:id="167">
    <w:p w14:paraId="3B10EFBF"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Police Commissioner of September 27, 2001 (evidence file, folio 265).</w:t>
      </w:r>
    </w:p>
  </w:footnote>
  <w:footnote w:id="168">
    <w:p w14:paraId="13CA5359"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Public Prosecutor’s Office of December 28, 2001 (evidence file, folio 266).</w:t>
      </w:r>
    </w:p>
  </w:footnote>
  <w:footnote w:id="169">
    <w:p w14:paraId="53EC3275"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Police Commissioner of March 11, 2002 (evidence file, folio 5805).</w:t>
      </w:r>
    </w:p>
  </w:footnote>
  <w:footnote w:id="170">
    <w:p w14:paraId="27588407"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Police Commissioner of December 12, 2002 (evidence file, folio 5808).</w:t>
      </w:r>
    </w:p>
  </w:footnote>
  <w:footnote w:id="171">
    <w:p w14:paraId="09CDCC00"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Written opinion of the Public Prosecutor’s Office of March 12, 2003 (evidence file, folios </w:t>
      </w:r>
      <w:r w:rsidRPr="00C837DD">
        <w:rPr>
          <w:rFonts w:cs="Calibri"/>
          <w:color w:val="000000"/>
          <w:sz w:val="16"/>
          <w:szCs w:val="16"/>
          <w:lang w:eastAsia="es-CR"/>
        </w:rPr>
        <w:t>279 to 280</w:t>
      </w:r>
      <w:r w:rsidRPr="00C837DD">
        <w:rPr>
          <w:sz w:val="16"/>
          <w:szCs w:val="16"/>
        </w:rPr>
        <w:t>).</w:t>
      </w:r>
    </w:p>
  </w:footnote>
  <w:footnote w:id="172">
    <w:p w14:paraId="3717CC1B" w14:textId="2E0B7B6E"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Decision of the judge </w:t>
      </w:r>
      <w:r w:rsidR="00BB2105" w:rsidRPr="00C837DD">
        <w:rPr>
          <w:sz w:val="16"/>
          <w:szCs w:val="16"/>
        </w:rPr>
        <w:t xml:space="preserve">issued on </w:t>
      </w:r>
      <w:r w:rsidRPr="00C837DD">
        <w:rPr>
          <w:sz w:val="16"/>
          <w:szCs w:val="16"/>
        </w:rPr>
        <w:t>March 18, 2003 (evidence file, folios 5825 and 5826). According to Article 18 of the Brazilian Code of Criminal Procedure, “[a]fter the judicial authority orders the dismissal of the investigation, […] the police authority may conduct further investigations, if it learns of other evidence”.</w:t>
      </w:r>
    </w:p>
  </w:footnote>
  <w:footnote w:id="173">
    <w:p w14:paraId="26FDF2D0"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Véliz Franco et al. v. Guatemala. Preliminary objections, merits, reparations and costs. </w:t>
      </w:r>
      <w:r w:rsidRPr="00C837DD">
        <w:rPr>
          <w:sz w:val="16"/>
          <w:szCs w:val="16"/>
        </w:rPr>
        <w:t>Judgment of May 19, 2014. Series C No. 277, para. 178.</w:t>
      </w:r>
    </w:p>
  </w:footnote>
  <w:footnote w:id="174">
    <w:p w14:paraId="7758E894"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8 of the American Convention.</w:t>
      </w:r>
    </w:p>
  </w:footnote>
  <w:footnote w:id="175">
    <w:p w14:paraId="28DF7FDC"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24 of the American Convention.</w:t>
      </w:r>
    </w:p>
  </w:footnote>
  <w:footnote w:id="176">
    <w:p w14:paraId="2138EBC6"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25 of the American Convention.</w:t>
      </w:r>
    </w:p>
  </w:footnote>
  <w:footnote w:id="177">
    <w:p w14:paraId="1FB9BE0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1(1) of the American Convention.</w:t>
      </w:r>
    </w:p>
  </w:footnote>
  <w:footnote w:id="178">
    <w:p w14:paraId="33BC0E1A"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2 of the American Convention.</w:t>
      </w:r>
    </w:p>
  </w:footnote>
  <w:footnote w:id="179">
    <w:p w14:paraId="5075C313" w14:textId="623CA98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7 of the Belém do Pará</w:t>
      </w:r>
      <w:r w:rsidR="00D00ED4" w:rsidRPr="00C837DD">
        <w:rPr>
          <w:sz w:val="16"/>
          <w:szCs w:val="16"/>
        </w:rPr>
        <w:t xml:space="preserve"> Convention</w:t>
      </w:r>
      <w:r w:rsidRPr="00C837DD">
        <w:rPr>
          <w:sz w:val="16"/>
          <w:szCs w:val="16"/>
        </w:rPr>
        <w:t>.</w:t>
      </w:r>
    </w:p>
  </w:footnote>
  <w:footnote w:id="180">
    <w:p w14:paraId="50C9A29E"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IACHR. Merits Report No. 54/01, </w:t>
      </w:r>
      <w:r w:rsidRPr="00C837DD">
        <w:rPr>
          <w:i/>
          <w:sz w:val="16"/>
          <w:szCs w:val="16"/>
        </w:rPr>
        <w:t>supra</w:t>
      </w:r>
      <w:r w:rsidRPr="00C837DD">
        <w:rPr>
          <w:sz w:val="16"/>
          <w:szCs w:val="16"/>
        </w:rPr>
        <w:t>, para. 55.</w:t>
      </w:r>
    </w:p>
  </w:footnote>
  <w:footnote w:id="181">
    <w:p w14:paraId="627064C2" w14:textId="68B623C5"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Supreme Federal Court of Brazil has expressed this same position in its decision regarding the Direct Action of Unconstitutionality No. 5526 of October 11, 2017, </w:t>
      </w:r>
      <w:r w:rsidR="00CF267D" w:rsidRPr="00C837DD">
        <w:rPr>
          <w:sz w:val="16"/>
          <w:szCs w:val="16"/>
        </w:rPr>
        <w:t xml:space="preserve">stating </w:t>
      </w:r>
      <w:r w:rsidRPr="00C837DD">
        <w:rPr>
          <w:sz w:val="16"/>
          <w:szCs w:val="16"/>
        </w:rPr>
        <w:t xml:space="preserve">that “[…] the immunities of the Legislative Branch, as well as the guarantees of the Executive, Judicial [branches] and of the Public Prosecutor’s Office, are provisions that protect the Powers and Institutions of the State against influences, pressures, coercion and from internal and external interference and must be assured for the equilibrium of Republican and Democratic Government. […] [T]he immunities are not related to the figure of the parliamentarian, but </w:t>
      </w:r>
      <w:r w:rsidR="00DF7273" w:rsidRPr="00C837DD">
        <w:rPr>
          <w:sz w:val="16"/>
          <w:szCs w:val="16"/>
        </w:rPr>
        <w:t xml:space="preserve">to </w:t>
      </w:r>
      <w:r w:rsidR="00CF267D" w:rsidRPr="00C837DD">
        <w:rPr>
          <w:sz w:val="16"/>
          <w:szCs w:val="16"/>
        </w:rPr>
        <w:t>his powers</w:t>
      </w:r>
      <w:r w:rsidRPr="00C837DD">
        <w:rPr>
          <w:sz w:val="16"/>
          <w:szCs w:val="16"/>
        </w:rPr>
        <w:t xml:space="preserve">, </w:t>
      </w:r>
      <w:r w:rsidR="00CF267D" w:rsidRPr="00C837DD">
        <w:rPr>
          <w:sz w:val="16"/>
          <w:szCs w:val="16"/>
        </w:rPr>
        <w:t xml:space="preserve">with </w:t>
      </w:r>
      <w:r w:rsidRPr="00C837DD">
        <w:rPr>
          <w:sz w:val="16"/>
          <w:szCs w:val="16"/>
        </w:rPr>
        <w:t xml:space="preserve">the purpose of preserving the Legislative </w:t>
      </w:r>
      <w:r w:rsidR="00CF267D" w:rsidRPr="00C837DD">
        <w:rPr>
          <w:sz w:val="16"/>
          <w:szCs w:val="16"/>
        </w:rPr>
        <w:t xml:space="preserve">Branch </w:t>
      </w:r>
      <w:r w:rsidRPr="00C837DD">
        <w:rPr>
          <w:sz w:val="16"/>
          <w:szCs w:val="16"/>
        </w:rPr>
        <w:t xml:space="preserve">from </w:t>
      </w:r>
      <w:r w:rsidR="00CF267D" w:rsidRPr="00C837DD">
        <w:rPr>
          <w:sz w:val="16"/>
          <w:szCs w:val="16"/>
        </w:rPr>
        <w:t xml:space="preserve">eventual </w:t>
      </w:r>
      <w:r w:rsidRPr="00C837DD">
        <w:rPr>
          <w:sz w:val="16"/>
          <w:szCs w:val="16"/>
        </w:rPr>
        <w:t xml:space="preserve">excesses or abuses by </w:t>
      </w:r>
      <w:r w:rsidR="00CF267D" w:rsidRPr="00C837DD">
        <w:rPr>
          <w:sz w:val="16"/>
          <w:szCs w:val="16"/>
        </w:rPr>
        <w:t xml:space="preserve">the </w:t>
      </w:r>
      <w:r w:rsidRPr="00C837DD">
        <w:rPr>
          <w:sz w:val="16"/>
          <w:szCs w:val="16"/>
        </w:rPr>
        <w:t>Executive or Judicial</w:t>
      </w:r>
      <w:r w:rsidR="00CF267D" w:rsidRPr="00C837DD">
        <w:rPr>
          <w:sz w:val="16"/>
          <w:szCs w:val="16"/>
        </w:rPr>
        <w:t xml:space="preserve"> [branches] being enshrined as </w:t>
      </w:r>
      <w:r w:rsidRPr="00C837DD">
        <w:rPr>
          <w:sz w:val="16"/>
          <w:szCs w:val="16"/>
        </w:rPr>
        <w:t xml:space="preserve"> a guarantee of its independence </w:t>
      </w:r>
      <w:r w:rsidR="00CF267D" w:rsidRPr="00C837DD">
        <w:rPr>
          <w:sz w:val="16"/>
          <w:szCs w:val="16"/>
        </w:rPr>
        <w:t xml:space="preserve">before </w:t>
      </w:r>
      <w:r w:rsidRPr="00C837DD">
        <w:rPr>
          <w:sz w:val="16"/>
          <w:szCs w:val="16"/>
        </w:rPr>
        <w:t xml:space="preserve">the other constitutional powers and maintaining its popular representation.” </w:t>
      </w:r>
      <w:r w:rsidRPr="00C837DD">
        <w:rPr>
          <w:i/>
          <w:sz w:val="16"/>
          <w:szCs w:val="16"/>
        </w:rPr>
        <w:t>Cf.</w:t>
      </w:r>
      <w:r w:rsidRPr="00C837DD">
        <w:rPr>
          <w:sz w:val="16"/>
          <w:szCs w:val="16"/>
        </w:rPr>
        <w:t xml:space="preserve"> Expert opinion </w:t>
      </w:r>
      <w:r w:rsidR="001044A7" w:rsidRPr="00C837DD">
        <w:rPr>
          <w:sz w:val="16"/>
          <w:szCs w:val="16"/>
        </w:rPr>
        <w:t xml:space="preserve">of Edvaldo Fernandes da Silva </w:t>
      </w:r>
      <w:r w:rsidRPr="00C837DD">
        <w:rPr>
          <w:sz w:val="16"/>
          <w:szCs w:val="16"/>
        </w:rPr>
        <w:t>rendered by affidavit on January 13, 2021 (evidence file, folio 10061).</w:t>
      </w:r>
    </w:p>
  </w:footnote>
  <w:footnote w:id="182">
    <w:p w14:paraId="0CD64CC2"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See, for example, Article 5 of the Internal Rules of the European Parliament</w:t>
      </w:r>
      <w:r w:rsidRPr="00C837DD">
        <w:rPr>
          <w:i/>
          <w:sz w:val="16"/>
          <w:szCs w:val="16"/>
        </w:rPr>
        <w:t xml:space="preserve">. </w:t>
      </w:r>
      <w:r w:rsidRPr="00C837DD">
        <w:rPr>
          <w:sz w:val="16"/>
          <w:szCs w:val="16"/>
        </w:rPr>
        <w:t xml:space="preserve">Available at: </w:t>
      </w:r>
      <w:hyperlink r:id="rId26" w:history="1">
        <w:r w:rsidRPr="00C837DD">
          <w:rPr>
            <w:rStyle w:val="Hipervnculo"/>
            <w:sz w:val="16"/>
            <w:szCs w:val="16"/>
          </w:rPr>
          <w:t>https://www.europarl.europa.eu/doceo/document/RULES-9-2020-02-03_ES.pdf</w:t>
        </w:r>
      </w:hyperlink>
      <w:r w:rsidRPr="00C837DD">
        <w:rPr>
          <w:i/>
          <w:sz w:val="16"/>
          <w:szCs w:val="16"/>
        </w:rPr>
        <w:t>.</w:t>
      </w:r>
    </w:p>
  </w:footnote>
  <w:footnote w:id="183">
    <w:p w14:paraId="144B5FA2" w14:textId="33E2A7DF"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of Edvaldo Fernandes da Silva, rendered by affidavit </w:t>
      </w:r>
      <w:r w:rsidRPr="00C837DD">
        <w:rPr>
          <w:i/>
          <w:sz w:val="16"/>
          <w:szCs w:val="16"/>
        </w:rPr>
        <w:t xml:space="preserve">supra </w:t>
      </w:r>
      <w:r w:rsidRPr="00C837DD">
        <w:rPr>
          <w:sz w:val="16"/>
          <w:szCs w:val="16"/>
        </w:rPr>
        <w:t xml:space="preserve">(evidence file, folio 10062). </w:t>
      </w:r>
      <w:r w:rsidR="001044A7" w:rsidRPr="00C837DD">
        <w:rPr>
          <w:sz w:val="16"/>
          <w:szCs w:val="16"/>
        </w:rPr>
        <w:t>T</w:t>
      </w:r>
      <w:r w:rsidRPr="00C837DD">
        <w:rPr>
          <w:sz w:val="16"/>
          <w:szCs w:val="16"/>
        </w:rPr>
        <w:t xml:space="preserve">he European Court of Human Rights </w:t>
      </w:r>
      <w:r w:rsidR="001044A7" w:rsidRPr="00C837DD">
        <w:rPr>
          <w:sz w:val="16"/>
          <w:szCs w:val="16"/>
        </w:rPr>
        <w:t xml:space="preserve">has also stated </w:t>
      </w:r>
      <w:r w:rsidRPr="00C837DD">
        <w:rPr>
          <w:sz w:val="16"/>
          <w:szCs w:val="16"/>
        </w:rPr>
        <w:t>that the varying degrees of parliamentary immunity conferred by the States: “</w:t>
      </w:r>
      <w:r w:rsidRPr="00C837DD">
        <w:rPr>
          <w:i/>
          <w:sz w:val="16"/>
          <w:szCs w:val="16"/>
        </w:rPr>
        <w:t>pursue the legitimate aims of protecting free speech in Parliament and maintaining the separation of powers between the legislature and the judiciary. Different forms of parliamentary immunity may indeed serve to protect the effective political democracy that constitutes one of the cornerstones of the Convention system, particularly where they protect the autonomy of the legislature and the parliamentary opposition. The guarantees offered by both types of parliamentary immunity (non-liability and inviolability) serve to ensure the independence of Parliament in the performance of its task. Inviolability helps to achieve the full independence of Parliament by preventing any possibility of politically motivated criminal proceedings (fumus persecutionis) and thereby protecting the opposition from pressure or abuse on the part of the majority […]. The protection afforded to free speech in Parliament serves to protect the interests of Parliament as a whole and should not be understood as protection afforded solely to individual parliamentarians. Cf.</w:t>
      </w:r>
      <w:r w:rsidRPr="00C837DD">
        <w:rPr>
          <w:sz w:val="16"/>
          <w:szCs w:val="16"/>
        </w:rPr>
        <w:t xml:space="preserve"> ECHR. </w:t>
      </w:r>
      <w:r w:rsidRPr="00C837DD">
        <w:rPr>
          <w:i/>
          <w:sz w:val="16"/>
          <w:szCs w:val="16"/>
        </w:rPr>
        <w:t xml:space="preserve">Case of Karácsony et al. v. Hungary </w:t>
      </w:r>
      <w:r w:rsidRPr="00C837DD">
        <w:rPr>
          <w:sz w:val="16"/>
          <w:szCs w:val="16"/>
        </w:rPr>
        <w:t>[GS], No. 42461/13 and 44357/13, Judgment of May 17, 2016, paras. 138 and 146.</w:t>
      </w:r>
    </w:p>
  </w:footnote>
  <w:footnote w:id="184">
    <w:p w14:paraId="2AA08353"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Parliamentary immunity was historically conceived for the purpose of protecting legislators against the “possible use of criminal proceedings with the intention of disturbing the functioning of the Chambers or altering the composition granted them by the will of the people.”</w:t>
      </w:r>
      <w:r w:rsidRPr="00C837DD">
        <w:t xml:space="preserve"> </w:t>
      </w:r>
      <w:r w:rsidRPr="00C837DD">
        <w:rPr>
          <w:sz w:val="16"/>
          <w:szCs w:val="16"/>
        </w:rPr>
        <w:t xml:space="preserve">However, as the expert witness Javier García emphasized, the meaning and scope of parliamentary immunities have changed with the profound constitutional transformations both in Europe, after the Second World War, and in Latin America, since the 1980s. Cf. Expert opinion rendered by affidavit by Javier Hernández García, </w:t>
      </w:r>
      <w:r w:rsidRPr="00C837DD">
        <w:rPr>
          <w:i/>
          <w:sz w:val="16"/>
          <w:szCs w:val="16"/>
        </w:rPr>
        <w:t>supra</w:t>
      </w:r>
      <w:r w:rsidRPr="00C837DD">
        <w:rPr>
          <w:sz w:val="16"/>
          <w:szCs w:val="16"/>
        </w:rPr>
        <w:t xml:space="preserve"> (evidence file, folios 10361 and 10362). On the other hand, it is true that the higher the degree of development of the system of checks and balances and of institutional tools of equilibrium in the exercise of constitutional powers, the lower the presumption of politically motivated criminal prosecution (</w:t>
      </w:r>
      <w:r w:rsidRPr="00C837DD">
        <w:rPr>
          <w:i/>
          <w:sz w:val="16"/>
          <w:szCs w:val="16"/>
        </w:rPr>
        <w:t>fumus persecutionis</w:t>
      </w:r>
      <w:r w:rsidRPr="00C837DD">
        <w:rPr>
          <w:sz w:val="16"/>
          <w:szCs w:val="16"/>
        </w:rPr>
        <w:t xml:space="preserve">) in relation to judicial or procedural actions initiated against a parliamentarian. Cf. Expert opinion rendered before a notary public by Javier Hernández García, </w:t>
      </w:r>
      <w:r w:rsidRPr="00C837DD">
        <w:rPr>
          <w:i/>
          <w:sz w:val="16"/>
          <w:szCs w:val="16"/>
        </w:rPr>
        <w:t>supra</w:t>
      </w:r>
      <w:r w:rsidRPr="00C837DD">
        <w:rPr>
          <w:sz w:val="16"/>
          <w:szCs w:val="16"/>
        </w:rPr>
        <w:t xml:space="preserve"> (evidence file, folio 10362).</w:t>
      </w:r>
      <w:r w:rsidRPr="00C837DD" w:rsidDel="00BD1B5F">
        <w:rPr>
          <w:sz w:val="16"/>
          <w:szCs w:val="16"/>
        </w:rPr>
        <w:t xml:space="preserve"> </w:t>
      </w:r>
    </w:p>
  </w:footnote>
  <w:footnote w:id="185">
    <w:p w14:paraId="6ADAC6D7"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Original text of Article 53 of the Constitution of the Federative Republic of Brazil, </w:t>
      </w:r>
      <w:r w:rsidRPr="00C837DD">
        <w:rPr>
          <w:i/>
          <w:sz w:val="16"/>
          <w:szCs w:val="16"/>
        </w:rPr>
        <w:t>supra.</w:t>
      </w:r>
    </w:p>
  </w:footnote>
  <w:footnote w:id="186">
    <w:p w14:paraId="660B0F14"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Federative Republic of Brazil, </w:t>
      </w:r>
      <w:r w:rsidRPr="00C837DD">
        <w:rPr>
          <w:i/>
          <w:sz w:val="16"/>
          <w:szCs w:val="16"/>
        </w:rPr>
        <w:t>supra</w:t>
      </w:r>
      <w:r w:rsidRPr="00C837DD">
        <w:rPr>
          <w:sz w:val="16"/>
          <w:szCs w:val="16"/>
        </w:rPr>
        <w:t>, Article 27, paragraph 1.</w:t>
      </w:r>
    </w:p>
  </w:footnote>
  <w:footnote w:id="187">
    <w:p w14:paraId="514E5E89"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state of Paraíba, </w:t>
      </w:r>
      <w:r w:rsidRPr="00C837DD">
        <w:rPr>
          <w:i/>
          <w:sz w:val="16"/>
          <w:szCs w:val="16"/>
        </w:rPr>
        <w:t>supra</w:t>
      </w:r>
      <w:r w:rsidRPr="00C837DD">
        <w:rPr>
          <w:sz w:val="16"/>
          <w:szCs w:val="16"/>
        </w:rPr>
        <w:t xml:space="preserve">. </w:t>
      </w:r>
    </w:p>
  </w:footnote>
  <w:footnote w:id="188">
    <w:p w14:paraId="468D99AB"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Constitutional Amendment N. 35, </w:t>
      </w:r>
      <w:r w:rsidRPr="00C837DD">
        <w:rPr>
          <w:i/>
          <w:sz w:val="16"/>
          <w:szCs w:val="16"/>
        </w:rPr>
        <w:t>supra</w:t>
      </w:r>
      <w:r w:rsidRPr="00C837DD">
        <w:rPr>
          <w:sz w:val="16"/>
          <w:szCs w:val="16"/>
        </w:rPr>
        <w:t>.</w:t>
      </w:r>
    </w:p>
  </w:footnote>
  <w:footnote w:id="189">
    <w:p w14:paraId="414CFE2D" w14:textId="10D9449D"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Melina Fachin, </w:t>
      </w:r>
      <w:r w:rsidRPr="00C837DD">
        <w:rPr>
          <w:i/>
          <w:sz w:val="16"/>
          <w:szCs w:val="16"/>
        </w:rPr>
        <w:t>supra</w:t>
      </w:r>
      <w:r w:rsidRPr="00C837DD">
        <w:rPr>
          <w:sz w:val="16"/>
          <w:szCs w:val="16"/>
        </w:rPr>
        <w:t xml:space="preserve">; Expert opinion </w:t>
      </w:r>
      <w:r w:rsidR="002023F1" w:rsidRPr="00C837DD">
        <w:rPr>
          <w:sz w:val="16"/>
          <w:szCs w:val="16"/>
        </w:rPr>
        <w:t xml:space="preserve">of Daniel Sarmento </w:t>
      </w:r>
      <w:r w:rsidRPr="00C837DD">
        <w:rPr>
          <w:sz w:val="16"/>
          <w:szCs w:val="16"/>
        </w:rPr>
        <w:t xml:space="preserve">rendered by affidavit, </w:t>
      </w:r>
      <w:r w:rsidRPr="00C837DD">
        <w:rPr>
          <w:i/>
          <w:sz w:val="16"/>
          <w:szCs w:val="16"/>
        </w:rPr>
        <w:t>supra;</w:t>
      </w:r>
      <w:r w:rsidRPr="00C837DD">
        <w:rPr>
          <w:sz w:val="16"/>
          <w:szCs w:val="16"/>
        </w:rPr>
        <w:t xml:space="preserve"> Expert opinion </w:t>
      </w:r>
      <w:r w:rsidR="002023F1" w:rsidRPr="00C837DD">
        <w:rPr>
          <w:sz w:val="16"/>
          <w:szCs w:val="16"/>
        </w:rPr>
        <w:t xml:space="preserve">of </w:t>
      </w:r>
      <w:r w:rsidRPr="00C837DD">
        <w:rPr>
          <w:sz w:val="16"/>
          <w:szCs w:val="16"/>
        </w:rPr>
        <w:t xml:space="preserve">Javier Hernández García, </w:t>
      </w:r>
      <w:r w:rsidR="002023F1" w:rsidRPr="00C837DD">
        <w:rPr>
          <w:sz w:val="16"/>
          <w:szCs w:val="16"/>
        </w:rPr>
        <w:t xml:space="preserve">rendered by affidavit </w:t>
      </w:r>
      <w:r w:rsidRPr="00C837DD">
        <w:rPr>
          <w:i/>
          <w:sz w:val="16"/>
          <w:szCs w:val="16"/>
        </w:rPr>
        <w:t>supra</w:t>
      </w:r>
      <w:r w:rsidRPr="00C837DD">
        <w:rPr>
          <w:sz w:val="16"/>
          <w:szCs w:val="16"/>
        </w:rPr>
        <w:t xml:space="preserve"> and Expert opinion </w:t>
      </w:r>
      <w:r w:rsidR="002023F1" w:rsidRPr="00C837DD">
        <w:rPr>
          <w:sz w:val="16"/>
          <w:szCs w:val="16"/>
        </w:rPr>
        <w:t xml:space="preserve">of </w:t>
      </w:r>
      <w:r w:rsidRPr="00C837DD">
        <w:rPr>
          <w:sz w:val="16"/>
          <w:szCs w:val="16"/>
        </w:rPr>
        <w:t xml:space="preserve">Edvaldo Fernandes da Silva, </w:t>
      </w:r>
      <w:r w:rsidR="002023F1" w:rsidRPr="00C837DD">
        <w:rPr>
          <w:sz w:val="16"/>
          <w:szCs w:val="16"/>
        </w:rPr>
        <w:t>rendered by affidavit</w:t>
      </w:r>
      <w:r w:rsidR="002023F1" w:rsidRPr="00C837DD">
        <w:rPr>
          <w:i/>
          <w:sz w:val="16"/>
          <w:szCs w:val="16"/>
        </w:rPr>
        <w:t xml:space="preserve"> </w:t>
      </w:r>
      <w:r w:rsidRPr="00C837DD">
        <w:rPr>
          <w:i/>
          <w:sz w:val="16"/>
          <w:szCs w:val="16"/>
        </w:rPr>
        <w:t xml:space="preserve">supra. </w:t>
      </w:r>
      <w:r w:rsidRPr="00C837DD">
        <w:rPr>
          <w:sz w:val="16"/>
          <w:szCs w:val="16"/>
        </w:rPr>
        <w:t>Article 53 of the Brazilian Constitution also provides for the so-called "privilege by prerogative of office", whereby a federal deputy or senator must be tried directly before the Federal Supreme Court as soon as they begin to exercise elective office.</w:t>
      </w:r>
    </w:p>
  </w:footnote>
  <w:footnote w:id="190">
    <w:p w14:paraId="41BFE202" w14:textId="1A65EE22"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w:t>
      </w:r>
      <w:r w:rsidR="00877FA4" w:rsidRPr="00C837DD">
        <w:rPr>
          <w:sz w:val="16"/>
          <w:szCs w:val="16"/>
        </w:rPr>
        <w:t xml:space="preserve">of </w:t>
      </w:r>
      <w:r w:rsidRPr="00C837DD">
        <w:rPr>
          <w:sz w:val="16"/>
          <w:szCs w:val="16"/>
        </w:rPr>
        <w:t xml:space="preserve">Javier Hernández García, </w:t>
      </w:r>
      <w:r w:rsidR="00877FA4" w:rsidRPr="00C837DD">
        <w:rPr>
          <w:sz w:val="16"/>
          <w:szCs w:val="16"/>
        </w:rPr>
        <w:t xml:space="preserve">rendered by affidavit, </w:t>
      </w:r>
      <w:r w:rsidRPr="00C837DD">
        <w:rPr>
          <w:i/>
          <w:sz w:val="16"/>
          <w:szCs w:val="16"/>
        </w:rPr>
        <w:t xml:space="preserve">supra </w:t>
      </w:r>
      <w:r w:rsidRPr="00C837DD">
        <w:rPr>
          <w:sz w:val="16"/>
          <w:szCs w:val="16"/>
        </w:rPr>
        <w:t xml:space="preserve">(evidence file, folio 10368). According to the Venice Commission, nearly all democratic countries in the world have rules on material immunity for members of the legislative body. </w:t>
      </w:r>
      <w:r w:rsidR="00877FA4" w:rsidRPr="00C837DD">
        <w:rPr>
          <w:sz w:val="16"/>
          <w:szCs w:val="16"/>
        </w:rPr>
        <w:t>T</w:t>
      </w:r>
      <w:r w:rsidRPr="00C837DD">
        <w:rPr>
          <w:sz w:val="16"/>
          <w:szCs w:val="16"/>
        </w:rPr>
        <w:t xml:space="preserve">his type of immunity is generally absolute and cannot be waived. On the other hand, several countries have rules on procedural immunity, although they are “usually more narrowly construed and easier to waive or lift, usually by parliament itself.” Although, according to the Venice Commission, the latter type of immunity is more complex and controversial, and “there is a great variety both as to what they [members of the legislative body] are protected against and as to what kind of crimes this protection covers.” </w:t>
      </w:r>
      <w:r w:rsidRPr="00C837DD">
        <w:rPr>
          <w:i/>
          <w:sz w:val="16"/>
          <w:szCs w:val="16"/>
        </w:rPr>
        <w:t>Cf.</w:t>
      </w:r>
      <w:r w:rsidRPr="00C837DD">
        <w:rPr>
          <w:sz w:val="16"/>
          <w:szCs w:val="16"/>
        </w:rPr>
        <w:t xml:space="preserve"> European Commission for Democracy through Law. </w:t>
      </w:r>
      <w:r w:rsidRPr="00C837DD">
        <w:rPr>
          <w:i/>
          <w:sz w:val="16"/>
          <w:szCs w:val="16"/>
        </w:rPr>
        <w:t xml:space="preserve">Report on the scope and lifting of parliamentary immunities </w:t>
      </w:r>
      <w:r w:rsidRPr="00C837DD">
        <w:rPr>
          <w:sz w:val="16"/>
          <w:szCs w:val="16"/>
        </w:rPr>
        <w:t>(Study No. 714/2013), paras. 12, 14 175, 176, Available at:</w:t>
      </w:r>
      <w:r w:rsidRPr="00C837DD">
        <w:rPr>
          <w:i/>
          <w:sz w:val="16"/>
          <w:szCs w:val="16"/>
        </w:rPr>
        <w:t xml:space="preserve"> </w:t>
      </w:r>
      <w:hyperlink r:id="rId27" w:history="1">
        <w:r w:rsidRPr="00C837DD">
          <w:rPr>
            <w:rStyle w:val="Hipervnculo"/>
            <w:sz w:val="16"/>
            <w:szCs w:val="16"/>
          </w:rPr>
          <w:t>https://www.venice.coe.int/webforms/documents/default.aspx?pdffile=CDL-AD(2014)011-e</w:t>
        </w:r>
      </w:hyperlink>
      <w:r w:rsidRPr="00C837DD">
        <w:rPr>
          <w:sz w:val="16"/>
          <w:szCs w:val="16"/>
        </w:rPr>
        <w:t>.</w:t>
      </w:r>
    </w:p>
  </w:footnote>
  <w:footnote w:id="191">
    <w:p w14:paraId="794E4283"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Expert opinion of Javier Hernández García rendered by affidavit, </w:t>
      </w:r>
      <w:r w:rsidRPr="00C837DD">
        <w:rPr>
          <w:i/>
          <w:sz w:val="16"/>
          <w:szCs w:val="16"/>
        </w:rPr>
        <w:t xml:space="preserve">supra </w:t>
      </w:r>
      <w:r w:rsidRPr="00C837DD">
        <w:rPr>
          <w:sz w:val="16"/>
          <w:szCs w:val="16"/>
        </w:rPr>
        <w:t>(evidence file, folio 10368).</w:t>
      </w:r>
    </w:p>
  </w:footnote>
  <w:footnote w:id="192">
    <w:p w14:paraId="4A5A88FC" w14:textId="228BA7CB"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Argentine Republic: Law </w:t>
      </w:r>
      <w:r w:rsidR="00877FA4" w:rsidRPr="00C837DD">
        <w:rPr>
          <w:sz w:val="16"/>
          <w:szCs w:val="16"/>
        </w:rPr>
        <w:t>N</w:t>
      </w:r>
      <w:r w:rsidRPr="00C837DD">
        <w:rPr>
          <w:sz w:val="16"/>
          <w:szCs w:val="16"/>
        </w:rPr>
        <w:t xml:space="preserve">° 24.430 of January 3, 1995. Available at: </w:t>
      </w:r>
      <w:hyperlink r:id="rId28" w:history="1">
        <w:r w:rsidRPr="00C837DD">
          <w:rPr>
            <w:rStyle w:val="Hipervnculo"/>
            <w:sz w:val="16"/>
            <w:szCs w:val="16"/>
          </w:rPr>
          <w:t>http://servicios.infoleg.gob.ar/infolegInternet/Annexs/0-4999/804/norma.htm</w:t>
        </w:r>
      </w:hyperlink>
      <w:r w:rsidRPr="00C837DD">
        <w:rPr>
          <w:sz w:val="16"/>
          <w:szCs w:val="16"/>
        </w:rPr>
        <w:t xml:space="preserve">.  </w:t>
      </w:r>
    </w:p>
  </w:footnote>
  <w:footnote w:id="193">
    <w:p w14:paraId="0E460CE2"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Arial"/>
          <w:sz w:val="16"/>
          <w:szCs w:val="16"/>
          <w:shd w:val="clear" w:color="auto" w:fill="FFFFFF"/>
        </w:rPr>
        <w:t>Immunity of opinion is regulated in Article 68 of the Constitution, which establishes that: “</w:t>
      </w:r>
      <w:r w:rsidRPr="00C837DD">
        <w:rPr>
          <w:sz w:val="16"/>
          <w:szCs w:val="16"/>
        </w:rPr>
        <w:t>No member of Congress shall be accused, judicially examined, or disturbed for opinions expressed or speeches delivered by him while holding office as legislator</w:t>
      </w:r>
      <w:r w:rsidRPr="00C837DD">
        <w:rPr>
          <w:rFonts w:cs="Arial"/>
          <w:sz w:val="16"/>
          <w:szCs w:val="16"/>
          <w:shd w:val="clear" w:color="auto" w:fill="FFFFFF"/>
        </w:rPr>
        <w:t>.” In addition, immunity from arrest is contemplated in Article 69, which states that: “</w:t>
      </w:r>
      <w:r w:rsidRPr="00C837DD">
        <w:rPr>
          <w:sz w:val="16"/>
          <w:szCs w:val="16"/>
        </w:rPr>
        <w:t>No senator or deputy shall be arrested as from the day of his election until the expiration of his term, except when flagrantly surprised committing a crime deserving capital punishment or other infamous or serious punishment</w:t>
      </w:r>
      <w:r w:rsidRPr="00C837DD">
        <w:rPr>
          <w:rFonts w:cs="Arial"/>
          <w:sz w:val="16"/>
          <w:szCs w:val="16"/>
          <w:shd w:val="clear" w:color="auto" w:fill="FFFFFF"/>
        </w:rPr>
        <w:t xml:space="preserve"> […].”</w:t>
      </w:r>
    </w:p>
  </w:footnote>
  <w:footnote w:id="194">
    <w:p w14:paraId="3068EBB5"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Republic of Costa Rica of November 7, 1949. Available at: </w:t>
      </w:r>
      <w:hyperlink r:id="rId29" w:history="1">
        <w:r w:rsidRPr="00C837DD">
          <w:rPr>
            <w:rStyle w:val="Hipervnculo"/>
            <w:sz w:val="16"/>
            <w:szCs w:val="16"/>
          </w:rPr>
          <w:t>https://www.pgrweb.go.cr/scij/Busqueda/Normativa/Normas/nrm_texto_completo.aspx?nValor1=1&amp;nValor2=871</w:t>
        </w:r>
      </w:hyperlink>
      <w:r w:rsidRPr="00C837DD">
        <w:rPr>
          <w:rStyle w:val="Hipervnculo"/>
          <w:sz w:val="16"/>
          <w:szCs w:val="16"/>
        </w:rPr>
        <w:t>.</w:t>
      </w:r>
      <w:r w:rsidRPr="00C837DD">
        <w:rPr>
          <w:sz w:val="16"/>
          <w:szCs w:val="16"/>
        </w:rPr>
        <w:t xml:space="preserve"> </w:t>
      </w:r>
    </w:p>
  </w:footnote>
  <w:footnote w:id="195">
    <w:p w14:paraId="44273BAC" w14:textId="323C87D3"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w:t>
      </w:r>
      <w:r w:rsidRPr="00C837DD">
        <w:rPr>
          <w:sz w:val="16"/>
          <w:szCs w:val="16"/>
          <w:lang w:eastAsia="es-CR"/>
        </w:rPr>
        <w:t xml:space="preserve"> 110 of the Constitution of the Republic of Costa Rica establishes that: “</w:t>
      </w:r>
      <w:r w:rsidRPr="00C837DD">
        <w:rPr>
          <w:sz w:val="16"/>
          <w:szCs w:val="16"/>
        </w:rPr>
        <w:t xml:space="preserve">A Representative is not liable for any opinions expressed </w:t>
      </w:r>
      <w:r w:rsidR="00E829BE">
        <w:rPr>
          <w:sz w:val="16"/>
          <w:szCs w:val="16"/>
        </w:rPr>
        <w:t>in</w:t>
      </w:r>
      <w:r w:rsidRPr="00C837DD">
        <w:rPr>
          <w:sz w:val="16"/>
          <w:szCs w:val="16"/>
        </w:rPr>
        <w:t xml:space="preserve"> the Assembly. During legislative sessions, he cannot be arrested on civil grounds, except with the authorization of the Assembly or with his consent</w:t>
      </w:r>
      <w:r w:rsidRPr="00C837DD">
        <w:rPr>
          <w:sz w:val="16"/>
          <w:szCs w:val="16"/>
          <w:lang w:eastAsia="es-CR"/>
        </w:rPr>
        <w:t xml:space="preserve">. </w:t>
      </w:r>
      <w:r w:rsidRPr="00C837DD">
        <w:rPr>
          <w:sz w:val="16"/>
          <w:szCs w:val="16"/>
        </w:rPr>
        <w:t xml:space="preserve">From the time a person is declared elected as Representative or as an alternate Representative, until his legal term in office expires, he may not be deprived of his </w:t>
      </w:r>
      <w:r w:rsidR="007F645D" w:rsidRPr="00C837DD">
        <w:rPr>
          <w:sz w:val="16"/>
          <w:szCs w:val="16"/>
        </w:rPr>
        <w:t xml:space="preserve">liberty </w:t>
      </w:r>
      <w:r w:rsidRPr="00C837DD">
        <w:rPr>
          <w:sz w:val="16"/>
          <w:szCs w:val="16"/>
        </w:rPr>
        <w:t xml:space="preserve">on criminal grounds, unless he has been previously suspended by the Assembly. Such immunity does not apply in cases of flagrante delicto or when the Representative waives it. Nevertheless, a Representative who has been arrested </w:t>
      </w:r>
      <w:r w:rsidR="007F645D" w:rsidRPr="00C837DD">
        <w:rPr>
          <w:sz w:val="16"/>
          <w:szCs w:val="16"/>
        </w:rPr>
        <w:t>in</w:t>
      </w:r>
      <w:r w:rsidRPr="00C837DD">
        <w:rPr>
          <w:sz w:val="16"/>
          <w:szCs w:val="16"/>
        </w:rPr>
        <w:t xml:space="preserve"> flagrante delicto shall be released if the Assembly so orders</w:t>
      </w:r>
      <w:r w:rsidRPr="00C837DD">
        <w:rPr>
          <w:sz w:val="16"/>
          <w:szCs w:val="16"/>
          <w:lang w:eastAsia="es-CR"/>
        </w:rPr>
        <w:t>.”</w:t>
      </w:r>
    </w:p>
  </w:footnote>
  <w:footnote w:id="196">
    <w:p w14:paraId="302902D0"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Constitution of the United Mexican States of February 5, 1917. Available at: </w:t>
      </w:r>
      <w:hyperlink r:id="rId30" w:history="1">
        <w:r w:rsidRPr="00C837DD">
          <w:rPr>
            <w:rStyle w:val="Hipervnculo"/>
            <w:sz w:val="16"/>
            <w:szCs w:val="16"/>
          </w:rPr>
          <w:t>http://www.deputies.gob.mx/LawesBiblio/pdf/1_280521.pdf</w:t>
        </w:r>
      </w:hyperlink>
      <w:r w:rsidRPr="00C837DD">
        <w:rPr>
          <w:sz w:val="16"/>
          <w:szCs w:val="16"/>
        </w:rPr>
        <w:t xml:space="preserve">. </w:t>
      </w:r>
    </w:p>
  </w:footnote>
  <w:footnote w:id="197">
    <w:p w14:paraId="305DAA6C" w14:textId="777E98F1"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rFonts w:eastAsia="Times New Roman" w:cs="Times New Roman"/>
          <w:bCs/>
          <w:sz w:val="16"/>
          <w:szCs w:val="16"/>
          <w:lang w:eastAsia="es-CR"/>
        </w:rPr>
        <w:t xml:space="preserve">Organic Law of the </w:t>
      </w:r>
      <w:r w:rsidR="007F645D" w:rsidRPr="00C837DD">
        <w:rPr>
          <w:rFonts w:eastAsia="Times New Roman" w:cs="Times New Roman"/>
          <w:bCs/>
          <w:sz w:val="16"/>
          <w:szCs w:val="16"/>
          <w:lang w:eastAsia="es-CR"/>
        </w:rPr>
        <w:t xml:space="preserve">General </w:t>
      </w:r>
      <w:r w:rsidRPr="00C837DD">
        <w:rPr>
          <w:rFonts w:eastAsia="Times New Roman" w:cs="Times New Roman"/>
          <w:bCs/>
          <w:sz w:val="16"/>
          <w:szCs w:val="16"/>
          <w:lang w:eastAsia="es-CR"/>
        </w:rPr>
        <w:t>Congress of the United Mexican States of September 3, 1999. Available at:</w:t>
      </w:r>
      <w:r w:rsidRPr="00C837DD">
        <w:rPr>
          <w:sz w:val="16"/>
          <w:szCs w:val="16"/>
        </w:rPr>
        <w:t xml:space="preserve"> </w:t>
      </w:r>
      <w:hyperlink r:id="rId31" w:history="1">
        <w:r w:rsidRPr="00C837DD">
          <w:rPr>
            <w:rStyle w:val="Hipervnculo"/>
            <w:sz w:val="16"/>
            <w:szCs w:val="16"/>
          </w:rPr>
          <w:t>http://www.deputies.gob.mx/LawesBiblio/pdf/168_080519.pdf</w:t>
        </w:r>
      </w:hyperlink>
      <w:r w:rsidRPr="00C837DD">
        <w:rPr>
          <w:sz w:val="16"/>
          <w:szCs w:val="16"/>
        </w:rPr>
        <w:t xml:space="preserve">. </w:t>
      </w:r>
    </w:p>
  </w:footnote>
  <w:footnote w:id="198">
    <w:p w14:paraId="145FC84E"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rFonts w:eastAsia="Times New Roman" w:cs="Times New Roman"/>
          <w:bCs/>
          <w:sz w:val="16"/>
          <w:szCs w:val="16"/>
          <w:lang w:eastAsia="es-CR"/>
        </w:rPr>
        <w:t>Rules of Procedure of the Senate of March 5, 2013</w:t>
      </w:r>
      <w:r w:rsidRPr="00C837DD">
        <w:rPr>
          <w:sz w:val="16"/>
          <w:szCs w:val="16"/>
        </w:rPr>
        <w:t xml:space="preserve"> Available at: </w:t>
      </w:r>
      <w:hyperlink r:id="rId32" w:history="1">
        <w:r w:rsidRPr="00C837DD">
          <w:rPr>
            <w:rStyle w:val="Hipervnculo"/>
            <w:sz w:val="16"/>
            <w:szCs w:val="16"/>
          </w:rPr>
          <w:t>https://www.Senate.gob.mx/comisiones/cogati/docs/RSR.pdf</w:t>
        </w:r>
      </w:hyperlink>
      <w:r w:rsidRPr="00C837DD">
        <w:rPr>
          <w:sz w:val="16"/>
          <w:szCs w:val="16"/>
        </w:rPr>
        <w:t xml:space="preserve">. </w:t>
      </w:r>
    </w:p>
  </w:footnote>
  <w:footnote w:id="199">
    <w:p w14:paraId="39940E5C" w14:textId="286F6459"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w:t>
      </w:r>
      <w:r w:rsidRPr="00C837DD">
        <w:rPr>
          <w:bCs/>
          <w:sz w:val="16"/>
          <w:szCs w:val="16"/>
        </w:rPr>
        <w:t xml:space="preserve"> 61 of the Constitution of the United Mexican States establishes: “Article 61. </w:t>
      </w:r>
      <w:r w:rsidRPr="00C837DD">
        <w:rPr>
          <w:sz w:val="16"/>
          <w:szCs w:val="16"/>
        </w:rPr>
        <w:t>Representatives and senators shall be above criticism related to their opinions in the performance of their duties; they may never be questioned for such opinions</w:t>
      </w:r>
      <w:r w:rsidRPr="00C837DD">
        <w:rPr>
          <w:bCs/>
          <w:sz w:val="16"/>
          <w:szCs w:val="16"/>
        </w:rPr>
        <w:t xml:space="preserve">. </w:t>
      </w:r>
      <w:r w:rsidRPr="00C837DD">
        <w:rPr>
          <w:sz w:val="16"/>
          <w:szCs w:val="16"/>
        </w:rPr>
        <w:t>The speaker of each House shall be responsible for enforcing respect to House members’ constitutional immunity and to the inviolability of the place where the House of Representatives meets</w:t>
      </w:r>
      <w:r w:rsidRPr="00C837DD">
        <w:t>.</w:t>
      </w:r>
      <w:r w:rsidRPr="00C837DD">
        <w:rPr>
          <w:bCs/>
          <w:sz w:val="16"/>
          <w:szCs w:val="16"/>
        </w:rPr>
        <w:t xml:space="preserve">” For its part, Article 11(2) of Organic Law of the Congress of the United Mexican States </w:t>
      </w:r>
      <w:r w:rsidR="00B107D6" w:rsidRPr="00C837DD">
        <w:rPr>
          <w:bCs/>
          <w:sz w:val="16"/>
          <w:szCs w:val="16"/>
        </w:rPr>
        <w:t xml:space="preserve">establishes </w:t>
      </w:r>
      <w:r w:rsidRPr="00C837DD">
        <w:rPr>
          <w:bCs/>
          <w:sz w:val="16"/>
          <w:szCs w:val="16"/>
        </w:rPr>
        <w:t xml:space="preserve">that: “deputies </w:t>
      </w:r>
      <w:r w:rsidRPr="00C837DD">
        <w:rPr>
          <w:sz w:val="16"/>
          <w:szCs w:val="16"/>
        </w:rPr>
        <w:t>and senators</w:t>
      </w:r>
      <w:r w:rsidRPr="00C837DD">
        <w:rPr>
          <w:bCs/>
          <w:sz w:val="16"/>
          <w:szCs w:val="16"/>
        </w:rPr>
        <w:t xml:space="preserve"> are inviolable on account of the opinions they express in the performance of their duties and may never be challenged or prosecuted for them.” Likewise, Article 6(1) of the Rules of Procedure of the Senate of the Republic of Mexico provides that: "[d]uring the exercise of their office, senators have the immunity established by the Constitution of the United Mexican States and the laws. Said immunity begins once they take the oath indicated in Article 128 of the Constitution and concludes on the last day of their term of office</w:t>
      </w:r>
      <w:r w:rsidRPr="00C837DD">
        <w:rPr>
          <w:sz w:val="16"/>
          <w:szCs w:val="16"/>
        </w:rPr>
        <w:t>.”</w:t>
      </w:r>
    </w:p>
  </w:footnote>
  <w:footnote w:id="200">
    <w:p w14:paraId="7FF7B7D5" w14:textId="352045FE"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bCs/>
          <w:sz w:val="16"/>
          <w:szCs w:val="16"/>
        </w:rPr>
        <w:t>Article 11(3) of the Organic Law of the Congress of the United Mexican States: “</w:t>
      </w:r>
      <w:r w:rsidRPr="00C837DD">
        <w:rPr>
          <w:sz w:val="16"/>
          <w:szCs w:val="16"/>
        </w:rPr>
        <w:t xml:space="preserve">deputies and senators are responsible for the crimes they commit during their term of office and for the crimes, misdemeanors or omissions in which they incur in the exercise of the same office, but they may not be detained or prosecuted until the constitutional procedure is followed and a decision is made to remove them from office and subject them to the action of the ordinary courts.” Article 6(2) of the </w:t>
      </w:r>
      <w:r w:rsidRPr="00C837DD">
        <w:rPr>
          <w:bCs/>
          <w:sz w:val="16"/>
          <w:szCs w:val="16"/>
        </w:rPr>
        <w:t>Rules of Procedure of the Senate of the Republic of Mexico provides that "[s]enators are responsible for the crimes they commit during the time they hold office. In order for criminal proceedings to be brought against them, the requirements, formalities and procedures set forth in the Constitution and the applicable regulations must be observed.</w:t>
      </w:r>
      <w:r w:rsidRPr="00C837DD">
        <w:rPr>
          <w:sz w:val="16"/>
          <w:szCs w:val="16"/>
        </w:rPr>
        <w:t>” In turn, Article 7(1) of the same legal code establishes that “[o]nce the arrest of a senator or any other action by a judicial or administrative authority that hinders or impedes the performance of his office is known, the President shall immediately take the necessary actions to safeguard constitutional immunity.”</w:t>
      </w:r>
    </w:p>
  </w:footnote>
  <w:footnote w:id="201">
    <w:p w14:paraId="5D547378" w14:textId="14311C5C"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161 of the Constitution of Guatemala states: “</w:t>
      </w:r>
      <w:r w:rsidRPr="00C837DD">
        <w:rPr>
          <w:bCs/>
          <w:iCs/>
          <w:sz w:val="16"/>
          <w:szCs w:val="16"/>
        </w:rPr>
        <w:t>Article 161. Prerogatives of the deputies.</w:t>
      </w:r>
      <w:r w:rsidRPr="00C837DD">
        <w:rPr>
          <w:iCs/>
          <w:sz w:val="16"/>
          <w:szCs w:val="16"/>
        </w:rPr>
        <w:t xml:space="preserve"> </w:t>
      </w:r>
      <w:r w:rsidRPr="00C837DD">
        <w:rPr>
          <w:sz w:val="16"/>
          <w:szCs w:val="16"/>
        </w:rPr>
        <w:t>The deputies are representatives of the people and dignitaries of the Nation; as a guarantee for the exercise of their functions they will enjoy, from the day they are declared elected, the following prerogatives</w:t>
      </w:r>
      <w:r w:rsidRPr="00C837DD">
        <w:rPr>
          <w:iCs/>
          <w:sz w:val="16"/>
          <w:szCs w:val="16"/>
        </w:rPr>
        <w:t xml:space="preserve">: a) </w:t>
      </w:r>
      <w:r w:rsidRPr="00C837DD">
        <w:rPr>
          <w:sz w:val="16"/>
          <w:szCs w:val="16"/>
        </w:rPr>
        <w:t xml:space="preserve">Personal immunity from arrest or </w:t>
      </w:r>
      <w:r w:rsidR="00B107D6" w:rsidRPr="00C837DD">
        <w:rPr>
          <w:sz w:val="16"/>
          <w:szCs w:val="16"/>
        </w:rPr>
        <w:t xml:space="preserve">prosecution </w:t>
      </w:r>
      <w:r w:rsidRPr="00C837DD">
        <w:rPr>
          <w:sz w:val="16"/>
          <w:szCs w:val="16"/>
        </w:rPr>
        <w:t>if the Supreme Court of Justice does not previously declare that there is probable cause, after examining the report of the investigating judge who will be named for this purpose</w:t>
      </w:r>
      <w:r w:rsidRPr="00C837DD">
        <w:rPr>
          <w:iCs/>
          <w:sz w:val="16"/>
          <w:szCs w:val="16"/>
        </w:rPr>
        <w:t xml:space="preserve">. </w:t>
      </w:r>
      <w:r w:rsidRPr="00C837DD">
        <w:rPr>
          <w:sz w:val="16"/>
          <w:szCs w:val="16"/>
        </w:rPr>
        <w:t xml:space="preserve">The case of flagrante delicto is excepted for which the deputy shall be immediately placed at the </w:t>
      </w:r>
      <w:r w:rsidR="00B107D6" w:rsidRPr="00C837DD">
        <w:rPr>
          <w:sz w:val="16"/>
          <w:szCs w:val="16"/>
        </w:rPr>
        <w:t xml:space="preserve">disposal </w:t>
      </w:r>
      <w:r w:rsidRPr="00C837DD">
        <w:rPr>
          <w:sz w:val="16"/>
          <w:szCs w:val="16"/>
        </w:rPr>
        <w:t>of the Directive Board or the Permanent Commission of the Congress for the purpose of the corresponding preliminary hearing</w:t>
      </w:r>
      <w:r w:rsidRPr="00C837DD">
        <w:rPr>
          <w:iCs/>
          <w:sz w:val="16"/>
          <w:szCs w:val="16"/>
        </w:rPr>
        <w:t xml:space="preserve">. b) </w:t>
      </w:r>
      <w:r w:rsidRPr="00C837DD">
        <w:rPr>
          <w:sz w:val="16"/>
          <w:szCs w:val="16"/>
        </w:rPr>
        <w:t>They may not be held responsible for their opinions, for their initiative</w:t>
      </w:r>
      <w:r w:rsidR="00B107D6" w:rsidRPr="00C837DD">
        <w:rPr>
          <w:sz w:val="16"/>
          <w:szCs w:val="16"/>
        </w:rPr>
        <w:t>s</w:t>
      </w:r>
      <w:r w:rsidRPr="00C837DD">
        <w:rPr>
          <w:sz w:val="16"/>
          <w:szCs w:val="16"/>
        </w:rPr>
        <w:t xml:space="preserve"> and for the manner of handling public business, in the performance of their duties</w:t>
      </w:r>
      <w:r w:rsidRPr="00C837DD">
        <w:rPr>
          <w:iCs/>
          <w:sz w:val="16"/>
          <w:szCs w:val="16"/>
        </w:rPr>
        <w:t>. […]</w:t>
      </w:r>
      <w:r w:rsidR="00B107D6" w:rsidRPr="00C837DD">
        <w:rPr>
          <w:iCs/>
          <w:sz w:val="16"/>
          <w:szCs w:val="16"/>
        </w:rPr>
        <w:t>.</w:t>
      </w:r>
      <w:r w:rsidRPr="00C837DD">
        <w:rPr>
          <w:iCs/>
          <w:sz w:val="16"/>
          <w:szCs w:val="16"/>
        </w:rPr>
        <w:t>”</w:t>
      </w:r>
      <w:r w:rsidRPr="00C837DD">
        <w:rPr>
          <w:sz w:val="16"/>
          <w:szCs w:val="16"/>
        </w:rPr>
        <w:t xml:space="preserve"> Constitution of the Republic of Guatemala of May 31, 1985. Available at: </w:t>
      </w:r>
      <w:hyperlink r:id="rId33" w:history="1">
        <w:r w:rsidRPr="00C837DD">
          <w:rPr>
            <w:rStyle w:val="Hipervnculo"/>
            <w:sz w:val="16"/>
            <w:szCs w:val="16"/>
          </w:rPr>
          <w:t>https://www.congreso.gob.gt/assets/uploads/congreso/marco_legal/ab811-cprg.pdf</w:t>
        </w:r>
      </w:hyperlink>
      <w:r w:rsidRPr="00C837DD">
        <w:rPr>
          <w:rStyle w:val="Hipervnculo"/>
          <w:sz w:val="16"/>
          <w:szCs w:val="16"/>
        </w:rPr>
        <w:t>.</w:t>
      </w:r>
      <w:r w:rsidRPr="00C837DD">
        <w:rPr>
          <w:sz w:val="16"/>
          <w:szCs w:val="16"/>
        </w:rPr>
        <w:t xml:space="preserve"> </w:t>
      </w:r>
    </w:p>
  </w:footnote>
  <w:footnote w:id="202">
    <w:p w14:paraId="0BDE9DA3" w14:textId="7CF75D66"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Constitution of the Republic of Uruguay establishes that: “Article 112. Senators and Representatives shall never be held liable for the votes they cast or opinions </w:t>
      </w:r>
      <w:r w:rsidR="00B107D6" w:rsidRPr="00C837DD">
        <w:rPr>
          <w:sz w:val="16"/>
          <w:szCs w:val="16"/>
        </w:rPr>
        <w:t xml:space="preserve">they </w:t>
      </w:r>
      <w:r w:rsidRPr="00C837DD">
        <w:rPr>
          <w:sz w:val="16"/>
          <w:szCs w:val="16"/>
        </w:rPr>
        <w:t xml:space="preserve">express </w:t>
      </w:r>
      <w:r w:rsidR="00B107D6" w:rsidRPr="00C837DD">
        <w:rPr>
          <w:sz w:val="16"/>
          <w:szCs w:val="16"/>
        </w:rPr>
        <w:t xml:space="preserve">in </w:t>
      </w:r>
      <w:r w:rsidRPr="00C837DD">
        <w:rPr>
          <w:sz w:val="16"/>
          <w:szCs w:val="16"/>
        </w:rPr>
        <w:t>the discharge of their duties. Article 113. No Senator or Representative, from the day of his election until that of his termination, may be arrested except in case of flagrante delicto and then notice shall immediately be given to the respective Chamber, with a summary report of the case. Article 114. No Senator or Representative, from the day of his election until that of his termination, may be indicted on a criminal charge, or even for common offenses which are not specified in Article 93, except before his own Chamber, which, by two-thirds of the votes of its</w:t>
      </w:r>
      <w:r w:rsidRPr="00C837DD">
        <w:t xml:space="preserve"> </w:t>
      </w:r>
      <w:r w:rsidRPr="00C837DD">
        <w:rPr>
          <w:sz w:val="16"/>
          <w:szCs w:val="16"/>
        </w:rPr>
        <w:t xml:space="preserve">full membership, shall decide whether or not there are grounds for prosecution and if so, shall declare him suspended from office, and he shall be placed at the disposition of a competent Court.” Constitution of the Republic of Uruguay of February 2, 1967 Available at: </w:t>
      </w:r>
      <w:hyperlink r:id="rId34" w:history="1">
        <w:r w:rsidRPr="00C837DD">
          <w:rPr>
            <w:rStyle w:val="Hipervnculo"/>
            <w:sz w:val="16"/>
            <w:szCs w:val="16"/>
          </w:rPr>
          <w:t>https://parlament.gub.uy/documentsyLawes/constitucion</w:t>
        </w:r>
      </w:hyperlink>
      <w:r w:rsidRPr="00C837DD">
        <w:rPr>
          <w:sz w:val="16"/>
          <w:szCs w:val="16"/>
        </w:rPr>
        <w:t xml:space="preserve">.  </w:t>
      </w:r>
    </w:p>
  </w:footnote>
  <w:footnote w:id="203">
    <w:p w14:paraId="76521DED" w14:textId="50D30105" w:rsidR="005F5F1C" w:rsidRPr="00C837DD" w:rsidRDefault="005F5F1C" w:rsidP="00F85D5F">
      <w:pPr>
        <w:spacing w:before="40" w:after="40"/>
        <w:jc w:val="both"/>
        <w:rPr>
          <w:rFonts w:eastAsia="Times New Roman" w:cs="Times New Roman"/>
          <w:sz w:val="16"/>
          <w:szCs w:val="16"/>
          <w:lang w:eastAsia="es-CR"/>
        </w:rPr>
      </w:pPr>
      <w:r w:rsidRPr="00C837DD">
        <w:rPr>
          <w:rStyle w:val="Refdenotaalpie"/>
          <w:sz w:val="16"/>
          <w:szCs w:val="16"/>
        </w:rPr>
        <w:footnoteRef/>
      </w:r>
      <w:r w:rsidRPr="00C837DD">
        <w:rPr>
          <w:sz w:val="16"/>
          <w:szCs w:val="16"/>
        </w:rPr>
        <w:t xml:space="preserve"> </w:t>
      </w:r>
      <w:r w:rsidRPr="00C837DD">
        <w:rPr>
          <w:sz w:val="16"/>
          <w:szCs w:val="16"/>
        </w:rPr>
        <w:tab/>
        <w:t xml:space="preserve">Article 61 of the Constitution of the Republic of Chile </w:t>
      </w:r>
      <w:r w:rsidR="00575285" w:rsidRPr="00C837DD">
        <w:rPr>
          <w:sz w:val="16"/>
          <w:szCs w:val="16"/>
        </w:rPr>
        <w:t xml:space="preserve">establishes </w:t>
      </w:r>
      <w:r w:rsidRPr="00C837DD">
        <w:rPr>
          <w:sz w:val="16"/>
          <w:szCs w:val="16"/>
        </w:rPr>
        <w:t>that “</w:t>
      </w:r>
      <w:r w:rsidR="00575285" w:rsidRPr="00C837DD">
        <w:rPr>
          <w:sz w:val="16"/>
          <w:szCs w:val="16"/>
        </w:rPr>
        <w:t>R</w:t>
      </w:r>
      <w:r w:rsidRPr="00C837DD">
        <w:rPr>
          <w:sz w:val="16"/>
          <w:szCs w:val="16"/>
        </w:rPr>
        <w:t xml:space="preserve">epresentatives and </w:t>
      </w:r>
      <w:r w:rsidR="00575285" w:rsidRPr="00C837DD">
        <w:rPr>
          <w:sz w:val="16"/>
          <w:szCs w:val="16"/>
        </w:rPr>
        <w:t>S</w:t>
      </w:r>
      <w:r w:rsidRPr="00C837DD">
        <w:rPr>
          <w:sz w:val="16"/>
          <w:szCs w:val="16"/>
        </w:rPr>
        <w:t>enators are only inviolable for the opinions they express and the votes they cast in the performance of their duties, in House or commission sessions.</w:t>
      </w:r>
      <w:r w:rsidRPr="00C837DD">
        <w:rPr>
          <w:rFonts w:eastAsia="Times New Roman" w:cs="Times New Roman"/>
          <w:sz w:val="16"/>
          <w:szCs w:val="16"/>
          <w:lang w:eastAsia="es-CR"/>
        </w:rPr>
        <w:t xml:space="preserve"> </w:t>
      </w:r>
      <w:r w:rsidRPr="00C837DD">
        <w:rPr>
          <w:sz w:val="16"/>
          <w:szCs w:val="16"/>
        </w:rPr>
        <w:t xml:space="preserve">No </w:t>
      </w:r>
      <w:r w:rsidR="00575285" w:rsidRPr="00C837DD">
        <w:rPr>
          <w:sz w:val="16"/>
          <w:szCs w:val="16"/>
        </w:rPr>
        <w:t>R</w:t>
      </w:r>
      <w:r w:rsidRPr="00C837DD">
        <w:rPr>
          <w:sz w:val="16"/>
          <w:szCs w:val="16"/>
        </w:rPr>
        <w:t xml:space="preserve">epresentative or </w:t>
      </w:r>
      <w:r w:rsidR="00575285" w:rsidRPr="00C837DD">
        <w:rPr>
          <w:sz w:val="16"/>
          <w:szCs w:val="16"/>
        </w:rPr>
        <w:t>S</w:t>
      </w:r>
      <w:r w:rsidRPr="00C837DD">
        <w:rPr>
          <w:sz w:val="16"/>
          <w:szCs w:val="16"/>
        </w:rPr>
        <w:t>enator, from the day of his election or from his oath, according to the case, may be accused or deprived of his liberty, except in the case of a flagrant crime, if the Court of Appeals of the respective jurisdiction, in plenary, has not previously authorized the accusation declaring that there is cause for legal proceedings. This decision may be appealed to the Supreme Court.</w:t>
      </w:r>
      <w:r w:rsidRPr="00C837DD">
        <w:rPr>
          <w:rFonts w:eastAsia="Times New Roman" w:cs="Times New Roman"/>
          <w:sz w:val="16"/>
          <w:szCs w:val="16"/>
          <w:lang w:eastAsia="es-CR"/>
        </w:rPr>
        <w:t xml:space="preserve"> </w:t>
      </w:r>
      <w:r w:rsidRPr="00C837DD">
        <w:rPr>
          <w:sz w:val="16"/>
          <w:szCs w:val="16"/>
        </w:rPr>
        <w:t xml:space="preserve">In </w:t>
      </w:r>
      <w:r w:rsidR="00575285" w:rsidRPr="00C837DD">
        <w:rPr>
          <w:sz w:val="16"/>
          <w:szCs w:val="16"/>
        </w:rPr>
        <w:t xml:space="preserve">event that </w:t>
      </w:r>
      <w:r w:rsidRPr="00C837DD">
        <w:rPr>
          <w:sz w:val="16"/>
          <w:szCs w:val="16"/>
        </w:rPr>
        <w:t xml:space="preserve">a </w:t>
      </w:r>
      <w:r w:rsidR="00575285" w:rsidRPr="00C837DD">
        <w:rPr>
          <w:sz w:val="16"/>
          <w:szCs w:val="16"/>
        </w:rPr>
        <w:t>R</w:t>
      </w:r>
      <w:r w:rsidRPr="00C837DD">
        <w:rPr>
          <w:sz w:val="16"/>
          <w:szCs w:val="16"/>
        </w:rPr>
        <w:t xml:space="preserve">epresentative or </w:t>
      </w:r>
      <w:r w:rsidR="00575285" w:rsidRPr="00C837DD">
        <w:rPr>
          <w:sz w:val="16"/>
          <w:szCs w:val="16"/>
        </w:rPr>
        <w:t>S</w:t>
      </w:r>
      <w:r w:rsidRPr="00C837DD">
        <w:rPr>
          <w:sz w:val="16"/>
          <w:szCs w:val="16"/>
        </w:rPr>
        <w:t xml:space="preserve">enator </w:t>
      </w:r>
      <w:r w:rsidR="00575285" w:rsidRPr="00C837DD">
        <w:rPr>
          <w:sz w:val="16"/>
          <w:szCs w:val="16"/>
        </w:rPr>
        <w:t xml:space="preserve">is </w:t>
      </w:r>
      <w:r w:rsidRPr="00C837DD">
        <w:rPr>
          <w:sz w:val="16"/>
          <w:szCs w:val="16"/>
        </w:rPr>
        <w:t xml:space="preserve">arrested for a flagrant crime, he </w:t>
      </w:r>
      <w:r w:rsidR="00575285" w:rsidRPr="00C837DD">
        <w:rPr>
          <w:sz w:val="16"/>
          <w:szCs w:val="16"/>
        </w:rPr>
        <w:t xml:space="preserve">shall </w:t>
      </w:r>
      <w:r w:rsidRPr="00C837DD">
        <w:rPr>
          <w:sz w:val="16"/>
          <w:szCs w:val="16"/>
        </w:rPr>
        <w:t xml:space="preserve">be immediately </w:t>
      </w:r>
      <w:r w:rsidR="00575285" w:rsidRPr="00C837DD">
        <w:rPr>
          <w:sz w:val="16"/>
          <w:szCs w:val="16"/>
        </w:rPr>
        <w:t xml:space="preserve">placed </w:t>
      </w:r>
      <w:r w:rsidRPr="00C837DD">
        <w:rPr>
          <w:sz w:val="16"/>
          <w:szCs w:val="16"/>
        </w:rPr>
        <w:t>at the dispos</w:t>
      </w:r>
      <w:r w:rsidR="00575285" w:rsidRPr="00C837DD">
        <w:rPr>
          <w:sz w:val="16"/>
          <w:szCs w:val="16"/>
        </w:rPr>
        <w:t xml:space="preserve">al </w:t>
      </w:r>
      <w:r w:rsidRPr="00C837DD">
        <w:rPr>
          <w:sz w:val="16"/>
          <w:szCs w:val="16"/>
        </w:rPr>
        <w:t>of the respective Court of Appeals, with corresponding summary information. The Court will then proceed, in accordance with the provisions of the preceding paragraph</w:t>
      </w:r>
      <w:r w:rsidRPr="00C837DD">
        <w:rPr>
          <w:rFonts w:eastAsia="Times New Roman" w:cs="Times New Roman"/>
          <w:sz w:val="16"/>
          <w:szCs w:val="16"/>
          <w:lang w:eastAsia="es-CR"/>
        </w:rPr>
        <w:t xml:space="preserve">. </w:t>
      </w:r>
      <w:r w:rsidRPr="00C837DD">
        <w:rPr>
          <w:sz w:val="16"/>
          <w:szCs w:val="16"/>
        </w:rPr>
        <w:t>From the moment that it is declared, through a final resolution, that there is cause for legal proceeding</w:t>
      </w:r>
      <w:r w:rsidR="00575285" w:rsidRPr="00C837DD">
        <w:rPr>
          <w:sz w:val="16"/>
          <w:szCs w:val="16"/>
        </w:rPr>
        <w:t>s</w:t>
      </w:r>
      <w:r w:rsidRPr="00C837DD">
        <w:rPr>
          <w:sz w:val="16"/>
          <w:szCs w:val="16"/>
        </w:rPr>
        <w:t xml:space="preserve">, the </w:t>
      </w:r>
      <w:r w:rsidR="00575285" w:rsidRPr="00C837DD">
        <w:rPr>
          <w:sz w:val="16"/>
          <w:szCs w:val="16"/>
        </w:rPr>
        <w:t>accused R</w:t>
      </w:r>
      <w:r w:rsidRPr="00C837DD">
        <w:rPr>
          <w:sz w:val="16"/>
          <w:szCs w:val="16"/>
        </w:rPr>
        <w:t xml:space="preserve">epresentative or </w:t>
      </w:r>
      <w:r w:rsidR="00575285" w:rsidRPr="00C837DD">
        <w:rPr>
          <w:sz w:val="16"/>
          <w:szCs w:val="16"/>
        </w:rPr>
        <w:t>S</w:t>
      </w:r>
      <w:r w:rsidRPr="00C837DD">
        <w:rPr>
          <w:sz w:val="16"/>
          <w:szCs w:val="16"/>
        </w:rPr>
        <w:t xml:space="preserve">enator </w:t>
      </w:r>
      <w:r w:rsidR="00575285" w:rsidRPr="00C837DD">
        <w:rPr>
          <w:sz w:val="16"/>
          <w:szCs w:val="16"/>
        </w:rPr>
        <w:t xml:space="preserve">shall be </w:t>
      </w:r>
      <w:r w:rsidRPr="00C837DD">
        <w:rPr>
          <w:sz w:val="16"/>
          <w:szCs w:val="16"/>
        </w:rPr>
        <w:t>suspended from his office and subject to the competent judge</w:t>
      </w:r>
      <w:r w:rsidRPr="00C837DD">
        <w:rPr>
          <w:rFonts w:eastAsia="Times New Roman" w:cs="Times New Roman"/>
          <w:sz w:val="16"/>
          <w:szCs w:val="16"/>
          <w:lang w:eastAsia="es-CR"/>
        </w:rPr>
        <w:t>:”</w:t>
      </w:r>
      <w:r w:rsidRPr="00C837DD">
        <w:rPr>
          <w:sz w:val="16"/>
          <w:szCs w:val="16"/>
        </w:rPr>
        <w:t xml:space="preserve"> Constitution of the Republic of Chile of 24 October 1980. Available at: </w:t>
      </w:r>
      <w:hyperlink r:id="rId35" w:history="1">
        <w:r w:rsidRPr="00C837DD">
          <w:rPr>
            <w:rStyle w:val="Hipervnculo"/>
            <w:sz w:val="16"/>
            <w:szCs w:val="16"/>
          </w:rPr>
          <w:t>https://www.Senate.cl/capitulo-v-congreso-national/Senate/2012-01-16/100638.html</w:t>
        </w:r>
      </w:hyperlink>
      <w:r w:rsidRPr="00C837DD">
        <w:rPr>
          <w:sz w:val="16"/>
          <w:szCs w:val="16"/>
        </w:rPr>
        <w:t xml:space="preserve">. </w:t>
      </w:r>
    </w:p>
  </w:footnote>
  <w:footnote w:id="204">
    <w:p w14:paraId="4752F147" w14:textId="1B4D491F" w:rsidR="005F5F1C" w:rsidRPr="00C837DD" w:rsidRDefault="005F5F1C" w:rsidP="00F85D5F">
      <w:pPr>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Articles 151 and 152 of the Constitution of the Plurinational State of Bolivia regulate matters pertaining to immunity of assembly members in the following terms: “Article 151. I. Members of the </w:t>
      </w:r>
      <w:r w:rsidR="00D36A2B" w:rsidRPr="00C837DD">
        <w:rPr>
          <w:sz w:val="16"/>
          <w:szCs w:val="16"/>
        </w:rPr>
        <w:t>A</w:t>
      </w:r>
      <w:r w:rsidRPr="00C837DD">
        <w:rPr>
          <w:sz w:val="16"/>
          <w:szCs w:val="16"/>
        </w:rPr>
        <w:t>ssembly shall enjoy personal privilege during the</w:t>
      </w:r>
      <w:r w:rsidR="00D36A2B" w:rsidRPr="00C837DD">
        <w:rPr>
          <w:sz w:val="16"/>
          <w:szCs w:val="16"/>
        </w:rPr>
        <w:t>ir term of office</w:t>
      </w:r>
      <w:r w:rsidRPr="00C837DD">
        <w:rPr>
          <w:sz w:val="16"/>
          <w:szCs w:val="16"/>
        </w:rPr>
        <w:t>, and afterwards they may not be criminally processed for their opinions, communications, representations, requests, questions, denouncements, proposals, expressions or any legislative act or act of reporting or control, which they formulate or undertake while performing their functions. II. The domicile, residence or h</w:t>
      </w:r>
      <w:r w:rsidR="00D36A2B" w:rsidRPr="00C837DD">
        <w:rPr>
          <w:sz w:val="16"/>
          <w:szCs w:val="16"/>
        </w:rPr>
        <w:t xml:space="preserve">ome </w:t>
      </w:r>
      <w:r w:rsidRPr="00C837DD">
        <w:rPr>
          <w:sz w:val="16"/>
          <w:szCs w:val="16"/>
        </w:rPr>
        <w:t xml:space="preserve">of members of the </w:t>
      </w:r>
      <w:r w:rsidR="00D36A2B" w:rsidRPr="00C837DD">
        <w:rPr>
          <w:sz w:val="16"/>
          <w:szCs w:val="16"/>
        </w:rPr>
        <w:t>A</w:t>
      </w:r>
      <w:r w:rsidRPr="00C837DD">
        <w:rPr>
          <w:sz w:val="16"/>
          <w:szCs w:val="16"/>
        </w:rPr>
        <w:t xml:space="preserve">ssembly may not be violated, and they shall not be searched under any circumstance. This provision shall be applied to the vehicles of their personal or official use and to their legislative offices. Article 152. Members of the </w:t>
      </w:r>
      <w:r w:rsidR="00D36A2B" w:rsidRPr="00C837DD">
        <w:rPr>
          <w:sz w:val="16"/>
          <w:szCs w:val="16"/>
        </w:rPr>
        <w:t>A</w:t>
      </w:r>
      <w:r w:rsidRPr="00C837DD">
        <w:rPr>
          <w:sz w:val="16"/>
          <w:szCs w:val="16"/>
        </w:rPr>
        <w:t xml:space="preserve">ssembly do not enjoy immunity. Preventive detention shall not be applied to them in criminal processes during their </w:t>
      </w:r>
      <w:r w:rsidR="00D36A2B" w:rsidRPr="00C837DD">
        <w:rPr>
          <w:sz w:val="16"/>
          <w:szCs w:val="16"/>
        </w:rPr>
        <w:t>term of office</w:t>
      </w:r>
      <w:r w:rsidRPr="00C837DD">
        <w:rPr>
          <w:sz w:val="16"/>
          <w:szCs w:val="16"/>
        </w:rPr>
        <w:t xml:space="preserve">, except in cases of flagrant crimes.” Constitution of the Plurinational State of Bolivia, February 7, 2009. Available at: </w:t>
      </w:r>
      <w:hyperlink r:id="rId36" w:history="1">
        <w:r w:rsidRPr="00C837DD">
          <w:rPr>
            <w:rStyle w:val="Hipervnculo"/>
            <w:sz w:val="16"/>
            <w:szCs w:val="16"/>
          </w:rPr>
          <w:t>https://web.Senate.gob.bo/Senate/marco-normativo</w:t>
        </w:r>
      </w:hyperlink>
      <w:r w:rsidRPr="00C837DD">
        <w:rPr>
          <w:rStyle w:val="Hipervnculo"/>
          <w:sz w:val="16"/>
          <w:szCs w:val="16"/>
        </w:rPr>
        <w:t>.</w:t>
      </w:r>
      <w:r w:rsidRPr="00C837DD">
        <w:rPr>
          <w:sz w:val="16"/>
          <w:szCs w:val="16"/>
        </w:rPr>
        <w:t xml:space="preserve"> </w:t>
      </w:r>
    </w:p>
  </w:footnote>
  <w:footnote w:id="205">
    <w:p w14:paraId="53FF0516" w14:textId="7EFAE7D9"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rFonts w:cs="Arial"/>
          <w:sz w:val="16"/>
          <w:szCs w:val="16"/>
          <w:shd w:val="clear" w:color="auto" w:fill="FFFFFF"/>
        </w:rPr>
        <w:t>In this regard, Article 186 of the Constitution of the Republic of Colombia, states: “</w:t>
      </w:r>
      <w:r w:rsidRPr="00C837DD">
        <w:rPr>
          <w:rStyle w:val="baj"/>
          <w:rFonts w:cs="Arial"/>
          <w:bCs/>
          <w:sz w:val="16"/>
          <w:szCs w:val="16"/>
        </w:rPr>
        <w:t>Article 186</w:t>
      </w:r>
      <w:r w:rsidRPr="00C837DD">
        <w:rPr>
          <w:rFonts w:cs="Arial"/>
          <w:sz w:val="16"/>
          <w:szCs w:val="16"/>
        </w:rPr>
        <w:t xml:space="preserve">. </w:t>
      </w:r>
      <w:r w:rsidRPr="00C837DD">
        <w:rPr>
          <w:sz w:val="16"/>
          <w:szCs w:val="16"/>
        </w:rPr>
        <w:t xml:space="preserve">For the offenses that members of Congress may commit, the Supreme Court of Justice is the sole authority that may order their detention. In case of </w:t>
      </w:r>
      <w:r w:rsidRPr="00C837DD">
        <w:rPr>
          <w:i/>
          <w:sz w:val="16"/>
          <w:szCs w:val="16"/>
        </w:rPr>
        <w:t>flagrante delicto</w:t>
      </w:r>
      <w:r w:rsidRPr="00C837DD">
        <w:rPr>
          <w:sz w:val="16"/>
          <w:szCs w:val="16"/>
        </w:rPr>
        <w:t>, members of Congress must be apprehended and placed immediately at the disposal of said court</w:t>
      </w:r>
      <w:r w:rsidRPr="00C837DD">
        <w:rPr>
          <w:rFonts w:cs="Arial"/>
          <w:sz w:val="16"/>
          <w:szCs w:val="16"/>
        </w:rPr>
        <w:t>. The Special Investigation Chamber of the Criminal Chamber of the Supreme Court of Justice shall be responsible for investigating and charging members of Congress before the Special Trial Chamber of the same Criminal Chamber for the crimes committed. An appeal may be filed against rulings issued by the Special Trial Chamber of the Criminal Chamber of the Supreme Court of Justice. It shall be heard by the Criminal Cassation Chamber of the Supreme Court of Justice […].”</w:t>
      </w:r>
      <w:r w:rsidRPr="00C837DD">
        <w:rPr>
          <w:i/>
          <w:sz w:val="16"/>
          <w:szCs w:val="16"/>
        </w:rPr>
        <w:t xml:space="preserve"> </w:t>
      </w:r>
      <w:r w:rsidRPr="00C837DD">
        <w:rPr>
          <w:sz w:val="16"/>
          <w:szCs w:val="16"/>
        </w:rPr>
        <w:t xml:space="preserve"> Constitution of the Republic of Colombia of July 20, 1991. Available at: </w:t>
      </w:r>
      <w:hyperlink r:id="rId37" w:anchor="186" w:history="1">
        <w:r w:rsidRPr="00C837DD">
          <w:rPr>
            <w:rStyle w:val="Hipervnculo"/>
            <w:sz w:val="16"/>
            <w:szCs w:val="16"/>
          </w:rPr>
          <w:t>http://www.secretariaSenate.gov.co/Senate/basedoc/constitucion_politica_1991_pr006.html#186</w:t>
        </w:r>
      </w:hyperlink>
      <w:r w:rsidRPr="00C837DD">
        <w:rPr>
          <w:rStyle w:val="Hipervnculo"/>
          <w:sz w:val="16"/>
          <w:szCs w:val="16"/>
        </w:rPr>
        <w:t>.</w:t>
      </w:r>
    </w:p>
  </w:footnote>
  <w:footnote w:id="206">
    <w:p w14:paraId="79730417" w14:textId="75953D92"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w:t>
      </w:r>
      <w:r w:rsidR="00D36A2B" w:rsidRPr="00C837DD">
        <w:rPr>
          <w:sz w:val="16"/>
          <w:szCs w:val="16"/>
        </w:rPr>
        <w:t xml:space="preserve">by </w:t>
      </w:r>
      <w:r w:rsidRPr="00C837DD">
        <w:rPr>
          <w:sz w:val="16"/>
          <w:szCs w:val="16"/>
        </w:rPr>
        <w:t xml:space="preserve">Javier Hernández García, </w:t>
      </w:r>
      <w:r w:rsidRPr="00C837DD">
        <w:rPr>
          <w:i/>
          <w:sz w:val="16"/>
          <w:szCs w:val="16"/>
        </w:rPr>
        <w:t xml:space="preserve">supra </w:t>
      </w:r>
      <w:r w:rsidRPr="00C837DD">
        <w:rPr>
          <w:sz w:val="16"/>
          <w:szCs w:val="16"/>
        </w:rPr>
        <w:t>(evidence file, folios 10363 and 10364).</w:t>
      </w:r>
    </w:p>
  </w:footnote>
  <w:footnote w:id="207">
    <w:p w14:paraId="4C70E429"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the Constitutional Court v. Peru.</w:t>
      </w:r>
      <w:r w:rsidRPr="00C837DD">
        <w:rPr>
          <w:sz w:val="16"/>
          <w:szCs w:val="16"/>
        </w:rPr>
        <w:t xml:space="preserve"> </w:t>
      </w:r>
      <w:r w:rsidRPr="00C837DD">
        <w:rPr>
          <w:i/>
          <w:sz w:val="16"/>
          <w:szCs w:val="16"/>
        </w:rPr>
        <w:t>Merits, reparations and costs</w:t>
      </w:r>
      <w:r w:rsidRPr="00C837DD">
        <w:rPr>
          <w:sz w:val="16"/>
          <w:szCs w:val="16"/>
        </w:rPr>
        <w:t xml:space="preserve">. Judgment of January 31, 2001. Series C No. 71, para. 71, and </w:t>
      </w:r>
      <w:r w:rsidRPr="00C837DD">
        <w:rPr>
          <w:i/>
          <w:sz w:val="16"/>
          <w:szCs w:val="16"/>
        </w:rPr>
        <w:t>Case of Casa Nina v. Peru. Preliminary objections, merits, reparations and costs</w:t>
      </w:r>
      <w:r w:rsidRPr="00C837DD">
        <w:rPr>
          <w:sz w:val="16"/>
          <w:szCs w:val="16"/>
        </w:rPr>
        <w:t>. Judgment of November 24, 2020. Series C No. 419, para. 88.</w:t>
      </w:r>
    </w:p>
  </w:footnote>
  <w:footnote w:id="208">
    <w:p w14:paraId="21EDD1D6"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the Constitutional Court v. Peru</w:t>
      </w:r>
      <w:r w:rsidRPr="00C837DD">
        <w:rPr>
          <w:sz w:val="16"/>
          <w:szCs w:val="16"/>
        </w:rPr>
        <w:t xml:space="preserve">, </w:t>
      </w:r>
      <w:r w:rsidRPr="00C837DD">
        <w:rPr>
          <w:i/>
          <w:sz w:val="16"/>
          <w:szCs w:val="16"/>
        </w:rPr>
        <w:t>supra</w:t>
      </w:r>
      <w:r w:rsidRPr="00C837DD">
        <w:rPr>
          <w:sz w:val="16"/>
          <w:szCs w:val="16"/>
        </w:rPr>
        <w:t xml:space="preserve">, para. 69, and </w:t>
      </w:r>
      <w:r w:rsidRPr="00C837DD">
        <w:rPr>
          <w:i/>
          <w:sz w:val="16"/>
          <w:szCs w:val="16"/>
        </w:rPr>
        <w:t>Case of Casa Nina v. Peru, supra</w:t>
      </w:r>
      <w:r w:rsidRPr="00C837DD">
        <w:rPr>
          <w:sz w:val="16"/>
          <w:szCs w:val="16"/>
        </w:rPr>
        <w:t>, para. 88.</w:t>
      </w:r>
    </w:p>
  </w:footnote>
  <w:footnote w:id="209">
    <w:p w14:paraId="3B97C985" w14:textId="1E171CB5"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European Court of Human Rights stated that</w:t>
      </w:r>
      <w:r w:rsidRPr="00C837DD">
        <w:rPr>
          <w:i/>
          <w:sz w:val="16"/>
          <w:szCs w:val="16"/>
        </w:rPr>
        <w:t>: "</w:t>
      </w:r>
      <w:r w:rsidRPr="00C837DD">
        <w:rPr>
          <w:i/>
          <w:iCs/>
          <w:sz w:val="16"/>
          <w:szCs w:val="16"/>
        </w:rPr>
        <w:t>The effect of this lack of reason</w:t>
      </w:r>
      <w:r w:rsidR="00E25AC0" w:rsidRPr="00C837DD">
        <w:rPr>
          <w:i/>
          <w:iCs/>
          <w:sz w:val="16"/>
          <w:szCs w:val="16"/>
        </w:rPr>
        <w:t>ing</w:t>
      </w:r>
      <w:r w:rsidRPr="00C837DD">
        <w:rPr>
          <w:i/>
          <w:iCs/>
          <w:sz w:val="16"/>
          <w:szCs w:val="16"/>
        </w:rPr>
        <w:t>, combined with the lack of clearly defined objective criteria as regards the conditions for lifting immunity, was to deprive the applicant of the means of defending his rights and of the possibility of knowing on what basis the National Assembly, the body ultimately responsible for deciding whether to lift parliamentary immunity, would adopt its decision</w:t>
      </w:r>
      <w:r w:rsidR="00420363" w:rsidRPr="00C837DD">
        <w:rPr>
          <w:sz w:val="16"/>
          <w:szCs w:val="16"/>
        </w:rPr>
        <w:t>.</w:t>
      </w:r>
      <w:r w:rsidRPr="00C837DD">
        <w:rPr>
          <w:i/>
          <w:sz w:val="16"/>
          <w:szCs w:val="16"/>
        </w:rPr>
        <w:t xml:space="preserve">” </w:t>
      </w:r>
      <w:r w:rsidRPr="00C837DD">
        <w:rPr>
          <w:sz w:val="16"/>
          <w:szCs w:val="16"/>
        </w:rPr>
        <w:t xml:space="preserve">ECHR, Concurring Opinion of Judge Malinverni regarding the </w:t>
      </w:r>
      <w:r w:rsidRPr="00C837DD">
        <w:rPr>
          <w:i/>
          <w:sz w:val="16"/>
          <w:szCs w:val="16"/>
        </w:rPr>
        <w:t xml:space="preserve">Case of Kart v. Turkey </w:t>
      </w:r>
      <w:r w:rsidRPr="00C837DD">
        <w:rPr>
          <w:sz w:val="16"/>
          <w:szCs w:val="16"/>
        </w:rPr>
        <w:t xml:space="preserve">[GS], No. </w:t>
      </w:r>
      <w:r w:rsidRPr="00C837DD">
        <w:rPr>
          <w:i/>
          <w:iCs/>
          <w:sz w:val="16"/>
          <w:szCs w:val="16"/>
        </w:rPr>
        <w:t>8917/05</w:t>
      </w:r>
      <w:r w:rsidRPr="00C837DD">
        <w:rPr>
          <w:sz w:val="16"/>
          <w:szCs w:val="16"/>
        </w:rPr>
        <w:t>. Judgment of December 3, 2009.</w:t>
      </w:r>
    </w:p>
  </w:footnote>
  <w:footnote w:id="210">
    <w:p w14:paraId="491AD7CC" w14:textId="34A3D4D8"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expert witness Fachin mentioned a survey published by the newspaper “</w:t>
      </w:r>
      <w:r w:rsidRPr="00C837DD">
        <w:rPr>
          <w:i/>
          <w:sz w:val="16"/>
          <w:szCs w:val="16"/>
        </w:rPr>
        <w:t xml:space="preserve">Folha of São Paulo” </w:t>
      </w:r>
      <w:r w:rsidRPr="00C837DD">
        <w:rPr>
          <w:sz w:val="16"/>
          <w:szCs w:val="16"/>
        </w:rPr>
        <w:t xml:space="preserve">which indicated that, between 1991 and 1999, at the federal level, of the 151 requests for prior authorization presented by the Supreme Federal Court to the Chamber of Deputies, 2 were granted, 62 were denied and 87 were not analyzed prior to the conclusion of the </w:t>
      </w:r>
      <w:r w:rsidR="00420363" w:rsidRPr="00C837DD">
        <w:rPr>
          <w:sz w:val="16"/>
          <w:szCs w:val="16"/>
        </w:rPr>
        <w:t xml:space="preserve">terms of office </w:t>
      </w:r>
      <w:r w:rsidRPr="00C837DD">
        <w:rPr>
          <w:sz w:val="16"/>
          <w:szCs w:val="16"/>
        </w:rPr>
        <w:t>of the parliamentarians or their resignation. Similarly, a survey carried out by the newspaper “</w:t>
      </w:r>
      <w:r w:rsidRPr="00C837DD">
        <w:rPr>
          <w:i/>
          <w:sz w:val="16"/>
          <w:szCs w:val="16"/>
        </w:rPr>
        <w:t>Correio da Paraíba”</w:t>
      </w:r>
      <w:r w:rsidRPr="00C837DD">
        <w:rPr>
          <w:sz w:val="16"/>
          <w:szCs w:val="16"/>
        </w:rPr>
        <w:t xml:space="preserve"> found that between 1992 and 1999, the Legislative Assembly of the state of Paraíba denied more than 15 requests for authorization to criminally prosecute state deputies. </w:t>
      </w:r>
      <w:r w:rsidRPr="00C837DD">
        <w:rPr>
          <w:i/>
          <w:sz w:val="16"/>
          <w:szCs w:val="16"/>
        </w:rPr>
        <w:t>Cf.</w:t>
      </w:r>
      <w:r w:rsidRPr="00C837DD">
        <w:rPr>
          <w:sz w:val="16"/>
          <w:szCs w:val="16"/>
        </w:rPr>
        <w:t xml:space="preserve"> Written version of the expert opinion presented by Melina Fachin of January 15, 2021 (evidence file, folio 10558). </w:t>
      </w:r>
    </w:p>
  </w:footnote>
  <w:footnote w:id="211">
    <w:p w14:paraId="25D576D7" w14:textId="7C646F26"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Melina Fachin </w:t>
      </w:r>
      <w:r w:rsidR="00420363" w:rsidRPr="00C837DD">
        <w:rPr>
          <w:sz w:val="16"/>
          <w:szCs w:val="16"/>
        </w:rPr>
        <w:t>at the</w:t>
      </w:r>
      <w:r w:rsidRPr="00C837DD">
        <w:rPr>
          <w:sz w:val="16"/>
          <w:szCs w:val="16"/>
        </w:rPr>
        <w:t xml:space="preserve"> </w:t>
      </w:r>
      <w:r w:rsidR="00420363" w:rsidRPr="00C837DD">
        <w:rPr>
          <w:sz w:val="16"/>
          <w:szCs w:val="16"/>
        </w:rPr>
        <w:t>p</w:t>
      </w:r>
      <w:r w:rsidRPr="00C837DD">
        <w:rPr>
          <w:sz w:val="16"/>
          <w:szCs w:val="16"/>
        </w:rPr>
        <w:t xml:space="preserve">ublic hearing held on February 3 and 4, 2021. </w:t>
      </w:r>
    </w:p>
  </w:footnote>
  <w:footnote w:id="212">
    <w:p w14:paraId="093CE5C2"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affidavit by Edvaldo Fernandes da Silva, </w:t>
      </w:r>
      <w:r w:rsidRPr="00C837DD">
        <w:rPr>
          <w:i/>
          <w:sz w:val="16"/>
          <w:szCs w:val="16"/>
        </w:rPr>
        <w:t xml:space="preserve">supra </w:t>
      </w:r>
      <w:r w:rsidRPr="00C837DD">
        <w:rPr>
          <w:sz w:val="16"/>
          <w:szCs w:val="16"/>
        </w:rPr>
        <w:t>(evidence file, folios 10070 and 10078).</w:t>
      </w:r>
    </w:p>
  </w:footnote>
  <w:footnote w:id="213">
    <w:p w14:paraId="0046FA2E" w14:textId="4360FA41"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Answering brief of the State</w:t>
      </w:r>
      <w:r w:rsidR="00420363" w:rsidRPr="00C837DD">
        <w:rPr>
          <w:sz w:val="16"/>
          <w:szCs w:val="16"/>
        </w:rPr>
        <w:t>,</w:t>
      </w:r>
      <w:r w:rsidRPr="00C837DD">
        <w:rPr>
          <w:sz w:val="16"/>
          <w:szCs w:val="16"/>
        </w:rPr>
        <w:t xml:space="preserve"> February 17, 2020, para. 197 (merits file, folio 264 and 265).</w:t>
      </w:r>
    </w:p>
  </w:footnote>
  <w:footnote w:id="214">
    <w:p w14:paraId="3DF85AC0" w14:textId="2AA5C380"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Internal Rules of </w:t>
      </w:r>
      <w:r w:rsidR="00B20834">
        <w:rPr>
          <w:sz w:val="16"/>
          <w:szCs w:val="16"/>
        </w:rPr>
        <w:t xml:space="preserve">Procedure of </w:t>
      </w:r>
      <w:r w:rsidRPr="00C837DD">
        <w:rPr>
          <w:sz w:val="16"/>
          <w:szCs w:val="16"/>
        </w:rPr>
        <w:t xml:space="preserve">the Legislative Assembly of the state of Paraíba, </w:t>
      </w:r>
      <w:r w:rsidRPr="00C837DD">
        <w:rPr>
          <w:i/>
          <w:sz w:val="16"/>
          <w:szCs w:val="16"/>
        </w:rPr>
        <w:t xml:space="preserve">supra </w:t>
      </w:r>
      <w:r w:rsidRPr="00C837DD">
        <w:rPr>
          <w:sz w:val="16"/>
          <w:szCs w:val="16"/>
        </w:rPr>
        <w:t>(evidence file, folios 5993 to 6090).</w:t>
      </w:r>
    </w:p>
  </w:footnote>
  <w:footnote w:id="215">
    <w:p w14:paraId="7BBE5FC0" w14:textId="516DC495"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Court considers it pertinent to clarify that this decision of the Legislative Assembly of Paraíba is the first </w:t>
      </w:r>
      <w:r w:rsidR="00420363" w:rsidRPr="00C837DD">
        <w:rPr>
          <w:sz w:val="16"/>
          <w:szCs w:val="16"/>
        </w:rPr>
        <w:t>f</w:t>
      </w:r>
      <w:r w:rsidRPr="00C837DD">
        <w:rPr>
          <w:sz w:val="16"/>
          <w:szCs w:val="16"/>
        </w:rPr>
        <w:t>act of the case that is within the Court’s temporal jurisdiction.</w:t>
      </w:r>
    </w:p>
  </w:footnote>
  <w:footnote w:id="216">
    <w:p w14:paraId="516C3578" w14:textId="52D548BF"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00420363" w:rsidRPr="00C837DD">
        <w:rPr>
          <w:sz w:val="16"/>
          <w:szCs w:val="16"/>
        </w:rPr>
        <w:t xml:space="preserve">Decision </w:t>
      </w:r>
      <w:r w:rsidRPr="00C837DD">
        <w:rPr>
          <w:rFonts w:cs="Calibri"/>
          <w:color w:val="000000"/>
          <w:sz w:val="16"/>
          <w:szCs w:val="16"/>
          <w:lang w:eastAsia="es-CR"/>
        </w:rPr>
        <w:t xml:space="preserve">of the Legislative Assembly of Paraíba denying the request for authorization to criminally prosecute Deputy Aércio Pereira de Lima, </w:t>
      </w:r>
      <w:r w:rsidRPr="00C837DD">
        <w:rPr>
          <w:rFonts w:cs="Calibri"/>
          <w:i/>
          <w:color w:val="000000"/>
          <w:sz w:val="16"/>
          <w:szCs w:val="16"/>
          <w:lang w:eastAsia="es-CR"/>
        </w:rPr>
        <w:t>supra.</w:t>
      </w:r>
    </w:p>
  </w:footnote>
  <w:footnote w:id="217">
    <w:p w14:paraId="3F4C2C03"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New letter requesting authorization to initiate criminal proceedings against Deputy Aércio Pereira de Lima, </w:t>
      </w:r>
      <w:r w:rsidRPr="00C837DD">
        <w:rPr>
          <w:rFonts w:cs="Calibri"/>
          <w:i/>
          <w:color w:val="000000"/>
          <w:sz w:val="16"/>
          <w:szCs w:val="16"/>
          <w:lang w:eastAsia="es-CR"/>
        </w:rPr>
        <w:t>supra.</w:t>
      </w:r>
    </w:p>
  </w:footnote>
  <w:footnote w:id="218">
    <w:p w14:paraId="68414CC0" w14:textId="4BC25D89"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rFonts w:cs="Calibri"/>
          <w:color w:val="000000"/>
          <w:sz w:val="16"/>
          <w:szCs w:val="16"/>
          <w:lang w:eastAsia="es-CR"/>
        </w:rPr>
        <w:t xml:space="preserve">Official letter Nº 0008/GP </w:t>
      </w:r>
      <w:r w:rsidR="00452BBB" w:rsidRPr="00C837DD">
        <w:rPr>
          <w:rFonts w:cs="Calibri"/>
          <w:color w:val="000000"/>
          <w:sz w:val="16"/>
          <w:szCs w:val="16"/>
          <w:lang w:eastAsia="es-CR"/>
        </w:rPr>
        <w:t>from</w:t>
      </w:r>
      <w:r w:rsidRPr="00C837DD">
        <w:rPr>
          <w:rFonts w:cs="Calibri"/>
          <w:color w:val="000000"/>
          <w:sz w:val="16"/>
          <w:szCs w:val="16"/>
          <w:lang w:eastAsia="es-CR"/>
        </w:rPr>
        <w:t xml:space="preserve"> the President of the Legislative Assembly of Paraíba </w:t>
      </w:r>
      <w:r w:rsidR="00452BBB" w:rsidRPr="00C837DD">
        <w:rPr>
          <w:rFonts w:cs="Calibri"/>
          <w:color w:val="000000"/>
          <w:sz w:val="16"/>
          <w:szCs w:val="16"/>
          <w:lang w:eastAsia="es-CR"/>
        </w:rPr>
        <w:t xml:space="preserve">to the </w:t>
      </w:r>
      <w:r w:rsidRPr="00C837DD">
        <w:rPr>
          <w:rFonts w:cs="Calibri"/>
          <w:color w:val="000000"/>
          <w:sz w:val="16"/>
          <w:szCs w:val="16"/>
          <w:lang w:eastAsia="es-CR"/>
        </w:rPr>
        <w:t xml:space="preserve">President of the Court of Justice, sent on February 9, 2000 </w:t>
      </w:r>
      <w:r w:rsidRPr="00C837DD">
        <w:rPr>
          <w:sz w:val="16"/>
          <w:szCs w:val="16"/>
        </w:rPr>
        <w:t>(evidence file, folio 101).</w:t>
      </w:r>
    </w:p>
  </w:footnote>
  <w:footnote w:id="219">
    <w:p w14:paraId="2C2A3D8A"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Cf. Written version of the expert opinion of Melina Fachin, </w:t>
      </w:r>
      <w:r w:rsidRPr="00C837DD">
        <w:rPr>
          <w:i/>
          <w:sz w:val="16"/>
          <w:szCs w:val="16"/>
        </w:rPr>
        <w:t>supra</w:t>
      </w:r>
      <w:r w:rsidRPr="00C837DD">
        <w:rPr>
          <w:sz w:val="16"/>
          <w:szCs w:val="16"/>
        </w:rPr>
        <w:t xml:space="preserve"> (evidence file, folio 10520 to 10570).</w:t>
      </w:r>
    </w:p>
  </w:footnote>
  <w:footnote w:id="220">
    <w:p w14:paraId="6B879E2A" w14:textId="7A8B25F6"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the witness Valquíria Alencar at the public hearing held on February 3 and 4, 2021</w:t>
      </w:r>
      <w:r w:rsidR="00452BBB" w:rsidRPr="00C837DD">
        <w:rPr>
          <w:sz w:val="16"/>
          <w:szCs w:val="16"/>
        </w:rPr>
        <w:t>.</w:t>
      </w:r>
      <w:r w:rsidRPr="00C837DD">
        <w:rPr>
          <w:sz w:val="16"/>
          <w:szCs w:val="16"/>
        </w:rPr>
        <w:t xml:space="preserve"> </w:t>
      </w:r>
    </w:p>
  </w:footnote>
  <w:footnote w:id="221">
    <w:p w14:paraId="4CCB9297"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González et al. (“Cotton Field”) v. Mexico. Preliminary objection, merits, reparations and costs.</w:t>
      </w:r>
      <w:r w:rsidRPr="00C837DD">
        <w:rPr>
          <w:sz w:val="16"/>
          <w:szCs w:val="16"/>
        </w:rPr>
        <w:t xml:space="preserve"> Judgment of November 16, 2009. Series C No. 205, para. 258, and </w:t>
      </w:r>
      <w:r w:rsidRPr="00C837DD">
        <w:rPr>
          <w:i/>
          <w:sz w:val="16"/>
          <w:szCs w:val="16"/>
        </w:rPr>
        <w:t xml:space="preserve">Case of Vicky Hernández et al. v. Honduras. Merits, reparations and costs. </w:t>
      </w:r>
      <w:r w:rsidRPr="00C837DD">
        <w:rPr>
          <w:sz w:val="16"/>
          <w:szCs w:val="16"/>
        </w:rPr>
        <w:t xml:space="preserve">Judgment of March 26, 2021. Series C No. 422, para. 134. </w:t>
      </w:r>
    </w:p>
  </w:footnote>
  <w:footnote w:id="222">
    <w:p w14:paraId="38C382E6" w14:textId="77777777" w:rsidR="005F5F1C" w:rsidRPr="00C837DD" w:rsidRDefault="005F5F1C" w:rsidP="00F85D5F">
      <w:pPr>
        <w:pStyle w:val="Textonotapie"/>
        <w:tabs>
          <w:tab w:val="left" w:pos="720"/>
        </w:tabs>
        <w:spacing w:before="40" w:after="40"/>
        <w:jc w:val="both"/>
        <w:rPr>
          <w:spacing w:val="-4"/>
          <w:sz w:val="16"/>
          <w:szCs w:val="16"/>
        </w:rPr>
      </w:pPr>
      <w:r w:rsidRPr="00C837DD">
        <w:rPr>
          <w:rStyle w:val="Refdenotaalpie"/>
          <w:spacing w:val="-4"/>
          <w:sz w:val="16"/>
          <w:szCs w:val="16"/>
        </w:rPr>
        <w:footnoteRef/>
      </w:r>
      <w:r w:rsidRPr="00C837DD">
        <w:rPr>
          <w:spacing w:val="-4"/>
          <w:sz w:val="16"/>
          <w:szCs w:val="16"/>
        </w:rPr>
        <w:t xml:space="preserve"> </w:t>
      </w:r>
      <w:r w:rsidRPr="00C837DD">
        <w:rPr>
          <w:spacing w:val="-4"/>
          <w:sz w:val="16"/>
          <w:szCs w:val="16"/>
        </w:rPr>
        <w:tab/>
      </w:r>
      <w:r w:rsidRPr="00C837DD">
        <w:rPr>
          <w:i/>
          <w:spacing w:val="-4"/>
          <w:sz w:val="16"/>
          <w:szCs w:val="16"/>
        </w:rPr>
        <w:t>Cf. Case of Véliz Franco et al. v. Guatemala.</w:t>
      </w:r>
      <w:r w:rsidRPr="00C837DD">
        <w:rPr>
          <w:sz w:val="16"/>
          <w:szCs w:val="16"/>
        </w:rPr>
        <w:t xml:space="preserve"> </w:t>
      </w:r>
      <w:r w:rsidRPr="00C837DD">
        <w:rPr>
          <w:i/>
          <w:spacing w:val="-4"/>
          <w:sz w:val="16"/>
          <w:szCs w:val="16"/>
        </w:rPr>
        <w:t>Preliminary objections, merits, reparations and costs</w:t>
      </w:r>
      <w:r w:rsidRPr="00C837DD">
        <w:rPr>
          <w:spacing w:val="-4"/>
          <w:sz w:val="16"/>
          <w:szCs w:val="16"/>
        </w:rPr>
        <w:t>. Judgment of May 19, 2014. Series C No. 277</w:t>
      </w:r>
      <w:r w:rsidRPr="00C837DD">
        <w:rPr>
          <w:i/>
          <w:spacing w:val="-4"/>
          <w:sz w:val="16"/>
          <w:szCs w:val="16"/>
        </w:rPr>
        <w:t xml:space="preserve">, </w:t>
      </w:r>
      <w:r w:rsidRPr="00C837DD">
        <w:rPr>
          <w:spacing w:val="-4"/>
          <w:sz w:val="16"/>
          <w:szCs w:val="16"/>
        </w:rPr>
        <w:t xml:space="preserve">para. 208, and </w:t>
      </w:r>
      <w:r w:rsidRPr="00C837DD">
        <w:rPr>
          <w:i/>
          <w:spacing w:val="-4"/>
          <w:sz w:val="16"/>
          <w:szCs w:val="16"/>
        </w:rPr>
        <w:t>Case of Vicky Hernández et al. v. Honduras, supra</w:t>
      </w:r>
      <w:r w:rsidRPr="00C837DD">
        <w:rPr>
          <w:spacing w:val="-4"/>
          <w:sz w:val="16"/>
          <w:szCs w:val="16"/>
        </w:rPr>
        <w:t>, para. 107.</w:t>
      </w:r>
    </w:p>
  </w:footnote>
  <w:footnote w:id="223">
    <w:p w14:paraId="3F817571" w14:textId="18DB9C25" w:rsidR="005F5F1C" w:rsidRPr="00C837DD" w:rsidRDefault="005F5F1C" w:rsidP="00F85D5F">
      <w:pPr>
        <w:pStyle w:val="Textonotapie"/>
        <w:tabs>
          <w:tab w:val="left" w:pos="720"/>
        </w:tabs>
        <w:spacing w:before="40" w:after="40"/>
        <w:jc w:val="both"/>
        <w:rPr>
          <w:spacing w:val="-4"/>
          <w:sz w:val="16"/>
          <w:szCs w:val="16"/>
        </w:rPr>
      </w:pPr>
      <w:r w:rsidRPr="00C837DD">
        <w:rPr>
          <w:rStyle w:val="Refdenotaalpie"/>
          <w:spacing w:val="-4"/>
          <w:sz w:val="16"/>
          <w:szCs w:val="16"/>
        </w:rPr>
        <w:footnoteRef/>
      </w:r>
      <w:r w:rsidRPr="00C837DD">
        <w:rPr>
          <w:spacing w:val="-4"/>
          <w:sz w:val="16"/>
          <w:szCs w:val="16"/>
        </w:rPr>
        <w:t xml:space="preserve"> </w:t>
      </w:r>
      <w:r w:rsidRPr="00C837DD">
        <w:rPr>
          <w:spacing w:val="-4"/>
          <w:sz w:val="16"/>
          <w:szCs w:val="16"/>
        </w:rPr>
        <w:tab/>
      </w:r>
      <w:r w:rsidRPr="00C837DD">
        <w:rPr>
          <w:rFonts w:cs="Vrinda"/>
          <w:i/>
          <w:spacing w:val="-4"/>
          <w:sz w:val="16"/>
          <w:szCs w:val="16"/>
        </w:rPr>
        <w:t xml:space="preserve">Cf. Case of </w:t>
      </w:r>
      <w:r w:rsidRPr="00C837DD">
        <w:rPr>
          <w:i/>
          <w:spacing w:val="-4"/>
          <w:sz w:val="16"/>
          <w:szCs w:val="16"/>
        </w:rPr>
        <w:t xml:space="preserve">González et al. (“Cotton Field”) </w:t>
      </w:r>
      <w:r w:rsidR="00D350DF" w:rsidRPr="00C837DD">
        <w:rPr>
          <w:i/>
          <w:spacing w:val="-4"/>
          <w:sz w:val="16"/>
          <w:szCs w:val="16"/>
        </w:rPr>
        <w:t>v</w:t>
      </w:r>
      <w:r w:rsidRPr="00C837DD">
        <w:rPr>
          <w:i/>
          <w:spacing w:val="-4"/>
          <w:sz w:val="16"/>
          <w:szCs w:val="16"/>
        </w:rPr>
        <w:t>. Mexico</w:t>
      </w:r>
      <w:r w:rsidRPr="00C837DD">
        <w:rPr>
          <w:sz w:val="16"/>
          <w:szCs w:val="16"/>
        </w:rPr>
        <w:t xml:space="preserve">, </w:t>
      </w:r>
      <w:r w:rsidRPr="00C837DD">
        <w:rPr>
          <w:i/>
          <w:sz w:val="16"/>
          <w:szCs w:val="16"/>
        </w:rPr>
        <w:t>supra</w:t>
      </w:r>
      <w:r w:rsidRPr="00C837DD">
        <w:rPr>
          <w:i/>
          <w:spacing w:val="-4"/>
          <w:sz w:val="16"/>
          <w:szCs w:val="16"/>
        </w:rPr>
        <w:t>,</w:t>
      </w:r>
      <w:r w:rsidRPr="00C837DD">
        <w:rPr>
          <w:spacing w:val="-4"/>
          <w:sz w:val="16"/>
          <w:szCs w:val="16"/>
        </w:rPr>
        <w:t xml:space="preserve"> paras. 388 and 400, and </w:t>
      </w:r>
      <w:r w:rsidRPr="00C837DD">
        <w:rPr>
          <w:i/>
          <w:spacing w:val="-4"/>
          <w:sz w:val="16"/>
          <w:szCs w:val="16"/>
        </w:rPr>
        <w:t>Case of</w:t>
      </w:r>
      <w:r w:rsidRPr="00C837DD">
        <w:rPr>
          <w:sz w:val="16"/>
          <w:szCs w:val="16"/>
        </w:rPr>
        <w:t xml:space="preserve"> </w:t>
      </w:r>
      <w:r w:rsidRPr="00C837DD">
        <w:rPr>
          <w:i/>
          <w:spacing w:val="-4"/>
          <w:sz w:val="16"/>
          <w:szCs w:val="16"/>
        </w:rPr>
        <w:t xml:space="preserve">López Soto et al. v. Venezuela. Merits, reparations and costs. </w:t>
      </w:r>
      <w:r w:rsidRPr="00C837DD">
        <w:rPr>
          <w:spacing w:val="-4"/>
          <w:sz w:val="16"/>
          <w:szCs w:val="16"/>
        </w:rPr>
        <w:t>Judgment of September 26, 2018. Series C No. 362, para.223</w:t>
      </w:r>
    </w:p>
  </w:footnote>
  <w:footnote w:id="224">
    <w:p w14:paraId="64833941" w14:textId="77777777" w:rsidR="005F5F1C" w:rsidRPr="00C837DD" w:rsidRDefault="005F5F1C" w:rsidP="00F85D5F">
      <w:pPr>
        <w:pStyle w:val="Textonotapie"/>
        <w:tabs>
          <w:tab w:val="left" w:pos="720"/>
        </w:tabs>
        <w:spacing w:before="40" w:after="40"/>
        <w:jc w:val="both"/>
        <w:rPr>
          <w:spacing w:val="-4"/>
          <w:sz w:val="16"/>
          <w:szCs w:val="16"/>
        </w:rPr>
      </w:pPr>
      <w:r w:rsidRPr="00C837DD">
        <w:rPr>
          <w:rStyle w:val="Refdenotaalpie"/>
          <w:spacing w:val="-4"/>
          <w:sz w:val="16"/>
          <w:szCs w:val="16"/>
        </w:rPr>
        <w:footnoteRef/>
      </w:r>
      <w:r w:rsidRPr="00C837DD">
        <w:rPr>
          <w:spacing w:val="-4"/>
          <w:sz w:val="16"/>
          <w:szCs w:val="16"/>
        </w:rPr>
        <w:t xml:space="preserve"> </w:t>
      </w:r>
      <w:r w:rsidRPr="00C837DD">
        <w:rPr>
          <w:spacing w:val="-4"/>
          <w:sz w:val="16"/>
          <w:szCs w:val="16"/>
        </w:rPr>
        <w:tab/>
      </w:r>
      <w:r w:rsidRPr="00C837DD">
        <w:rPr>
          <w:i/>
          <w:spacing w:val="-4"/>
          <w:sz w:val="16"/>
          <w:szCs w:val="16"/>
        </w:rPr>
        <w:t xml:space="preserve">Cf. Case of Véliz Franco et al. v. Guatemala, supra, </w:t>
      </w:r>
      <w:r w:rsidRPr="00C837DD">
        <w:rPr>
          <w:spacing w:val="-4"/>
          <w:sz w:val="16"/>
          <w:szCs w:val="16"/>
        </w:rPr>
        <w:t xml:space="preserve">para. 208, and </w:t>
      </w:r>
      <w:r w:rsidRPr="00C837DD">
        <w:rPr>
          <w:i/>
          <w:spacing w:val="-4"/>
          <w:sz w:val="16"/>
          <w:szCs w:val="16"/>
        </w:rPr>
        <w:t>Case of</w:t>
      </w:r>
      <w:r w:rsidRPr="00C837DD">
        <w:rPr>
          <w:sz w:val="16"/>
          <w:szCs w:val="16"/>
        </w:rPr>
        <w:t xml:space="preserve"> </w:t>
      </w:r>
      <w:r w:rsidRPr="00C837DD">
        <w:rPr>
          <w:i/>
          <w:spacing w:val="-4"/>
          <w:sz w:val="16"/>
          <w:szCs w:val="16"/>
        </w:rPr>
        <w:t>López Soto et al. v. Venezuela,</w:t>
      </w:r>
      <w:r w:rsidRPr="00C837DD">
        <w:rPr>
          <w:spacing w:val="-4"/>
          <w:sz w:val="16"/>
          <w:szCs w:val="16"/>
        </w:rPr>
        <w:t xml:space="preserve"> para. 223.</w:t>
      </w:r>
    </w:p>
  </w:footnote>
  <w:footnote w:id="225">
    <w:p w14:paraId="19385E37" w14:textId="61759EF4"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According to the Latin American Model Protocol for the investigation of gender-related killings of women (femicide), investigating the killing of a woman from a gender perspective</w:t>
      </w:r>
      <w:r w:rsidRPr="00C837DD">
        <w:t xml:space="preserve"> </w:t>
      </w:r>
      <w:r w:rsidRPr="00C837DD">
        <w:rPr>
          <w:sz w:val="16"/>
          <w:szCs w:val="16"/>
        </w:rPr>
        <w:t>serves to</w:t>
      </w:r>
      <w:r w:rsidRPr="00C837DD">
        <w:rPr>
          <w:sz w:val="16"/>
          <w:szCs w:val="16"/>
          <w:lang w:eastAsia="es-ES"/>
        </w:rPr>
        <w:t xml:space="preserve">: “[e]xamine the act as a hate crime, […]; address </w:t>
      </w:r>
      <w:r w:rsidRPr="00C837DD">
        <w:rPr>
          <w:sz w:val="16"/>
          <w:szCs w:val="16"/>
        </w:rPr>
        <w:t>the killing of women not as a circumstantial or coincidental act but as a systematic crime</w:t>
      </w:r>
      <w:r w:rsidRPr="00C837DD">
        <w:rPr>
          <w:sz w:val="16"/>
          <w:szCs w:val="16"/>
          <w:lang w:eastAsia="es-ES"/>
        </w:rPr>
        <w:t xml:space="preserve"> […]; [go] </w:t>
      </w:r>
      <w:r w:rsidRPr="00C837DD">
        <w:rPr>
          <w:sz w:val="16"/>
          <w:szCs w:val="16"/>
        </w:rPr>
        <w:t>beyond lines of inquiry that are based on individual factors</w:t>
      </w:r>
      <w:r w:rsidRPr="00C837DD">
        <w:rPr>
          <w:sz w:val="16"/>
          <w:szCs w:val="16"/>
          <w:lang w:eastAsia="es-ES"/>
        </w:rPr>
        <w:t xml:space="preserve">, </w:t>
      </w:r>
      <w:r w:rsidRPr="00C837DD">
        <w:rPr>
          <w:sz w:val="16"/>
          <w:szCs w:val="16"/>
        </w:rPr>
        <w:t>and which tend to be pathologized to present the aggressors as “crazy,” “out of control,” or “jealous,” or to conceive of these killings as the result of “crimes of passion,” “lovers quarrels” or “sex scandals;”</w:t>
      </w:r>
      <w:r w:rsidRPr="00C837DD">
        <w:rPr>
          <w:sz w:val="16"/>
          <w:szCs w:val="16"/>
          <w:lang w:eastAsia="es-ES"/>
        </w:rPr>
        <w:t xml:space="preserve"> [d]ifferentiate femicides from the deaths of women taking place in other contexts […]; [a]v</w:t>
      </w:r>
      <w:r w:rsidR="006926B3" w:rsidRPr="00C837DD">
        <w:rPr>
          <w:sz w:val="16"/>
          <w:szCs w:val="16"/>
          <w:lang w:eastAsia="es-ES"/>
        </w:rPr>
        <w:t>o</w:t>
      </w:r>
      <w:r w:rsidRPr="00C837DD">
        <w:rPr>
          <w:sz w:val="16"/>
          <w:szCs w:val="16"/>
          <w:lang w:eastAsia="es-ES"/>
        </w:rPr>
        <w:t xml:space="preserve">id value judgments about the victim’s prior conduct or behavior and break away from the social and cultural patterns that blame the victim for what happened to her </w:t>
      </w:r>
      <w:r w:rsidRPr="00C837DD">
        <w:rPr>
          <w:sz w:val="16"/>
          <w:szCs w:val="16"/>
        </w:rPr>
        <w:t>(“she must have done something,” “she was looking for trouble,” “maybe she provoked him”)</w:t>
      </w:r>
      <w:r w:rsidRPr="00C837DD">
        <w:rPr>
          <w:sz w:val="16"/>
          <w:szCs w:val="16"/>
          <w:lang w:eastAsia="es-ES"/>
        </w:rPr>
        <w:t xml:space="preserve"> […]; [b]ring power asymmetries to light, </w:t>
      </w:r>
      <w:r w:rsidRPr="00C837DD">
        <w:rPr>
          <w:sz w:val="16"/>
          <w:szCs w:val="16"/>
        </w:rPr>
        <w:t>as well as the way in which gender inequalities permeate differences in the roles, norms, practices, and cultural conceptions of men and women</w:t>
      </w:r>
      <w:r w:rsidRPr="00C837DD">
        <w:rPr>
          <w:sz w:val="16"/>
          <w:szCs w:val="16"/>
          <w:lang w:eastAsia="es-ES"/>
        </w:rPr>
        <w:t xml:space="preserve"> [… and] [s]eek </w:t>
      </w:r>
      <w:r w:rsidRPr="00C837DD">
        <w:rPr>
          <w:sz w:val="16"/>
          <w:szCs w:val="16"/>
        </w:rPr>
        <w:t xml:space="preserve">legislative alternatives in terms of preventing gender-related killings of women, recognizing that historically women have been discriminated </w:t>
      </w:r>
      <w:r w:rsidR="006926B3" w:rsidRPr="00C837DD">
        <w:rPr>
          <w:sz w:val="16"/>
          <w:szCs w:val="16"/>
        </w:rPr>
        <w:t xml:space="preserve">against </w:t>
      </w:r>
      <w:r w:rsidRPr="00C837DD">
        <w:rPr>
          <w:sz w:val="16"/>
          <w:szCs w:val="16"/>
        </w:rPr>
        <w:t>and excluded from the full and autonomous exercise of their rights</w:t>
      </w:r>
      <w:r w:rsidRPr="00C837DD">
        <w:rPr>
          <w:sz w:val="16"/>
          <w:szCs w:val="16"/>
          <w:lang w:eastAsia="es-ES"/>
        </w:rPr>
        <w:t>.” (</w:t>
      </w:r>
      <w:r w:rsidRPr="00C837DD">
        <w:rPr>
          <w:i/>
          <w:sz w:val="16"/>
          <w:szCs w:val="16"/>
        </w:rPr>
        <w:t>Cf.</w:t>
      </w:r>
      <w:r w:rsidRPr="00C837DD">
        <w:rPr>
          <w:sz w:val="16"/>
          <w:szCs w:val="16"/>
        </w:rPr>
        <w:t xml:space="preserve"> </w:t>
      </w:r>
      <w:r w:rsidR="006926B3" w:rsidRPr="00C837DD">
        <w:rPr>
          <w:sz w:val="16"/>
          <w:szCs w:val="16"/>
        </w:rPr>
        <w:t xml:space="preserve">OHCHR </w:t>
      </w:r>
      <w:r w:rsidRPr="00C837DD">
        <w:rPr>
          <w:sz w:val="16"/>
          <w:szCs w:val="16"/>
        </w:rPr>
        <w:t xml:space="preserve">and UN Women. </w:t>
      </w:r>
      <w:r w:rsidRPr="00C837DD">
        <w:rPr>
          <w:i/>
          <w:sz w:val="16"/>
          <w:szCs w:val="16"/>
        </w:rPr>
        <w:t>Latin American Model Protocol for the investigation of gender-related killings of women</w:t>
      </w:r>
      <w:r w:rsidRPr="00C837DD">
        <w:rPr>
          <w:sz w:val="16"/>
          <w:szCs w:val="16"/>
        </w:rPr>
        <w:t xml:space="preserve">, </w:t>
      </w:r>
      <w:r w:rsidRPr="00C837DD">
        <w:rPr>
          <w:i/>
          <w:sz w:val="16"/>
          <w:szCs w:val="16"/>
        </w:rPr>
        <w:t>supra,</w:t>
      </w:r>
      <w:r w:rsidRPr="00C837DD">
        <w:rPr>
          <w:sz w:val="16"/>
          <w:szCs w:val="16"/>
        </w:rPr>
        <w:t xml:space="preserve"> para. 102.</w:t>
      </w:r>
      <w:r w:rsidRPr="00C837DD">
        <w:rPr>
          <w:sz w:val="16"/>
          <w:szCs w:val="16"/>
          <w:lang w:eastAsia="es-ES"/>
        </w:rPr>
        <w:t xml:space="preserve">) The </w:t>
      </w:r>
      <w:r w:rsidRPr="00C837DD">
        <w:rPr>
          <w:sz w:val="16"/>
          <w:szCs w:val="16"/>
        </w:rPr>
        <w:t xml:space="preserve">Latin American Model Protocol for the investigation of gender-related killings of women was </w:t>
      </w:r>
      <w:r w:rsidR="001919FA">
        <w:rPr>
          <w:sz w:val="16"/>
          <w:szCs w:val="16"/>
        </w:rPr>
        <w:t xml:space="preserve">drafted </w:t>
      </w:r>
      <w:r w:rsidRPr="00C837DD">
        <w:rPr>
          <w:sz w:val="16"/>
          <w:szCs w:val="16"/>
        </w:rPr>
        <w:t xml:space="preserve">in 2014 by the Central America </w:t>
      </w:r>
      <w:r w:rsidR="006926B3" w:rsidRPr="00C837DD">
        <w:rPr>
          <w:sz w:val="16"/>
          <w:szCs w:val="16"/>
        </w:rPr>
        <w:t xml:space="preserve">Regional Office </w:t>
      </w:r>
      <w:r w:rsidRPr="00C837DD">
        <w:rPr>
          <w:sz w:val="16"/>
          <w:szCs w:val="16"/>
        </w:rPr>
        <w:t>of the United Nations High Commissioner for Human Rights (</w:t>
      </w:r>
      <w:r w:rsidR="006926B3" w:rsidRPr="00C837DD">
        <w:rPr>
          <w:sz w:val="16"/>
          <w:szCs w:val="16"/>
        </w:rPr>
        <w:t>OHCHR</w:t>
      </w:r>
      <w:r w:rsidRPr="00C837DD">
        <w:rPr>
          <w:sz w:val="16"/>
          <w:szCs w:val="16"/>
        </w:rPr>
        <w:t xml:space="preserve">), with the support of the Americas and Caribbean </w:t>
      </w:r>
      <w:r w:rsidR="00DB5C44" w:rsidRPr="00C837DD">
        <w:rPr>
          <w:sz w:val="16"/>
          <w:szCs w:val="16"/>
        </w:rPr>
        <w:t xml:space="preserve">Regional Office </w:t>
      </w:r>
      <w:r w:rsidRPr="00C837DD">
        <w:rPr>
          <w:sz w:val="16"/>
          <w:szCs w:val="16"/>
        </w:rPr>
        <w:t xml:space="preserve">of the United Nations Entity for Gender and the Empowerment of Women (UN Women), in the context of the United Nations Secretary General’s “UNITE” Campaign to End Violence Against Women. Available at: </w:t>
      </w:r>
      <w:hyperlink r:id="rId38" w:history="1">
        <w:r w:rsidRPr="00C837DD">
          <w:rPr>
            <w:rStyle w:val="Hipervnculo"/>
            <w:sz w:val="16"/>
            <w:szCs w:val="16"/>
          </w:rPr>
          <w:t>https://www.unwomen.org/-/media/headquarters/attachments/sections/library/publications/2014/moof theo%20de%20protocolo.ashx?la=es</w:t>
        </w:r>
      </w:hyperlink>
      <w:r w:rsidRPr="00C837DD">
        <w:rPr>
          <w:sz w:val="16"/>
          <w:szCs w:val="16"/>
        </w:rPr>
        <w:t xml:space="preserve">.  </w:t>
      </w:r>
      <w:hyperlink r:id="rId39" w:history="1"/>
    </w:p>
  </w:footnote>
  <w:footnote w:id="226">
    <w:p w14:paraId="2283112A"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rFonts w:cs="Arial"/>
          <w:i/>
          <w:sz w:val="16"/>
          <w:szCs w:val="16"/>
          <w:shd w:val="clear" w:color="auto" w:fill="FFFFFF"/>
        </w:rPr>
        <w:t>the Workers of the Fireworks Factory in Santo Antônio de Jesus v. Brazil</w:t>
      </w:r>
      <w:r w:rsidRPr="00C837DD">
        <w:rPr>
          <w:rFonts w:cs="Arial"/>
          <w:sz w:val="16"/>
          <w:szCs w:val="16"/>
          <w:shd w:val="clear" w:color="auto" w:fill="FFFFFF"/>
        </w:rPr>
        <w:t xml:space="preserve">, </w:t>
      </w:r>
      <w:r w:rsidRPr="00C837DD">
        <w:rPr>
          <w:i/>
          <w:sz w:val="16"/>
          <w:szCs w:val="16"/>
        </w:rPr>
        <w:t>supra</w:t>
      </w:r>
      <w:r w:rsidRPr="00C837DD">
        <w:rPr>
          <w:sz w:val="16"/>
          <w:szCs w:val="16"/>
        </w:rPr>
        <w:t>, para. 221.</w:t>
      </w:r>
    </w:p>
  </w:footnote>
  <w:footnote w:id="227">
    <w:p w14:paraId="1936400B" w14:textId="7358689C" w:rsidR="005F5F1C" w:rsidRPr="00C837DD" w:rsidRDefault="005F5F1C" w:rsidP="00F85D5F">
      <w:pPr>
        <w:pStyle w:val="Textonotapie"/>
        <w:tabs>
          <w:tab w:val="left" w:pos="567"/>
        </w:tabs>
        <w:spacing w:before="40" w:after="40"/>
        <w:ind w:right="81"/>
        <w:jc w:val="both"/>
        <w:rPr>
          <w:rFonts w:eastAsia="MS Mincho"/>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Velásquez Rodríguez v. Honduras.</w:t>
      </w:r>
      <w:r w:rsidRPr="00C837DD">
        <w:rPr>
          <w:sz w:val="16"/>
          <w:szCs w:val="16"/>
        </w:rPr>
        <w:t xml:space="preserve"> Merits, </w:t>
      </w:r>
      <w:r w:rsidRPr="00C837DD">
        <w:rPr>
          <w:i/>
          <w:sz w:val="16"/>
          <w:szCs w:val="16"/>
        </w:rPr>
        <w:t>supra</w:t>
      </w:r>
      <w:r w:rsidRPr="00C837DD">
        <w:rPr>
          <w:sz w:val="16"/>
          <w:szCs w:val="16"/>
        </w:rPr>
        <w:t xml:space="preserve">, para. 177, and </w:t>
      </w:r>
      <w:r w:rsidRPr="00C837DD">
        <w:rPr>
          <w:i/>
          <w:sz w:val="16"/>
          <w:szCs w:val="16"/>
        </w:rPr>
        <w:t>Case of Garzón Guzmán et al. v. Ecuador. Merits, reparations and costs</w:t>
      </w:r>
      <w:r w:rsidRPr="00C837DD">
        <w:rPr>
          <w:sz w:val="16"/>
          <w:szCs w:val="16"/>
        </w:rPr>
        <w:t xml:space="preserve">. Judgment of September </w:t>
      </w:r>
      <w:r w:rsidR="00DB5C44" w:rsidRPr="00C837DD">
        <w:rPr>
          <w:sz w:val="16"/>
          <w:szCs w:val="16"/>
        </w:rPr>
        <w:t xml:space="preserve">1, </w:t>
      </w:r>
      <w:r w:rsidRPr="00C837DD">
        <w:rPr>
          <w:sz w:val="16"/>
          <w:szCs w:val="16"/>
        </w:rPr>
        <w:t>2021. Series C No. 434, para. 67.</w:t>
      </w:r>
    </w:p>
  </w:footnote>
  <w:footnote w:id="228">
    <w:p w14:paraId="514399EC" w14:textId="77777777" w:rsidR="005F5F1C" w:rsidRPr="00C837DD" w:rsidRDefault="005F5F1C" w:rsidP="00F85D5F">
      <w:pPr>
        <w:pStyle w:val="Textonotapie"/>
        <w:tabs>
          <w:tab w:val="left" w:pos="567"/>
        </w:tabs>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Juan Humberto Sánchez v. Honduras.</w:t>
      </w:r>
      <w:r w:rsidRPr="00C837DD">
        <w:rPr>
          <w:sz w:val="16"/>
          <w:szCs w:val="16"/>
        </w:rPr>
        <w:t xml:space="preserve"> Preliminary objection, merits, reparations and costs. Judgment of June 7, 2003. Series C No. 99, para. 127, and </w:t>
      </w:r>
      <w:r w:rsidRPr="00C837DD">
        <w:rPr>
          <w:i/>
          <w:sz w:val="16"/>
          <w:szCs w:val="16"/>
        </w:rPr>
        <w:t>Case of Garzón Guzmán et al. v. Ecuador, supra</w:t>
      </w:r>
      <w:r w:rsidRPr="00C837DD">
        <w:rPr>
          <w:sz w:val="16"/>
          <w:szCs w:val="16"/>
        </w:rPr>
        <w:t>, para. 67.</w:t>
      </w:r>
    </w:p>
  </w:footnote>
  <w:footnote w:id="229">
    <w:p w14:paraId="2974C7DB" w14:textId="6DF49EA0"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00BA4CC7" w:rsidRPr="00C837DD">
        <w:rPr>
          <w:sz w:val="16"/>
          <w:szCs w:val="16"/>
        </w:rPr>
        <w:t xml:space="preserve">With regard to the investigation of acts committed against women, the application of the Belém do Pará </w:t>
      </w:r>
      <w:r w:rsidR="00DB5C44" w:rsidRPr="00C837DD">
        <w:rPr>
          <w:sz w:val="16"/>
          <w:szCs w:val="16"/>
        </w:rPr>
        <w:t xml:space="preserve">Convention </w:t>
      </w:r>
      <w:r w:rsidR="00BA4CC7" w:rsidRPr="00C837DD">
        <w:rPr>
          <w:sz w:val="16"/>
          <w:szCs w:val="16"/>
        </w:rPr>
        <w:t xml:space="preserve">does not depend on an absolute degree of certainty as to whether or not the act to be investigated constituted violence against women under the terms of the Convention. In this </w:t>
      </w:r>
      <w:r w:rsidR="00582954" w:rsidRPr="00C837DD">
        <w:rPr>
          <w:sz w:val="16"/>
          <w:szCs w:val="16"/>
        </w:rPr>
        <w:t>sense</w:t>
      </w:r>
      <w:r w:rsidR="00BA4CC7" w:rsidRPr="00C837DD">
        <w:rPr>
          <w:sz w:val="16"/>
          <w:szCs w:val="16"/>
        </w:rPr>
        <w:t xml:space="preserve">, it should be emphasized that it is through compliance with the duty to investigate established in Article 7 of the Convention of Belém do Pará that, in </w:t>
      </w:r>
      <w:r w:rsidR="00BB39D0">
        <w:rPr>
          <w:sz w:val="16"/>
          <w:szCs w:val="16"/>
        </w:rPr>
        <w:t xml:space="preserve">several </w:t>
      </w:r>
      <w:r w:rsidR="00BA4CC7" w:rsidRPr="00C837DD">
        <w:rPr>
          <w:sz w:val="16"/>
          <w:szCs w:val="16"/>
        </w:rPr>
        <w:t>cases, it will be possible to arrive at certainty as to whether or not the act under investigation constituted violence against women. Compliance with this duty cannot, therefore, be made dependent on such certainty. In order to trigger the obligation to investigate under the terms of the Convention of Belém do Pará, it is sufficient that the act in question, in its materiality, presents characteristics that, if reasonably assessed, indicate the possibility that it is an act of violence against women</w:t>
      </w:r>
      <w:r w:rsidRPr="00C837DD">
        <w:rPr>
          <w:sz w:val="16"/>
          <w:szCs w:val="16"/>
        </w:rPr>
        <w:t xml:space="preserve">. </w:t>
      </w:r>
      <w:r w:rsidRPr="00C837DD">
        <w:rPr>
          <w:i/>
          <w:sz w:val="16"/>
          <w:szCs w:val="16"/>
        </w:rPr>
        <w:t xml:space="preserve">Cf. Case of </w:t>
      </w:r>
      <w:r w:rsidRPr="00C837DD">
        <w:rPr>
          <w:i/>
          <w:iCs/>
          <w:sz w:val="16"/>
          <w:szCs w:val="16"/>
        </w:rPr>
        <w:t xml:space="preserve">Véliz Franco et al. v. Guatemala, supra, </w:t>
      </w:r>
      <w:r w:rsidRPr="00C837DD">
        <w:rPr>
          <w:iCs/>
          <w:sz w:val="16"/>
          <w:szCs w:val="16"/>
        </w:rPr>
        <w:t>footnote 254</w:t>
      </w:r>
      <w:r w:rsidRPr="00C837DD">
        <w:rPr>
          <w:i/>
          <w:iCs/>
          <w:sz w:val="16"/>
          <w:szCs w:val="16"/>
        </w:rPr>
        <w:t>, and Case of Velásquez Paiz et al. v. Guatemala, supra</w:t>
      </w:r>
      <w:r w:rsidRPr="00C837DD">
        <w:rPr>
          <w:iCs/>
          <w:sz w:val="16"/>
          <w:szCs w:val="16"/>
        </w:rPr>
        <w:t>,</w:t>
      </w:r>
      <w:r w:rsidRPr="00C837DD">
        <w:rPr>
          <w:i/>
          <w:iCs/>
          <w:sz w:val="16"/>
          <w:szCs w:val="16"/>
        </w:rPr>
        <w:t xml:space="preserve"> </w:t>
      </w:r>
      <w:r w:rsidRPr="00C837DD">
        <w:rPr>
          <w:iCs/>
          <w:sz w:val="16"/>
          <w:szCs w:val="16"/>
        </w:rPr>
        <w:t>footnote 293.</w:t>
      </w:r>
    </w:p>
  </w:footnote>
  <w:footnote w:id="230">
    <w:p w14:paraId="0023DD3A" w14:textId="275B00E6" w:rsidR="005F5F1C" w:rsidRPr="00C837DD" w:rsidRDefault="005F5F1C" w:rsidP="00F85D5F">
      <w:pPr>
        <w:pStyle w:val="Textonotapie"/>
        <w:tabs>
          <w:tab w:val="left" w:pos="426"/>
        </w:tabs>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sz w:val="16"/>
          <w:szCs w:val="16"/>
        </w:rPr>
        <w:tab/>
      </w:r>
      <w:r w:rsidRPr="00C837DD">
        <w:rPr>
          <w:i/>
          <w:sz w:val="16"/>
          <w:szCs w:val="16"/>
        </w:rPr>
        <w:t>Cf. Case of Fernández Ortega et al. v. Mexico. Preliminary objection, merits, reparations and costs</w:t>
      </w:r>
      <w:r w:rsidRPr="00C837DD">
        <w:rPr>
          <w:sz w:val="16"/>
          <w:szCs w:val="16"/>
        </w:rPr>
        <w:t xml:space="preserve">. Judgment of August </w:t>
      </w:r>
      <w:r w:rsidR="0073355C" w:rsidRPr="00C837DD">
        <w:rPr>
          <w:sz w:val="16"/>
          <w:szCs w:val="16"/>
        </w:rPr>
        <w:t xml:space="preserve">30, </w:t>
      </w:r>
      <w:r w:rsidRPr="00C837DD">
        <w:rPr>
          <w:sz w:val="16"/>
          <w:szCs w:val="16"/>
        </w:rPr>
        <w:t xml:space="preserve">2010. Series C No. 215, para. 193, and </w:t>
      </w:r>
      <w:r w:rsidRPr="00C837DD">
        <w:rPr>
          <w:i/>
          <w:sz w:val="16"/>
          <w:szCs w:val="16"/>
        </w:rPr>
        <w:t xml:space="preserve">Case of Guzmán Albarracín et al. v. Ecuador. Merits, reparations and costs. </w:t>
      </w:r>
      <w:r w:rsidRPr="00C837DD">
        <w:rPr>
          <w:sz w:val="16"/>
          <w:szCs w:val="16"/>
        </w:rPr>
        <w:t>Judgment of June 24, 2020. Series C No. 405, para. 177.</w:t>
      </w:r>
    </w:p>
  </w:footnote>
  <w:footnote w:id="231">
    <w:p w14:paraId="7AEAA42D"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Fernández Ortega et al. v. Mexico, supra, </w:t>
      </w:r>
      <w:r w:rsidRPr="00C837DD">
        <w:rPr>
          <w:sz w:val="16"/>
          <w:szCs w:val="16"/>
        </w:rPr>
        <w:t xml:space="preserve">para. 193, and </w:t>
      </w:r>
      <w:r w:rsidRPr="00C837DD">
        <w:rPr>
          <w:i/>
          <w:sz w:val="16"/>
          <w:szCs w:val="16"/>
        </w:rPr>
        <w:t xml:space="preserve">Case of Guzmán Albarracín et al. v. Ecuador, supra, </w:t>
      </w:r>
      <w:r w:rsidRPr="00C837DD">
        <w:rPr>
          <w:sz w:val="16"/>
          <w:szCs w:val="16"/>
        </w:rPr>
        <w:t>para. 177.</w:t>
      </w:r>
    </w:p>
  </w:footnote>
  <w:footnote w:id="232">
    <w:p w14:paraId="16A955B4" w14:textId="77777777" w:rsidR="005F5F1C" w:rsidRPr="00C837DD" w:rsidRDefault="005F5F1C" w:rsidP="00F85D5F">
      <w:pPr>
        <w:pStyle w:val="Textonotapie"/>
        <w:spacing w:before="40" w:after="40"/>
        <w:jc w:val="both"/>
        <w:rPr>
          <w:bCs/>
          <w:color w:val="000000"/>
          <w:sz w:val="16"/>
          <w:szCs w:val="16"/>
          <w:shd w:val="clear" w:color="auto" w:fill="FFFFFF"/>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González et al. (“Cotton Field”), supra, </w:t>
      </w:r>
      <w:r w:rsidRPr="00C837DD">
        <w:rPr>
          <w:sz w:val="16"/>
          <w:szCs w:val="16"/>
        </w:rPr>
        <w:t xml:space="preserve">para. 293, and </w:t>
      </w:r>
      <w:r w:rsidRPr="00C837DD">
        <w:rPr>
          <w:rStyle w:val="Textoennegrita"/>
          <w:b w:val="0"/>
          <w:i/>
          <w:color w:val="000000"/>
          <w:sz w:val="16"/>
          <w:szCs w:val="16"/>
          <w:shd w:val="clear" w:color="auto" w:fill="FFFFFF"/>
        </w:rPr>
        <w:t>Case of</w:t>
      </w:r>
      <w:r w:rsidRPr="00C837DD">
        <w:rPr>
          <w:rStyle w:val="Textoennegrita"/>
          <w:i/>
          <w:color w:val="000000"/>
          <w:sz w:val="16"/>
          <w:szCs w:val="16"/>
          <w:shd w:val="clear" w:color="auto" w:fill="FFFFFF"/>
        </w:rPr>
        <w:t xml:space="preserve"> </w:t>
      </w:r>
      <w:r w:rsidRPr="00C837DD">
        <w:rPr>
          <w:i/>
          <w:sz w:val="16"/>
          <w:szCs w:val="16"/>
        </w:rPr>
        <w:t>Velásquez Paiz et al. v. Guatemala, Preliminary objections, merits, reparations and costs</w:t>
      </w:r>
      <w:r w:rsidRPr="00C837DD">
        <w:rPr>
          <w:sz w:val="16"/>
          <w:szCs w:val="16"/>
        </w:rPr>
        <w:t>. Judgment of November 19, 2015. Series C No. 307</w:t>
      </w:r>
      <w:r w:rsidRPr="00C837DD">
        <w:rPr>
          <w:b/>
          <w:sz w:val="16"/>
          <w:szCs w:val="16"/>
        </w:rPr>
        <w:t xml:space="preserve">, </w:t>
      </w:r>
      <w:r w:rsidRPr="00C837DD">
        <w:rPr>
          <w:rStyle w:val="Textoennegrita"/>
          <w:b w:val="0"/>
          <w:color w:val="000000"/>
          <w:sz w:val="16"/>
          <w:szCs w:val="16"/>
          <w:shd w:val="clear" w:color="auto" w:fill="FFFFFF"/>
        </w:rPr>
        <w:t>para. 146.</w:t>
      </w:r>
    </w:p>
  </w:footnote>
  <w:footnote w:id="233">
    <w:p w14:paraId="794985EC"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rFonts w:cs="Microsoft Sans Serif"/>
          <w:i/>
          <w:spacing w:val="-4"/>
          <w:sz w:val="16"/>
          <w:szCs w:val="16"/>
        </w:rPr>
        <w:t>Véliz Franco et al. v. Guatemala, supra</w:t>
      </w:r>
      <w:r w:rsidRPr="00C837DD">
        <w:rPr>
          <w:rFonts w:cs="Microsoft Sans Serif"/>
          <w:spacing w:val="-4"/>
          <w:sz w:val="16"/>
          <w:szCs w:val="16"/>
        </w:rPr>
        <w:t>, para.</w:t>
      </w:r>
      <w:r w:rsidRPr="00C837DD">
        <w:rPr>
          <w:color w:val="000000"/>
          <w:spacing w:val="-4"/>
          <w:sz w:val="16"/>
          <w:szCs w:val="16"/>
        </w:rPr>
        <w:t xml:space="preserve"> 187. </w:t>
      </w:r>
      <w:r w:rsidRPr="00C837DD">
        <w:rPr>
          <w:i/>
          <w:sz w:val="16"/>
          <w:szCs w:val="16"/>
        </w:rPr>
        <w:t>Case of Velásquez Paiz</w:t>
      </w:r>
      <w:r w:rsidRPr="00C837DD">
        <w:rPr>
          <w:sz w:val="16"/>
          <w:szCs w:val="16"/>
        </w:rPr>
        <w:t xml:space="preserve">, </w:t>
      </w:r>
      <w:r w:rsidRPr="00C837DD">
        <w:rPr>
          <w:i/>
          <w:sz w:val="16"/>
          <w:szCs w:val="16"/>
        </w:rPr>
        <w:t>supra,</w:t>
      </w:r>
      <w:r w:rsidRPr="00C837DD">
        <w:rPr>
          <w:sz w:val="16"/>
          <w:szCs w:val="16"/>
        </w:rPr>
        <w:t xml:space="preserve"> para.146.</w:t>
      </w:r>
    </w:p>
  </w:footnote>
  <w:footnote w:id="234">
    <w:p w14:paraId="14A39D0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González et al. (“Cotton Field”), supra, </w:t>
      </w:r>
      <w:r w:rsidRPr="00C837DD">
        <w:rPr>
          <w:sz w:val="16"/>
          <w:szCs w:val="16"/>
        </w:rPr>
        <w:t xml:space="preserve">para. 455, and </w:t>
      </w:r>
      <w:r w:rsidRPr="00C837DD">
        <w:rPr>
          <w:i/>
          <w:sz w:val="16"/>
          <w:szCs w:val="16"/>
        </w:rPr>
        <w:t>Case of V.R.P., V.P.C. et al. v. Nicaragua. Preliminary objections, merits, reparations and costs</w:t>
      </w:r>
      <w:r w:rsidRPr="00C837DD">
        <w:rPr>
          <w:sz w:val="16"/>
          <w:szCs w:val="16"/>
        </w:rPr>
        <w:t>. Judgment of March 8, 2018. Series C No. 350, footnote 195.</w:t>
      </w:r>
    </w:p>
  </w:footnote>
  <w:footnote w:id="235">
    <w:p w14:paraId="63CBFDC4" w14:textId="77777777" w:rsidR="005F5F1C" w:rsidRPr="00C837DD" w:rsidRDefault="005F5F1C" w:rsidP="00F85D5F">
      <w:pPr>
        <w:pStyle w:val="Textonotapie"/>
        <w:spacing w:before="40" w:after="40"/>
        <w:ind w:right="81"/>
        <w:jc w:val="both"/>
        <w:rPr>
          <w:bCs/>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iCs/>
          <w:sz w:val="16"/>
          <w:szCs w:val="16"/>
        </w:rPr>
        <w:t xml:space="preserve">Case of the “Street Children” (Villagrán Morales et al.). v. Guatemala. Merits. </w:t>
      </w:r>
      <w:r w:rsidRPr="00C837DD">
        <w:rPr>
          <w:iCs/>
          <w:sz w:val="16"/>
          <w:szCs w:val="16"/>
        </w:rPr>
        <w:t>Judgment of November 19, 1999. Series C No. 63,</w:t>
      </w:r>
      <w:r w:rsidRPr="00C837DD">
        <w:rPr>
          <w:sz w:val="16"/>
          <w:szCs w:val="16"/>
        </w:rPr>
        <w:t xml:space="preserve"> para. 230, and </w:t>
      </w:r>
      <w:r w:rsidRPr="00C837DD">
        <w:rPr>
          <w:i/>
          <w:sz w:val="16"/>
          <w:szCs w:val="16"/>
        </w:rPr>
        <w:t>Case of Velásquez Paiz et al. v. Guatemala</w:t>
      </w:r>
      <w:r w:rsidRPr="00C837DD">
        <w:rPr>
          <w:sz w:val="16"/>
          <w:szCs w:val="16"/>
        </w:rPr>
        <w:t xml:space="preserve">, </w:t>
      </w:r>
      <w:r w:rsidRPr="00C837DD">
        <w:rPr>
          <w:i/>
          <w:sz w:val="16"/>
          <w:szCs w:val="16"/>
        </w:rPr>
        <w:t xml:space="preserve">supra, </w:t>
      </w:r>
      <w:r w:rsidRPr="00C837DD">
        <w:rPr>
          <w:sz w:val="16"/>
          <w:szCs w:val="16"/>
        </w:rPr>
        <w:t>para. 152.</w:t>
      </w:r>
    </w:p>
  </w:footnote>
  <w:footnote w:id="236">
    <w:p w14:paraId="23D33B72" w14:textId="36111B3D"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Final report of the </w:t>
      </w:r>
      <w:r w:rsidR="00802CA4" w:rsidRPr="00C837DD">
        <w:rPr>
          <w:sz w:val="16"/>
          <w:szCs w:val="16"/>
        </w:rPr>
        <w:t>p</w:t>
      </w:r>
      <w:r w:rsidRPr="00C837DD">
        <w:rPr>
          <w:sz w:val="16"/>
          <w:szCs w:val="16"/>
        </w:rPr>
        <w:t>olice departmen</w:t>
      </w:r>
      <w:r w:rsidR="00AD0709" w:rsidRPr="00C837DD">
        <w:rPr>
          <w:sz w:val="16"/>
          <w:szCs w:val="16"/>
        </w:rPr>
        <w:t>t for crimes against the person</w:t>
      </w:r>
      <w:r w:rsidRPr="00C837DD">
        <w:rPr>
          <w:sz w:val="16"/>
          <w:szCs w:val="16"/>
        </w:rPr>
        <w:t xml:space="preserve">, </w:t>
      </w:r>
      <w:r w:rsidRPr="00C837DD">
        <w:rPr>
          <w:i/>
          <w:sz w:val="16"/>
          <w:szCs w:val="16"/>
        </w:rPr>
        <w:t>supra</w:t>
      </w:r>
      <w:r w:rsidRPr="00C837DD">
        <w:rPr>
          <w:sz w:val="16"/>
          <w:szCs w:val="16"/>
        </w:rPr>
        <w:t>.</w:t>
      </w:r>
    </w:p>
  </w:footnote>
  <w:footnote w:id="237">
    <w:p w14:paraId="799C45D3" w14:textId="77777777" w:rsidR="005F5F1C" w:rsidRPr="00C837DD" w:rsidRDefault="005F5F1C" w:rsidP="00F85D5F">
      <w:pPr>
        <w:tabs>
          <w:tab w:val="left" w:pos="567"/>
        </w:tabs>
        <w:spacing w:before="40" w:after="40"/>
        <w:jc w:val="both"/>
        <w:rPr>
          <w:sz w:val="16"/>
          <w:szCs w:val="16"/>
        </w:rPr>
      </w:pPr>
      <w:r w:rsidRPr="00C837DD">
        <w:rPr>
          <w:rStyle w:val="Refdenotaalpie"/>
          <w:rFonts w:eastAsia="MS Mincho"/>
          <w:sz w:val="16"/>
          <w:szCs w:val="16"/>
        </w:rPr>
        <w:footnoteRef/>
      </w:r>
      <w:r w:rsidRPr="00C837DD">
        <w:rPr>
          <w:sz w:val="16"/>
          <w:szCs w:val="16"/>
        </w:rPr>
        <w:t xml:space="preserve"> </w:t>
      </w:r>
      <w:r w:rsidRPr="00C837DD">
        <w:rPr>
          <w:sz w:val="16"/>
          <w:szCs w:val="16"/>
        </w:rPr>
        <w:tab/>
      </w:r>
      <w:r w:rsidRPr="00C837DD">
        <w:rPr>
          <w:sz w:val="16"/>
          <w:szCs w:val="16"/>
        </w:rPr>
        <w:tab/>
      </w:r>
      <w:r w:rsidRPr="00C837DD">
        <w:rPr>
          <w:i/>
          <w:sz w:val="16"/>
          <w:szCs w:val="16"/>
        </w:rPr>
        <w:t xml:space="preserve">Cf. Case of </w:t>
      </w:r>
      <w:r w:rsidRPr="00C837DD">
        <w:rPr>
          <w:i/>
          <w:iCs/>
          <w:sz w:val="16"/>
          <w:szCs w:val="16"/>
        </w:rPr>
        <w:t xml:space="preserve">Bulacio v. Argentina. Merits, reparations and costs. </w:t>
      </w:r>
      <w:r w:rsidRPr="00C837DD">
        <w:rPr>
          <w:iCs/>
          <w:sz w:val="16"/>
          <w:szCs w:val="16"/>
        </w:rPr>
        <w:t>Judgment of September 18, 2003. Series C No. 100,</w:t>
      </w:r>
      <w:r w:rsidRPr="00C837DD">
        <w:rPr>
          <w:i/>
          <w:iCs/>
          <w:sz w:val="16"/>
          <w:szCs w:val="16"/>
        </w:rPr>
        <w:t xml:space="preserve"> </w:t>
      </w:r>
      <w:r w:rsidRPr="00C837DD">
        <w:rPr>
          <w:sz w:val="16"/>
          <w:szCs w:val="16"/>
        </w:rPr>
        <w:t xml:space="preserve">para. 114, and </w:t>
      </w:r>
      <w:r w:rsidRPr="00C837DD">
        <w:rPr>
          <w:i/>
          <w:sz w:val="16"/>
          <w:szCs w:val="16"/>
        </w:rPr>
        <w:t>Case of Coc Max et al. (Massacre of Xamán) v. Guatemala, supra</w:t>
      </w:r>
      <w:r w:rsidRPr="00C837DD">
        <w:rPr>
          <w:sz w:val="16"/>
          <w:szCs w:val="16"/>
        </w:rPr>
        <w:t>, para. 79.</w:t>
      </w:r>
    </w:p>
  </w:footnote>
  <w:footnote w:id="238">
    <w:p w14:paraId="7B2F9F71"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Hilaire, Constantine and Benjamin et al. v. Trinidad and Tobago</w:t>
      </w:r>
      <w:r w:rsidRPr="00C837DD">
        <w:rPr>
          <w:sz w:val="16"/>
          <w:szCs w:val="16"/>
        </w:rPr>
        <w:t xml:space="preserve">. Merits, reparations and costs. Judgment of June 21, 2002. Series C No. 94, para. 145, and </w:t>
      </w:r>
      <w:r w:rsidRPr="00C837DD">
        <w:rPr>
          <w:rFonts w:cs="Arial"/>
          <w:i/>
          <w:sz w:val="16"/>
          <w:szCs w:val="16"/>
          <w:shd w:val="clear" w:color="auto" w:fill="FFFFFF"/>
        </w:rPr>
        <w:t>Case of the Workers of the Fireworks Factory in Santo Antônio de Jesus v. Brazil</w:t>
      </w:r>
      <w:r w:rsidRPr="00C837DD">
        <w:rPr>
          <w:rFonts w:cs="Arial"/>
          <w:sz w:val="16"/>
          <w:szCs w:val="16"/>
          <w:shd w:val="clear" w:color="auto" w:fill="FFFFFF"/>
        </w:rPr>
        <w:t xml:space="preserve">, </w:t>
      </w:r>
      <w:r w:rsidRPr="00C837DD">
        <w:rPr>
          <w:i/>
          <w:sz w:val="16"/>
          <w:szCs w:val="16"/>
        </w:rPr>
        <w:t>supra</w:t>
      </w:r>
      <w:r w:rsidRPr="00C837DD">
        <w:rPr>
          <w:sz w:val="16"/>
          <w:szCs w:val="16"/>
        </w:rPr>
        <w:t>, para. 222.</w:t>
      </w:r>
    </w:p>
  </w:footnote>
  <w:footnote w:id="239">
    <w:p w14:paraId="6D04B28D" w14:textId="7503B7C4" w:rsidR="005F5F1C" w:rsidRPr="00C837DD" w:rsidRDefault="005F5F1C" w:rsidP="00F85D5F">
      <w:pPr>
        <w:pStyle w:val="Textonotapie"/>
        <w:spacing w:before="40" w:after="40"/>
        <w:jc w:val="both"/>
        <w:rPr>
          <w:bCs/>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Court has established that the </w:t>
      </w:r>
      <w:r w:rsidR="00482D48" w:rsidRPr="00C837DD">
        <w:rPr>
          <w:sz w:val="16"/>
          <w:szCs w:val="16"/>
        </w:rPr>
        <w:t xml:space="preserve">concept of </w:t>
      </w:r>
      <w:r w:rsidRPr="00C837DD">
        <w:rPr>
          <w:sz w:val="16"/>
          <w:szCs w:val="16"/>
        </w:rPr>
        <w:t xml:space="preserve">reasonable time should be analyzed in each specific case, in relation to the total duration of the process, which could also include the execution of the final judgment. Thus, it has considered four elements </w:t>
      </w:r>
      <w:r w:rsidR="00482D48" w:rsidRPr="00C837DD">
        <w:rPr>
          <w:sz w:val="16"/>
          <w:szCs w:val="16"/>
        </w:rPr>
        <w:t xml:space="preserve">to determine </w:t>
      </w:r>
      <w:r w:rsidRPr="00C837DD">
        <w:rPr>
          <w:sz w:val="16"/>
          <w:szCs w:val="16"/>
        </w:rPr>
        <w:t xml:space="preserve">whether the guarantee of reasonable time was met, namely: </w:t>
      </w:r>
      <w:r w:rsidRPr="00C837DD">
        <w:rPr>
          <w:bCs/>
          <w:sz w:val="16"/>
          <w:szCs w:val="16"/>
        </w:rPr>
        <w:t xml:space="preserve">a) the complexity of the matter; b) the procedural activity of the interested party; c) the conduct of the judicial authorities, and d) the </w:t>
      </w:r>
      <w:r w:rsidR="009100F5" w:rsidRPr="00C837DD">
        <w:rPr>
          <w:color w:val="000000"/>
          <w:sz w:val="16"/>
          <w:szCs w:val="16"/>
          <w:shd w:val="clear" w:color="auto" w:fill="FFFFFF"/>
        </w:rPr>
        <w:t xml:space="preserve">impact on the legal situation of the </w:t>
      </w:r>
      <w:r w:rsidRPr="00C837DD">
        <w:rPr>
          <w:bCs/>
          <w:sz w:val="16"/>
          <w:szCs w:val="16"/>
        </w:rPr>
        <w:t>alleged victim</w:t>
      </w:r>
      <w:r w:rsidR="004D49BE">
        <w:rPr>
          <w:bCs/>
          <w:sz w:val="16"/>
          <w:szCs w:val="16"/>
        </w:rPr>
        <w:t xml:space="preserve"> or victims</w:t>
      </w:r>
      <w:r w:rsidRPr="00C837DD">
        <w:rPr>
          <w:bCs/>
          <w:sz w:val="16"/>
          <w:szCs w:val="16"/>
        </w:rPr>
        <w:t xml:space="preserve">. The Court recalls that </w:t>
      </w:r>
      <w:r w:rsidRPr="00C837DD">
        <w:rPr>
          <w:sz w:val="16"/>
          <w:szCs w:val="16"/>
        </w:rPr>
        <w:t xml:space="preserve">it </w:t>
      </w:r>
      <w:r w:rsidR="009100F5" w:rsidRPr="00C837DD">
        <w:rPr>
          <w:sz w:val="16"/>
          <w:szCs w:val="16"/>
        </w:rPr>
        <w:t xml:space="preserve">is up to the </w:t>
      </w:r>
      <w:r w:rsidRPr="00C837DD">
        <w:rPr>
          <w:sz w:val="16"/>
          <w:szCs w:val="16"/>
        </w:rPr>
        <w:t>State to demonstrate the reasons why a proceeding or several proceedings have lasted more than a reasonable time. Otherwise, the Court has broad powers to make its own analysis of this matter</w:t>
      </w:r>
      <w:r w:rsidRPr="00C837DD">
        <w:rPr>
          <w:bCs/>
          <w:sz w:val="16"/>
          <w:szCs w:val="16"/>
        </w:rPr>
        <w:t xml:space="preserve">. The Court also reiterates that </w:t>
      </w:r>
      <w:r w:rsidR="00AC0816" w:rsidRPr="00C837DD">
        <w:rPr>
          <w:bCs/>
          <w:sz w:val="16"/>
          <w:szCs w:val="16"/>
        </w:rPr>
        <w:t xml:space="preserve">it is necessary to consider </w:t>
      </w:r>
      <w:r w:rsidRPr="00C837DD">
        <w:rPr>
          <w:bCs/>
          <w:sz w:val="16"/>
          <w:szCs w:val="16"/>
        </w:rPr>
        <w:t xml:space="preserve">the total duration of the process, from the first procedural act until the final judgment is </w:t>
      </w:r>
      <w:r w:rsidR="00AC0816" w:rsidRPr="00C837DD">
        <w:rPr>
          <w:bCs/>
          <w:sz w:val="16"/>
          <w:szCs w:val="16"/>
        </w:rPr>
        <w:t>handed down</w:t>
      </w:r>
      <w:r w:rsidRPr="00C837DD">
        <w:rPr>
          <w:bCs/>
          <w:sz w:val="16"/>
          <w:szCs w:val="16"/>
        </w:rPr>
        <w:t xml:space="preserve">, including </w:t>
      </w:r>
      <w:r w:rsidR="00AC0816" w:rsidRPr="00C837DD">
        <w:rPr>
          <w:bCs/>
          <w:sz w:val="16"/>
          <w:szCs w:val="16"/>
        </w:rPr>
        <w:t xml:space="preserve">any possible remedies </w:t>
      </w:r>
      <w:r w:rsidRPr="00C837DD">
        <w:rPr>
          <w:bCs/>
          <w:sz w:val="16"/>
          <w:szCs w:val="16"/>
        </w:rPr>
        <w:t xml:space="preserve">that </w:t>
      </w:r>
      <w:r w:rsidR="004D49BE">
        <w:rPr>
          <w:bCs/>
          <w:sz w:val="16"/>
          <w:szCs w:val="16"/>
        </w:rPr>
        <w:t xml:space="preserve">may </w:t>
      </w:r>
      <w:r w:rsidR="00AC0816" w:rsidRPr="00C837DD">
        <w:rPr>
          <w:bCs/>
          <w:sz w:val="16"/>
          <w:szCs w:val="16"/>
        </w:rPr>
        <w:t>be pursued</w:t>
      </w:r>
      <w:r w:rsidRPr="00C837DD">
        <w:rPr>
          <w:bCs/>
          <w:sz w:val="16"/>
          <w:szCs w:val="16"/>
        </w:rPr>
        <w:t xml:space="preserve">. </w:t>
      </w:r>
      <w:r w:rsidRPr="00C837DD">
        <w:rPr>
          <w:bCs/>
          <w:i/>
          <w:sz w:val="16"/>
          <w:szCs w:val="16"/>
        </w:rPr>
        <w:t>Cf. Case of Suárez Rosero v. Ecuador. Merits. Judgment</w:t>
      </w:r>
      <w:r w:rsidRPr="00C837DD">
        <w:rPr>
          <w:bCs/>
          <w:sz w:val="16"/>
          <w:szCs w:val="16"/>
        </w:rPr>
        <w:t xml:space="preserve"> of November 12, 1997. Series C No. 35, paras. 71 and 72; </w:t>
      </w:r>
      <w:r w:rsidRPr="00C837DD">
        <w:rPr>
          <w:bCs/>
          <w:i/>
          <w:sz w:val="16"/>
          <w:szCs w:val="16"/>
        </w:rPr>
        <w:t>Case of Anzualdo Castro v. Peru. Preliminary objection, merits, reparations and costs</w:t>
      </w:r>
      <w:r w:rsidRPr="00C837DD">
        <w:rPr>
          <w:bCs/>
          <w:sz w:val="16"/>
          <w:szCs w:val="16"/>
        </w:rPr>
        <w:t xml:space="preserve">. Judgment of September 22, 2009. Series C No. 202, para. 156, and </w:t>
      </w:r>
      <w:r w:rsidRPr="00C837DD">
        <w:rPr>
          <w:bCs/>
          <w:i/>
          <w:sz w:val="16"/>
          <w:szCs w:val="16"/>
        </w:rPr>
        <w:t>Case of Ríos Avalos et al. v. Paraguay, supra, para.</w:t>
      </w:r>
      <w:r w:rsidRPr="00C837DD">
        <w:rPr>
          <w:bCs/>
          <w:sz w:val="16"/>
          <w:szCs w:val="16"/>
        </w:rPr>
        <w:t xml:space="preserve"> 166 and 167.</w:t>
      </w:r>
    </w:p>
  </w:footnote>
  <w:footnote w:id="240">
    <w:p w14:paraId="6842B8D7" w14:textId="77777777" w:rsidR="005F5F1C" w:rsidRPr="00C837DD" w:rsidRDefault="005F5F1C" w:rsidP="00F85D5F">
      <w:pPr>
        <w:pStyle w:val="Textonotapie"/>
        <w:tabs>
          <w:tab w:val="left" w:pos="567"/>
        </w:tabs>
        <w:spacing w:before="40" w:after="40"/>
        <w:jc w:val="both"/>
        <w:rPr>
          <w:rFonts w:cs="Vrinda"/>
          <w:spacing w:val="-4"/>
          <w:sz w:val="16"/>
          <w:szCs w:val="16"/>
        </w:rPr>
      </w:pPr>
      <w:r w:rsidRPr="00C837DD">
        <w:rPr>
          <w:rStyle w:val="Refdenotaalpie"/>
          <w:rFonts w:cs="Vrinda"/>
          <w:spacing w:val="-4"/>
          <w:sz w:val="16"/>
          <w:szCs w:val="16"/>
        </w:rPr>
        <w:footnoteRef/>
      </w:r>
      <w:r w:rsidRPr="00C837DD">
        <w:rPr>
          <w:rFonts w:cs="Vrinda"/>
          <w:spacing w:val="-4"/>
          <w:sz w:val="16"/>
          <w:szCs w:val="16"/>
        </w:rPr>
        <w:t xml:space="preserve"> </w:t>
      </w:r>
      <w:r w:rsidRPr="00C837DD">
        <w:rPr>
          <w:rFonts w:cs="Vrinda"/>
          <w:spacing w:val="-4"/>
          <w:sz w:val="16"/>
          <w:szCs w:val="16"/>
        </w:rPr>
        <w:tab/>
      </w:r>
      <w:r w:rsidRPr="00C837DD">
        <w:rPr>
          <w:rFonts w:cs="Vrinda"/>
          <w:i/>
          <w:spacing w:val="-4"/>
          <w:sz w:val="16"/>
          <w:szCs w:val="16"/>
        </w:rPr>
        <w:t>Cf.</w:t>
      </w:r>
      <w:r w:rsidRPr="00C837DD">
        <w:rPr>
          <w:rStyle w:val="Textoennegrita"/>
          <w:rFonts w:cs="Vrinda"/>
          <w:i/>
          <w:color w:val="000000"/>
          <w:sz w:val="16"/>
          <w:szCs w:val="16"/>
        </w:rPr>
        <w:t xml:space="preserve"> </w:t>
      </w:r>
      <w:r w:rsidRPr="00C837DD">
        <w:rPr>
          <w:i/>
          <w:sz w:val="16"/>
          <w:szCs w:val="16"/>
        </w:rPr>
        <w:t>Proposed Amendments of the Naturalization Provisions of the Constitution of Costa Rica</w:t>
      </w:r>
      <w:r w:rsidRPr="00C837DD">
        <w:rPr>
          <w:rFonts w:cs="Vrinda"/>
          <w:spacing w:val="-4"/>
          <w:sz w:val="16"/>
          <w:szCs w:val="16"/>
        </w:rPr>
        <w:t xml:space="preserve">. Advisory Opinion OC-4/84 of January 19, 1984. </w:t>
      </w:r>
      <w:r w:rsidRPr="00C837DD">
        <w:rPr>
          <w:color w:val="000000"/>
          <w:spacing w:val="-4"/>
          <w:sz w:val="16"/>
          <w:szCs w:val="16"/>
        </w:rPr>
        <w:t>Series A No. 4</w:t>
      </w:r>
      <w:r w:rsidRPr="00C837DD">
        <w:rPr>
          <w:rFonts w:cs="Vrinda"/>
          <w:i/>
          <w:spacing w:val="-4"/>
          <w:sz w:val="16"/>
          <w:szCs w:val="16"/>
        </w:rPr>
        <w:t>,</w:t>
      </w:r>
      <w:r w:rsidRPr="00C837DD">
        <w:rPr>
          <w:rFonts w:cs="Vrinda"/>
          <w:spacing w:val="-4"/>
          <w:sz w:val="16"/>
          <w:szCs w:val="16"/>
        </w:rPr>
        <w:t xml:space="preserve"> para. 55</w:t>
      </w:r>
      <w:r w:rsidRPr="00C837DD">
        <w:rPr>
          <w:rStyle w:val="Textoennegrita"/>
          <w:rFonts w:cs="Vrinda"/>
          <w:color w:val="000000"/>
          <w:sz w:val="16"/>
          <w:szCs w:val="16"/>
        </w:rPr>
        <w:t xml:space="preserve">, </w:t>
      </w:r>
      <w:r w:rsidRPr="00C837DD">
        <w:rPr>
          <w:rStyle w:val="Textoennegrita"/>
          <w:rFonts w:cs="Vrinda"/>
          <w:b w:val="0"/>
          <w:color w:val="000000"/>
          <w:sz w:val="16"/>
          <w:szCs w:val="16"/>
        </w:rPr>
        <w:t xml:space="preserve">and </w:t>
      </w:r>
      <w:r w:rsidRPr="00C837DD">
        <w:rPr>
          <w:rStyle w:val="Textoennegrita"/>
          <w:rFonts w:cs="Vrinda"/>
          <w:b w:val="0"/>
          <w:i/>
          <w:color w:val="000000"/>
          <w:sz w:val="16"/>
          <w:szCs w:val="16"/>
        </w:rPr>
        <w:t>Case of the Workers of the Fireworks Factory in Santo Antônio de Jesus and their Families v. Brazil</w:t>
      </w:r>
      <w:r w:rsidRPr="00C837DD">
        <w:rPr>
          <w:rStyle w:val="Textoennegrita"/>
          <w:rFonts w:cs="Vrinda"/>
          <w:b w:val="0"/>
          <w:color w:val="000000"/>
          <w:sz w:val="16"/>
          <w:szCs w:val="16"/>
        </w:rPr>
        <w:t xml:space="preserve">, </w:t>
      </w:r>
      <w:r w:rsidRPr="00C837DD">
        <w:rPr>
          <w:rStyle w:val="Textoennegrita"/>
          <w:rFonts w:cs="Vrinda"/>
          <w:b w:val="0"/>
          <w:i/>
          <w:color w:val="000000"/>
          <w:sz w:val="16"/>
          <w:szCs w:val="16"/>
        </w:rPr>
        <w:t xml:space="preserve">supra, </w:t>
      </w:r>
      <w:r w:rsidRPr="00C837DD">
        <w:rPr>
          <w:rStyle w:val="Textoennegrita"/>
          <w:rFonts w:cs="Vrinda"/>
          <w:b w:val="0"/>
          <w:color w:val="000000"/>
          <w:sz w:val="16"/>
          <w:szCs w:val="16"/>
        </w:rPr>
        <w:t>para. 82.</w:t>
      </w:r>
    </w:p>
  </w:footnote>
  <w:footnote w:id="241">
    <w:p w14:paraId="62BA066A" w14:textId="77777777" w:rsidR="005F5F1C" w:rsidRPr="00C837DD" w:rsidRDefault="005F5F1C" w:rsidP="00F85D5F">
      <w:pPr>
        <w:pStyle w:val="Textonotapie"/>
        <w:tabs>
          <w:tab w:val="left" w:pos="567"/>
        </w:tabs>
        <w:spacing w:before="40" w:after="40"/>
        <w:jc w:val="both"/>
        <w:rPr>
          <w:rStyle w:val="Refdenotaalpie"/>
          <w:rFonts w:cs="Vrinda"/>
          <w:b/>
          <w:spacing w:val="-4"/>
          <w:sz w:val="16"/>
          <w:szCs w:val="16"/>
        </w:rPr>
      </w:pPr>
      <w:r w:rsidRPr="00C837DD">
        <w:rPr>
          <w:rStyle w:val="Refdenotaalpie"/>
          <w:rFonts w:cs="Vrinda"/>
          <w:spacing w:val="-4"/>
          <w:sz w:val="16"/>
          <w:szCs w:val="16"/>
        </w:rPr>
        <w:footnoteRef/>
      </w:r>
      <w:r w:rsidRPr="00C837DD">
        <w:rPr>
          <w:rFonts w:cs="Vrinda"/>
          <w:spacing w:val="-4"/>
          <w:sz w:val="16"/>
          <w:szCs w:val="16"/>
        </w:rPr>
        <w:tab/>
      </w:r>
      <w:r w:rsidRPr="00C837DD">
        <w:rPr>
          <w:rFonts w:cs="Vrinda"/>
          <w:i/>
          <w:spacing w:val="-4"/>
          <w:sz w:val="16"/>
          <w:szCs w:val="16"/>
        </w:rPr>
        <w:t xml:space="preserve">Cf. </w:t>
      </w:r>
      <w:r w:rsidRPr="00C837DD">
        <w:rPr>
          <w:rFonts w:cs="Arial"/>
          <w:i/>
          <w:sz w:val="16"/>
          <w:szCs w:val="16"/>
          <w:shd w:val="clear" w:color="auto" w:fill="FFFFFF"/>
        </w:rPr>
        <w:t>Juridical condition and rights of undocumented migrants. Advisory Opinion OC-18/03 of September 17, 2003.</w:t>
      </w:r>
      <w:r w:rsidRPr="00C837DD">
        <w:rPr>
          <w:rFonts w:cs="Arial"/>
          <w:szCs w:val="16"/>
          <w:shd w:val="clear" w:color="auto" w:fill="FFFFFF"/>
        </w:rPr>
        <w:t xml:space="preserve"> </w:t>
      </w:r>
      <w:r w:rsidRPr="00C837DD">
        <w:rPr>
          <w:rFonts w:cs="Arial"/>
          <w:sz w:val="16"/>
          <w:szCs w:val="16"/>
          <w:shd w:val="clear" w:color="auto" w:fill="FFFFFF"/>
        </w:rPr>
        <w:t>Series A</w:t>
      </w:r>
      <w:r w:rsidRPr="00C837DD">
        <w:rPr>
          <w:color w:val="000000"/>
          <w:spacing w:val="-4"/>
          <w:sz w:val="16"/>
          <w:szCs w:val="16"/>
        </w:rPr>
        <w:t>. No. 18</w:t>
      </w:r>
      <w:r w:rsidRPr="00C837DD">
        <w:rPr>
          <w:rFonts w:cs="Vrinda"/>
          <w:spacing w:val="-4"/>
          <w:sz w:val="16"/>
          <w:szCs w:val="16"/>
        </w:rPr>
        <w:t xml:space="preserve">, paras. 101, </w:t>
      </w:r>
      <w:r w:rsidRPr="00C837DD">
        <w:rPr>
          <w:rFonts w:cs="Vrinda"/>
          <w:color w:val="000000"/>
          <w:spacing w:val="-4"/>
          <w:sz w:val="16"/>
          <w:szCs w:val="16"/>
        </w:rPr>
        <w:t>103 and 104,</w:t>
      </w:r>
      <w:r w:rsidRPr="00C837DD">
        <w:rPr>
          <w:rFonts w:cs="Vrinda"/>
          <w:spacing w:val="-4"/>
          <w:sz w:val="16"/>
          <w:szCs w:val="16"/>
        </w:rPr>
        <w:t xml:space="preserve"> and </w:t>
      </w:r>
      <w:r w:rsidRPr="00C837DD">
        <w:rPr>
          <w:rStyle w:val="Textoennegrita"/>
          <w:rFonts w:cs="Vrinda"/>
          <w:b w:val="0"/>
          <w:i/>
          <w:color w:val="000000"/>
          <w:sz w:val="16"/>
          <w:szCs w:val="16"/>
        </w:rPr>
        <w:t>Case of the Workers of the Fireworks Factory in Santo Antônio de Jesus and their Families v. Brazil</w:t>
      </w:r>
      <w:r w:rsidRPr="00C837DD">
        <w:rPr>
          <w:rStyle w:val="Textoennegrita"/>
          <w:rFonts w:cs="Vrinda"/>
          <w:b w:val="0"/>
          <w:color w:val="000000"/>
          <w:sz w:val="16"/>
          <w:szCs w:val="16"/>
        </w:rPr>
        <w:t xml:space="preserve">, </w:t>
      </w:r>
      <w:r w:rsidRPr="00C837DD">
        <w:rPr>
          <w:rStyle w:val="Textoennegrita"/>
          <w:rFonts w:cs="Vrinda"/>
          <w:b w:val="0"/>
          <w:i/>
          <w:color w:val="000000"/>
          <w:sz w:val="16"/>
          <w:szCs w:val="16"/>
        </w:rPr>
        <w:t xml:space="preserve">supra, </w:t>
      </w:r>
      <w:r w:rsidRPr="00C837DD">
        <w:rPr>
          <w:rStyle w:val="Textoennegrita"/>
          <w:rFonts w:cs="Vrinda"/>
          <w:b w:val="0"/>
          <w:color w:val="000000"/>
          <w:sz w:val="16"/>
          <w:szCs w:val="16"/>
        </w:rPr>
        <w:t>para. 182.</w:t>
      </w:r>
    </w:p>
  </w:footnote>
  <w:footnote w:id="242">
    <w:p w14:paraId="15950972" w14:textId="77777777" w:rsidR="005F5F1C" w:rsidRPr="00C837DD" w:rsidRDefault="005F5F1C" w:rsidP="00F85D5F">
      <w:pPr>
        <w:pStyle w:val="Textonotapie"/>
        <w:tabs>
          <w:tab w:val="left" w:pos="567"/>
        </w:tabs>
        <w:spacing w:before="40" w:after="40"/>
        <w:jc w:val="both"/>
        <w:rPr>
          <w:rFonts w:cs="Vrinda"/>
          <w:b/>
          <w:spacing w:val="-4"/>
          <w:sz w:val="16"/>
          <w:szCs w:val="16"/>
        </w:rPr>
      </w:pPr>
      <w:r w:rsidRPr="00C837DD">
        <w:rPr>
          <w:rFonts w:cs="Vrinda"/>
          <w:spacing w:val="-4"/>
          <w:sz w:val="16"/>
          <w:szCs w:val="16"/>
          <w:vertAlign w:val="superscript"/>
        </w:rPr>
        <w:footnoteRef/>
      </w:r>
      <w:r w:rsidRPr="00C837DD">
        <w:rPr>
          <w:rFonts w:cs="Vrinda"/>
          <w:spacing w:val="-4"/>
          <w:sz w:val="16"/>
          <w:szCs w:val="16"/>
        </w:rPr>
        <w:t xml:space="preserve"> </w:t>
      </w:r>
      <w:r w:rsidRPr="00C837DD">
        <w:rPr>
          <w:rFonts w:cs="Vrinda"/>
          <w:spacing w:val="-4"/>
          <w:sz w:val="16"/>
          <w:szCs w:val="16"/>
        </w:rPr>
        <w:tab/>
      </w:r>
      <w:r w:rsidRPr="00C837DD">
        <w:rPr>
          <w:rFonts w:cs="Vrinda"/>
          <w:i/>
          <w:spacing w:val="-4"/>
          <w:sz w:val="16"/>
          <w:szCs w:val="16"/>
        </w:rPr>
        <w:t>Cf.</w:t>
      </w:r>
      <w:r w:rsidRPr="00C837DD">
        <w:rPr>
          <w:rFonts w:cs="Vrinda"/>
          <w:spacing w:val="-4"/>
          <w:sz w:val="16"/>
          <w:szCs w:val="16"/>
        </w:rPr>
        <w:t xml:space="preserve"> Advisory Opinion OC-4/84, </w:t>
      </w:r>
      <w:r w:rsidRPr="00C837DD">
        <w:rPr>
          <w:rFonts w:cs="Vrinda"/>
          <w:i/>
          <w:spacing w:val="-4"/>
          <w:sz w:val="16"/>
          <w:szCs w:val="16"/>
        </w:rPr>
        <w:t xml:space="preserve">supra, </w:t>
      </w:r>
      <w:r w:rsidRPr="00C837DD">
        <w:rPr>
          <w:rFonts w:cs="Vrinda"/>
          <w:spacing w:val="-4"/>
          <w:sz w:val="16"/>
          <w:szCs w:val="16"/>
        </w:rPr>
        <w:t xml:space="preserve">para. 53 and 54, and </w:t>
      </w:r>
      <w:r w:rsidRPr="00C837DD">
        <w:rPr>
          <w:rStyle w:val="Textoennegrita"/>
          <w:b w:val="0"/>
          <w:i/>
          <w:color w:val="000000"/>
          <w:sz w:val="16"/>
          <w:szCs w:val="16"/>
          <w:shd w:val="clear" w:color="auto" w:fill="FFFFFF"/>
        </w:rPr>
        <w:t>Case of Vicky Hernández et al. v. Honduras, supra</w:t>
      </w:r>
      <w:r w:rsidRPr="00C837DD">
        <w:rPr>
          <w:rStyle w:val="Textoennegrita"/>
          <w:b w:val="0"/>
          <w:color w:val="000000"/>
          <w:sz w:val="16"/>
          <w:szCs w:val="16"/>
          <w:shd w:val="clear" w:color="auto" w:fill="FFFFFF"/>
        </w:rPr>
        <w:t>, para. 65.</w:t>
      </w:r>
    </w:p>
  </w:footnote>
  <w:footnote w:id="243">
    <w:p w14:paraId="11981456" w14:textId="77777777" w:rsidR="005F5F1C" w:rsidRPr="00C837DD" w:rsidRDefault="005F5F1C" w:rsidP="00F85D5F">
      <w:pPr>
        <w:pStyle w:val="Textonotapie"/>
        <w:tabs>
          <w:tab w:val="left" w:pos="567"/>
        </w:tabs>
        <w:spacing w:before="40" w:after="40"/>
        <w:jc w:val="both"/>
        <w:rPr>
          <w:rFonts w:cs="Vrinda"/>
          <w:spacing w:val="-4"/>
          <w:sz w:val="16"/>
          <w:szCs w:val="16"/>
        </w:rPr>
      </w:pPr>
      <w:r w:rsidRPr="00C837DD">
        <w:rPr>
          <w:rStyle w:val="Refdenotaalpie"/>
          <w:rFonts w:cs="Vrinda"/>
          <w:spacing w:val="-4"/>
          <w:sz w:val="16"/>
          <w:szCs w:val="16"/>
        </w:rPr>
        <w:footnoteRef/>
      </w:r>
      <w:r w:rsidRPr="00C837DD">
        <w:rPr>
          <w:rFonts w:cs="Vrinda"/>
          <w:spacing w:val="-4"/>
          <w:sz w:val="16"/>
          <w:szCs w:val="16"/>
        </w:rPr>
        <w:t xml:space="preserve"> </w:t>
      </w:r>
      <w:r w:rsidRPr="00C837DD">
        <w:rPr>
          <w:rFonts w:cs="Vrinda"/>
          <w:spacing w:val="-4"/>
          <w:sz w:val="16"/>
          <w:szCs w:val="16"/>
        </w:rPr>
        <w:tab/>
      </w:r>
      <w:r w:rsidRPr="00C837DD">
        <w:rPr>
          <w:rFonts w:cs="Vrinda"/>
          <w:spacing w:val="-4"/>
          <w:sz w:val="16"/>
          <w:szCs w:val="16"/>
        </w:rPr>
        <w:tab/>
      </w:r>
      <w:r w:rsidRPr="00C837DD">
        <w:rPr>
          <w:rFonts w:cs="Vrinda"/>
          <w:i/>
          <w:spacing w:val="-4"/>
          <w:sz w:val="16"/>
          <w:szCs w:val="16"/>
        </w:rPr>
        <w:t>Cf. Case of Yatama v. Nicaragua.</w:t>
      </w:r>
      <w:r w:rsidRPr="00C837DD">
        <w:rPr>
          <w:rFonts w:cs="Vrinda"/>
          <w:b/>
          <w:i/>
          <w:spacing w:val="-4"/>
          <w:sz w:val="16"/>
          <w:szCs w:val="16"/>
        </w:rPr>
        <w:t xml:space="preserve"> </w:t>
      </w:r>
      <w:r w:rsidRPr="00C837DD">
        <w:rPr>
          <w:rStyle w:val="Textoennegrita"/>
          <w:b w:val="0"/>
          <w:i/>
          <w:sz w:val="16"/>
          <w:szCs w:val="16"/>
        </w:rPr>
        <w:t>Preliminary objections, merits, reparations and costs</w:t>
      </w:r>
      <w:r w:rsidRPr="00C837DD">
        <w:rPr>
          <w:rStyle w:val="Textoennegrita"/>
          <w:b w:val="0"/>
          <w:sz w:val="16"/>
          <w:szCs w:val="16"/>
        </w:rPr>
        <w:t>. Judgment of June 23, 2005. Series C No. 127</w:t>
      </w:r>
      <w:r w:rsidRPr="00C837DD">
        <w:rPr>
          <w:rFonts w:cs="Vrinda"/>
          <w:spacing w:val="-4"/>
          <w:sz w:val="16"/>
          <w:szCs w:val="16"/>
        </w:rPr>
        <w:t>, para. 186, and</w:t>
      </w:r>
      <w:r w:rsidRPr="00C837DD">
        <w:rPr>
          <w:rFonts w:cs="Vrinda"/>
          <w:b/>
          <w:spacing w:val="-4"/>
          <w:sz w:val="16"/>
          <w:szCs w:val="16"/>
        </w:rPr>
        <w:t xml:space="preserve"> </w:t>
      </w:r>
      <w:r w:rsidRPr="00C837DD">
        <w:rPr>
          <w:rStyle w:val="Textoennegrita"/>
          <w:b w:val="0"/>
          <w:i/>
          <w:color w:val="000000"/>
          <w:sz w:val="16"/>
          <w:szCs w:val="16"/>
          <w:shd w:val="clear" w:color="auto" w:fill="FFFFFF"/>
        </w:rPr>
        <w:t>Case of Espinoza Gonzáles v. Peru. Preliminary objections, merits, reparations and costs. Judgment of November 20, 2014. Series C No. 289</w:t>
      </w:r>
      <w:r w:rsidRPr="00C837DD">
        <w:rPr>
          <w:rStyle w:val="Textoennegrita"/>
          <w:rFonts w:cs="Vrinda"/>
          <w:b w:val="0"/>
          <w:color w:val="000000"/>
          <w:sz w:val="16"/>
          <w:szCs w:val="16"/>
        </w:rPr>
        <w:t>, para.</w:t>
      </w:r>
      <w:r w:rsidRPr="00C837DD">
        <w:rPr>
          <w:rStyle w:val="Textoennegrita"/>
          <w:b w:val="0"/>
          <w:color w:val="000000"/>
          <w:sz w:val="16"/>
          <w:szCs w:val="16"/>
          <w:shd w:val="clear" w:color="auto" w:fill="FFFFFF"/>
        </w:rPr>
        <w:t xml:space="preserve"> 217.</w:t>
      </w:r>
    </w:p>
  </w:footnote>
  <w:footnote w:id="244">
    <w:p w14:paraId="1250EA62" w14:textId="77777777" w:rsidR="005F5F1C" w:rsidRPr="00C837DD" w:rsidRDefault="005F5F1C" w:rsidP="00F85D5F">
      <w:pPr>
        <w:pStyle w:val="Textonotapie"/>
        <w:tabs>
          <w:tab w:val="left" w:pos="567"/>
        </w:tabs>
        <w:spacing w:before="40" w:after="40"/>
        <w:jc w:val="both"/>
        <w:rPr>
          <w:b/>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sz w:val="16"/>
          <w:szCs w:val="16"/>
        </w:rPr>
        <w:tab/>
      </w:r>
      <w:r w:rsidRPr="00C837DD">
        <w:rPr>
          <w:rFonts w:eastAsia="Calibri"/>
          <w:i/>
          <w:sz w:val="16"/>
          <w:szCs w:val="16"/>
          <w:lang w:eastAsia="de-DE"/>
        </w:rPr>
        <w:t xml:space="preserve">Cf. Case of </w:t>
      </w:r>
      <w:r w:rsidRPr="00C837DD">
        <w:rPr>
          <w:bCs/>
          <w:i/>
          <w:sz w:val="16"/>
          <w:szCs w:val="16"/>
        </w:rPr>
        <w:t>Apitz Barbera et al. (“First Contentious Administrative Court”) v. Venezuela</w:t>
      </w:r>
      <w:r w:rsidRPr="00C837DD">
        <w:rPr>
          <w:bCs/>
          <w:sz w:val="16"/>
          <w:szCs w:val="16"/>
        </w:rPr>
        <w:t>.</w:t>
      </w:r>
      <w:r w:rsidRPr="00C837DD">
        <w:rPr>
          <w:sz w:val="16"/>
          <w:szCs w:val="16"/>
        </w:rPr>
        <w:t xml:space="preserve"> </w:t>
      </w:r>
      <w:r w:rsidRPr="00C837DD">
        <w:rPr>
          <w:bCs/>
          <w:i/>
          <w:sz w:val="16"/>
          <w:szCs w:val="16"/>
        </w:rPr>
        <w:t>Preliminary objection, merits, reparations and costs</w:t>
      </w:r>
      <w:r w:rsidRPr="00C837DD">
        <w:rPr>
          <w:bCs/>
          <w:sz w:val="16"/>
          <w:szCs w:val="16"/>
        </w:rPr>
        <w:t xml:space="preserve">. Judgment of August 5, 2008. Series C No. 182, </w:t>
      </w:r>
      <w:r w:rsidRPr="00C837DD">
        <w:rPr>
          <w:sz w:val="16"/>
          <w:szCs w:val="16"/>
        </w:rPr>
        <w:t>para. 209</w:t>
      </w:r>
      <w:r w:rsidRPr="00C837DD">
        <w:rPr>
          <w:rStyle w:val="Textoennegrita"/>
          <w:b w:val="0"/>
          <w:color w:val="000000"/>
          <w:sz w:val="16"/>
          <w:szCs w:val="16"/>
          <w:shd w:val="clear" w:color="auto" w:fill="FFFFFF"/>
        </w:rPr>
        <w:t xml:space="preserve">, and </w:t>
      </w:r>
      <w:r w:rsidRPr="00C837DD">
        <w:rPr>
          <w:rStyle w:val="Textoennegrita"/>
          <w:b w:val="0"/>
          <w:i/>
          <w:color w:val="000000"/>
          <w:sz w:val="16"/>
          <w:szCs w:val="16"/>
          <w:shd w:val="clear" w:color="auto" w:fill="FFFFFF"/>
        </w:rPr>
        <w:t>Case of Vicky</w:t>
      </w:r>
      <w:r w:rsidRPr="00C837DD">
        <w:rPr>
          <w:rStyle w:val="Textoennegrita"/>
          <w:i/>
          <w:color w:val="000000"/>
          <w:sz w:val="16"/>
          <w:szCs w:val="16"/>
          <w:shd w:val="clear" w:color="auto" w:fill="FFFFFF"/>
        </w:rPr>
        <w:t xml:space="preserve"> </w:t>
      </w:r>
      <w:r w:rsidRPr="00C837DD">
        <w:rPr>
          <w:rStyle w:val="Textoennegrita"/>
          <w:b w:val="0"/>
          <w:i/>
          <w:color w:val="000000"/>
          <w:sz w:val="16"/>
          <w:szCs w:val="16"/>
          <w:shd w:val="clear" w:color="auto" w:fill="FFFFFF"/>
        </w:rPr>
        <w:t xml:space="preserve">Hernández et al. v. Honduras, supra, </w:t>
      </w:r>
      <w:r w:rsidRPr="00C837DD">
        <w:rPr>
          <w:rStyle w:val="Textoennegrita"/>
          <w:b w:val="0"/>
          <w:color w:val="000000"/>
          <w:sz w:val="16"/>
          <w:szCs w:val="16"/>
          <w:shd w:val="clear" w:color="auto" w:fill="FFFFFF"/>
        </w:rPr>
        <w:t>para. 65.</w:t>
      </w:r>
    </w:p>
  </w:footnote>
  <w:footnote w:id="245">
    <w:p w14:paraId="453C5B7D" w14:textId="77777777" w:rsidR="005F5F1C" w:rsidRPr="00C837DD" w:rsidRDefault="005F5F1C" w:rsidP="00F85D5F">
      <w:pPr>
        <w:pStyle w:val="Textonotapie"/>
        <w:tabs>
          <w:tab w:val="left" w:pos="567"/>
        </w:tabs>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sz w:val="16"/>
          <w:szCs w:val="16"/>
        </w:rPr>
        <w:tab/>
      </w:r>
      <w:r w:rsidRPr="00C837DD">
        <w:rPr>
          <w:i/>
          <w:sz w:val="16"/>
          <w:szCs w:val="16"/>
        </w:rPr>
        <w:t>Case of Workers of the Fireworks Factory in Santo Antônio de Jesus and their Families v. Brazil</w:t>
      </w:r>
      <w:r w:rsidRPr="00C837DD">
        <w:rPr>
          <w:sz w:val="16"/>
          <w:szCs w:val="16"/>
        </w:rPr>
        <w:t xml:space="preserve">, </w:t>
      </w:r>
      <w:r w:rsidRPr="00C837DD">
        <w:rPr>
          <w:i/>
          <w:sz w:val="16"/>
          <w:szCs w:val="16"/>
        </w:rPr>
        <w:t>supra</w:t>
      </w:r>
      <w:r w:rsidRPr="00C837DD">
        <w:rPr>
          <w:sz w:val="16"/>
          <w:szCs w:val="16"/>
        </w:rPr>
        <w:t>, para. 199. See also</w:t>
      </w:r>
      <w:r w:rsidRPr="00C837DD">
        <w:rPr>
          <w:rFonts w:cs="Vrinda"/>
          <w:i/>
          <w:spacing w:val="-4"/>
          <w:sz w:val="16"/>
          <w:szCs w:val="16"/>
        </w:rPr>
        <w:t xml:space="preserve"> </w:t>
      </w:r>
      <w:r w:rsidRPr="00C837DD">
        <w:rPr>
          <w:rStyle w:val="Textoennegrita"/>
          <w:b w:val="0"/>
          <w:i/>
          <w:color w:val="000000"/>
          <w:sz w:val="16"/>
          <w:szCs w:val="16"/>
          <w:shd w:val="clear" w:color="auto" w:fill="FFFFFF"/>
        </w:rPr>
        <w:t xml:space="preserve">Case of Vicky Hernández et al. v. Honduras, supra, </w:t>
      </w:r>
      <w:r w:rsidRPr="00C837DD">
        <w:rPr>
          <w:rStyle w:val="Textoennegrita"/>
          <w:b w:val="0"/>
          <w:color w:val="000000"/>
          <w:sz w:val="16"/>
          <w:szCs w:val="16"/>
          <w:shd w:val="clear" w:color="auto" w:fill="FFFFFF"/>
        </w:rPr>
        <w:t>para. 66.</w:t>
      </w:r>
    </w:p>
  </w:footnote>
  <w:footnote w:id="246">
    <w:p w14:paraId="378E927E"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CEDAW, Article 5(a).</w:t>
      </w:r>
    </w:p>
  </w:footnote>
  <w:footnote w:id="247">
    <w:p w14:paraId="7396BB92"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UN, CEDAW Committee, </w:t>
      </w:r>
      <w:r w:rsidRPr="00C837DD">
        <w:rPr>
          <w:i/>
          <w:sz w:val="16"/>
          <w:szCs w:val="16"/>
        </w:rPr>
        <w:t>General Recommendation No. 33 on Women’s Access to Justice</w:t>
      </w:r>
      <w:r w:rsidRPr="00C837DD">
        <w:rPr>
          <w:sz w:val="16"/>
          <w:szCs w:val="16"/>
        </w:rPr>
        <w:t xml:space="preserve">, August 3, 2015, </w:t>
      </w:r>
      <w:r w:rsidRPr="00C837DD">
        <w:rPr>
          <w:i/>
          <w:sz w:val="16"/>
          <w:szCs w:val="16"/>
        </w:rPr>
        <w:t>CEDAW/C/GC/33</w:t>
      </w:r>
      <w:r w:rsidRPr="00C837DD">
        <w:rPr>
          <w:sz w:val="16"/>
          <w:szCs w:val="16"/>
        </w:rPr>
        <w:t>, para. 26.</w:t>
      </w:r>
    </w:p>
  </w:footnote>
  <w:footnote w:id="248">
    <w:p w14:paraId="78A6BB09" w14:textId="77777777" w:rsidR="005F5F1C" w:rsidRPr="00C837DD" w:rsidRDefault="005F5F1C" w:rsidP="00F85D5F">
      <w:pPr>
        <w:pStyle w:val="Textonotapie"/>
        <w:tabs>
          <w:tab w:val="left" w:pos="567"/>
        </w:tabs>
        <w:spacing w:before="40" w:after="40"/>
        <w:jc w:val="both"/>
        <w:rPr>
          <w:rFonts w:cs="Vrinda"/>
          <w:i/>
          <w:spacing w:val="-4"/>
          <w:sz w:val="16"/>
          <w:szCs w:val="16"/>
        </w:rPr>
      </w:pPr>
      <w:r w:rsidRPr="00C837DD">
        <w:rPr>
          <w:rStyle w:val="Refdenotaalpie"/>
          <w:rFonts w:cs="Vrinda"/>
          <w:spacing w:val="-4"/>
          <w:sz w:val="16"/>
          <w:szCs w:val="16"/>
        </w:rPr>
        <w:footnoteRef/>
      </w:r>
      <w:r w:rsidRPr="00C837DD">
        <w:rPr>
          <w:rStyle w:val="Refdenotaalpie"/>
          <w:rFonts w:cs="Vrinda"/>
          <w:spacing w:val="-4"/>
          <w:sz w:val="16"/>
          <w:szCs w:val="16"/>
        </w:rPr>
        <w:tab/>
      </w:r>
      <w:r w:rsidRPr="00C837DD">
        <w:rPr>
          <w:rFonts w:cs="Vrinda"/>
          <w:spacing w:val="-4"/>
          <w:sz w:val="16"/>
          <w:szCs w:val="16"/>
        </w:rPr>
        <w:tab/>
      </w:r>
      <w:r w:rsidRPr="00C837DD">
        <w:rPr>
          <w:rFonts w:cs="Vrinda"/>
          <w:i/>
          <w:color w:val="000000"/>
          <w:spacing w:val="-4"/>
          <w:sz w:val="16"/>
          <w:szCs w:val="16"/>
        </w:rPr>
        <w:t xml:space="preserve">Cf. Case of </w:t>
      </w:r>
      <w:r w:rsidRPr="00C837DD">
        <w:rPr>
          <w:rStyle w:val="Textoennegrita"/>
          <w:b w:val="0"/>
          <w:i/>
          <w:color w:val="000000"/>
          <w:sz w:val="16"/>
          <w:szCs w:val="16"/>
          <w:shd w:val="clear" w:color="auto" w:fill="FFFFFF"/>
        </w:rPr>
        <w:t>González et al. (“Cotton Field”) v. Mexico, supra</w:t>
      </w:r>
      <w:r w:rsidRPr="00C837DD">
        <w:rPr>
          <w:rStyle w:val="Textoennegrita"/>
          <w:b w:val="0"/>
          <w:color w:val="000000"/>
          <w:sz w:val="16"/>
          <w:szCs w:val="16"/>
          <w:shd w:val="clear" w:color="auto" w:fill="FFFFFF"/>
        </w:rPr>
        <w:t xml:space="preserve">, </w:t>
      </w:r>
      <w:r w:rsidRPr="00C837DD">
        <w:rPr>
          <w:rFonts w:cs="Vrinda"/>
          <w:spacing w:val="-4"/>
          <w:sz w:val="16"/>
          <w:szCs w:val="16"/>
        </w:rPr>
        <w:t xml:space="preserve">para. 394, citing the Belém do Pará Convention, preamble and Article 6. </w:t>
      </w:r>
    </w:p>
  </w:footnote>
  <w:footnote w:id="249">
    <w:p w14:paraId="2F6230CC"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Velásquez Paiz et al. v. Guatemala, supra,</w:t>
      </w:r>
      <w:r w:rsidRPr="00C837DD">
        <w:rPr>
          <w:sz w:val="16"/>
          <w:szCs w:val="16"/>
        </w:rPr>
        <w:t xml:space="preserve"> para. 180.</w:t>
      </w:r>
    </w:p>
  </w:footnote>
  <w:footnote w:id="250">
    <w:p w14:paraId="64F6C492"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Mutatis mutandis</w:t>
      </w:r>
      <w:r w:rsidRPr="00C837DD">
        <w:rPr>
          <w:sz w:val="16"/>
          <w:szCs w:val="16"/>
        </w:rPr>
        <w:t xml:space="preserve">, </w:t>
      </w:r>
      <w:r w:rsidRPr="00C837DD">
        <w:rPr>
          <w:rFonts w:cs="Arial"/>
          <w:i/>
          <w:sz w:val="16"/>
          <w:szCs w:val="16"/>
          <w:shd w:val="clear" w:color="auto" w:fill="FFFFFF"/>
        </w:rPr>
        <w:t>Case of González et al. (“</w:t>
      </w:r>
      <w:r w:rsidRPr="00C837DD">
        <w:rPr>
          <w:rStyle w:val="Textoennegrita"/>
          <w:b w:val="0"/>
          <w:i/>
          <w:color w:val="000000"/>
          <w:sz w:val="16"/>
          <w:szCs w:val="16"/>
          <w:shd w:val="clear" w:color="auto" w:fill="FFFFFF"/>
        </w:rPr>
        <w:t>Cotton Field</w:t>
      </w:r>
      <w:r w:rsidRPr="00C837DD">
        <w:rPr>
          <w:rFonts w:cs="Arial"/>
          <w:i/>
          <w:sz w:val="16"/>
          <w:szCs w:val="16"/>
          <w:shd w:val="clear" w:color="auto" w:fill="FFFFFF"/>
        </w:rPr>
        <w:t>”) v. Mexico, supra</w:t>
      </w:r>
      <w:r w:rsidRPr="00C837DD">
        <w:rPr>
          <w:sz w:val="16"/>
          <w:szCs w:val="16"/>
        </w:rPr>
        <w:t>, para. 401.</w:t>
      </w:r>
    </w:p>
  </w:footnote>
  <w:footnote w:id="251">
    <w:p w14:paraId="69DFF34C" w14:textId="41645834" w:rsidR="005F5F1C" w:rsidRPr="00C837DD" w:rsidRDefault="005F5F1C" w:rsidP="00F85D5F">
      <w:pPr>
        <w:tabs>
          <w:tab w:val="left" w:pos="567"/>
          <w:tab w:val="left" w:pos="720"/>
        </w:tabs>
        <w:spacing w:before="40" w:after="40"/>
        <w:jc w:val="both"/>
        <w:rPr>
          <w:rFonts w:eastAsia="Calibri" w:cs="Cambria"/>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iCs/>
          <w:sz w:val="16"/>
          <w:szCs w:val="16"/>
        </w:rPr>
        <w:t>Cf. Case of Gutiérrez Hernández et al. v. Guatemala. Preliminary objections, merits, reparations and costs</w:t>
      </w:r>
      <w:r w:rsidRPr="00C837DD">
        <w:rPr>
          <w:sz w:val="16"/>
          <w:szCs w:val="16"/>
        </w:rPr>
        <w:t xml:space="preserve">. Judgment of August 24, 2017. Series C No. 339, para. 173, and </w:t>
      </w:r>
      <w:r w:rsidRPr="00C837DD">
        <w:rPr>
          <w:i/>
          <w:iCs/>
          <w:sz w:val="16"/>
          <w:szCs w:val="16"/>
        </w:rPr>
        <w:t xml:space="preserve">Case of Guzmán Albarracín et al. v. Ecuador, supra, </w:t>
      </w:r>
      <w:r w:rsidRPr="00C837DD">
        <w:rPr>
          <w:iCs/>
          <w:sz w:val="16"/>
          <w:szCs w:val="16"/>
        </w:rPr>
        <w:t>para. 189</w:t>
      </w:r>
      <w:r w:rsidRPr="00C837DD">
        <w:rPr>
          <w:sz w:val="16"/>
          <w:szCs w:val="16"/>
        </w:rPr>
        <w:t>. See also, U</w:t>
      </w:r>
      <w:r w:rsidR="00AA439D" w:rsidRPr="00C837DD">
        <w:rPr>
          <w:sz w:val="16"/>
          <w:szCs w:val="16"/>
        </w:rPr>
        <w:t>.</w:t>
      </w:r>
      <w:r w:rsidRPr="00C837DD">
        <w:rPr>
          <w:sz w:val="16"/>
          <w:szCs w:val="16"/>
        </w:rPr>
        <w:t>N</w:t>
      </w:r>
      <w:r w:rsidR="00AA439D" w:rsidRPr="00C837DD">
        <w:rPr>
          <w:sz w:val="16"/>
          <w:szCs w:val="16"/>
        </w:rPr>
        <w:t>.</w:t>
      </w:r>
      <w:r w:rsidRPr="00C837DD">
        <w:rPr>
          <w:sz w:val="16"/>
          <w:szCs w:val="16"/>
        </w:rPr>
        <w:t xml:space="preserve"> CEDAW Committee, </w:t>
      </w:r>
      <w:r w:rsidRPr="00C837DD">
        <w:rPr>
          <w:i/>
          <w:sz w:val="16"/>
          <w:szCs w:val="16"/>
        </w:rPr>
        <w:t>General Recommendation No. 33 on Women’s Access to Justice</w:t>
      </w:r>
      <w:r w:rsidRPr="00C837DD">
        <w:rPr>
          <w:sz w:val="16"/>
          <w:szCs w:val="16"/>
        </w:rPr>
        <w:t xml:space="preserve">, </w:t>
      </w:r>
      <w:r w:rsidRPr="00C837DD">
        <w:rPr>
          <w:i/>
          <w:sz w:val="16"/>
          <w:szCs w:val="16"/>
        </w:rPr>
        <w:t>supra</w:t>
      </w:r>
      <w:r w:rsidRPr="00C837DD">
        <w:rPr>
          <w:sz w:val="16"/>
          <w:szCs w:val="16"/>
        </w:rPr>
        <w:t>, para. 26.</w:t>
      </w:r>
    </w:p>
  </w:footnote>
  <w:footnote w:id="252">
    <w:p w14:paraId="4F8597C7"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Velásquez Paiz et al. v. Guatemala, supra</w:t>
      </w:r>
      <w:r w:rsidRPr="00C837DD">
        <w:rPr>
          <w:sz w:val="16"/>
          <w:szCs w:val="16"/>
        </w:rPr>
        <w:t>, para. 183.</w:t>
      </w:r>
    </w:p>
  </w:footnote>
  <w:footnote w:id="253">
    <w:p w14:paraId="531CA015"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Expert opinion </w:t>
      </w:r>
      <w:r w:rsidRPr="00C837DD">
        <w:rPr>
          <w:sz w:val="16"/>
          <w:szCs w:val="16"/>
          <w:lang w:eastAsia="es-ES"/>
        </w:rPr>
        <w:t>rendered by</w:t>
      </w:r>
      <w:r w:rsidRPr="00C837DD">
        <w:rPr>
          <w:i/>
          <w:sz w:val="16"/>
          <w:szCs w:val="16"/>
        </w:rPr>
        <w:t xml:space="preserve"> </w:t>
      </w:r>
      <w:r w:rsidRPr="00C837DD">
        <w:rPr>
          <w:sz w:val="16"/>
          <w:szCs w:val="16"/>
          <w:lang w:eastAsia="es-ES"/>
        </w:rPr>
        <w:t xml:space="preserve">Soraia da Rosa Mendes, </w:t>
      </w:r>
      <w:r w:rsidRPr="00C837DD">
        <w:rPr>
          <w:i/>
          <w:sz w:val="16"/>
          <w:szCs w:val="16"/>
          <w:lang w:eastAsia="es-ES"/>
        </w:rPr>
        <w:t>supra</w:t>
      </w:r>
      <w:r w:rsidRPr="00C837DD">
        <w:rPr>
          <w:sz w:val="16"/>
          <w:szCs w:val="16"/>
          <w:lang w:eastAsia="es-ES"/>
        </w:rPr>
        <w:t xml:space="preserve"> (evidence file, folio 10402).</w:t>
      </w:r>
    </w:p>
  </w:footnote>
  <w:footnote w:id="254">
    <w:p w14:paraId="0C3629F6"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OHCHR UN Women. </w:t>
      </w:r>
      <w:r w:rsidRPr="00C837DD">
        <w:rPr>
          <w:i/>
          <w:sz w:val="16"/>
          <w:szCs w:val="16"/>
        </w:rPr>
        <w:t>Latin American Model Protocol for the investigation of gender-related killings of women</w:t>
      </w:r>
      <w:r w:rsidRPr="00C837DD">
        <w:rPr>
          <w:sz w:val="16"/>
          <w:szCs w:val="16"/>
        </w:rPr>
        <w:t>, p. 24.</w:t>
      </w:r>
    </w:p>
  </w:footnote>
  <w:footnote w:id="255">
    <w:p w14:paraId="14F47E2A"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Cf. Statement</w:t>
      </w:r>
      <w:r w:rsidRPr="00C837DD">
        <w:rPr>
          <w:sz w:val="16"/>
          <w:szCs w:val="16"/>
          <w:lang w:eastAsia="es-ES"/>
        </w:rPr>
        <w:t xml:space="preserve"> of Lúcia de Fátima Vasconcelos Dias, included in the decision of July 27, 2005 (evidence file, folio 2300 and 2301).</w:t>
      </w:r>
    </w:p>
  </w:footnote>
  <w:footnote w:id="256">
    <w:p w14:paraId="0298C2CA"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Expert opinion of </w:t>
      </w:r>
      <w:r w:rsidRPr="00C837DD">
        <w:rPr>
          <w:sz w:val="16"/>
          <w:szCs w:val="16"/>
          <w:lang w:eastAsia="es-ES"/>
        </w:rPr>
        <w:t xml:space="preserve">Soraia da Rosa Mendes, </w:t>
      </w:r>
      <w:r w:rsidRPr="00C837DD">
        <w:rPr>
          <w:i/>
          <w:sz w:val="16"/>
          <w:szCs w:val="16"/>
          <w:lang w:eastAsia="es-ES"/>
        </w:rPr>
        <w:t xml:space="preserve">supra </w:t>
      </w:r>
      <w:r w:rsidRPr="00C837DD">
        <w:rPr>
          <w:sz w:val="16"/>
          <w:szCs w:val="16"/>
          <w:lang w:eastAsia="es-ES"/>
        </w:rPr>
        <w:t>(evidence file, folio 10428).</w:t>
      </w:r>
    </w:p>
  </w:footnote>
  <w:footnote w:id="257">
    <w:p w14:paraId="39757555"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w:t>
      </w:r>
      <w:r w:rsidRPr="00C837DD">
        <w:rPr>
          <w:sz w:val="16"/>
          <w:szCs w:val="16"/>
        </w:rPr>
        <w:t xml:space="preserve">Expert opinion of </w:t>
      </w:r>
      <w:r w:rsidRPr="00C837DD">
        <w:rPr>
          <w:sz w:val="16"/>
          <w:szCs w:val="16"/>
          <w:lang w:eastAsia="es-ES"/>
        </w:rPr>
        <w:t xml:space="preserve">Soraia da Rosa Mendes, </w:t>
      </w:r>
      <w:r w:rsidRPr="00C837DD">
        <w:rPr>
          <w:i/>
          <w:sz w:val="16"/>
          <w:szCs w:val="16"/>
          <w:lang w:eastAsia="es-ES"/>
        </w:rPr>
        <w:t xml:space="preserve">supra </w:t>
      </w:r>
      <w:r w:rsidRPr="00C837DD">
        <w:rPr>
          <w:sz w:val="16"/>
          <w:szCs w:val="16"/>
          <w:lang w:eastAsia="es-ES"/>
        </w:rPr>
        <w:t>(evidence file, folio 10422 and 10424).</w:t>
      </w:r>
    </w:p>
  </w:footnote>
  <w:footnote w:id="258">
    <w:p w14:paraId="6A230F53"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Expert opinion of </w:t>
      </w:r>
      <w:r w:rsidRPr="00C837DD">
        <w:rPr>
          <w:sz w:val="16"/>
          <w:szCs w:val="16"/>
          <w:lang w:eastAsia="es-ES"/>
        </w:rPr>
        <w:t xml:space="preserve">Soraia da Rosa Mendes, </w:t>
      </w:r>
      <w:r w:rsidRPr="00C837DD">
        <w:rPr>
          <w:i/>
          <w:sz w:val="16"/>
          <w:szCs w:val="16"/>
          <w:lang w:eastAsia="es-ES"/>
        </w:rPr>
        <w:t xml:space="preserve">supra </w:t>
      </w:r>
      <w:r w:rsidRPr="00C837DD">
        <w:rPr>
          <w:sz w:val="16"/>
          <w:szCs w:val="16"/>
          <w:lang w:eastAsia="es-ES"/>
        </w:rPr>
        <w:t>(evidence file, folio 10444).</w:t>
      </w:r>
    </w:p>
  </w:footnote>
  <w:footnote w:id="259">
    <w:p w14:paraId="5E0FE500"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Amicus curiae</w:t>
      </w:r>
      <w:r w:rsidRPr="00C837DD">
        <w:rPr>
          <w:sz w:val="16"/>
          <w:szCs w:val="16"/>
        </w:rPr>
        <w:t xml:space="preserve"> brief presented by the Human Rights and Environmental Law Clinic of the University of the State of Amazonas</w:t>
      </w:r>
      <w:r w:rsidRPr="00C837DD">
        <w:rPr>
          <w:i/>
          <w:sz w:val="16"/>
          <w:szCs w:val="16"/>
        </w:rPr>
        <w:t xml:space="preserve">, supra </w:t>
      </w:r>
      <w:r w:rsidRPr="00C837DD">
        <w:rPr>
          <w:sz w:val="16"/>
          <w:szCs w:val="16"/>
          <w:lang w:eastAsia="es-ES"/>
        </w:rPr>
        <w:t>(evidence file, folios 675 and 676)</w:t>
      </w:r>
      <w:r w:rsidRPr="00C837DD">
        <w:rPr>
          <w:rFonts w:cs="Arial"/>
          <w:sz w:val="16"/>
          <w:szCs w:val="16"/>
        </w:rPr>
        <w:t>.</w:t>
      </w:r>
    </w:p>
  </w:footnote>
  <w:footnote w:id="260">
    <w:p w14:paraId="22D128E3" w14:textId="77777777" w:rsidR="005F5F1C" w:rsidRPr="00C837DD" w:rsidRDefault="005F5F1C" w:rsidP="00F85D5F">
      <w:pPr>
        <w:adjustRightInd w:val="0"/>
        <w:spacing w:before="40" w:after="40"/>
        <w:jc w:val="both"/>
        <w:rPr>
          <w:rFonts w:cs="Arial"/>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Amicus curiae</w:t>
      </w:r>
      <w:r w:rsidRPr="00C837DD">
        <w:rPr>
          <w:sz w:val="16"/>
          <w:szCs w:val="16"/>
        </w:rPr>
        <w:t xml:space="preserve"> brief presented by the Human Rights and Environmental Law Clinic of the University of the State of Amazonas, supra </w:t>
      </w:r>
      <w:r w:rsidRPr="00C837DD">
        <w:rPr>
          <w:sz w:val="16"/>
          <w:szCs w:val="16"/>
          <w:lang w:eastAsia="es-ES"/>
        </w:rPr>
        <w:t>(evidence file, folio 676)</w:t>
      </w:r>
      <w:r w:rsidRPr="00C837DD">
        <w:rPr>
          <w:sz w:val="16"/>
          <w:szCs w:val="16"/>
        </w:rPr>
        <w:t>.</w:t>
      </w:r>
    </w:p>
  </w:footnote>
  <w:footnote w:id="261">
    <w:p w14:paraId="4D1A57EB"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Article 5(1) of the American Convention.</w:t>
      </w:r>
    </w:p>
  </w:footnote>
  <w:footnote w:id="262">
    <w:p w14:paraId="06ABA8D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Castillo Páez v. Peru. Merits. Judgment of November 3, 1997. </w:t>
      </w:r>
      <w:r w:rsidRPr="00C837DD">
        <w:rPr>
          <w:sz w:val="16"/>
          <w:szCs w:val="16"/>
        </w:rPr>
        <w:t xml:space="preserve">Series C No. 34, fourth operative paragraph, and </w:t>
      </w:r>
      <w:r w:rsidRPr="00C837DD">
        <w:rPr>
          <w:i/>
          <w:iCs/>
          <w:sz w:val="16"/>
          <w:szCs w:val="16"/>
        </w:rPr>
        <w:t xml:space="preserve">Case of Guachalá Chimbo et al. v. Ecuador. Merits, reparations and costs. </w:t>
      </w:r>
      <w:r w:rsidRPr="00C837DD">
        <w:rPr>
          <w:iCs/>
          <w:sz w:val="16"/>
          <w:szCs w:val="16"/>
        </w:rPr>
        <w:t>Judgment of March 26, 2021. Series C No. 423</w:t>
      </w:r>
      <w:r w:rsidRPr="00C837DD">
        <w:rPr>
          <w:i/>
          <w:sz w:val="16"/>
          <w:szCs w:val="16"/>
        </w:rPr>
        <w:t xml:space="preserve">, </w:t>
      </w:r>
      <w:r w:rsidRPr="00C837DD">
        <w:rPr>
          <w:sz w:val="16"/>
          <w:szCs w:val="16"/>
        </w:rPr>
        <w:t>para. 217.</w:t>
      </w:r>
    </w:p>
  </w:footnote>
  <w:footnote w:id="263">
    <w:p w14:paraId="02790B1D"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i/>
          <w:sz w:val="16"/>
          <w:szCs w:val="16"/>
        </w:rPr>
        <w:t xml:space="preserve"> </w:t>
      </w:r>
      <w:r w:rsidRPr="00C837DD">
        <w:rPr>
          <w:i/>
          <w:sz w:val="16"/>
          <w:szCs w:val="16"/>
        </w:rPr>
        <w:tab/>
        <w:t xml:space="preserve">Cf. Case of Blake v. Guatemala. Merits. </w:t>
      </w:r>
      <w:r w:rsidRPr="00C837DD">
        <w:rPr>
          <w:sz w:val="16"/>
          <w:szCs w:val="16"/>
        </w:rPr>
        <w:t>Judgment of January 24, 1998. Series C No. 36, para. 114</w:t>
      </w:r>
      <w:r w:rsidRPr="00C837DD">
        <w:rPr>
          <w:rStyle w:val="Textoennegrita"/>
          <w:sz w:val="16"/>
          <w:szCs w:val="16"/>
        </w:rPr>
        <w:t xml:space="preserve">, </w:t>
      </w:r>
      <w:r w:rsidRPr="00C837DD">
        <w:rPr>
          <w:rStyle w:val="Textoennegrita"/>
          <w:b w:val="0"/>
          <w:sz w:val="16"/>
          <w:szCs w:val="16"/>
        </w:rPr>
        <w:t>and</w:t>
      </w:r>
      <w:r w:rsidRPr="00C837DD">
        <w:rPr>
          <w:rStyle w:val="Textoennegrita"/>
          <w:sz w:val="16"/>
          <w:szCs w:val="16"/>
        </w:rPr>
        <w:t xml:space="preserve"> </w:t>
      </w:r>
      <w:r w:rsidRPr="00C837DD">
        <w:rPr>
          <w:i/>
          <w:iCs/>
          <w:sz w:val="16"/>
          <w:szCs w:val="16"/>
        </w:rPr>
        <w:t>Case of Guachalá Chimbo et al. v. Ecuador, supra</w:t>
      </w:r>
      <w:r w:rsidRPr="00C837DD">
        <w:rPr>
          <w:sz w:val="16"/>
          <w:szCs w:val="16"/>
        </w:rPr>
        <w:t xml:space="preserve">, </w:t>
      </w:r>
      <w:r w:rsidRPr="00C837DD">
        <w:rPr>
          <w:iCs/>
          <w:sz w:val="16"/>
          <w:szCs w:val="16"/>
        </w:rPr>
        <w:t>para. 217</w:t>
      </w:r>
      <w:r w:rsidRPr="00C837DD">
        <w:rPr>
          <w:rStyle w:val="Textoennegrita"/>
          <w:sz w:val="16"/>
          <w:szCs w:val="16"/>
          <w:shd w:val="clear" w:color="auto" w:fill="FFFFFF"/>
        </w:rPr>
        <w:t>.</w:t>
      </w:r>
    </w:p>
  </w:footnote>
  <w:footnote w:id="264">
    <w:p w14:paraId="78AC0430" w14:textId="77777777" w:rsidR="005F5F1C" w:rsidRPr="00C837DD" w:rsidRDefault="005F5F1C" w:rsidP="00F85D5F">
      <w:pPr>
        <w:pStyle w:val="Textonotapie"/>
        <w:spacing w:before="40" w:after="40"/>
        <w:ind w:right="81"/>
        <w:jc w:val="both"/>
        <w:rPr>
          <w:sz w:val="16"/>
          <w:szCs w:val="16"/>
        </w:rPr>
      </w:pPr>
      <w:r w:rsidRPr="00C837DD">
        <w:rPr>
          <w:rStyle w:val="Refdenotaalpie"/>
          <w:sz w:val="16"/>
          <w:szCs w:val="16"/>
        </w:rPr>
        <w:footnoteRef/>
      </w:r>
      <w:r w:rsidRPr="00C837DD">
        <w:rPr>
          <w:i/>
          <w:sz w:val="16"/>
          <w:szCs w:val="16"/>
        </w:rPr>
        <w:t xml:space="preserve"> </w:t>
      </w:r>
      <w:r w:rsidRPr="00C837DD">
        <w:rPr>
          <w:i/>
          <w:sz w:val="16"/>
          <w:szCs w:val="16"/>
        </w:rPr>
        <w:tab/>
        <w:t xml:space="preserve">Cf. Case of Bámaca Velásquez v. Guatemala. Merits. </w:t>
      </w:r>
      <w:r w:rsidRPr="00C837DD">
        <w:rPr>
          <w:sz w:val="16"/>
          <w:szCs w:val="16"/>
        </w:rPr>
        <w:t xml:space="preserve">Judgment of November 25, 2000. Series C No. 70, para. 163, and </w:t>
      </w:r>
      <w:r w:rsidRPr="00C837DD">
        <w:rPr>
          <w:i/>
          <w:iCs/>
          <w:sz w:val="16"/>
          <w:szCs w:val="16"/>
        </w:rPr>
        <w:t>Case of Guachalá Chimbo et al. v. Ecuador, supra</w:t>
      </w:r>
      <w:r w:rsidRPr="00C837DD">
        <w:rPr>
          <w:sz w:val="16"/>
          <w:szCs w:val="16"/>
        </w:rPr>
        <w:t xml:space="preserve">, </w:t>
      </w:r>
      <w:r w:rsidRPr="00C837DD">
        <w:rPr>
          <w:iCs/>
          <w:sz w:val="16"/>
          <w:szCs w:val="16"/>
        </w:rPr>
        <w:t>para. 217</w:t>
      </w:r>
      <w:r w:rsidRPr="00C837DD">
        <w:rPr>
          <w:rStyle w:val="Textoennegrita"/>
          <w:sz w:val="16"/>
          <w:szCs w:val="16"/>
          <w:shd w:val="clear" w:color="auto" w:fill="FFFFFF"/>
        </w:rPr>
        <w:t>.</w:t>
      </w:r>
    </w:p>
    <w:p w14:paraId="7A29AF88" w14:textId="77777777" w:rsidR="005F5F1C" w:rsidRPr="00C837DD" w:rsidRDefault="005F5F1C" w:rsidP="00F85D5F">
      <w:pPr>
        <w:pStyle w:val="Textonotapie"/>
        <w:spacing w:before="40" w:after="40"/>
        <w:ind w:right="81"/>
        <w:jc w:val="both"/>
        <w:rPr>
          <w:sz w:val="16"/>
          <w:szCs w:val="16"/>
        </w:rPr>
      </w:pPr>
    </w:p>
  </w:footnote>
  <w:footnote w:id="265">
    <w:p w14:paraId="2C3FDC2F" w14:textId="160493C2"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w:t>
      </w:r>
      <w:r w:rsidR="00C57DA3" w:rsidRPr="00C837DD">
        <w:rPr>
          <w:sz w:val="16"/>
          <w:szCs w:val="16"/>
        </w:rPr>
        <w:t xml:space="preserve">of M.B.S. </w:t>
      </w:r>
      <w:r w:rsidRPr="00C837DD">
        <w:rPr>
          <w:sz w:val="16"/>
          <w:szCs w:val="16"/>
        </w:rPr>
        <w:t xml:space="preserve">rendered by affidavit, </w:t>
      </w:r>
      <w:r w:rsidRPr="00C837DD">
        <w:rPr>
          <w:i/>
          <w:sz w:val="16"/>
          <w:szCs w:val="16"/>
        </w:rPr>
        <w:t>supra</w:t>
      </w:r>
      <w:r w:rsidRPr="00C837DD">
        <w:rPr>
          <w:sz w:val="16"/>
          <w:szCs w:val="16"/>
        </w:rPr>
        <w:t xml:space="preserve"> (evidence file, folio 10172).</w:t>
      </w:r>
    </w:p>
  </w:footnote>
  <w:footnote w:id="266">
    <w:p w14:paraId="28EEC095" w14:textId="2CE306C0"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w:t>
      </w:r>
      <w:r w:rsidR="00C57DA3" w:rsidRPr="00C837DD">
        <w:rPr>
          <w:sz w:val="16"/>
          <w:szCs w:val="16"/>
        </w:rPr>
        <w:t>of M.B.S. rendered by affidavit</w:t>
      </w:r>
      <w:r w:rsidRPr="00C837DD">
        <w:rPr>
          <w:sz w:val="16"/>
          <w:szCs w:val="16"/>
        </w:rPr>
        <w:t xml:space="preserve">, </w:t>
      </w:r>
      <w:r w:rsidRPr="00C837DD">
        <w:rPr>
          <w:i/>
          <w:sz w:val="16"/>
          <w:szCs w:val="16"/>
        </w:rPr>
        <w:t>supra</w:t>
      </w:r>
      <w:r w:rsidRPr="00C837DD">
        <w:rPr>
          <w:sz w:val="16"/>
          <w:szCs w:val="16"/>
        </w:rPr>
        <w:t xml:space="preserve"> (evidence file, folio 10173).</w:t>
      </w:r>
    </w:p>
  </w:footnote>
  <w:footnote w:id="267">
    <w:p w14:paraId="6A5ECEDF"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Statement of Mt.B.S. rendered by affidavit</w:t>
      </w:r>
      <w:r w:rsidRPr="00C837DD">
        <w:rPr>
          <w:i/>
          <w:sz w:val="16"/>
          <w:szCs w:val="16"/>
        </w:rPr>
        <w:t>,</w:t>
      </w:r>
      <w:r w:rsidRPr="00C837DD">
        <w:rPr>
          <w:sz w:val="16"/>
          <w:szCs w:val="16"/>
        </w:rPr>
        <w:t xml:space="preserve"> </w:t>
      </w:r>
      <w:r w:rsidRPr="00C837DD">
        <w:rPr>
          <w:i/>
          <w:sz w:val="16"/>
          <w:szCs w:val="16"/>
        </w:rPr>
        <w:t>supra</w:t>
      </w:r>
      <w:r w:rsidRPr="00C837DD">
        <w:rPr>
          <w:sz w:val="16"/>
          <w:szCs w:val="16"/>
        </w:rPr>
        <w:t xml:space="preserve"> (evidence file, folios 10180 and 10181). </w:t>
      </w:r>
    </w:p>
  </w:footnote>
  <w:footnote w:id="268">
    <w:p w14:paraId="52332A6F"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Psychosocial expert opinion of Gilberta Santos Soares rendered by affidavit, </w:t>
      </w:r>
      <w:r w:rsidRPr="00C837DD">
        <w:rPr>
          <w:i/>
          <w:sz w:val="16"/>
          <w:szCs w:val="16"/>
        </w:rPr>
        <w:t>supra</w:t>
      </w:r>
      <w:r w:rsidRPr="00C837DD">
        <w:rPr>
          <w:sz w:val="16"/>
          <w:szCs w:val="16"/>
        </w:rPr>
        <w:t xml:space="preserve"> (evidence file, folios 10344, 10353 and 10354).</w:t>
      </w:r>
    </w:p>
  </w:footnote>
  <w:footnote w:id="269">
    <w:p w14:paraId="0FEFD3F8" w14:textId="711C6C8D"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AZEVÊDO, Sandra Raque</w:t>
      </w:r>
      <w:r w:rsidR="000A3C67" w:rsidRPr="00C837DD">
        <w:rPr>
          <w:sz w:val="16"/>
          <w:szCs w:val="16"/>
        </w:rPr>
        <w:t>w</w:t>
      </w:r>
      <w:r w:rsidRPr="00C837DD">
        <w:rPr>
          <w:sz w:val="16"/>
          <w:szCs w:val="16"/>
        </w:rPr>
        <w:t xml:space="preserve"> dos Santos. “</w:t>
      </w:r>
      <w:r w:rsidR="000A3C67" w:rsidRPr="00C837DD">
        <w:rPr>
          <w:i/>
          <w:iCs/>
          <w:sz w:val="16"/>
          <w:szCs w:val="16"/>
          <w:lang w:val="es-CR"/>
        </w:rPr>
        <w:t>La Violencia de Genero en las Páginas de los Periódicos</w:t>
      </w:r>
      <w:r w:rsidRPr="00C837DD">
        <w:rPr>
          <w:i/>
          <w:iCs/>
          <w:sz w:val="16"/>
          <w:szCs w:val="16"/>
        </w:rPr>
        <w:t>”</w:t>
      </w:r>
      <w:r w:rsidRPr="00C837DD">
        <w:rPr>
          <w:sz w:val="16"/>
          <w:szCs w:val="16"/>
        </w:rPr>
        <w:t xml:space="preserve"> (Gender Violence in the Newspaper Pages” BOCC. On-line Library of:</w:t>
      </w:r>
      <w:r w:rsidR="000A3C67" w:rsidRPr="00C837DD">
        <w:rPr>
          <w:sz w:val="16"/>
          <w:szCs w:val="16"/>
          <w:lang w:val="pt-BR"/>
        </w:rPr>
        <w:t xml:space="preserve"> Ciências da Comunicação</w:t>
      </w:r>
      <w:r w:rsidRPr="00C837DD">
        <w:rPr>
          <w:sz w:val="16"/>
          <w:szCs w:val="16"/>
        </w:rPr>
        <w:t>, v. 1, 2010 (evidence file, folios 5842, 5848 and 5849).</w:t>
      </w:r>
    </w:p>
  </w:footnote>
  <w:footnote w:id="270">
    <w:p w14:paraId="7EA39D4B"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Psychosocial expert opinion of Gilberta Santos Soares rendered by affidavit, </w:t>
      </w:r>
      <w:r w:rsidRPr="00C837DD">
        <w:rPr>
          <w:i/>
          <w:sz w:val="16"/>
          <w:szCs w:val="16"/>
        </w:rPr>
        <w:t>supra</w:t>
      </w:r>
      <w:r w:rsidRPr="00C837DD">
        <w:rPr>
          <w:sz w:val="16"/>
          <w:szCs w:val="16"/>
        </w:rPr>
        <w:t xml:space="preserve"> (evidence file, folio 10342).</w:t>
      </w:r>
    </w:p>
  </w:footnote>
  <w:footnote w:id="271">
    <w:p w14:paraId="65D63C08" w14:textId="7ACB5BBF"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various newspaper articles created an image of Márcia as a young, “poor”  “drug addicted” woman from a small town in the interior of Paraíba who wished to “meet influential politicians” and thus became involved with a “rich and powerful man” and met a “tragic end.” </w:t>
      </w:r>
      <w:r w:rsidRPr="00C837DD">
        <w:rPr>
          <w:i/>
          <w:sz w:val="16"/>
          <w:szCs w:val="16"/>
        </w:rPr>
        <w:t>Cf.</w:t>
      </w:r>
      <w:r w:rsidRPr="00C837DD">
        <w:rPr>
          <w:sz w:val="16"/>
          <w:szCs w:val="16"/>
        </w:rPr>
        <w:t xml:space="preserve"> Psychosocial expert opinion of Gilberta Santos Soares rendered by affidavit, </w:t>
      </w:r>
      <w:r w:rsidRPr="00C837DD">
        <w:rPr>
          <w:i/>
          <w:sz w:val="16"/>
          <w:szCs w:val="16"/>
        </w:rPr>
        <w:t>supra</w:t>
      </w:r>
      <w:r w:rsidRPr="00C837DD">
        <w:rPr>
          <w:sz w:val="16"/>
          <w:szCs w:val="16"/>
        </w:rPr>
        <w:t xml:space="preserve"> (evidence file, folio 10342).</w:t>
      </w:r>
    </w:p>
  </w:footnote>
  <w:footnote w:id="272">
    <w:p w14:paraId="66C9ED6C" w14:textId="77777777" w:rsidR="005F5F1C" w:rsidRPr="00C837DD" w:rsidRDefault="005F5F1C" w:rsidP="00F85D5F">
      <w:pPr>
        <w:pStyle w:val="Textonotapie"/>
        <w:tabs>
          <w:tab w:val="left" w:pos="540"/>
          <w:tab w:val="left" w:pos="567"/>
        </w:tabs>
        <w:spacing w:before="40" w:after="40"/>
        <w:ind w:right="81"/>
        <w:jc w:val="both"/>
        <w:rPr>
          <w:sz w:val="16"/>
          <w:szCs w:val="16"/>
        </w:rPr>
      </w:pPr>
      <w:r w:rsidRPr="00C837DD">
        <w:rPr>
          <w:rStyle w:val="Refdenotaalpie"/>
          <w:rFonts w:cstheme="minorBidi"/>
          <w:sz w:val="16"/>
          <w:szCs w:val="16"/>
        </w:rPr>
        <w:footnoteRef/>
      </w:r>
      <w:r w:rsidRPr="00C837DD">
        <w:rPr>
          <w:sz w:val="16"/>
          <w:szCs w:val="16"/>
        </w:rPr>
        <w:t xml:space="preserve"> </w:t>
      </w:r>
      <w:r w:rsidRPr="00C837DD">
        <w:rPr>
          <w:sz w:val="16"/>
          <w:szCs w:val="16"/>
        </w:rPr>
        <w:tab/>
      </w:r>
      <w:r w:rsidRPr="00C837DD">
        <w:rPr>
          <w:sz w:val="16"/>
          <w:szCs w:val="16"/>
        </w:rPr>
        <w:tab/>
      </w:r>
      <w:r w:rsidRPr="00C837DD">
        <w:rPr>
          <w:sz w:val="16"/>
          <w:szCs w:val="16"/>
        </w:rPr>
        <w:tab/>
      </w:r>
      <w:r w:rsidRPr="00C837DD">
        <w:rPr>
          <w:i/>
          <w:iCs/>
          <w:sz w:val="16"/>
          <w:szCs w:val="16"/>
        </w:rPr>
        <w:t>Cf. Case of Velásquez Rodríguez v. Honduras. Reparations and costs</w:t>
      </w:r>
      <w:r w:rsidRPr="00C837DD">
        <w:rPr>
          <w:sz w:val="16"/>
          <w:szCs w:val="16"/>
        </w:rPr>
        <w:t xml:space="preserve">. Judgment of July 21, 1989. Series C No. 7, paras. 24 and 25, and </w:t>
      </w:r>
      <w:r w:rsidRPr="00C837DD">
        <w:rPr>
          <w:i/>
          <w:iCs/>
          <w:sz w:val="16"/>
          <w:szCs w:val="16"/>
        </w:rPr>
        <w:t>Case of Garzón Guzmán et al. v. Ecuador</w:t>
      </w:r>
      <w:r w:rsidRPr="00C837DD">
        <w:rPr>
          <w:iCs/>
          <w:sz w:val="16"/>
          <w:szCs w:val="16"/>
        </w:rPr>
        <w:t xml:space="preserve">, </w:t>
      </w:r>
      <w:r w:rsidRPr="00C837DD">
        <w:rPr>
          <w:i/>
          <w:iCs/>
          <w:sz w:val="16"/>
          <w:szCs w:val="16"/>
        </w:rPr>
        <w:t xml:space="preserve">supra, </w:t>
      </w:r>
      <w:r w:rsidRPr="00C837DD">
        <w:rPr>
          <w:iCs/>
          <w:sz w:val="16"/>
          <w:szCs w:val="16"/>
        </w:rPr>
        <w:t>para. 95.</w:t>
      </w:r>
    </w:p>
  </w:footnote>
  <w:footnote w:id="273">
    <w:p w14:paraId="6BA6455D" w14:textId="77777777" w:rsidR="005F5F1C" w:rsidRPr="00C837DD" w:rsidRDefault="005F5F1C" w:rsidP="00F85D5F">
      <w:pPr>
        <w:widowControl/>
        <w:spacing w:before="40" w:after="40"/>
        <w:ind w:right="81"/>
        <w:jc w:val="both"/>
        <w:rPr>
          <w:sz w:val="16"/>
          <w:szCs w:val="16"/>
          <w:lang w:eastAsia="es-PE"/>
        </w:rPr>
      </w:pPr>
      <w:r w:rsidRPr="00C837DD">
        <w:rPr>
          <w:rStyle w:val="Refdenotaalpie"/>
          <w:rFonts w:eastAsia="MS Mincho"/>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i/>
          <w:sz w:val="16"/>
          <w:szCs w:val="16"/>
          <w:lang w:eastAsia="es-PE"/>
        </w:rPr>
        <w:t>Velásquez Rodríguez v. Honduras</w:t>
      </w:r>
      <w:r w:rsidRPr="00C837DD">
        <w:rPr>
          <w:sz w:val="16"/>
          <w:szCs w:val="16"/>
          <w:lang w:eastAsia="es-PE"/>
        </w:rPr>
        <w:t xml:space="preserve">. Reparations and costs, </w:t>
      </w:r>
      <w:r w:rsidRPr="00C837DD">
        <w:rPr>
          <w:i/>
          <w:sz w:val="16"/>
          <w:szCs w:val="16"/>
          <w:lang w:eastAsia="es-PE"/>
        </w:rPr>
        <w:t>supra</w:t>
      </w:r>
      <w:r w:rsidRPr="00C837DD">
        <w:rPr>
          <w:sz w:val="16"/>
          <w:szCs w:val="16"/>
          <w:lang w:eastAsia="es-PE"/>
        </w:rPr>
        <w:t xml:space="preserve">, paras. 25 and 26, and </w:t>
      </w:r>
      <w:r w:rsidRPr="00C837DD">
        <w:rPr>
          <w:rStyle w:val="Textoennegrita"/>
          <w:rFonts w:eastAsia="MS Mincho"/>
          <w:b w:val="0"/>
          <w:i/>
          <w:sz w:val="16"/>
          <w:szCs w:val="16"/>
          <w:shd w:val="clear" w:color="auto" w:fill="FFFFFF"/>
        </w:rPr>
        <w:t>Case of</w:t>
      </w:r>
      <w:r w:rsidRPr="00C837DD">
        <w:rPr>
          <w:rStyle w:val="Textoennegrita"/>
          <w:rFonts w:eastAsia="MS Mincho"/>
          <w:i/>
          <w:sz w:val="16"/>
          <w:szCs w:val="16"/>
          <w:shd w:val="clear" w:color="auto" w:fill="FFFFFF"/>
        </w:rPr>
        <w:t xml:space="preserve"> </w:t>
      </w:r>
      <w:r w:rsidRPr="00C837DD">
        <w:rPr>
          <w:i/>
          <w:iCs/>
          <w:sz w:val="16"/>
          <w:szCs w:val="16"/>
        </w:rPr>
        <w:t>Garzón Guzmán et al. v. Ecuador, supra</w:t>
      </w:r>
      <w:r w:rsidRPr="00C837DD">
        <w:rPr>
          <w:iCs/>
          <w:sz w:val="16"/>
          <w:szCs w:val="16"/>
        </w:rPr>
        <w:t>, para. 95</w:t>
      </w:r>
      <w:r w:rsidRPr="00C837DD">
        <w:rPr>
          <w:sz w:val="16"/>
          <w:szCs w:val="16"/>
          <w:lang w:eastAsia="es-PE"/>
        </w:rPr>
        <w:t>.</w:t>
      </w:r>
    </w:p>
  </w:footnote>
  <w:footnote w:id="274">
    <w:p w14:paraId="64BFE7A9" w14:textId="77777777" w:rsidR="005F5F1C" w:rsidRPr="00C837DD" w:rsidRDefault="005F5F1C" w:rsidP="00F85D5F">
      <w:pPr>
        <w:widowControl/>
        <w:spacing w:before="40" w:after="40"/>
        <w:ind w:right="81"/>
        <w:jc w:val="both"/>
        <w:rPr>
          <w:rFonts w:cs="Courier New"/>
          <w:bCs/>
          <w:sz w:val="16"/>
          <w:szCs w:val="16"/>
        </w:rPr>
      </w:pPr>
      <w:r w:rsidRPr="00C837DD">
        <w:rPr>
          <w:rStyle w:val="Refdenotaalpie"/>
          <w:rFonts w:eastAsia="Calibri"/>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bCs/>
          <w:i/>
          <w:sz w:val="16"/>
          <w:szCs w:val="16"/>
        </w:rPr>
        <w:t xml:space="preserve">the Dos Erres Massacre v. Guatemala. Preliminary objection, merits, reparations and costs. </w:t>
      </w:r>
      <w:r w:rsidRPr="00C837DD">
        <w:rPr>
          <w:bCs/>
          <w:sz w:val="16"/>
          <w:szCs w:val="16"/>
        </w:rPr>
        <w:t>Judgment of November 24, 2009. Series C No. 211</w:t>
      </w:r>
      <w:r w:rsidRPr="00C837DD">
        <w:rPr>
          <w:sz w:val="16"/>
          <w:szCs w:val="16"/>
        </w:rPr>
        <w:t xml:space="preserve">, para. 226, and </w:t>
      </w:r>
      <w:r w:rsidRPr="00C837DD">
        <w:rPr>
          <w:i/>
          <w:sz w:val="16"/>
          <w:szCs w:val="16"/>
        </w:rPr>
        <w:t>Case of Ríos Avalos et al. v. Paraguay, supra</w:t>
      </w:r>
      <w:r w:rsidRPr="00C837DD">
        <w:rPr>
          <w:rStyle w:val="Textoennegrita"/>
          <w:rFonts w:eastAsia="MS Mincho"/>
          <w:i/>
          <w:sz w:val="16"/>
          <w:szCs w:val="16"/>
          <w:shd w:val="clear" w:color="auto" w:fill="FFFFFF"/>
        </w:rPr>
        <w:t xml:space="preserve">, </w:t>
      </w:r>
      <w:r w:rsidRPr="00C837DD">
        <w:rPr>
          <w:rStyle w:val="Textoennegrita"/>
          <w:rFonts w:eastAsia="MS Mincho"/>
          <w:b w:val="0"/>
          <w:sz w:val="16"/>
          <w:szCs w:val="16"/>
          <w:shd w:val="clear" w:color="auto" w:fill="FFFFFF"/>
        </w:rPr>
        <w:t>para. 179.</w:t>
      </w:r>
    </w:p>
  </w:footnote>
  <w:footnote w:id="275">
    <w:p w14:paraId="3127275F" w14:textId="77777777" w:rsidR="005F5F1C" w:rsidRPr="00C837DD" w:rsidRDefault="005F5F1C" w:rsidP="00F85D5F">
      <w:pPr>
        <w:pStyle w:val="Textonotapie"/>
        <w:tabs>
          <w:tab w:val="left" w:pos="540"/>
          <w:tab w:val="left" w:pos="567"/>
        </w:tabs>
        <w:spacing w:before="40" w:after="40"/>
        <w:ind w:right="81"/>
        <w:jc w:val="both"/>
        <w:rPr>
          <w:sz w:val="16"/>
          <w:szCs w:val="16"/>
        </w:rPr>
      </w:pPr>
      <w:r w:rsidRPr="00C837DD">
        <w:rPr>
          <w:rStyle w:val="Refdenotaalpie"/>
          <w:rFonts w:cstheme="minorBidi"/>
          <w:sz w:val="16"/>
          <w:szCs w:val="16"/>
        </w:rPr>
        <w:footnoteRef/>
      </w:r>
      <w:r w:rsidRPr="00C837DD">
        <w:rPr>
          <w:sz w:val="16"/>
          <w:szCs w:val="16"/>
          <w:vertAlign w:val="superscript"/>
        </w:rPr>
        <w:t xml:space="preserve"> </w:t>
      </w:r>
      <w:r w:rsidRPr="00C837DD">
        <w:rPr>
          <w:sz w:val="16"/>
          <w:szCs w:val="16"/>
        </w:rPr>
        <w:tab/>
      </w:r>
      <w:r w:rsidRPr="00C837DD">
        <w:rPr>
          <w:sz w:val="16"/>
          <w:szCs w:val="16"/>
        </w:rPr>
        <w:tab/>
      </w:r>
      <w:r w:rsidRPr="00C837DD">
        <w:rPr>
          <w:sz w:val="16"/>
          <w:szCs w:val="16"/>
        </w:rPr>
        <w:tab/>
      </w:r>
      <w:r w:rsidRPr="00C837DD">
        <w:rPr>
          <w:i/>
          <w:iCs/>
          <w:sz w:val="16"/>
          <w:szCs w:val="16"/>
        </w:rPr>
        <w:t>Cf. Case of Ticona Estrada et al. v. Bolivia. Merits, reparations and costs.</w:t>
      </w:r>
      <w:r w:rsidRPr="00C837DD">
        <w:rPr>
          <w:sz w:val="16"/>
          <w:szCs w:val="16"/>
        </w:rPr>
        <w:t xml:space="preserve"> Judgment of November 27, 2008. Series C No. 191, para. 110, and </w:t>
      </w:r>
      <w:r w:rsidRPr="00C837DD">
        <w:rPr>
          <w:i/>
          <w:iCs/>
          <w:sz w:val="16"/>
          <w:szCs w:val="16"/>
        </w:rPr>
        <w:t xml:space="preserve">Case of </w:t>
      </w:r>
      <w:r w:rsidRPr="00C837DD">
        <w:rPr>
          <w:i/>
          <w:sz w:val="16"/>
          <w:szCs w:val="16"/>
        </w:rPr>
        <w:t xml:space="preserve">Ríos Avalos et al. v. Paraguay, supra, </w:t>
      </w:r>
      <w:r w:rsidRPr="00C837DD">
        <w:rPr>
          <w:sz w:val="16"/>
          <w:szCs w:val="16"/>
        </w:rPr>
        <w:t>para. 179.</w:t>
      </w:r>
    </w:p>
  </w:footnote>
  <w:footnote w:id="276">
    <w:p w14:paraId="461E2D5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I.V. v. Bolivia</w:t>
      </w:r>
      <w:r w:rsidRPr="00C837DD">
        <w:rPr>
          <w:sz w:val="16"/>
          <w:szCs w:val="16"/>
        </w:rPr>
        <w:t xml:space="preserve">. </w:t>
      </w:r>
      <w:r w:rsidRPr="00C837DD">
        <w:rPr>
          <w:i/>
          <w:sz w:val="16"/>
          <w:szCs w:val="16"/>
        </w:rPr>
        <w:t>Preliminary objections, merits, reparations and costs</w:t>
      </w:r>
      <w:r w:rsidRPr="00C837DD">
        <w:rPr>
          <w:sz w:val="16"/>
          <w:szCs w:val="16"/>
        </w:rPr>
        <w:t xml:space="preserve">. Judgment of November 30, 2016. Series C No. 329, para. 326, and </w:t>
      </w:r>
      <w:r w:rsidRPr="00C837DD">
        <w:rPr>
          <w:i/>
          <w:sz w:val="16"/>
          <w:szCs w:val="16"/>
        </w:rPr>
        <w:t>Case of Guzmán Albarracín et al. v. Ecuador, supra</w:t>
      </w:r>
      <w:r w:rsidRPr="00C837DD">
        <w:rPr>
          <w:sz w:val="16"/>
          <w:szCs w:val="16"/>
        </w:rPr>
        <w:t>, para. 215.</w:t>
      </w:r>
    </w:p>
  </w:footnote>
  <w:footnote w:id="277">
    <w:p w14:paraId="0EBE6DE7" w14:textId="77777777" w:rsidR="005F5F1C" w:rsidRPr="00C837DD" w:rsidRDefault="005F5F1C" w:rsidP="00F85D5F">
      <w:pPr>
        <w:pStyle w:val="Textonotapie"/>
        <w:tabs>
          <w:tab w:val="left" w:pos="540"/>
          <w:tab w:val="left" w:pos="567"/>
        </w:tabs>
        <w:spacing w:before="40" w:after="40"/>
        <w:ind w:right="81"/>
        <w:jc w:val="both"/>
        <w:rPr>
          <w:sz w:val="16"/>
          <w:szCs w:val="16"/>
        </w:rPr>
      </w:pPr>
      <w:r w:rsidRPr="00C837DD">
        <w:rPr>
          <w:rStyle w:val="Refdenotaalpie"/>
          <w:rFonts w:cstheme="minorBidi"/>
          <w:sz w:val="16"/>
          <w:szCs w:val="16"/>
        </w:rPr>
        <w:footnoteRef/>
      </w:r>
      <w:r w:rsidRPr="00C837DD">
        <w:rPr>
          <w:sz w:val="16"/>
          <w:szCs w:val="16"/>
          <w:vertAlign w:val="superscript"/>
        </w:rPr>
        <w:t xml:space="preserve"> </w:t>
      </w:r>
      <w:r w:rsidRPr="00C837DD">
        <w:rPr>
          <w:sz w:val="16"/>
          <w:szCs w:val="16"/>
        </w:rPr>
        <w:tab/>
      </w:r>
      <w:r w:rsidRPr="00C837DD">
        <w:rPr>
          <w:i/>
          <w:iCs/>
          <w:sz w:val="16"/>
          <w:szCs w:val="16"/>
        </w:rPr>
        <w:t>Cf. Case of Velásquez Rodríguez v. Honduras. Reparations and costs</w:t>
      </w:r>
      <w:r w:rsidRPr="00C837DD">
        <w:rPr>
          <w:sz w:val="16"/>
          <w:szCs w:val="16"/>
        </w:rPr>
        <w:t xml:space="preserve">, </w:t>
      </w:r>
      <w:r w:rsidRPr="00C837DD">
        <w:rPr>
          <w:i/>
          <w:sz w:val="16"/>
          <w:szCs w:val="16"/>
        </w:rPr>
        <w:t>supra</w:t>
      </w:r>
      <w:r w:rsidRPr="00C837DD">
        <w:rPr>
          <w:sz w:val="16"/>
          <w:szCs w:val="16"/>
        </w:rPr>
        <w:t xml:space="preserve">, paras. 25 to 27, and </w:t>
      </w:r>
      <w:r w:rsidRPr="00C837DD">
        <w:rPr>
          <w:i/>
          <w:sz w:val="16"/>
          <w:szCs w:val="16"/>
        </w:rPr>
        <w:t>Case of Moya Solís v. Peru,</w:t>
      </w:r>
      <w:r w:rsidRPr="00C837DD">
        <w:rPr>
          <w:sz w:val="16"/>
          <w:szCs w:val="16"/>
        </w:rPr>
        <w:t xml:space="preserve"> </w:t>
      </w:r>
      <w:r w:rsidRPr="00C837DD">
        <w:rPr>
          <w:i/>
          <w:sz w:val="16"/>
          <w:szCs w:val="16"/>
        </w:rPr>
        <w:t xml:space="preserve">supra, </w:t>
      </w:r>
      <w:r w:rsidRPr="00C837DD">
        <w:rPr>
          <w:sz w:val="16"/>
          <w:szCs w:val="16"/>
        </w:rPr>
        <w:t>para. 113.</w:t>
      </w:r>
    </w:p>
  </w:footnote>
  <w:footnote w:id="278">
    <w:p w14:paraId="3A8ADDBB" w14:textId="77777777" w:rsidR="005F5F1C" w:rsidRPr="00C837DD" w:rsidRDefault="005F5F1C" w:rsidP="00F85D5F">
      <w:pPr>
        <w:pStyle w:val="Textonotapie"/>
        <w:spacing w:before="40" w:after="40"/>
        <w:jc w:val="both"/>
        <w:rPr>
          <w:b/>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Died in 2009. </w:t>
      </w:r>
      <w:r w:rsidRPr="00C837DD">
        <w:rPr>
          <w:i/>
          <w:sz w:val="16"/>
          <w:szCs w:val="16"/>
        </w:rPr>
        <w:t>Cf.</w:t>
      </w:r>
      <w:r w:rsidRPr="00C837DD">
        <w:rPr>
          <w:sz w:val="16"/>
          <w:szCs w:val="16"/>
        </w:rPr>
        <w:t xml:space="preserve"> Psychosocial expert opinion of Gilberta Santos Soares rendered by affidavit, </w:t>
      </w:r>
      <w:r w:rsidRPr="00C837DD">
        <w:rPr>
          <w:i/>
          <w:sz w:val="16"/>
          <w:szCs w:val="16"/>
        </w:rPr>
        <w:t xml:space="preserve">supra </w:t>
      </w:r>
      <w:r w:rsidRPr="00C837DD">
        <w:rPr>
          <w:sz w:val="16"/>
          <w:szCs w:val="16"/>
        </w:rPr>
        <w:t xml:space="preserve">(evidence file, folio 10337). </w:t>
      </w:r>
    </w:p>
  </w:footnote>
  <w:footnote w:id="279">
    <w:p w14:paraId="7C692C37" w14:textId="77777777" w:rsidR="005F5F1C" w:rsidRPr="00C837DD" w:rsidRDefault="005F5F1C" w:rsidP="00F85D5F">
      <w:pPr>
        <w:spacing w:before="40" w:after="40"/>
        <w:ind w:right="-174"/>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w:t>
      </w:r>
      <w:r w:rsidRPr="00C837DD">
        <w:rPr>
          <w:i/>
          <w:sz w:val="16"/>
          <w:szCs w:val="16"/>
        </w:rPr>
        <w:t xml:space="preserve">Velásquez Rodríguez v. Honduras. Merits, supra, para. 174, and Case of Guerrero, Molina et al. v. Venezuela. Merits, reparations and costs. </w:t>
      </w:r>
      <w:r w:rsidRPr="00C837DD">
        <w:rPr>
          <w:sz w:val="16"/>
          <w:szCs w:val="16"/>
        </w:rPr>
        <w:t>Judgment of June 3, 2021. Series C No. 424,</w:t>
      </w:r>
      <w:r w:rsidRPr="00C837DD" w:rsidDel="002E6878">
        <w:rPr>
          <w:sz w:val="16"/>
          <w:szCs w:val="16"/>
        </w:rPr>
        <w:t xml:space="preserve"> </w:t>
      </w:r>
      <w:r w:rsidRPr="00C837DD">
        <w:rPr>
          <w:sz w:val="16"/>
          <w:szCs w:val="16"/>
        </w:rPr>
        <w:t>para. 162.</w:t>
      </w:r>
    </w:p>
  </w:footnote>
  <w:footnote w:id="280">
    <w:p w14:paraId="69D23FA6" w14:textId="77777777" w:rsidR="005F5F1C" w:rsidRPr="00C837DD" w:rsidRDefault="005F5F1C" w:rsidP="00F85D5F">
      <w:pPr>
        <w:adjustRightInd w:val="0"/>
        <w:spacing w:before="40" w:after="40"/>
        <w:ind w:right="-174"/>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Heliodoro Portugal v. Panama</w:t>
      </w:r>
      <w:r w:rsidRPr="00C837DD">
        <w:rPr>
          <w:i/>
          <w:iCs/>
          <w:sz w:val="16"/>
          <w:szCs w:val="16"/>
        </w:rPr>
        <w:t xml:space="preserve">. Preliminary objections, merits, reparations and costs. </w:t>
      </w:r>
      <w:r w:rsidRPr="00C837DD">
        <w:rPr>
          <w:sz w:val="16"/>
          <w:szCs w:val="16"/>
        </w:rPr>
        <w:t>Judgment of August 12, 2008. Series C No. 186,</w:t>
      </w:r>
      <w:r w:rsidRPr="00C837DD">
        <w:rPr>
          <w:i/>
          <w:sz w:val="16"/>
          <w:szCs w:val="16"/>
        </w:rPr>
        <w:t xml:space="preserve"> </w:t>
      </w:r>
      <w:r w:rsidRPr="00C837DD">
        <w:rPr>
          <w:sz w:val="16"/>
          <w:szCs w:val="16"/>
        </w:rPr>
        <w:t xml:space="preserve">para. 146, and </w:t>
      </w:r>
      <w:r w:rsidRPr="00C837DD">
        <w:rPr>
          <w:i/>
          <w:sz w:val="16"/>
          <w:szCs w:val="16"/>
        </w:rPr>
        <w:t>Case of Osorio Rivera and Family, supra</w:t>
      </w:r>
      <w:r w:rsidRPr="00C837DD">
        <w:rPr>
          <w:sz w:val="16"/>
          <w:szCs w:val="16"/>
        </w:rPr>
        <w:t xml:space="preserve">, para. 288. </w:t>
      </w:r>
      <w:r w:rsidRPr="00C837DD">
        <w:rPr>
          <w:i/>
          <w:sz w:val="16"/>
          <w:szCs w:val="16"/>
        </w:rPr>
        <w:t>Cf. Case of Heliodoro Portugal v. Panama, supra</w:t>
      </w:r>
      <w:r w:rsidRPr="00C837DD">
        <w:rPr>
          <w:sz w:val="16"/>
          <w:szCs w:val="16"/>
        </w:rPr>
        <w:t xml:space="preserve">, para. 146, and </w:t>
      </w:r>
      <w:r w:rsidRPr="00C837DD">
        <w:rPr>
          <w:i/>
          <w:sz w:val="16"/>
          <w:szCs w:val="16"/>
        </w:rPr>
        <w:t>Case of Valle Jaramillo et al. v. Colombia</w:t>
      </w:r>
      <w:r w:rsidRPr="00C837DD">
        <w:rPr>
          <w:bCs/>
          <w:i/>
          <w:sz w:val="16"/>
          <w:szCs w:val="16"/>
          <w:lang w:bidi="en-US"/>
        </w:rPr>
        <w:t>, supra,</w:t>
      </w:r>
      <w:r w:rsidRPr="00C837DD">
        <w:rPr>
          <w:sz w:val="16"/>
          <w:szCs w:val="16"/>
        </w:rPr>
        <w:t xml:space="preserve"> para. 102.</w:t>
      </w:r>
    </w:p>
  </w:footnote>
  <w:footnote w:id="281">
    <w:p w14:paraId="41E0C54E" w14:textId="77777777" w:rsidR="005F5F1C" w:rsidRPr="00C837DD" w:rsidRDefault="005F5F1C" w:rsidP="00F85D5F">
      <w:pPr>
        <w:pStyle w:val="Textonotapie"/>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Poblete Vilches v. Chile. Merits, reparations and costs. </w:t>
      </w:r>
      <w:r w:rsidRPr="00C837DD">
        <w:rPr>
          <w:sz w:val="16"/>
          <w:szCs w:val="16"/>
        </w:rPr>
        <w:t xml:space="preserve">Judgment of March 8, 2018. Series C No 349, para. 127, and </w:t>
      </w:r>
      <w:r w:rsidRPr="00C837DD">
        <w:rPr>
          <w:i/>
          <w:sz w:val="16"/>
          <w:szCs w:val="16"/>
        </w:rPr>
        <w:t>Case of Órdenes Guerra et al. v. Chile. Monitoring compliance with the judgment.</w:t>
      </w:r>
      <w:r w:rsidRPr="00C837DD">
        <w:rPr>
          <w:sz w:val="16"/>
          <w:szCs w:val="16"/>
        </w:rPr>
        <w:t xml:space="preserve"> Order of the Inter-American Court of Human rights of July 21, 2020, para. 15. See also Inter-American Convention on the Protection of the Human Rights of Older Persons.</w:t>
      </w:r>
    </w:p>
  </w:footnote>
  <w:footnote w:id="282">
    <w:p w14:paraId="66FE20CB"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Cantoral Benavides v. Peru. Reparations and costs. </w:t>
      </w:r>
      <w:r w:rsidRPr="00C837DD">
        <w:rPr>
          <w:sz w:val="16"/>
          <w:szCs w:val="16"/>
        </w:rPr>
        <w:t xml:space="preserve">Judgment of December 3, 2001. Series C No. 88, para. 79, and </w:t>
      </w:r>
      <w:r w:rsidRPr="00C837DD">
        <w:rPr>
          <w:i/>
          <w:sz w:val="16"/>
          <w:szCs w:val="16"/>
        </w:rPr>
        <w:t>Case of Garzón Guzmán et al. v. Ecuado</w:t>
      </w:r>
      <w:r w:rsidRPr="00C837DD">
        <w:rPr>
          <w:sz w:val="16"/>
          <w:szCs w:val="16"/>
        </w:rPr>
        <w:t xml:space="preserve">r, </w:t>
      </w:r>
      <w:r w:rsidRPr="00C837DD">
        <w:rPr>
          <w:i/>
          <w:sz w:val="16"/>
          <w:szCs w:val="16"/>
        </w:rPr>
        <w:t xml:space="preserve">supra, </w:t>
      </w:r>
      <w:r w:rsidRPr="00C837DD">
        <w:rPr>
          <w:sz w:val="16"/>
          <w:szCs w:val="16"/>
        </w:rPr>
        <w:t>para. 117.</w:t>
      </w:r>
    </w:p>
  </w:footnote>
  <w:footnote w:id="283">
    <w:p w14:paraId="3E3CF552"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Cantoral Benavides v. Peru. Reparations and costs</w:t>
      </w:r>
      <w:r w:rsidRPr="00C837DD">
        <w:rPr>
          <w:sz w:val="16"/>
          <w:szCs w:val="16"/>
        </w:rPr>
        <w:t xml:space="preserve">, </w:t>
      </w:r>
      <w:r w:rsidRPr="00C837DD">
        <w:rPr>
          <w:i/>
          <w:sz w:val="16"/>
          <w:szCs w:val="16"/>
        </w:rPr>
        <w:t xml:space="preserve">supra, </w:t>
      </w:r>
      <w:r w:rsidRPr="00C837DD">
        <w:rPr>
          <w:sz w:val="16"/>
          <w:szCs w:val="16"/>
        </w:rPr>
        <w:t xml:space="preserve">para. 81, and </w:t>
      </w:r>
      <w:r w:rsidRPr="00C837DD">
        <w:rPr>
          <w:i/>
          <w:sz w:val="16"/>
          <w:szCs w:val="16"/>
        </w:rPr>
        <w:t>Garzón Guzmán et al. v. Ecuado</w:t>
      </w:r>
      <w:r w:rsidRPr="00C837DD">
        <w:rPr>
          <w:sz w:val="16"/>
          <w:szCs w:val="16"/>
        </w:rPr>
        <w:t xml:space="preserve">r, </w:t>
      </w:r>
      <w:r w:rsidRPr="00C837DD">
        <w:rPr>
          <w:i/>
          <w:sz w:val="16"/>
          <w:szCs w:val="16"/>
        </w:rPr>
        <w:t xml:space="preserve">supra, </w:t>
      </w:r>
      <w:r w:rsidRPr="00C837DD">
        <w:rPr>
          <w:sz w:val="16"/>
          <w:szCs w:val="16"/>
        </w:rPr>
        <w:t>para. 120.</w:t>
      </w:r>
    </w:p>
  </w:footnote>
  <w:footnote w:id="284">
    <w:p w14:paraId="439C2201"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Radilla Pacheco v. Mexico. Preliminary objections, merits, reparations and costs. </w:t>
      </w:r>
      <w:r w:rsidRPr="00C837DD">
        <w:rPr>
          <w:sz w:val="16"/>
          <w:szCs w:val="16"/>
        </w:rPr>
        <w:t>Judgment of November 23, 2009</w:t>
      </w:r>
      <w:r w:rsidRPr="00C837DD">
        <w:rPr>
          <w:i/>
          <w:sz w:val="16"/>
          <w:szCs w:val="16"/>
        </w:rPr>
        <w:t xml:space="preserve">, supra, </w:t>
      </w:r>
      <w:r w:rsidRPr="00C837DD">
        <w:rPr>
          <w:sz w:val="16"/>
          <w:szCs w:val="16"/>
        </w:rPr>
        <w:t xml:space="preserve">para. 353, and </w:t>
      </w:r>
      <w:r w:rsidRPr="00C837DD">
        <w:rPr>
          <w:i/>
          <w:sz w:val="16"/>
          <w:szCs w:val="16"/>
        </w:rPr>
        <w:t>Garzón Guzmán et al. v. Ecuado</w:t>
      </w:r>
      <w:r w:rsidRPr="00C837DD">
        <w:rPr>
          <w:sz w:val="16"/>
          <w:szCs w:val="16"/>
        </w:rPr>
        <w:t xml:space="preserve">r, </w:t>
      </w:r>
      <w:r w:rsidRPr="00C837DD">
        <w:rPr>
          <w:i/>
          <w:sz w:val="16"/>
          <w:szCs w:val="16"/>
        </w:rPr>
        <w:t xml:space="preserve">supra, </w:t>
      </w:r>
      <w:r w:rsidRPr="00C837DD">
        <w:rPr>
          <w:sz w:val="16"/>
          <w:szCs w:val="16"/>
        </w:rPr>
        <w:t>para. 120.</w:t>
      </w:r>
    </w:p>
  </w:footnote>
  <w:footnote w:id="285">
    <w:p w14:paraId="57D16AAF"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Barrios Altos v. Peru. Reparations and costs</w:t>
      </w:r>
      <w:r w:rsidRPr="00C837DD">
        <w:rPr>
          <w:sz w:val="16"/>
          <w:szCs w:val="16"/>
        </w:rPr>
        <w:t xml:space="preserve">. Judgment of November 30, 2001. Series C No. 87, paras. 42 and 45, and </w:t>
      </w:r>
      <w:r w:rsidRPr="00C837DD">
        <w:rPr>
          <w:i/>
          <w:iCs/>
          <w:sz w:val="16"/>
          <w:szCs w:val="16"/>
        </w:rPr>
        <w:t>Case of</w:t>
      </w:r>
      <w:r w:rsidRPr="00C837DD">
        <w:rPr>
          <w:sz w:val="16"/>
          <w:szCs w:val="16"/>
        </w:rPr>
        <w:t xml:space="preserve"> G</w:t>
      </w:r>
      <w:r w:rsidRPr="00C837DD">
        <w:rPr>
          <w:i/>
          <w:iCs/>
          <w:sz w:val="16"/>
          <w:szCs w:val="16"/>
        </w:rPr>
        <w:t xml:space="preserve">uerrero, Molina et al. v. Venezuela, supra, </w:t>
      </w:r>
      <w:r w:rsidRPr="00C837DD">
        <w:rPr>
          <w:iCs/>
          <w:sz w:val="16"/>
          <w:szCs w:val="16"/>
        </w:rPr>
        <w:t>para. 172.</w:t>
      </w:r>
    </w:p>
  </w:footnote>
  <w:footnote w:id="286">
    <w:p w14:paraId="17F6B21D" w14:textId="328E53DD"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Suárez</w:t>
      </w:r>
      <w:r w:rsidRPr="00C837DD">
        <w:rPr>
          <w:i/>
          <w:spacing w:val="22"/>
          <w:sz w:val="16"/>
          <w:szCs w:val="16"/>
        </w:rPr>
        <w:t xml:space="preserve"> </w:t>
      </w:r>
      <w:r w:rsidRPr="00C837DD">
        <w:rPr>
          <w:i/>
          <w:sz w:val="16"/>
          <w:szCs w:val="16"/>
        </w:rPr>
        <w:t>Rosero</w:t>
      </w:r>
      <w:r w:rsidRPr="00C837DD">
        <w:rPr>
          <w:i/>
          <w:spacing w:val="22"/>
          <w:sz w:val="16"/>
          <w:szCs w:val="16"/>
        </w:rPr>
        <w:t xml:space="preserve"> </w:t>
      </w:r>
      <w:r w:rsidRPr="00C837DD">
        <w:rPr>
          <w:i/>
          <w:sz w:val="16"/>
          <w:szCs w:val="16"/>
        </w:rPr>
        <w:t>v.</w:t>
      </w:r>
      <w:r w:rsidRPr="00C837DD">
        <w:rPr>
          <w:i/>
          <w:spacing w:val="18"/>
          <w:sz w:val="16"/>
          <w:szCs w:val="16"/>
        </w:rPr>
        <w:t xml:space="preserve"> </w:t>
      </w:r>
      <w:r w:rsidRPr="00C837DD">
        <w:rPr>
          <w:i/>
          <w:sz w:val="16"/>
          <w:szCs w:val="16"/>
        </w:rPr>
        <w:t>Ecuador.</w:t>
      </w:r>
      <w:r w:rsidRPr="00C837DD">
        <w:rPr>
          <w:i/>
          <w:spacing w:val="19"/>
          <w:sz w:val="16"/>
          <w:szCs w:val="16"/>
        </w:rPr>
        <w:t xml:space="preserve"> </w:t>
      </w:r>
      <w:r w:rsidRPr="00C837DD">
        <w:rPr>
          <w:i/>
          <w:sz w:val="16"/>
          <w:szCs w:val="16"/>
        </w:rPr>
        <w:t>Merits</w:t>
      </w:r>
      <w:r w:rsidRPr="00C837DD">
        <w:rPr>
          <w:sz w:val="16"/>
          <w:szCs w:val="16"/>
        </w:rPr>
        <w:t>,</w:t>
      </w:r>
      <w:r w:rsidRPr="00C837DD">
        <w:rPr>
          <w:spacing w:val="21"/>
          <w:sz w:val="16"/>
          <w:szCs w:val="16"/>
        </w:rPr>
        <w:t xml:space="preserve"> </w:t>
      </w:r>
      <w:r w:rsidRPr="00C837DD">
        <w:rPr>
          <w:sz w:val="16"/>
          <w:szCs w:val="16"/>
        </w:rPr>
        <w:t xml:space="preserve">supra, para. 106, </w:t>
      </w:r>
      <w:r w:rsidRPr="00C837DD">
        <w:rPr>
          <w:i/>
          <w:sz w:val="16"/>
          <w:szCs w:val="16"/>
        </w:rPr>
        <w:t xml:space="preserve">Case of Workers of the Fireworks Factory in Santo Antônio </w:t>
      </w:r>
      <w:r w:rsidR="00421D0A" w:rsidRPr="00C837DD">
        <w:rPr>
          <w:i/>
          <w:sz w:val="16"/>
          <w:szCs w:val="16"/>
        </w:rPr>
        <w:t>de</w:t>
      </w:r>
      <w:r w:rsidRPr="00C837DD">
        <w:rPr>
          <w:i/>
          <w:sz w:val="16"/>
          <w:szCs w:val="16"/>
        </w:rPr>
        <w:t xml:space="preserve"> Jesus and their Families v. Brazil</w:t>
      </w:r>
      <w:r w:rsidRPr="00C837DD">
        <w:rPr>
          <w:sz w:val="16"/>
          <w:szCs w:val="16"/>
        </w:rPr>
        <w:t>, supra, para. 285.</w:t>
      </w:r>
    </w:p>
  </w:footnote>
  <w:footnote w:id="287">
    <w:p w14:paraId="6E1BC3A5" w14:textId="11E0767D"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w:t>
      </w:r>
      <w:r w:rsidR="00421D0A" w:rsidRPr="00C837DD">
        <w:rPr>
          <w:sz w:val="16"/>
          <w:szCs w:val="16"/>
        </w:rPr>
        <w:t xml:space="preserve">of </w:t>
      </w:r>
      <w:r w:rsidRPr="00C837DD">
        <w:rPr>
          <w:sz w:val="16"/>
          <w:szCs w:val="16"/>
        </w:rPr>
        <w:t xml:space="preserve">Carmen Hein </w:t>
      </w:r>
      <w:r w:rsidR="00421D0A" w:rsidRPr="00C837DD">
        <w:rPr>
          <w:sz w:val="16"/>
          <w:szCs w:val="16"/>
        </w:rPr>
        <w:t>provided at the</w:t>
      </w:r>
      <w:r w:rsidRPr="00C837DD">
        <w:rPr>
          <w:sz w:val="16"/>
          <w:szCs w:val="16"/>
        </w:rPr>
        <w:t xml:space="preserve"> public hearing held on February 3 and 4, 2021</w:t>
      </w:r>
      <w:r w:rsidR="00421D0A" w:rsidRPr="00C837DD">
        <w:rPr>
          <w:sz w:val="16"/>
          <w:szCs w:val="16"/>
        </w:rPr>
        <w:t>,</w:t>
      </w:r>
      <w:r w:rsidRPr="00C837DD">
        <w:rPr>
          <w:sz w:val="16"/>
          <w:szCs w:val="16"/>
        </w:rPr>
        <w:t xml:space="preserve"> before the Court; Expert opinion </w:t>
      </w:r>
      <w:r w:rsidRPr="00C837DD">
        <w:rPr>
          <w:sz w:val="16"/>
          <w:szCs w:val="16"/>
          <w:lang w:eastAsia="es-ES"/>
        </w:rPr>
        <w:t xml:space="preserve">of Wânia Pasinato rendered by affidavit on January 12, 2021, and </w:t>
      </w:r>
      <w:r w:rsidRPr="00C837DD">
        <w:rPr>
          <w:sz w:val="16"/>
          <w:szCs w:val="16"/>
        </w:rPr>
        <w:t xml:space="preserve">expert opinion </w:t>
      </w:r>
      <w:r w:rsidRPr="00C837DD">
        <w:rPr>
          <w:sz w:val="16"/>
          <w:szCs w:val="16"/>
          <w:lang w:eastAsia="es-ES"/>
        </w:rPr>
        <w:t>rendered by</w:t>
      </w:r>
      <w:r w:rsidRPr="00C837DD">
        <w:rPr>
          <w:i/>
          <w:sz w:val="16"/>
          <w:szCs w:val="16"/>
        </w:rPr>
        <w:t xml:space="preserve"> </w:t>
      </w:r>
      <w:r w:rsidRPr="00C837DD">
        <w:rPr>
          <w:sz w:val="16"/>
          <w:szCs w:val="16"/>
          <w:lang w:eastAsia="es-ES"/>
        </w:rPr>
        <w:t xml:space="preserve">Soraia da Rosa Mendes, </w:t>
      </w:r>
      <w:r w:rsidRPr="00C837DD">
        <w:rPr>
          <w:i/>
          <w:sz w:val="16"/>
          <w:szCs w:val="16"/>
          <w:lang w:eastAsia="es-ES"/>
        </w:rPr>
        <w:t>supra</w:t>
      </w:r>
      <w:r w:rsidRPr="00C837DD">
        <w:rPr>
          <w:sz w:val="16"/>
          <w:szCs w:val="16"/>
          <w:lang w:eastAsia="es-ES"/>
        </w:rPr>
        <w:t>.</w:t>
      </w:r>
      <w:r w:rsidRPr="00C837DD">
        <w:rPr>
          <w:sz w:val="16"/>
          <w:szCs w:val="16"/>
        </w:rPr>
        <w:t xml:space="preserve"> </w:t>
      </w:r>
    </w:p>
  </w:footnote>
  <w:footnote w:id="288">
    <w:p w14:paraId="3A2D8B3A"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PERES, Andréia (Coord</w:t>
      </w:r>
      <w:r w:rsidRPr="00C837DD">
        <w:rPr>
          <w:i/>
          <w:sz w:val="16"/>
          <w:szCs w:val="16"/>
        </w:rPr>
        <w:t>.).</w:t>
      </w:r>
      <w:r w:rsidRPr="00C837DD">
        <w:rPr>
          <w:sz w:val="16"/>
          <w:szCs w:val="16"/>
        </w:rPr>
        <w:t xml:space="preserve"> </w:t>
      </w:r>
      <w:r w:rsidRPr="00C837DD">
        <w:rPr>
          <w:i/>
          <w:sz w:val="16"/>
          <w:szCs w:val="16"/>
        </w:rPr>
        <w:t>O Progresso das Mulheres no Brasil</w:t>
      </w:r>
      <w:r w:rsidRPr="00C837DD">
        <w:rPr>
          <w:sz w:val="16"/>
          <w:szCs w:val="16"/>
        </w:rPr>
        <w:t xml:space="preserve">. (Women’s Progress in Brazil) UNIFEM, Ford Foundation, CEPIA: Brasilia. 2006, p. 260. Available at: </w:t>
      </w:r>
      <w:hyperlink r:id="rId40" w:history="1">
        <w:r w:rsidRPr="00C837DD">
          <w:rPr>
            <w:rStyle w:val="Hipervnculo"/>
            <w:sz w:val="16"/>
            <w:szCs w:val="16"/>
          </w:rPr>
          <w:t>http://www.mpsp.mp.br/portal/page/portal/Cartilhas/Progresso%20das%20Mulheres%20no%20Brazil.pdf</w:t>
        </w:r>
      </w:hyperlink>
      <w:r w:rsidRPr="00C837DD">
        <w:rPr>
          <w:sz w:val="16"/>
          <w:szCs w:val="16"/>
        </w:rPr>
        <w:t>.</w:t>
      </w:r>
    </w:p>
  </w:footnote>
  <w:footnote w:id="289">
    <w:p w14:paraId="0042F456" w14:textId="704E9F14"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w:t>
      </w:r>
      <w:r w:rsidR="00421D0A" w:rsidRPr="00C837DD">
        <w:rPr>
          <w:sz w:val="16"/>
          <w:szCs w:val="16"/>
        </w:rPr>
        <w:t xml:space="preserve">presented </w:t>
      </w:r>
      <w:r w:rsidRPr="00C837DD">
        <w:rPr>
          <w:sz w:val="16"/>
          <w:szCs w:val="16"/>
        </w:rPr>
        <w:t>by Carmen Hein in Public hearing held on February 3 and 4, 2021</w:t>
      </w:r>
      <w:r w:rsidR="00607AF1">
        <w:rPr>
          <w:sz w:val="16"/>
          <w:szCs w:val="16"/>
        </w:rPr>
        <w:t>,</w:t>
      </w:r>
      <w:r w:rsidRPr="00C837DD">
        <w:rPr>
          <w:sz w:val="16"/>
          <w:szCs w:val="16"/>
        </w:rPr>
        <w:t xml:space="preserve"> before the Inter-American Court. In addition, the expert witness Wânia Pasinato stated that: “</w:t>
      </w:r>
      <w:r w:rsidRPr="00C837DD">
        <w:rPr>
          <w:i/>
          <w:sz w:val="16"/>
          <w:szCs w:val="16"/>
        </w:rPr>
        <w:t xml:space="preserve">the absence of accessible, reliable, national data, disaggregated by sex, race /color and age </w:t>
      </w:r>
      <w:r w:rsidR="00421D0A" w:rsidRPr="00C837DD">
        <w:rPr>
          <w:i/>
          <w:sz w:val="16"/>
          <w:szCs w:val="16"/>
        </w:rPr>
        <w:t xml:space="preserve">is </w:t>
      </w:r>
      <w:r w:rsidRPr="00C837DD">
        <w:rPr>
          <w:i/>
          <w:sz w:val="16"/>
          <w:szCs w:val="16"/>
        </w:rPr>
        <w:t xml:space="preserve">an obstacle </w:t>
      </w:r>
      <w:r w:rsidR="00421D0A" w:rsidRPr="00C837DD">
        <w:rPr>
          <w:i/>
          <w:sz w:val="16"/>
          <w:szCs w:val="16"/>
        </w:rPr>
        <w:t xml:space="preserve">for </w:t>
      </w:r>
      <w:r w:rsidRPr="00C837DD">
        <w:rPr>
          <w:i/>
          <w:sz w:val="16"/>
          <w:szCs w:val="16"/>
        </w:rPr>
        <w:t xml:space="preserve">the Brazilian State </w:t>
      </w:r>
      <w:r w:rsidR="00421D0A" w:rsidRPr="00C837DD">
        <w:rPr>
          <w:i/>
          <w:sz w:val="16"/>
          <w:szCs w:val="16"/>
        </w:rPr>
        <w:t xml:space="preserve">to </w:t>
      </w:r>
      <w:r w:rsidRPr="00C837DD">
        <w:rPr>
          <w:i/>
          <w:sz w:val="16"/>
          <w:szCs w:val="16"/>
        </w:rPr>
        <w:t xml:space="preserve">develop and implement </w:t>
      </w:r>
      <w:r w:rsidR="00421D0A" w:rsidRPr="00C837DD">
        <w:rPr>
          <w:i/>
          <w:sz w:val="16"/>
          <w:szCs w:val="16"/>
        </w:rPr>
        <w:t>adequate public policies compatible with the seriousness of the violation of women's rights.</w:t>
      </w:r>
      <w:r w:rsidRPr="00C837DD">
        <w:rPr>
          <w:i/>
          <w:sz w:val="16"/>
          <w:szCs w:val="16"/>
        </w:rPr>
        <w:t xml:space="preserve"> Obtaining </w:t>
      </w:r>
      <w:r w:rsidR="00801F82" w:rsidRPr="00C837DD">
        <w:rPr>
          <w:i/>
          <w:sz w:val="16"/>
          <w:szCs w:val="16"/>
        </w:rPr>
        <w:t xml:space="preserve">quality </w:t>
      </w:r>
      <w:r w:rsidRPr="00C837DD">
        <w:rPr>
          <w:i/>
          <w:sz w:val="16"/>
          <w:szCs w:val="16"/>
        </w:rPr>
        <w:t xml:space="preserve">data and statistics </w:t>
      </w:r>
      <w:r w:rsidR="00801F82" w:rsidRPr="00C837DD">
        <w:rPr>
          <w:i/>
          <w:sz w:val="16"/>
          <w:szCs w:val="16"/>
        </w:rPr>
        <w:t xml:space="preserve">helps to measure the seriousness of violence in women's lives, but also to measure and evaluate the social and economic costs and </w:t>
      </w:r>
      <w:r w:rsidR="00607AF1">
        <w:rPr>
          <w:i/>
          <w:sz w:val="16"/>
          <w:szCs w:val="16"/>
        </w:rPr>
        <w:t>their</w:t>
      </w:r>
      <w:r w:rsidR="00801F82" w:rsidRPr="00C837DD">
        <w:rPr>
          <w:i/>
          <w:sz w:val="16"/>
          <w:szCs w:val="16"/>
        </w:rPr>
        <w:t xml:space="preserve"> impact on the lives of women, future generations, society and governments.</w:t>
      </w:r>
      <w:r w:rsidRPr="00C837DD">
        <w:rPr>
          <w:i/>
          <w:sz w:val="16"/>
          <w:szCs w:val="16"/>
        </w:rPr>
        <w:t xml:space="preserve"> Cf. </w:t>
      </w:r>
      <w:r w:rsidRPr="00C837DD">
        <w:rPr>
          <w:sz w:val="16"/>
          <w:szCs w:val="16"/>
        </w:rPr>
        <w:t xml:space="preserve">Expert opinion </w:t>
      </w:r>
      <w:r w:rsidRPr="00C837DD">
        <w:rPr>
          <w:sz w:val="16"/>
          <w:szCs w:val="16"/>
          <w:lang w:eastAsia="es-ES"/>
        </w:rPr>
        <w:t xml:space="preserve">of Wânia Pasinato rendered by affidavit, </w:t>
      </w:r>
      <w:r w:rsidRPr="00C837DD">
        <w:rPr>
          <w:i/>
          <w:sz w:val="16"/>
          <w:szCs w:val="16"/>
          <w:lang w:eastAsia="es-ES"/>
        </w:rPr>
        <w:t xml:space="preserve">supra </w:t>
      </w:r>
      <w:r w:rsidRPr="00C837DD">
        <w:rPr>
          <w:sz w:val="16"/>
          <w:szCs w:val="16"/>
          <w:lang w:eastAsia="es-ES"/>
        </w:rPr>
        <w:t>(evidence file, folio 10320).</w:t>
      </w:r>
    </w:p>
  </w:footnote>
  <w:footnote w:id="290">
    <w:p w14:paraId="23A42690" w14:textId="45468FA3"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UN, CEDAW Committee. </w:t>
      </w:r>
      <w:r w:rsidR="00574D58" w:rsidRPr="00C837DD">
        <w:rPr>
          <w:i/>
          <w:sz w:val="16"/>
          <w:szCs w:val="16"/>
        </w:rPr>
        <w:t>Concluding</w:t>
      </w:r>
      <w:r w:rsidRPr="00C837DD">
        <w:rPr>
          <w:i/>
          <w:sz w:val="16"/>
          <w:szCs w:val="16"/>
        </w:rPr>
        <w:t xml:space="preserve"> observations of the Committee </w:t>
      </w:r>
      <w:r w:rsidR="00A4704F" w:rsidRPr="00C837DD">
        <w:rPr>
          <w:i/>
          <w:sz w:val="16"/>
          <w:szCs w:val="16"/>
        </w:rPr>
        <w:t>on</w:t>
      </w:r>
      <w:r w:rsidRPr="00C837DD">
        <w:rPr>
          <w:i/>
          <w:sz w:val="16"/>
          <w:szCs w:val="16"/>
        </w:rPr>
        <w:t xml:space="preserve"> the Elimination of Discrimination against Women </w:t>
      </w:r>
      <w:r w:rsidRPr="00C837DD">
        <w:rPr>
          <w:sz w:val="16"/>
          <w:szCs w:val="16"/>
        </w:rPr>
        <w:t>- Brazil. Doc. CEDAW/C/BRA/CO/7. March 23, 2012, para. 18.</w:t>
      </w:r>
    </w:p>
  </w:footnote>
  <w:footnote w:id="291">
    <w:p w14:paraId="6B68394E" w14:textId="6A78FB49"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rendered by Henrique Marques Ribeiro, </w:t>
      </w:r>
      <w:r w:rsidRPr="00C837DD">
        <w:rPr>
          <w:i/>
          <w:sz w:val="16"/>
          <w:szCs w:val="16"/>
        </w:rPr>
        <w:t xml:space="preserve">supra. </w:t>
      </w:r>
      <w:r w:rsidR="00BD23AD" w:rsidRPr="00C837DD">
        <w:rPr>
          <w:sz w:val="16"/>
          <w:szCs w:val="16"/>
        </w:rPr>
        <w:t>In his statement at the hearing t</w:t>
      </w:r>
      <w:r w:rsidRPr="00C837DD">
        <w:rPr>
          <w:sz w:val="16"/>
          <w:szCs w:val="16"/>
        </w:rPr>
        <w:t xml:space="preserve">he expert witness Henrique Marques Ribeiro mentioned that </w:t>
      </w:r>
      <w:r w:rsidR="00BD23AD" w:rsidRPr="00C837DD">
        <w:rPr>
          <w:sz w:val="16"/>
          <w:szCs w:val="16"/>
        </w:rPr>
        <w:t xml:space="preserve">the Senate recently approved </w:t>
      </w:r>
      <w:r w:rsidRPr="00C837DD">
        <w:rPr>
          <w:sz w:val="16"/>
          <w:szCs w:val="16"/>
        </w:rPr>
        <w:t>a draft bill</w:t>
      </w:r>
      <w:r w:rsidR="00BD23AD" w:rsidRPr="00C837DD">
        <w:rPr>
          <w:sz w:val="16"/>
          <w:szCs w:val="16"/>
        </w:rPr>
        <w:t xml:space="preserve"> </w:t>
      </w:r>
      <w:r w:rsidRPr="00C837DD">
        <w:rPr>
          <w:sz w:val="16"/>
          <w:szCs w:val="16"/>
        </w:rPr>
        <w:t>for a national data policy or policies</w:t>
      </w:r>
      <w:r w:rsidR="00BD23AD" w:rsidRPr="00C837DD">
        <w:rPr>
          <w:sz w:val="16"/>
          <w:szCs w:val="16"/>
        </w:rPr>
        <w:t xml:space="preserve"> regarding </w:t>
      </w:r>
      <w:r w:rsidRPr="00C837DD">
        <w:rPr>
          <w:sz w:val="16"/>
          <w:szCs w:val="16"/>
        </w:rPr>
        <w:t>domestic violence, which contemplates the development of a new system to in</w:t>
      </w:r>
      <w:r w:rsidR="00BD23AD" w:rsidRPr="00C837DD">
        <w:rPr>
          <w:sz w:val="16"/>
          <w:szCs w:val="16"/>
        </w:rPr>
        <w:t xml:space="preserve">tegrate the data </w:t>
      </w:r>
      <w:r w:rsidRPr="00C837DD">
        <w:rPr>
          <w:sz w:val="16"/>
          <w:szCs w:val="16"/>
        </w:rPr>
        <w:t>and different services for women in situations of violence.</w:t>
      </w:r>
    </w:p>
  </w:footnote>
  <w:footnote w:id="292">
    <w:p w14:paraId="186B4925" w14:textId="77777777" w:rsidR="005F5F1C" w:rsidRPr="00C837DD" w:rsidRDefault="005F5F1C" w:rsidP="00F85D5F">
      <w:pPr>
        <w:pStyle w:val="Textonotapie"/>
        <w:spacing w:before="40" w:after="40"/>
        <w:jc w:val="both"/>
        <w:rPr>
          <w:i/>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Article 38 of Law N. 11.340 of August 7, 2006. Available at: </w:t>
      </w:r>
      <w:hyperlink r:id="rId41" w:history="1">
        <w:r w:rsidRPr="00C837DD">
          <w:rPr>
            <w:rStyle w:val="Hipervnculo"/>
            <w:sz w:val="16"/>
            <w:szCs w:val="16"/>
          </w:rPr>
          <w:t>http://www.planalto.gov.br/ccivil_03/_ato2004-2006/2006/lei/l11340.htm</w:t>
        </w:r>
      </w:hyperlink>
      <w:r w:rsidRPr="00C837DD">
        <w:rPr>
          <w:sz w:val="16"/>
          <w:szCs w:val="16"/>
        </w:rPr>
        <w:t xml:space="preserve">. Also, the Committee of Experts of the Follow-up Mechanism to the Belém do Pará Convention (MESECVI) recommends that all States Parties “develop data banks, research, and statistics that enable them to assess the magnitude and problems of femicide in their countries and to monitor State progress and setbacks in this regard.” </w:t>
      </w:r>
      <w:r w:rsidRPr="00C837DD">
        <w:rPr>
          <w:i/>
          <w:sz w:val="16"/>
          <w:szCs w:val="16"/>
        </w:rPr>
        <w:t>Cf.</w:t>
      </w:r>
      <w:r w:rsidRPr="00C837DD">
        <w:rPr>
          <w:sz w:val="16"/>
          <w:szCs w:val="16"/>
        </w:rPr>
        <w:t xml:space="preserve"> OAS, Committee of Experts of the Follow-up Mechanism to the Belém do Pará Convention (MESECVI), Declaration on Femicide</w:t>
      </w:r>
      <w:r w:rsidRPr="00C837DD">
        <w:rPr>
          <w:i/>
          <w:sz w:val="16"/>
          <w:szCs w:val="16"/>
        </w:rPr>
        <w:t xml:space="preserve">, </w:t>
      </w:r>
      <w:r w:rsidRPr="00C837DD">
        <w:rPr>
          <w:sz w:val="16"/>
          <w:szCs w:val="16"/>
        </w:rPr>
        <w:t xml:space="preserve">OAS/Ser.L/II.7.10, MESECVI/CEVI/DEC. 1/08, August 15, 2008 Available at: </w:t>
      </w:r>
      <w:hyperlink r:id="rId42" w:history="1">
        <w:r w:rsidRPr="00C837DD">
          <w:rPr>
            <w:rStyle w:val="Hipervnculo"/>
            <w:sz w:val="16"/>
            <w:szCs w:val="16"/>
          </w:rPr>
          <w:t>https://www.oas.org/es/mesecvi/docs/DeclaracionFemicide-ES.pdf</w:t>
        </w:r>
      </w:hyperlink>
      <w:r w:rsidRPr="00C837DD">
        <w:rPr>
          <w:sz w:val="16"/>
          <w:szCs w:val="16"/>
        </w:rPr>
        <w:t>.</w:t>
      </w:r>
    </w:p>
  </w:footnote>
  <w:footnote w:id="293">
    <w:p w14:paraId="66E1C1D1" w14:textId="73FAB88E"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w:t>
      </w:r>
      <w:r w:rsidRPr="00C837DD">
        <w:rPr>
          <w:sz w:val="16"/>
          <w:szCs w:val="16"/>
        </w:rPr>
        <w:t xml:space="preserve"> Expert opinion </w:t>
      </w:r>
      <w:r w:rsidR="00DF22E3" w:rsidRPr="00C837DD">
        <w:rPr>
          <w:sz w:val="16"/>
          <w:szCs w:val="16"/>
        </w:rPr>
        <w:t xml:space="preserve">of </w:t>
      </w:r>
      <w:r w:rsidRPr="00C837DD">
        <w:rPr>
          <w:sz w:val="16"/>
          <w:szCs w:val="16"/>
        </w:rPr>
        <w:t xml:space="preserve">Henrique Marques Ribeiro, </w:t>
      </w:r>
      <w:r w:rsidRPr="00C837DD">
        <w:rPr>
          <w:i/>
          <w:sz w:val="16"/>
          <w:szCs w:val="16"/>
        </w:rPr>
        <w:t>supra</w:t>
      </w:r>
      <w:r w:rsidRPr="00C837DD">
        <w:rPr>
          <w:sz w:val="16"/>
          <w:szCs w:val="16"/>
        </w:rPr>
        <w:t>.</w:t>
      </w:r>
    </w:p>
  </w:footnote>
  <w:footnote w:id="294">
    <w:p w14:paraId="7DD563A9"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rFonts w:cs="Arial"/>
          <w:i/>
          <w:sz w:val="16"/>
          <w:szCs w:val="16"/>
          <w:shd w:val="clear" w:color="auto" w:fill="FFFFFF"/>
        </w:rPr>
        <w:t>Azul Rojas Marín et al. v. Peru. Preliminary objections, merits, reparations and costs</w:t>
      </w:r>
      <w:r w:rsidRPr="00C837DD">
        <w:rPr>
          <w:rFonts w:cs="Arial"/>
          <w:sz w:val="16"/>
          <w:szCs w:val="16"/>
          <w:shd w:val="clear" w:color="auto" w:fill="FFFFFF"/>
        </w:rPr>
        <w:t xml:space="preserve">. Judgment of March 12, 2020. Series C No. 402, para. 252, and </w:t>
      </w:r>
      <w:r w:rsidRPr="00C837DD">
        <w:rPr>
          <w:i/>
          <w:spacing w:val="-4"/>
          <w:sz w:val="16"/>
          <w:szCs w:val="16"/>
        </w:rPr>
        <w:t>Case of Vicky Hernández et al. v. Honduras</w:t>
      </w:r>
      <w:r w:rsidRPr="00C837DD">
        <w:rPr>
          <w:rStyle w:val="Textoennegrita"/>
          <w:rFonts w:eastAsia="MS Mincho"/>
          <w:i/>
          <w:sz w:val="16"/>
          <w:szCs w:val="16"/>
          <w:shd w:val="clear" w:color="auto" w:fill="FFFFFF"/>
        </w:rPr>
        <w:t xml:space="preserve">, </w:t>
      </w:r>
      <w:r w:rsidRPr="00C837DD">
        <w:rPr>
          <w:rStyle w:val="Textoennegrita"/>
          <w:rFonts w:eastAsia="MS Mincho"/>
          <w:b w:val="0"/>
          <w:i/>
          <w:sz w:val="16"/>
          <w:szCs w:val="16"/>
          <w:shd w:val="clear" w:color="auto" w:fill="FFFFFF"/>
        </w:rPr>
        <w:t>supra,</w:t>
      </w:r>
      <w:r w:rsidRPr="00C837DD">
        <w:rPr>
          <w:rStyle w:val="Textoennegrita"/>
          <w:rFonts w:eastAsia="MS Mincho"/>
          <w:i/>
          <w:sz w:val="16"/>
          <w:szCs w:val="16"/>
          <w:shd w:val="clear" w:color="auto" w:fill="FFFFFF"/>
        </w:rPr>
        <w:t xml:space="preserve"> </w:t>
      </w:r>
      <w:r w:rsidRPr="00C837DD">
        <w:rPr>
          <w:sz w:val="16"/>
          <w:szCs w:val="16"/>
          <w:lang w:eastAsia="es-PE"/>
        </w:rPr>
        <w:t>para. 179.</w:t>
      </w:r>
    </w:p>
  </w:footnote>
  <w:footnote w:id="295">
    <w:p w14:paraId="7E5D4A72" w14:textId="56A293BE"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 xml:space="preserve">The State reported that the National Secretariat for Public Security </w:t>
      </w:r>
      <w:r w:rsidR="006D0A13">
        <w:rPr>
          <w:sz w:val="16"/>
          <w:szCs w:val="16"/>
        </w:rPr>
        <w:t xml:space="preserve">and </w:t>
      </w:r>
      <w:r w:rsidRPr="00C837DD">
        <w:rPr>
          <w:sz w:val="16"/>
          <w:szCs w:val="16"/>
        </w:rPr>
        <w:t xml:space="preserve">the Public Security Management and Education Secretariat are implementing courses for public security professionals who are members of the Unified Public Security System on “matters of gender, race or ethnicity.” According to the State, </w:t>
      </w:r>
      <w:r w:rsidR="006D0A13">
        <w:rPr>
          <w:sz w:val="16"/>
          <w:szCs w:val="16"/>
        </w:rPr>
        <w:t xml:space="preserve">among </w:t>
      </w:r>
      <w:r w:rsidRPr="00C837DD">
        <w:rPr>
          <w:sz w:val="16"/>
          <w:szCs w:val="16"/>
        </w:rPr>
        <w:t>the courses imparted are: "Course on Assistance to Women Victims of Violence", "Course on Combating Harassment against Women," "Basic Course on the National Protocol for the Investigation of Femicides</w:t>
      </w:r>
      <w:r w:rsidR="006D0A13">
        <w:rPr>
          <w:sz w:val="16"/>
          <w:szCs w:val="16"/>
        </w:rPr>
        <w:t>,</w:t>
      </w:r>
      <w:r w:rsidRPr="00C837DD">
        <w:rPr>
          <w:sz w:val="16"/>
          <w:szCs w:val="16"/>
        </w:rPr>
        <w:t xml:space="preserve">" among others. </w:t>
      </w:r>
    </w:p>
  </w:footnote>
  <w:footnote w:id="296">
    <w:p w14:paraId="5BFDE196" w14:textId="0C9A0DC7" w:rsidR="005F5F1C" w:rsidRPr="00C837DD" w:rsidRDefault="005F5F1C" w:rsidP="00F85D5F">
      <w:pPr>
        <w:adjustRightInd w:val="0"/>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United Nations, UN Women</w:t>
      </w:r>
      <w:r w:rsidRPr="00C837DD">
        <w:rPr>
          <w:rFonts w:cs="Times New Roman"/>
          <w:sz w:val="16"/>
          <w:szCs w:val="16"/>
        </w:rPr>
        <w:t xml:space="preserve"> Brazil. </w:t>
      </w:r>
      <w:r w:rsidRPr="00C837DD">
        <w:rPr>
          <w:rFonts w:cs="Times New Roman"/>
          <w:i/>
          <w:sz w:val="16"/>
          <w:szCs w:val="16"/>
        </w:rPr>
        <w:t xml:space="preserve">National Guidelines </w:t>
      </w:r>
      <w:r w:rsidR="00574D58" w:rsidRPr="00C837DD">
        <w:rPr>
          <w:rFonts w:cs="Times New Roman"/>
          <w:i/>
          <w:sz w:val="16"/>
          <w:szCs w:val="16"/>
        </w:rPr>
        <w:t xml:space="preserve">for the </w:t>
      </w:r>
      <w:r w:rsidR="00574D58" w:rsidRPr="00C837DD">
        <w:rPr>
          <w:i/>
          <w:iCs/>
          <w:sz w:val="16"/>
          <w:szCs w:val="16"/>
        </w:rPr>
        <w:t>Investigation, Prosecution and Judgment with a gender perspective of Violent Deaths of Women -</w:t>
      </w:r>
      <w:r w:rsidRPr="00C837DD">
        <w:rPr>
          <w:rFonts w:cs="Times New Roman"/>
          <w:i/>
          <w:sz w:val="16"/>
          <w:szCs w:val="16"/>
        </w:rPr>
        <w:t>Femicides</w:t>
      </w:r>
      <w:r w:rsidRPr="00C837DD">
        <w:rPr>
          <w:rFonts w:cs="Times New Roman"/>
          <w:sz w:val="16"/>
          <w:szCs w:val="16"/>
        </w:rPr>
        <w:t xml:space="preserve">. Brasilia: UN Women, 2016. Available at: </w:t>
      </w:r>
      <w:hyperlink r:id="rId43" w:history="1">
        <w:r w:rsidRPr="00C837DD">
          <w:rPr>
            <w:rStyle w:val="Hipervnculo"/>
            <w:sz w:val="16"/>
            <w:szCs w:val="16"/>
          </w:rPr>
          <w:t>http://www.onumulheres.org.br/wpcontent/uploads/2016/04/diretrizes_femicide.pdf</w:t>
        </w:r>
      </w:hyperlink>
      <w:r w:rsidRPr="00C837DD">
        <w:rPr>
          <w:rFonts w:cs="Times New Roman"/>
          <w:sz w:val="16"/>
          <w:szCs w:val="16"/>
        </w:rPr>
        <w:t xml:space="preserve">. </w:t>
      </w:r>
    </w:p>
  </w:footnote>
  <w:footnote w:id="297">
    <w:p w14:paraId="35C4202B" w14:textId="4195C546"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The other measures requested (</w:t>
      </w:r>
      <w:r w:rsidRPr="00C837DD">
        <w:rPr>
          <w:i/>
          <w:sz w:val="16"/>
          <w:szCs w:val="16"/>
        </w:rPr>
        <w:t>supra</w:t>
      </w:r>
      <w:r w:rsidRPr="00C837DD">
        <w:rPr>
          <w:sz w:val="16"/>
          <w:szCs w:val="16"/>
        </w:rPr>
        <w:t xml:space="preserve"> para. 184) were: i) measures to address violence against women, in particular, to ensure the existence of </w:t>
      </w:r>
      <w:r w:rsidR="00117DF6" w:rsidRPr="00C837DD">
        <w:rPr>
          <w:sz w:val="16"/>
          <w:szCs w:val="16"/>
        </w:rPr>
        <w:t xml:space="preserve">entities to </w:t>
      </w:r>
      <w:r w:rsidRPr="00C837DD">
        <w:rPr>
          <w:sz w:val="16"/>
          <w:szCs w:val="16"/>
        </w:rPr>
        <w:t xml:space="preserve">manage public policies for women with a specific focus on situations related to the cycle of violence, killings of women and femicides, taking into account the disproportionate impact on black and brown women and the social </w:t>
      </w:r>
      <w:r w:rsidR="00117DF6" w:rsidRPr="00C837DD">
        <w:rPr>
          <w:sz w:val="16"/>
          <w:szCs w:val="16"/>
        </w:rPr>
        <w:t xml:space="preserve">impact </w:t>
      </w:r>
      <w:r w:rsidRPr="00C837DD">
        <w:rPr>
          <w:sz w:val="16"/>
          <w:szCs w:val="16"/>
        </w:rPr>
        <w:t>of gender</w:t>
      </w:r>
      <w:r w:rsidR="00117DF6" w:rsidRPr="00C837DD">
        <w:rPr>
          <w:sz w:val="16"/>
          <w:szCs w:val="16"/>
        </w:rPr>
        <w:t>-based</w:t>
      </w:r>
      <w:r w:rsidRPr="00C837DD">
        <w:rPr>
          <w:sz w:val="16"/>
          <w:szCs w:val="16"/>
        </w:rPr>
        <w:t xml:space="preserve"> violence and femicides; ii) measures to implement a gender education program for basic and higher education levels, iii) measures to ensure the existence of institutions capable of overseeing the application of public policies for women, with a focus on violence</w:t>
      </w:r>
      <w:r w:rsidR="00820A77" w:rsidRPr="00C837DD">
        <w:rPr>
          <w:sz w:val="16"/>
          <w:szCs w:val="16"/>
        </w:rPr>
        <w:t>,</w:t>
      </w:r>
      <w:r w:rsidRPr="00C837DD">
        <w:rPr>
          <w:sz w:val="16"/>
          <w:szCs w:val="16"/>
        </w:rPr>
        <w:t xml:space="preserve"> </w:t>
      </w:r>
      <w:r w:rsidR="00820A77" w:rsidRPr="00C837DD">
        <w:rPr>
          <w:sz w:val="16"/>
          <w:szCs w:val="16"/>
        </w:rPr>
        <w:t xml:space="preserve">homicides </w:t>
      </w:r>
      <w:r w:rsidRPr="00C837DD">
        <w:rPr>
          <w:sz w:val="16"/>
          <w:szCs w:val="16"/>
        </w:rPr>
        <w:t xml:space="preserve">of women </w:t>
      </w:r>
      <w:r w:rsidR="00820A77" w:rsidRPr="00C837DD">
        <w:rPr>
          <w:sz w:val="16"/>
          <w:szCs w:val="16"/>
        </w:rPr>
        <w:t xml:space="preserve">and </w:t>
      </w:r>
      <w:r w:rsidRPr="00C837DD">
        <w:rPr>
          <w:sz w:val="16"/>
          <w:szCs w:val="16"/>
        </w:rPr>
        <w:t>femicide.</w:t>
      </w:r>
    </w:p>
  </w:footnote>
  <w:footnote w:id="298">
    <w:p w14:paraId="4012E1F2" w14:textId="77777777" w:rsidR="005F5F1C" w:rsidRPr="00C837DD" w:rsidRDefault="005F5F1C" w:rsidP="00F85D5F">
      <w:pPr>
        <w:tabs>
          <w:tab w:val="left" w:pos="567"/>
        </w:tabs>
        <w:spacing w:before="40" w:after="40"/>
        <w:jc w:val="both"/>
        <w:rPr>
          <w:bCs/>
          <w:sz w:val="16"/>
          <w:szCs w:val="16"/>
          <w:lang w:eastAsia="es-ES"/>
        </w:rPr>
      </w:pPr>
      <w:r w:rsidRPr="00C837DD">
        <w:rPr>
          <w:rStyle w:val="Refdenotaalpie"/>
          <w:rFonts w:eastAsia="MS ????"/>
          <w:sz w:val="16"/>
          <w:szCs w:val="16"/>
        </w:rPr>
        <w:footnoteRef/>
      </w:r>
      <w:r w:rsidRPr="00C837DD">
        <w:rPr>
          <w:sz w:val="16"/>
          <w:szCs w:val="16"/>
        </w:rPr>
        <w:tab/>
      </w:r>
      <w:r w:rsidRPr="00C837DD">
        <w:rPr>
          <w:sz w:val="16"/>
          <w:szCs w:val="16"/>
        </w:rPr>
        <w:tab/>
      </w:r>
      <w:r w:rsidRPr="00C837DD">
        <w:rPr>
          <w:i/>
          <w:sz w:val="16"/>
          <w:szCs w:val="16"/>
        </w:rPr>
        <w:t xml:space="preserve">Cf. Case of </w:t>
      </w:r>
      <w:r w:rsidRPr="00C837DD">
        <w:rPr>
          <w:bCs/>
          <w:i/>
          <w:sz w:val="16"/>
          <w:szCs w:val="16"/>
        </w:rPr>
        <w:t xml:space="preserve">Bámaca Velásquez v. Guatemala. </w:t>
      </w:r>
      <w:r w:rsidRPr="00C837DD">
        <w:rPr>
          <w:i/>
          <w:sz w:val="16"/>
          <w:szCs w:val="16"/>
        </w:rPr>
        <w:t>Reparations and costs</w:t>
      </w:r>
      <w:r w:rsidRPr="00C837DD">
        <w:rPr>
          <w:sz w:val="16"/>
          <w:szCs w:val="16"/>
        </w:rPr>
        <w:t xml:space="preserve">. Judgment of February 22, 2002. Series C No. 91, para. 43, and </w:t>
      </w:r>
      <w:r w:rsidRPr="00C837DD">
        <w:rPr>
          <w:i/>
          <w:sz w:val="16"/>
          <w:szCs w:val="16"/>
          <w:shd w:val="clear" w:color="auto" w:fill="FFFFFF"/>
        </w:rPr>
        <w:t xml:space="preserve">Case of Garzón Guzmán et al. v. Ecuador, supra, </w:t>
      </w:r>
      <w:r w:rsidRPr="00C837DD">
        <w:rPr>
          <w:sz w:val="16"/>
          <w:szCs w:val="16"/>
          <w:shd w:val="clear" w:color="auto" w:fill="FFFFFF"/>
        </w:rPr>
        <w:t>para. 130</w:t>
      </w:r>
      <w:r w:rsidRPr="00C837DD">
        <w:rPr>
          <w:rStyle w:val="Textoennegrita"/>
          <w:sz w:val="16"/>
          <w:szCs w:val="16"/>
          <w:shd w:val="clear" w:color="auto" w:fill="FFFFFF"/>
        </w:rPr>
        <w:t>.</w:t>
      </w:r>
    </w:p>
  </w:footnote>
  <w:footnote w:id="299">
    <w:p w14:paraId="2F72CFF7"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the “Street Children” (Villagrán Morales et al.) v. Guatemala. Reparations and costs.</w:t>
      </w:r>
      <w:r w:rsidRPr="00C837DD">
        <w:rPr>
          <w:sz w:val="16"/>
          <w:szCs w:val="16"/>
        </w:rPr>
        <w:t xml:space="preserve"> Judgment of May 26, 2001. Series C No. 77, para. 84, and </w:t>
      </w:r>
      <w:r w:rsidRPr="00C837DD">
        <w:rPr>
          <w:i/>
          <w:sz w:val="16"/>
          <w:szCs w:val="16"/>
          <w:shd w:val="clear" w:color="auto" w:fill="FFFFFF"/>
        </w:rPr>
        <w:t xml:space="preserve">Case of Garzón Guzmán et al. v. Ecuador, supra, </w:t>
      </w:r>
      <w:r w:rsidRPr="00C837DD">
        <w:rPr>
          <w:sz w:val="16"/>
          <w:szCs w:val="16"/>
          <w:shd w:val="clear" w:color="auto" w:fill="FFFFFF"/>
        </w:rPr>
        <w:t>para. 132</w:t>
      </w:r>
      <w:r w:rsidRPr="00C837DD">
        <w:rPr>
          <w:sz w:val="16"/>
          <w:szCs w:val="16"/>
        </w:rPr>
        <w:t>.</w:t>
      </w:r>
    </w:p>
  </w:footnote>
  <w:footnote w:id="300">
    <w:p w14:paraId="62A10268"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Cantoral Benavides v. Peru. Reparations and costs. </w:t>
      </w:r>
      <w:r w:rsidRPr="00C837DD">
        <w:rPr>
          <w:sz w:val="16"/>
          <w:szCs w:val="16"/>
        </w:rPr>
        <w:t>Judgment of December 3, 2001.</w:t>
      </w:r>
      <w:r w:rsidRPr="00C837DD">
        <w:rPr>
          <w:spacing w:val="-36"/>
          <w:sz w:val="16"/>
          <w:szCs w:val="16"/>
        </w:rPr>
        <w:t xml:space="preserve"> </w:t>
      </w:r>
      <w:r w:rsidRPr="00C837DD">
        <w:rPr>
          <w:sz w:val="16"/>
          <w:szCs w:val="16"/>
        </w:rPr>
        <w:t xml:space="preserve">Series C No. 88, para. 53, and </w:t>
      </w:r>
      <w:r w:rsidRPr="00C837DD">
        <w:rPr>
          <w:i/>
          <w:sz w:val="16"/>
          <w:szCs w:val="16"/>
          <w:shd w:val="clear" w:color="auto" w:fill="FFFFFF"/>
        </w:rPr>
        <w:t>Case of Grijalva Bueno v. Ecuador. Preliminary objection, merits, reparations and costs</w:t>
      </w:r>
      <w:r w:rsidRPr="00C837DD">
        <w:rPr>
          <w:sz w:val="16"/>
          <w:szCs w:val="16"/>
          <w:shd w:val="clear" w:color="auto" w:fill="FFFFFF"/>
        </w:rPr>
        <w:t>. Judgment of June 3, 2021. Series C No. 426, para. 191</w:t>
      </w:r>
      <w:r w:rsidRPr="00C837DD">
        <w:rPr>
          <w:rStyle w:val="Textoennegrita"/>
          <w:sz w:val="16"/>
          <w:szCs w:val="16"/>
          <w:shd w:val="clear" w:color="auto" w:fill="FFFFFF"/>
        </w:rPr>
        <w:t>.</w:t>
      </w:r>
    </w:p>
  </w:footnote>
  <w:footnote w:id="301">
    <w:p w14:paraId="55E63B27" w14:textId="179E4667" w:rsidR="005F5F1C" w:rsidRPr="00C837DD" w:rsidRDefault="005F5F1C" w:rsidP="00F85D5F">
      <w:pPr>
        <w:pStyle w:val="Textonotapie"/>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t>Considering that Márcia Barbosa de Souza</w:t>
      </w:r>
      <w:r w:rsidR="00891256" w:rsidRPr="00C837DD">
        <w:rPr>
          <w:sz w:val="16"/>
          <w:szCs w:val="16"/>
        </w:rPr>
        <w:t>’s father</w:t>
      </w:r>
      <w:r w:rsidRPr="00C837DD">
        <w:rPr>
          <w:sz w:val="16"/>
          <w:szCs w:val="16"/>
        </w:rPr>
        <w:t xml:space="preserve"> died in 2009, the amount of compensation corresponding to him shall be delivered to his heirs, in accordance with Brazilian legislation.</w:t>
      </w:r>
    </w:p>
  </w:footnote>
  <w:footnote w:id="302">
    <w:p w14:paraId="7C782C2B" w14:textId="77777777" w:rsidR="005F5F1C" w:rsidRPr="00C837DD" w:rsidRDefault="005F5F1C" w:rsidP="00F85D5F">
      <w:pPr>
        <w:pStyle w:val="Textonotapie"/>
        <w:spacing w:before="40" w:after="40"/>
        <w:jc w:val="both"/>
        <w:rPr>
          <w:b/>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w:t>
      </w:r>
      <w:r w:rsidRPr="00C837DD">
        <w:rPr>
          <w:i/>
          <w:sz w:val="16"/>
          <w:szCs w:val="16"/>
          <w:shd w:val="clear" w:color="auto" w:fill="FFFFFF"/>
        </w:rPr>
        <w:t>the Workers of the Fireworks Factory in Santo Antônio de Jesus and their Families v. Brazil</w:t>
      </w:r>
      <w:r w:rsidRPr="00C837DD">
        <w:rPr>
          <w:rStyle w:val="Textoennegrita"/>
          <w:sz w:val="16"/>
          <w:szCs w:val="16"/>
          <w:shd w:val="clear" w:color="auto" w:fill="FFFFFF"/>
        </w:rPr>
        <w:t xml:space="preserve">, </w:t>
      </w:r>
      <w:r w:rsidRPr="00C837DD">
        <w:rPr>
          <w:rStyle w:val="Textoennegrita"/>
          <w:b w:val="0"/>
          <w:i/>
          <w:sz w:val="16"/>
          <w:szCs w:val="16"/>
          <w:shd w:val="clear" w:color="auto" w:fill="FFFFFF"/>
        </w:rPr>
        <w:t>supra,</w:t>
      </w:r>
      <w:r w:rsidRPr="00C837DD">
        <w:rPr>
          <w:rStyle w:val="Textoennegrita"/>
          <w:b w:val="0"/>
          <w:sz w:val="16"/>
          <w:szCs w:val="16"/>
          <w:shd w:val="clear" w:color="auto" w:fill="FFFFFF"/>
        </w:rPr>
        <w:t xml:space="preserve"> para. 306.</w:t>
      </w:r>
    </w:p>
  </w:footnote>
  <w:footnote w:id="303">
    <w:p w14:paraId="29436821" w14:textId="77777777" w:rsidR="005F5F1C" w:rsidRPr="00C837DD" w:rsidRDefault="005F5F1C" w:rsidP="00F85D5F">
      <w:pPr>
        <w:pStyle w:val="Textonotapie"/>
        <w:tabs>
          <w:tab w:val="left" w:pos="426"/>
        </w:tabs>
        <w:spacing w:before="40" w:after="40"/>
        <w:jc w:val="both"/>
        <w:rPr>
          <w:bCs/>
          <w:iCs/>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sz w:val="16"/>
          <w:szCs w:val="16"/>
        </w:rPr>
        <w:tab/>
      </w:r>
      <w:r w:rsidRPr="00C837DD">
        <w:rPr>
          <w:i/>
          <w:sz w:val="16"/>
          <w:szCs w:val="16"/>
        </w:rPr>
        <w:t>Cf. Case of Velásquez Rodríguez v. Honduras. Reparations and costs</w:t>
      </w:r>
      <w:r w:rsidRPr="00C837DD">
        <w:rPr>
          <w:sz w:val="16"/>
          <w:szCs w:val="16"/>
        </w:rPr>
        <w:t>. Judgment of July 21, 1989. Series C No. 7</w:t>
      </w:r>
      <w:r w:rsidRPr="00C837DD">
        <w:rPr>
          <w:iCs/>
          <w:sz w:val="16"/>
          <w:szCs w:val="16"/>
        </w:rPr>
        <w:t xml:space="preserve">, paras. 42, 46 and 47 and </w:t>
      </w:r>
      <w:r w:rsidRPr="00C837DD">
        <w:rPr>
          <w:i/>
          <w:sz w:val="16"/>
          <w:szCs w:val="16"/>
          <w:shd w:val="clear" w:color="auto" w:fill="FFFFFF"/>
        </w:rPr>
        <w:t xml:space="preserve">Case of Garzón Guzmán et al. v. Ecuador, supra, </w:t>
      </w:r>
      <w:r w:rsidRPr="00C837DD">
        <w:rPr>
          <w:sz w:val="16"/>
          <w:szCs w:val="16"/>
          <w:shd w:val="clear" w:color="auto" w:fill="FFFFFF"/>
        </w:rPr>
        <w:t>para. 138.</w:t>
      </w:r>
    </w:p>
  </w:footnote>
  <w:footnote w:id="304">
    <w:p w14:paraId="19FE933B"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Garrido and Baigorria v. Argentina. Reparations and costs</w:t>
      </w:r>
      <w:r w:rsidRPr="00C837DD">
        <w:rPr>
          <w:sz w:val="16"/>
          <w:szCs w:val="16"/>
        </w:rPr>
        <w:t>. Judgment of August 27, 1998. Series C No. 39</w:t>
      </w:r>
      <w:r w:rsidRPr="00C837DD">
        <w:rPr>
          <w:i/>
          <w:sz w:val="16"/>
          <w:szCs w:val="16"/>
        </w:rPr>
        <w:t xml:space="preserve">, </w:t>
      </w:r>
      <w:r w:rsidRPr="00C837DD">
        <w:rPr>
          <w:sz w:val="16"/>
          <w:szCs w:val="16"/>
        </w:rPr>
        <w:t xml:space="preserve">para. 79, and </w:t>
      </w:r>
      <w:r w:rsidRPr="00C837DD">
        <w:rPr>
          <w:i/>
          <w:sz w:val="16"/>
          <w:szCs w:val="16"/>
          <w:shd w:val="clear" w:color="auto" w:fill="FFFFFF"/>
        </w:rPr>
        <w:t xml:space="preserve">Case of Garzón Guzmán et al. v. Ecuador, supra, </w:t>
      </w:r>
      <w:r w:rsidRPr="00C837DD">
        <w:rPr>
          <w:sz w:val="16"/>
          <w:szCs w:val="16"/>
          <w:shd w:val="clear" w:color="auto" w:fill="FFFFFF"/>
        </w:rPr>
        <w:t>para. 139.</w:t>
      </w:r>
    </w:p>
  </w:footnote>
  <w:footnote w:id="305">
    <w:p w14:paraId="5662FEB9" w14:textId="77777777" w:rsidR="005F5F1C" w:rsidRPr="00C837DD"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Cf. Case of Chaparro Álvarez and Lapo Íñiguez v. Ecuador. Preliminary objections, merits, reparations and costs.</w:t>
      </w:r>
      <w:r w:rsidRPr="00C837DD">
        <w:rPr>
          <w:sz w:val="16"/>
          <w:szCs w:val="16"/>
        </w:rPr>
        <w:t xml:space="preserve"> Judgment of November 21, 2007. Series C No. 170,</w:t>
      </w:r>
      <w:r w:rsidRPr="00C837DD">
        <w:rPr>
          <w:i/>
          <w:sz w:val="16"/>
          <w:szCs w:val="16"/>
        </w:rPr>
        <w:t xml:space="preserve"> </w:t>
      </w:r>
      <w:r w:rsidRPr="00C837DD">
        <w:rPr>
          <w:sz w:val="16"/>
          <w:szCs w:val="16"/>
        </w:rPr>
        <w:t xml:space="preserve">para. 277, and </w:t>
      </w:r>
      <w:r w:rsidRPr="00C837DD">
        <w:rPr>
          <w:i/>
          <w:sz w:val="16"/>
          <w:szCs w:val="16"/>
          <w:shd w:val="clear" w:color="auto" w:fill="FFFFFF"/>
        </w:rPr>
        <w:t xml:space="preserve">Case of Garzón Guzmán et al. v. Ecuador, supra, </w:t>
      </w:r>
      <w:r w:rsidRPr="00C837DD">
        <w:rPr>
          <w:sz w:val="16"/>
          <w:szCs w:val="16"/>
          <w:shd w:val="clear" w:color="auto" w:fill="FFFFFF"/>
        </w:rPr>
        <w:t>para. 139.</w:t>
      </w:r>
    </w:p>
  </w:footnote>
  <w:footnote w:id="306">
    <w:p w14:paraId="2ED2D334" w14:textId="77777777" w:rsidR="005F5F1C" w:rsidRPr="00CA6765" w:rsidRDefault="005F5F1C" w:rsidP="00F85D5F">
      <w:pPr>
        <w:pStyle w:val="Textonotapie"/>
        <w:spacing w:before="40" w:after="40"/>
        <w:jc w:val="both"/>
        <w:rPr>
          <w:sz w:val="16"/>
          <w:szCs w:val="16"/>
        </w:rPr>
      </w:pPr>
      <w:r w:rsidRPr="00C837DD">
        <w:rPr>
          <w:rStyle w:val="Refdenotaalpie"/>
          <w:sz w:val="16"/>
          <w:szCs w:val="16"/>
        </w:rPr>
        <w:footnoteRef/>
      </w:r>
      <w:r w:rsidRPr="00C837DD">
        <w:rPr>
          <w:sz w:val="16"/>
          <w:szCs w:val="16"/>
        </w:rPr>
        <w:t xml:space="preserve"> </w:t>
      </w:r>
      <w:r w:rsidRPr="00C837DD">
        <w:rPr>
          <w:sz w:val="16"/>
          <w:szCs w:val="16"/>
        </w:rPr>
        <w:tab/>
      </w:r>
      <w:r w:rsidRPr="00C837DD">
        <w:rPr>
          <w:i/>
          <w:sz w:val="16"/>
          <w:szCs w:val="16"/>
        </w:rPr>
        <w:t xml:space="preserve">Cf. Case of Ibsen Cárdenas and Ibsen Peña v. Bolivia. Merits, reparations and costs. </w:t>
      </w:r>
      <w:r w:rsidRPr="00C837DD">
        <w:rPr>
          <w:iCs/>
          <w:sz w:val="16"/>
          <w:szCs w:val="16"/>
        </w:rPr>
        <w:t xml:space="preserve">Judgment of September 1, 2010. Series C No. 217, para. 29, and </w:t>
      </w:r>
      <w:r w:rsidRPr="00C837DD">
        <w:rPr>
          <w:i/>
          <w:iCs/>
          <w:sz w:val="16"/>
          <w:szCs w:val="16"/>
        </w:rPr>
        <w:t>Case of Ríos Avalos et al. v. Paraguay, supra</w:t>
      </w:r>
      <w:r w:rsidRPr="00C837DD">
        <w:rPr>
          <w:iCs/>
          <w:sz w:val="16"/>
          <w:szCs w:val="16"/>
        </w:rPr>
        <w:t>, para. 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B66"/>
    <w:multiLevelType w:val="hybridMultilevel"/>
    <w:tmpl w:val="AF2470E6"/>
    <w:lvl w:ilvl="0" w:tplc="6E6474B6">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O"/>
      </w:rPr>
    </w:lvl>
    <w:lvl w:ilvl="1" w:tplc="B14638AC">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C903342"/>
    <w:multiLevelType w:val="hybridMultilevel"/>
    <w:tmpl w:val="CA640B6E"/>
    <w:lvl w:ilvl="0" w:tplc="99F842B6">
      <w:start w:val="1"/>
      <w:numFmt w:val="decimal"/>
      <w:lvlText w:val="%1."/>
      <w:lvlJc w:val="left"/>
      <w:pPr>
        <w:ind w:left="118" w:hanging="567"/>
      </w:pPr>
      <w:rPr>
        <w:rFonts w:ascii="Verdana" w:eastAsia="Verdana" w:hAnsi="Verdana" w:cs="Verdana" w:hint="default"/>
        <w:w w:val="99"/>
        <w:sz w:val="20"/>
        <w:szCs w:val="20"/>
      </w:rPr>
    </w:lvl>
    <w:lvl w:ilvl="1" w:tplc="140A0019">
      <w:start w:val="1"/>
      <w:numFmt w:val="lowerLetter"/>
      <w:lvlText w:val="%2."/>
      <w:lvlJc w:val="left"/>
      <w:pPr>
        <w:ind w:left="1183" w:hanging="358"/>
      </w:pPr>
      <w:rPr>
        <w:rFonts w:hint="default"/>
        <w:i/>
        <w:w w:val="99"/>
        <w:sz w:val="20"/>
        <w:szCs w:val="20"/>
      </w:rPr>
    </w:lvl>
    <w:lvl w:ilvl="2" w:tplc="833E40E6">
      <w:numFmt w:val="bullet"/>
      <w:lvlText w:val="•"/>
      <w:lvlJc w:val="left"/>
      <w:pPr>
        <w:ind w:left="2128" w:hanging="358"/>
      </w:pPr>
      <w:rPr>
        <w:rFonts w:hint="default"/>
      </w:rPr>
    </w:lvl>
    <w:lvl w:ilvl="3" w:tplc="3BA492D6">
      <w:numFmt w:val="bullet"/>
      <w:lvlText w:val="•"/>
      <w:lvlJc w:val="left"/>
      <w:pPr>
        <w:ind w:left="3077" w:hanging="358"/>
      </w:pPr>
      <w:rPr>
        <w:rFonts w:hint="default"/>
      </w:rPr>
    </w:lvl>
    <w:lvl w:ilvl="4" w:tplc="A4445C70">
      <w:numFmt w:val="bullet"/>
      <w:lvlText w:val="•"/>
      <w:lvlJc w:val="left"/>
      <w:pPr>
        <w:ind w:left="4026" w:hanging="358"/>
      </w:pPr>
      <w:rPr>
        <w:rFonts w:hint="default"/>
      </w:rPr>
    </w:lvl>
    <w:lvl w:ilvl="5" w:tplc="CDD26A40">
      <w:numFmt w:val="bullet"/>
      <w:lvlText w:val="•"/>
      <w:lvlJc w:val="left"/>
      <w:pPr>
        <w:ind w:left="4975" w:hanging="358"/>
      </w:pPr>
      <w:rPr>
        <w:rFonts w:hint="default"/>
      </w:rPr>
    </w:lvl>
    <w:lvl w:ilvl="6" w:tplc="B08ED5E2">
      <w:numFmt w:val="bullet"/>
      <w:lvlText w:val="•"/>
      <w:lvlJc w:val="left"/>
      <w:pPr>
        <w:ind w:left="5924" w:hanging="358"/>
      </w:pPr>
      <w:rPr>
        <w:rFonts w:hint="default"/>
      </w:rPr>
    </w:lvl>
    <w:lvl w:ilvl="7" w:tplc="C688CD22">
      <w:numFmt w:val="bullet"/>
      <w:lvlText w:val="•"/>
      <w:lvlJc w:val="left"/>
      <w:pPr>
        <w:ind w:left="6873" w:hanging="358"/>
      </w:pPr>
      <w:rPr>
        <w:rFonts w:hint="default"/>
      </w:rPr>
    </w:lvl>
    <w:lvl w:ilvl="8" w:tplc="4EE07508">
      <w:numFmt w:val="bullet"/>
      <w:lvlText w:val="•"/>
      <w:lvlJc w:val="left"/>
      <w:pPr>
        <w:ind w:left="7822" w:hanging="358"/>
      </w:pPr>
      <w:rPr>
        <w:rFonts w:hint="default"/>
      </w:rPr>
    </w:lvl>
  </w:abstractNum>
  <w:abstractNum w:abstractNumId="2" w15:restartNumberingAfterBreak="0">
    <w:nsid w:val="0C9B4E29"/>
    <w:multiLevelType w:val="hybridMultilevel"/>
    <w:tmpl w:val="009A6606"/>
    <w:lvl w:ilvl="0" w:tplc="A70ABF8C">
      <w:start w:val="1"/>
      <w:numFmt w:val="decimal"/>
      <w:pStyle w:val="Ttulo4"/>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EE13B7"/>
    <w:multiLevelType w:val="hybridMultilevel"/>
    <w:tmpl w:val="E24ADB14"/>
    <w:lvl w:ilvl="0" w:tplc="2FA66F2A">
      <w:start w:val="1"/>
      <w:numFmt w:val="decimal"/>
      <w:lvlText w:val="D.%1"/>
      <w:lvlJc w:val="left"/>
      <w:pPr>
        <w:ind w:left="862" w:hanging="360"/>
      </w:pPr>
      <w:rPr>
        <w:rFonts w:hint="default"/>
        <w:b w:val="0"/>
        <w:color w:val="auto"/>
        <w:sz w:val="20"/>
        <w:szCs w:val="20"/>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4" w15:restartNumberingAfterBreak="0">
    <w:nsid w:val="0E5922F7"/>
    <w:multiLevelType w:val="hybridMultilevel"/>
    <w:tmpl w:val="0FB606C0"/>
    <w:lvl w:ilvl="0" w:tplc="9290133A">
      <w:start w:val="2"/>
      <w:numFmt w:val="decimal"/>
      <w:lvlText w:val="B.%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B04888"/>
    <w:multiLevelType w:val="hybridMultilevel"/>
    <w:tmpl w:val="F7C60F96"/>
    <w:lvl w:ilvl="0" w:tplc="CB3EC594">
      <w:start w:val="1"/>
      <w:numFmt w:val="decimal"/>
      <w:lvlText w:val="%1."/>
      <w:lvlJc w:val="left"/>
      <w:pPr>
        <w:ind w:left="118" w:hanging="567"/>
      </w:pPr>
      <w:rPr>
        <w:rFonts w:ascii="Verdana" w:eastAsia="Verdana" w:hAnsi="Verdana" w:cs="Verdana" w:hint="default"/>
        <w:w w:val="99"/>
        <w:sz w:val="20"/>
        <w:szCs w:val="20"/>
      </w:rPr>
    </w:lvl>
    <w:lvl w:ilvl="1" w:tplc="5F606C9E">
      <w:numFmt w:val="bullet"/>
      <w:lvlText w:val="•"/>
      <w:lvlJc w:val="left"/>
      <w:pPr>
        <w:ind w:left="1080" w:hanging="567"/>
      </w:pPr>
      <w:rPr>
        <w:rFonts w:hint="default"/>
      </w:rPr>
    </w:lvl>
    <w:lvl w:ilvl="2" w:tplc="53A20146">
      <w:numFmt w:val="bullet"/>
      <w:lvlText w:val="•"/>
      <w:lvlJc w:val="left"/>
      <w:pPr>
        <w:ind w:left="2040" w:hanging="567"/>
      </w:pPr>
      <w:rPr>
        <w:rFonts w:hint="default"/>
      </w:rPr>
    </w:lvl>
    <w:lvl w:ilvl="3" w:tplc="160AEB56">
      <w:numFmt w:val="bullet"/>
      <w:lvlText w:val="•"/>
      <w:lvlJc w:val="left"/>
      <w:pPr>
        <w:ind w:left="3000" w:hanging="567"/>
      </w:pPr>
      <w:rPr>
        <w:rFonts w:hint="default"/>
      </w:rPr>
    </w:lvl>
    <w:lvl w:ilvl="4" w:tplc="E488D068">
      <w:numFmt w:val="bullet"/>
      <w:lvlText w:val="•"/>
      <w:lvlJc w:val="left"/>
      <w:pPr>
        <w:ind w:left="3960" w:hanging="567"/>
      </w:pPr>
      <w:rPr>
        <w:rFonts w:hint="default"/>
      </w:rPr>
    </w:lvl>
    <w:lvl w:ilvl="5" w:tplc="DE1A444A">
      <w:numFmt w:val="bullet"/>
      <w:lvlText w:val="•"/>
      <w:lvlJc w:val="left"/>
      <w:pPr>
        <w:ind w:left="4920" w:hanging="567"/>
      </w:pPr>
      <w:rPr>
        <w:rFonts w:hint="default"/>
      </w:rPr>
    </w:lvl>
    <w:lvl w:ilvl="6" w:tplc="29C83D10">
      <w:numFmt w:val="bullet"/>
      <w:lvlText w:val="•"/>
      <w:lvlJc w:val="left"/>
      <w:pPr>
        <w:ind w:left="5880" w:hanging="567"/>
      </w:pPr>
      <w:rPr>
        <w:rFonts w:hint="default"/>
      </w:rPr>
    </w:lvl>
    <w:lvl w:ilvl="7" w:tplc="1466F224">
      <w:numFmt w:val="bullet"/>
      <w:lvlText w:val="•"/>
      <w:lvlJc w:val="left"/>
      <w:pPr>
        <w:ind w:left="6840" w:hanging="567"/>
      </w:pPr>
      <w:rPr>
        <w:rFonts w:hint="default"/>
      </w:rPr>
    </w:lvl>
    <w:lvl w:ilvl="8" w:tplc="FA8206B6">
      <w:numFmt w:val="bullet"/>
      <w:lvlText w:val="•"/>
      <w:lvlJc w:val="left"/>
      <w:pPr>
        <w:ind w:left="7800" w:hanging="567"/>
      </w:pPr>
      <w:rPr>
        <w:rFonts w:hint="default"/>
      </w:rPr>
    </w:lvl>
  </w:abstractNum>
  <w:abstractNum w:abstractNumId="6" w15:restartNumberingAfterBreak="0">
    <w:nsid w:val="16905594"/>
    <w:multiLevelType w:val="hybridMultilevel"/>
    <w:tmpl w:val="B590D1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DC2786"/>
    <w:multiLevelType w:val="hybridMultilevel"/>
    <w:tmpl w:val="F40E7270"/>
    <w:lvl w:ilvl="0" w:tplc="1E42282A">
      <w:start w:val="1"/>
      <w:numFmt w:val="decimal"/>
      <w:lvlText w:val="F.%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E84F1E"/>
    <w:multiLevelType w:val="hybridMultilevel"/>
    <w:tmpl w:val="D938B53A"/>
    <w:lvl w:ilvl="0" w:tplc="9D1A966C">
      <w:start w:val="2"/>
      <w:numFmt w:val="decimal"/>
      <w:lvlText w:val="%1."/>
      <w:lvlJc w:val="left"/>
      <w:pPr>
        <w:ind w:left="259" w:hanging="708"/>
      </w:pPr>
      <w:rPr>
        <w:rFonts w:ascii="Verdana" w:eastAsia="Verdana" w:hAnsi="Verdana" w:cs="Verdana" w:hint="default"/>
        <w:b w:val="0"/>
        <w:bCs w:val="0"/>
        <w:i w:val="0"/>
        <w:iCs w:val="0"/>
        <w:w w:val="99"/>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1567A3"/>
    <w:multiLevelType w:val="multilevel"/>
    <w:tmpl w:val="B70021E4"/>
    <w:lvl w:ilvl="0">
      <w:start w:val="2"/>
      <w:numFmt w:val="upperLetter"/>
      <w:lvlText w:val="%1."/>
      <w:lvlJc w:val="left"/>
      <w:pPr>
        <w:ind w:left="1112" w:hanging="428"/>
      </w:pPr>
      <w:rPr>
        <w:rFonts w:ascii="Verdana" w:eastAsia="Verdana" w:hAnsi="Verdana" w:cs="Verdana" w:hint="default"/>
        <w:b/>
        <w:bCs/>
        <w:i/>
        <w:spacing w:val="-1"/>
        <w:w w:val="99"/>
        <w:sz w:val="20"/>
        <w:szCs w:val="20"/>
      </w:rPr>
    </w:lvl>
    <w:lvl w:ilvl="1">
      <w:start w:val="1"/>
      <w:numFmt w:val="decimal"/>
      <w:lvlText w:val="%1.%2."/>
      <w:lvlJc w:val="left"/>
      <w:pPr>
        <w:ind w:left="2003" w:hanging="469"/>
      </w:pPr>
      <w:rPr>
        <w:rFonts w:ascii="Verdana" w:eastAsia="Verdana" w:hAnsi="Verdana" w:cs="Verdana" w:hint="default"/>
        <w:i/>
        <w:spacing w:val="-1"/>
        <w:w w:val="99"/>
        <w:sz w:val="20"/>
        <w:szCs w:val="20"/>
      </w:rPr>
    </w:lvl>
    <w:lvl w:ilvl="2">
      <w:numFmt w:val="bullet"/>
      <w:lvlText w:val="•"/>
      <w:lvlJc w:val="left"/>
      <w:pPr>
        <w:ind w:left="2857" w:hanging="469"/>
      </w:pPr>
      <w:rPr>
        <w:rFonts w:hint="default"/>
      </w:rPr>
    </w:lvl>
    <w:lvl w:ilvl="3">
      <w:numFmt w:val="bullet"/>
      <w:lvlText w:val="•"/>
      <w:lvlJc w:val="left"/>
      <w:pPr>
        <w:ind w:left="3715" w:hanging="469"/>
      </w:pPr>
      <w:rPr>
        <w:rFonts w:hint="default"/>
      </w:rPr>
    </w:lvl>
    <w:lvl w:ilvl="4">
      <w:numFmt w:val="bullet"/>
      <w:lvlText w:val="•"/>
      <w:lvlJc w:val="left"/>
      <w:pPr>
        <w:ind w:left="4573" w:hanging="469"/>
      </w:pPr>
      <w:rPr>
        <w:rFonts w:hint="default"/>
      </w:rPr>
    </w:lvl>
    <w:lvl w:ilvl="5">
      <w:numFmt w:val="bullet"/>
      <w:lvlText w:val="•"/>
      <w:lvlJc w:val="left"/>
      <w:pPr>
        <w:ind w:left="5431" w:hanging="469"/>
      </w:pPr>
      <w:rPr>
        <w:rFonts w:hint="default"/>
      </w:rPr>
    </w:lvl>
    <w:lvl w:ilvl="6">
      <w:numFmt w:val="bullet"/>
      <w:lvlText w:val="•"/>
      <w:lvlJc w:val="left"/>
      <w:pPr>
        <w:ind w:left="6288" w:hanging="469"/>
      </w:pPr>
      <w:rPr>
        <w:rFonts w:hint="default"/>
      </w:rPr>
    </w:lvl>
    <w:lvl w:ilvl="7">
      <w:numFmt w:val="bullet"/>
      <w:lvlText w:val="•"/>
      <w:lvlJc w:val="left"/>
      <w:pPr>
        <w:ind w:left="7146" w:hanging="469"/>
      </w:pPr>
      <w:rPr>
        <w:rFonts w:hint="default"/>
      </w:rPr>
    </w:lvl>
    <w:lvl w:ilvl="8">
      <w:numFmt w:val="bullet"/>
      <w:lvlText w:val="•"/>
      <w:lvlJc w:val="left"/>
      <w:pPr>
        <w:ind w:left="8004" w:hanging="469"/>
      </w:pPr>
      <w:rPr>
        <w:rFonts w:hint="default"/>
      </w:rPr>
    </w:lvl>
  </w:abstractNum>
  <w:abstractNum w:abstractNumId="10" w15:restartNumberingAfterBreak="0">
    <w:nsid w:val="42492F4D"/>
    <w:multiLevelType w:val="hybridMultilevel"/>
    <w:tmpl w:val="92F67EDA"/>
    <w:lvl w:ilvl="0" w:tplc="E682BE9C">
      <w:start w:val="1"/>
      <w:numFmt w:val="decimal"/>
      <w:lvlText w:val="%1."/>
      <w:lvlJc w:val="left"/>
      <w:pPr>
        <w:ind w:left="398" w:hanging="708"/>
      </w:pPr>
      <w:rPr>
        <w:rFonts w:ascii="Verdana" w:eastAsia="Verdana" w:hAnsi="Verdana" w:cs="Verdana" w:hint="default"/>
        <w:b w:val="0"/>
        <w:bCs w:val="0"/>
        <w:i w:val="0"/>
        <w:iCs w:val="0"/>
        <w:w w:val="99"/>
        <w:sz w:val="20"/>
        <w:szCs w:val="20"/>
      </w:rPr>
    </w:lvl>
    <w:lvl w:ilvl="1" w:tplc="04126622">
      <w:numFmt w:val="bullet"/>
      <w:lvlText w:val="•"/>
      <w:lvlJc w:val="left"/>
      <w:pPr>
        <w:ind w:left="1380" w:hanging="708"/>
      </w:pPr>
      <w:rPr>
        <w:rFonts w:hint="default"/>
      </w:rPr>
    </w:lvl>
    <w:lvl w:ilvl="2" w:tplc="85D023AC">
      <w:numFmt w:val="bullet"/>
      <w:lvlText w:val="•"/>
      <w:lvlJc w:val="left"/>
      <w:pPr>
        <w:ind w:left="2360" w:hanging="708"/>
      </w:pPr>
      <w:rPr>
        <w:rFonts w:hint="default"/>
      </w:rPr>
    </w:lvl>
    <w:lvl w:ilvl="3" w:tplc="EC74A5A8">
      <w:numFmt w:val="bullet"/>
      <w:lvlText w:val="•"/>
      <w:lvlJc w:val="left"/>
      <w:pPr>
        <w:ind w:left="3340" w:hanging="708"/>
      </w:pPr>
      <w:rPr>
        <w:rFonts w:hint="default"/>
      </w:rPr>
    </w:lvl>
    <w:lvl w:ilvl="4" w:tplc="AB50A314">
      <w:numFmt w:val="bullet"/>
      <w:lvlText w:val="•"/>
      <w:lvlJc w:val="left"/>
      <w:pPr>
        <w:ind w:left="4320" w:hanging="708"/>
      </w:pPr>
      <w:rPr>
        <w:rFonts w:hint="default"/>
      </w:rPr>
    </w:lvl>
    <w:lvl w:ilvl="5" w:tplc="B23E79D4">
      <w:numFmt w:val="bullet"/>
      <w:lvlText w:val="•"/>
      <w:lvlJc w:val="left"/>
      <w:pPr>
        <w:ind w:left="5300" w:hanging="708"/>
      </w:pPr>
      <w:rPr>
        <w:rFonts w:hint="default"/>
      </w:rPr>
    </w:lvl>
    <w:lvl w:ilvl="6" w:tplc="2BE0B36C">
      <w:numFmt w:val="bullet"/>
      <w:lvlText w:val="•"/>
      <w:lvlJc w:val="left"/>
      <w:pPr>
        <w:ind w:left="6280" w:hanging="708"/>
      </w:pPr>
      <w:rPr>
        <w:rFonts w:hint="default"/>
      </w:rPr>
    </w:lvl>
    <w:lvl w:ilvl="7" w:tplc="A562537E">
      <w:numFmt w:val="bullet"/>
      <w:lvlText w:val="•"/>
      <w:lvlJc w:val="left"/>
      <w:pPr>
        <w:ind w:left="7260" w:hanging="708"/>
      </w:pPr>
      <w:rPr>
        <w:rFonts w:hint="default"/>
      </w:rPr>
    </w:lvl>
    <w:lvl w:ilvl="8" w:tplc="58CAC676">
      <w:numFmt w:val="bullet"/>
      <w:lvlText w:val="•"/>
      <w:lvlJc w:val="left"/>
      <w:pPr>
        <w:ind w:left="8240" w:hanging="708"/>
      </w:pPr>
      <w:rPr>
        <w:rFonts w:hint="default"/>
      </w:rPr>
    </w:lvl>
  </w:abstractNum>
  <w:abstractNum w:abstractNumId="11" w15:restartNumberingAfterBreak="0">
    <w:nsid w:val="48E53B57"/>
    <w:multiLevelType w:val="hybridMultilevel"/>
    <w:tmpl w:val="A60EF402"/>
    <w:lvl w:ilvl="0" w:tplc="5AE2F0CE">
      <w:start w:val="1"/>
      <w:numFmt w:val="decimal"/>
      <w:lvlText w:val="E.%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0F4DAE"/>
    <w:multiLevelType w:val="hybridMultilevel"/>
    <w:tmpl w:val="A60EF402"/>
    <w:lvl w:ilvl="0" w:tplc="5AE2F0CE">
      <w:start w:val="1"/>
      <w:numFmt w:val="decimal"/>
      <w:lvlText w:val="E.%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EB2498B"/>
    <w:multiLevelType w:val="hybridMultilevel"/>
    <w:tmpl w:val="38B29718"/>
    <w:lvl w:ilvl="0" w:tplc="A4C800CE">
      <w:start w:val="1"/>
      <w:numFmt w:val="upperLetter"/>
      <w:lvlText w:val="%1.2"/>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2E3246F"/>
    <w:multiLevelType w:val="hybridMultilevel"/>
    <w:tmpl w:val="F65CD404"/>
    <w:lvl w:ilvl="0" w:tplc="57C0F264">
      <w:start w:val="2"/>
      <w:numFmt w:val="upperLetter"/>
      <w:lvlText w:val="%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A245C34"/>
    <w:multiLevelType w:val="multilevel"/>
    <w:tmpl w:val="34D66164"/>
    <w:lvl w:ilvl="0">
      <w:start w:val="15"/>
      <w:numFmt w:val="decimal"/>
      <w:lvlText w:val="%1."/>
      <w:lvlJc w:val="left"/>
      <w:pPr>
        <w:ind w:left="120" w:hanging="567"/>
      </w:pPr>
      <w:rPr>
        <w:rFonts w:ascii="Verdana" w:eastAsia="Verdana" w:hAnsi="Verdana" w:cs="Verdana" w:hint="default"/>
        <w:b w:val="0"/>
        <w:w w:val="100"/>
        <w:sz w:val="20"/>
        <w:szCs w:val="20"/>
      </w:rPr>
    </w:lvl>
    <w:lvl w:ilvl="1">
      <w:start w:val="1"/>
      <w:numFmt w:val="upperLetter"/>
      <w:pStyle w:val="Ttulo2"/>
      <w:lvlText w:val="%2."/>
      <w:lvlJc w:val="left"/>
      <w:pPr>
        <w:ind w:left="839" w:hanging="361"/>
      </w:pPr>
      <w:rPr>
        <w:rFonts w:ascii="Verdana" w:eastAsia="Verdana" w:hAnsi="Verdana" w:cs="Verdana" w:hint="default"/>
        <w:b/>
        <w:bCs/>
        <w:spacing w:val="-2"/>
        <w:w w:val="100"/>
        <w:sz w:val="20"/>
        <w:szCs w:val="20"/>
      </w:rPr>
    </w:lvl>
    <w:lvl w:ilvl="2">
      <w:start w:val="1"/>
      <w:numFmt w:val="decimal"/>
      <w:lvlText w:val="%2.%3."/>
      <w:lvlJc w:val="left"/>
      <w:pPr>
        <w:ind w:left="839" w:hanging="662"/>
      </w:pPr>
      <w:rPr>
        <w:rFonts w:ascii="Verdana" w:eastAsia="Verdana" w:hAnsi="Verdana" w:cs="Verdana" w:hint="default"/>
        <w:b/>
        <w:bCs/>
        <w:i/>
        <w:spacing w:val="-2"/>
        <w:w w:val="99"/>
        <w:sz w:val="20"/>
        <w:szCs w:val="20"/>
      </w:rPr>
    </w:lvl>
    <w:lvl w:ilvl="3">
      <w:numFmt w:val="bullet"/>
      <w:lvlText w:val="•"/>
      <w:lvlJc w:val="left"/>
      <w:pPr>
        <w:ind w:left="2786" w:hanging="662"/>
      </w:pPr>
      <w:rPr>
        <w:rFonts w:hint="default"/>
      </w:rPr>
    </w:lvl>
    <w:lvl w:ilvl="4">
      <w:numFmt w:val="bullet"/>
      <w:lvlText w:val="•"/>
      <w:lvlJc w:val="left"/>
      <w:pPr>
        <w:ind w:left="3760" w:hanging="662"/>
      </w:pPr>
      <w:rPr>
        <w:rFonts w:hint="default"/>
      </w:rPr>
    </w:lvl>
    <w:lvl w:ilvl="5">
      <w:numFmt w:val="bullet"/>
      <w:lvlText w:val="•"/>
      <w:lvlJc w:val="left"/>
      <w:pPr>
        <w:ind w:left="4733" w:hanging="662"/>
      </w:pPr>
      <w:rPr>
        <w:rFonts w:hint="default"/>
      </w:rPr>
    </w:lvl>
    <w:lvl w:ilvl="6">
      <w:numFmt w:val="bullet"/>
      <w:lvlText w:val="•"/>
      <w:lvlJc w:val="left"/>
      <w:pPr>
        <w:ind w:left="5706" w:hanging="662"/>
      </w:pPr>
      <w:rPr>
        <w:rFonts w:hint="default"/>
      </w:rPr>
    </w:lvl>
    <w:lvl w:ilvl="7">
      <w:numFmt w:val="bullet"/>
      <w:lvlText w:val="•"/>
      <w:lvlJc w:val="left"/>
      <w:pPr>
        <w:ind w:left="6680" w:hanging="662"/>
      </w:pPr>
      <w:rPr>
        <w:rFonts w:hint="default"/>
      </w:rPr>
    </w:lvl>
    <w:lvl w:ilvl="8">
      <w:numFmt w:val="bullet"/>
      <w:lvlText w:val="•"/>
      <w:lvlJc w:val="left"/>
      <w:pPr>
        <w:ind w:left="7653" w:hanging="662"/>
      </w:pPr>
      <w:rPr>
        <w:rFonts w:hint="default"/>
      </w:rPr>
    </w:lvl>
  </w:abstractNum>
  <w:abstractNum w:abstractNumId="16" w15:restartNumberingAfterBreak="0">
    <w:nsid w:val="5B436CB7"/>
    <w:multiLevelType w:val="hybridMultilevel"/>
    <w:tmpl w:val="CC60223E"/>
    <w:lvl w:ilvl="0" w:tplc="184471B4">
      <w:start w:val="1"/>
      <w:numFmt w:val="decimal"/>
      <w:lvlText w:val="a.%1"/>
      <w:lvlJc w:val="left"/>
      <w:pPr>
        <w:ind w:left="862"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0D2259A"/>
    <w:multiLevelType w:val="hybridMultilevel"/>
    <w:tmpl w:val="59F213DA"/>
    <w:lvl w:ilvl="0" w:tplc="EA600650">
      <w:start w:val="1"/>
      <w:numFmt w:val="decimal"/>
      <w:lvlText w:val="a.%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3673705"/>
    <w:multiLevelType w:val="hybridMultilevel"/>
    <w:tmpl w:val="C3D0762E"/>
    <w:lvl w:ilvl="0" w:tplc="97E82360">
      <w:start w:val="2"/>
      <w:numFmt w:val="decimal"/>
      <w:lvlText w:val="a.%1"/>
      <w:lvlJc w:val="left"/>
      <w:pPr>
        <w:ind w:left="720" w:hanging="360"/>
      </w:pPr>
      <w:rPr>
        <w:rFonts w:hint="default"/>
        <w:b w:val="0"/>
        <w:color w:val="auto"/>
        <w:sz w:val="20"/>
        <w:szCs w:val="20"/>
      </w:rPr>
    </w:lvl>
    <w:lvl w:ilvl="1" w:tplc="BEA0BAF0">
      <w:start w:val="2"/>
      <w:numFmt w:val="lowerLetter"/>
      <w:lvlText w:val="%2."/>
      <w:lvlJc w:val="left"/>
      <w:pPr>
        <w:ind w:left="1440" w:hanging="360"/>
      </w:pPr>
      <w:rPr>
        <w:rFonts w:hint="default"/>
      </w:rPr>
    </w:lvl>
    <w:lvl w:ilvl="2" w:tplc="5ED2F75E">
      <w:start w:val="246"/>
      <w:numFmt w:val="decimal"/>
      <w:lvlText w:val="%3."/>
      <w:lvlJc w:val="left"/>
      <w:pPr>
        <w:ind w:left="2415" w:hanging="435"/>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EBF58C8"/>
    <w:multiLevelType w:val="hybridMultilevel"/>
    <w:tmpl w:val="4EE88676"/>
    <w:lvl w:ilvl="0" w:tplc="D8FE1814">
      <w:start w:val="1"/>
      <w:numFmt w:val="decimal"/>
      <w:lvlText w:val="B.%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05A6F5C"/>
    <w:multiLevelType w:val="hybridMultilevel"/>
    <w:tmpl w:val="39AAA614"/>
    <w:lvl w:ilvl="0" w:tplc="EED61AC6">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DF7DCD"/>
    <w:multiLevelType w:val="hybridMultilevel"/>
    <w:tmpl w:val="CF22EECC"/>
    <w:lvl w:ilvl="0" w:tplc="A75ADAAE">
      <w:start w:val="2"/>
      <w:numFmt w:val="upperLetter"/>
      <w:lvlText w:val="%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C2C7040"/>
    <w:multiLevelType w:val="hybridMultilevel"/>
    <w:tmpl w:val="907A2798"/>
    <w:lvl w:ilvl="0" w:tplc="D8FE1814">
      <w:start w:val="1"/>
      <w:numFmt w:val="decimal"/>
      <w:lvlText w:val="B.%1"/>
      <w:lvlJc w:val="left"/>
      <w:pPr>
        <w:ind w:left="720" w:hanging="360"/>
      </w:pPr>
      <w:rPr>
        <w:rFonts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0"/>
  </w:num>
  <w:num w:numId="5">
    <w:abstractNumId w:val="0"/>
  </w:num>
  <w:num w:numId="6">
    <w:abstractNumId w:val="15"/>
  </w:num>
  <w:num w:numId="7">
    <w:abstractNumId w:val="2"/>
  </w:num>
  <w:num w:numId="8">
    <w:abstractNumId w:val="15"/>
    <w:lvlOverride w:ilvl="0">
      <w:startOverride w:val="171"/>
    </w:lvlOverride>
    <w:lvlOverride w:ilvl="1">
      <w:startOverride w:val="2"/>
    </w:lvlOverride>
    <w:lvlOverride w:ilvl="2">
      <w:startOverride w:val="1"/>
    </w:lvlOverride>
    <w:lvlOverride w:ilvl="3"/>
    <w:lvlOverride w:ilvl="4"/>
    <w:lvlOverride w:ilvl="5"/>
    <w:lvlOverride w:ilvl="6"/>
    <w:lvlOverride w:ilvl="7"/>
    <w:lvlOverride w:ilvl="8"/>
  </w:num>
  <w:num w:numId="9">
    <w:abstractNumId w:val="15"/>
    <w:lvlOverride w:ilvl="0">
      <w:startOverride w:val="182"/>
    </w:lvlOverride>
    <w:lvlOverride w:ilvl="1">
      <w:startOverride w:val="3"/>
    </w:lvlOverride>
    <w:lvlOverride w:ilvl="2">
      <w:startOverride w:val="1"/>
    </w:lvlOverride>
    <w:lvlOverride w:ilvl="3"/>
    <w:lvlOverride w:ilvl="4"/>
    <w:lvlOverride w:ilvl="5"/>
    <w:lvlOverride w:ilvl="6"/>
    <w:lvlOverride w:ilvl="7"/>
    <w:lvlOverride w:ilvl="8"/>
  </w:num>
  <w:num w:numId="10">
    <w:abstractNumId w:val="15"/>
    <w:lvlOverride w:ilvl="0">
      <w:startOverride w:val="187"/>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15"/>
    <w:lvlOverride w:ilvl="0">
      <w:startOverride w:val="192"/>
    </w:lvlOverride>
    <w:lvlOverride w:ilvl="1">
      <w:startOverride w:val="5"/>
    </w:lvlOverride>
    <w:lvlOverride w:ilvl="2">
      <w:startOverride w:val="1"/>
    </w:lvlOverride>
    <w:lvlOverride w:ilvl="3"/>
    <w:lvlOverride w:ilvl="4"/>
    <w:lvlOverride w:ilvl="5"/>
    <w:lvlOverride w:ilvl="6"/>
    <w:lvlOverride w:ilvl="7"/>
    <w:lvlOverride w:ilvl="8"/>
  </w:num>
  <w:num w:numId="12">
    <w:abstractNumId w:val="15"/>
    <w:lvlOverride w:ilvl="0">
      <w:startOverride w:val="218"/>
    </w:lvlOverride>
    <w:lvlOverride w:ilvl="1">
      <w:startOverride w:val="6"/>
    </w:lvlOverride>
    <w:lvlOverride w:ilvl="2">
      <w:startOverride w:val="1"/>
    </w:lvlOverride>
    <w:lvlOverride w:ilvl="3"/>
    <w:lvlOverride w:ilvl="4"/>
    <w:lvlOverride w:ilvl="5"/>
    <w:lvlOverride w:ilvl="6"/>
    <w:lvlOverride w:ilvl="7"/>
    <w:lvlOverride w:ilvl="8"/>
  </w:num>
  <w:num w:numId="13">
    <w:abstractNumId w:val="15"/>
    <w:lvlOverride w:ilvl="0">
      <w:startOverride w:val="226"/>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15"/>
    <w:lvlOverride w:ilvl="0">
      <w:startOverride w:val="232"/>
    </w:lvlOverride>
    <w:lvlOverride w:ilvl="1">
      <w:startOverride w:val="8"/>
    </w:lvlOverride>
    <w:lvlOverride w:ilvl="2">
      <w:startOverride w:val="1"/>
    </w:lvlOverride>
    <w:lvlOverride w:ilvl="3"/>
    <w:lvlOverride w:ilvl="4"/>
    <w:lvlOverride w:ilvl="5"/>
    <w:lvlOverride w:ilvl="6"/>
    <w:lvlOverride w:ilvl="7"/>
    <w:lvlOverride w:ilvl="8"/>
  </w:num>
  <w:num w:numId="15">
    <w:abstractNumId w:val="15"/>
    <w:lvlOverride w:ilvl="0">
      <w:startOverride w:val="236"/>
    </w:lvlOverride>
    <w:lvlOverride w:ilvl="1">
      <w:startOverride w:val="9"/>
    </w:lvlOverride>
    <w:lvlOverride w:ilvl="2">
      <w:startOverride w:val="1"/>
    </w:lvlOverride>
    <w:lvlOverride w:ilvl="3"/>
    <w:lvlOverride w:ilvl="4"/>
    <w:lvlOverride w:ilvl="5"/>
    <w:lvlOverride w:ilvl="6"/>
    <w:lvlOverride w:ilvl="7"/>
    <w:lvlOverride w:ilvl="8"/>
  </w:num>
  <w:num w:numId="16">
    <w:abstractNumId w:val="15"/>
    <w:lvlOverride w:ilvl="0">
      <w:startOverride w:val="23"/>
    </w:lvlOverride>
    <w:lvlOverride w:ilvl="1">
      <w:startOverride w:val="2"/>
    </w:lvlOverride>
    <w:lvlOverride w:ilvl="2">
      <w:startOverride w:val="1"/>
    </w:lvlOverride>
    <w:lvlOverride w:ilvl="3"/>
    <w:lvlOverride w:ilvl="4"/>
    <w:lvlOverride w:ilvl="5"/>
    <w:lvlOverride w:ilvl="6"/>
    <w:lvlOverride w:ilvl="7"/>
    <w:lvlOverride w:ilvl="8"/>
  </w:num>
  <w:num w:numId="17">
    <w:abstractNumId w:val="15"/>
    <w:lvlOverride w:ilvl="0">
      <w:startOverride w:val="37"/>
    </w:lvlOverride>
    <w:lvlOverride w:ilvl="1">
      <w:startOverride w:val="2"/>
    </w:lvlOverride>
    <w:lvlOverride w:ilvl="2">
      <w:startOverride w:val="1"/>
    </w:lvlOverride>
    <w:lvlOverride w:ilvl="3"/>
    <w:lvlOverride w:ilvl="4"/>
    <w:lvlOverride w:ilvl="5"/>
    <w:lvlOverride w:ilvl="6"/>
    <w:lvlOverride w:ilvl="7"/>
    <w:lvlOverride w:ilvl="8"/>
  </w:num>
  <w:num w:numId="18">
    <w:abstractNumId w:val="15"/>
    <w:lvlOverride w:ilvl="0">
      <w:startOverride w:val="42"/>
    </w:lvlOverride>
    <w:lvlOverride w:ilvl="1">
      <w:startOverride w:val="2"/>
    </w:lvlOverride>
    <w:lvlOverride w:ilvl="2">
      <w:startOverride w:val="1"/>
    </w:lvlOverride>
    <w:lvlOverride w:ilvl="3"/>
    <w:lvlOverride w:ilvl="4"/>
    <w:lvlOverride w:ilvl="5"/>
    <w:lvlOverride w:ilvl="6"/>
    <w:lvlOverride w:ilvl="7"/>
    <w:lvlOverride w:ilvl="8"/>
  </w:num>
  <w:num w:numId="19">
    <w:abstractNumId w:val="21"/>
  </w:num>
  <w:num w:numId="20">
    <w:abstractNumId w:val="15"/>
    <w:lvlOverride w:ilvl="0">
      <w:startOverride w:val="64"/>
    </w:lvlOverride>
    <w:lvlOverride w:ilvl="1">
      <w:startOverride w:val="3"/>
    </w:lvlOverride>
    <w:lvlOverride w:ilvl="2">
      <w:startOverride w:val="1"/>
    </w:lvlOverride>
    <w:lvlOverride w:ilvl="3"/>
    <w:lvlOverride w:ilvl="4"/>
    <w:lvlOverride w:ilvl="5"/>
    <w:lvlOverride w:ilvl="6"/>
    <w:lvlOverride w:ilvl="7"/>
    <w:lvlOverride w:ilvl="8"/>
  </w:num>
  <w:num w:numId="21">
    <w:abstractNumId w:val="15"/>
    <w:lvlOverride w:ilvl="0">
      <w:startOverride w:val="69"/>
    </w:lvlOverride>
    <w:lvlOverride w:ilvl="1">
      <w:startOverride w:val="4"/>
    </w:lvlOverride>
    <w:lvlOverride w:ilvl="2">
      <w:startOverride w:val="1"/>
    </w:lvlOverride>
    <w:lvlOverride w:ilvl="3"/>
    <w:lvlOverride w:ilvl="4"/>
    <w:lvlOverride w:ilvl="5"/>
    <w:lvlOverride w:ilvl="6"/>
    <w:lvlOverride w:ilvl="7"/>
    <w:lvlOverride w:ilvl="8"/>
  </w:num>
  <w:num w:numId="22">
    <w:abstractNumId w:val="15"/>
    <w:lvlOverride w:ilvl="0">
      <w:startOverride w:val="96"/>
    </w:lvlOverride>
    <w:lvlOverride w:ilvl="1">
      <w:startOverride w:val="2"/>
    </w:lvlOverride>
    <w:lvlOverride w:ilvl="2">
      <w:startOverride w:val="1"/>
    </w:lvlOverride>
    <w:lvlOverride w:ilvl="3"/>
    <w:lvlOverride w:ilvl="4"/>
    <w:lvlOverride w:ilvl="5"/>
    <w:lvlOverride w:ilvl="6"/>
    <w:lvlOverride w:ilvl="7"/>
    <w:lvlOverride w:ilvl="8"/>
  </w:num>
  <w:num w:numId="23">
    <w:abstractNumId w:val="14"/>
  </w:num>
  <w:num w:numId="24">
    <w:abstractNumId w:val="13"/>
  </w:num>
  <w:num w:numId="25">
    <w:abstractNumId w:val="19"/>
  </w:num>
  <w:num w:numId="26">
    <w:abstractNumId w:val="4"/>
  </w:num>
  <w:num w:numId="27">
    <w:abstractNumId w:val="3"/>
  </w:num>
  <w:num w:numId="28">
    <w:abstractNumId w:val="16"/>
  </w:num>
  <w:num w:numId="29">
    <w:abstractNumId w:val="17"/>
  </w:num>
  <w:num w:numId="30">
    <w:abstractNumId w:val="18"/>
  </w:num>
  <w:num w:numId="31">
    <w:abstractNumId w:val="22"/>
  </w:num>
  <w:num w:numId="32">
    <w:abstractNumId w:val="12"/>
  </w:num>
  <w:num w:numId="33">
    <w:abstractNumId w:val="7"/>
  </w:num>
  <w:num w:numId="34">
    <w:abstractNumId w:val="10"/>
  </w:num>
  <w:num w:numId="35">
    <w:abstractNumId w:val="8"/>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CE"/>
    <w:rsid w:val="00002DB4"/>
    <w:rsid w:val="00010006"/>
    <w:rsid w:val="0001009E"/>
    <w:rsid w:val="000102B4"/>
    <w:rsid w:val="00013118"/>
    <w:rsid w:val="00014395"/>
    <w:rsid w:val="000147A6"/>
    <w:rsid w:val="00016BC9"/>
    <w:rsid w:val="00026764"/>
    <w:rsid w:val="0003425C"/>
    <w:rsid w:val="0003464E"/>
    <w:rsid w:val="000355BA"/>
    <w:rsid w:val="000414A7"/>
    <w:rsid w:val="00045576"/>
    <w:rsid w:val="000516DA"/>
    <w:rsid w:val="00051D99"/>
    <w:rsid w:val="00054644"/>
    <w:rsid w:val="00063283"/>
    <w:rsid w:val="0007010A"/>
    <w:rsid w:val="00070520"/>
    <w:rsid w:val="000724F8"/>
    <w:rsid w:val="00072524"/>
    <w:rsid w:val="00076F34"/>
    <w:rsid w:val="00077DD8"/>
    <w:rsid w:val="0008161A"/>
    <w:rsid w:val="000857D8"/>
    <w:rsid w:val="0008671D"/>
    <w:rsid w:val="000900D5"/>
    <w:rsid w:val="00095566"/>
    <w:rsid w:val="0009779C"/>
    <w:rsid w:val="000978D6"/>
    <w:rsid w:val="000A0025"/>
    <w:rsid w:val="000A3C67"/>
    <w:rsid w:val="000A3FF3"/>
    <w:rsid w:val="000A510B"/>
    <w:rsid w:val="000A5B1B"/>
    <w:rsid w:val="000B520F"/>
    <w:rsid w:val="000B6626"/>
    <w:rsid w:val="000C0A25"/>
    <w:rsid w:val="000C48A0"/>
    <w:rsid w:val="000D3760"/>
    <w:rsid w:val="000D4257"/>
    <w:rsid w:val="000D678C"/>
    <w:rsid w:val="000D6896"/>
    <w:rsid w:val="000E16E5"/>
    <w:rsid w:val="000E2D99"/>
    <w:rsid w:val="000E3AD2"/>
    <w:rsid w:val="000E582B"/>
    <w:rsid w:val="000E5A1E"/>
    <w:rsid w:val="000F6A4B"/>
    <w:rsid w:val="00101EE4"/>
    <w:rsid w:val="00102554"/>
    <w:rsid w:val="001044A7"/>
    <w:rsid w:val="00114F4B"/>
    <w:rsid w:val="001170F4"/>
    <w:rsid w:val="00117DF6"/>
    <w:rsid w:val="00123ADD"/>
    <w:rsid w:val="00126E25"/>
    <w:rsid w:val="00127247"/>
    <w:rsid w:val="00127E62"/>
    <w:rsid w:val="00131090"/>
    <w:rsid w:val="00132BC9"/>
    <w:rsid w:val="00136E4E"/>
    <w:rsid w:val="00147ECD"/>
    <w:rsid w:val="00150359"/>
    <w:rsid w:val="00151F9F"/>
    <w:rsid w:val="00152B8A"/>
    <w:rsid w:val="0015581B"/>
    <w:rsid w:val="001579BD"/>
    <w:rsid w:val="0016035A"/>
    <w:rsid w:val="001623FE"/>
    <w:rsid w:val="00163769"/>
    <w:rsid w:val="001643B2"/>
    <w:rsid w:val="00170A26"/>
    <w:rsid w:val="00170DED"/>
    <w:rsid w:val="001741DE"/>
    <w:rsid w:val="001769A9"/>
    <w:rsid w:val="00180EFE"/>
    <w:rsid w:val="0018464A"/>
    <w:rsid w:val="001919FA"/>
    <w:rsid w:val="00191EDB"/>
    <w:rsid w:val="001949B6"/>
    <w:rsid w:val="001949EF"/>
    <w:rsid w:val="001A14F5"/>
    <w:rsid w:val="001A2A97"/>
    <w:rsid w:val="001A2FA4"/>
    <w:rsid w:val="001B06BE"/>
    <w:rsid w:val="001C0547"/>
    <w:rsid w:val="001C066E"/>
    <w:rsid w:val="001D0E29"/>
    <w:rsid w:val="001D77EB"/>
    <w:rsid w:val="001D7CEC"/>
    <w:rsid w:val="001E2B2E"/>
    <w:rsid w:val="001E35C8"/>
    <w:rsid w:val="001E3A7D"/>
    <w:rsid w:val="001E4955"/>
    <w:rsid w:val="001E5316"/>
    <w:rsid w:val="001E6F9F"/>
    <w:rsid w:val="001F1401"/>
    <w:rsid w:val="001F5663"/>
    <w:rsid w:val="001F7449"/>
    <w:rsid w:val="0020052C"/>
    <w:rsid w:val="00200916"/>
    <w:rsid w:val="002023E1"/>
    <w:rsid w:val="002023F1"/>
    <w:rsid w:val="00204165"/>
    <w:rsid w:val="00205F06"/>
    <w:rsid w:val="00207A0A"/>
    <w:rsid w:val="002102CD"/>
    <w:rsid w:val="00213575"/>
    <w:rsid w:val="00222183"/>
    <w:rsid w:val="00227EE9"/>
    <w:rsid w:val="002328F5"/>
    <w:rsid w:val="00237856"/>
    <w:rsid w:val="00241FE4"/>
    <w:rsid w:val="00246E10"/>
    <w:rsid w:val="00247420"/>
    <w:rsid w:val="00247668"/>
    <w:rsid w:val="002515DC"/>
    <w:rsid w:val="00251953"/>
    <w:rsid w:val="00254982"/>
    <w:rsid w:val="00255C3C"/>
    <w:rsid w:val="00255E85"/>
    <w:rsid w:val="00262B72"/>
    <w:rsid w:val="00272640"/>
    <w:rsid w:val="0028245C"/>
    <w:rsid w:val="0028410E"/>
    <w:rsid w:val="0028647F"/>
    <w:rsid w:val="002904FA"/>
    <w:rsid w:val="002A1F70"/>
    <w:rsid w:val="002B101C"/>
    <w:rsid w:val="002B4D6E"/>
    <w:rsid w:val="002B57CE"/>
    <w:rsid w:val="002B70D2"/>
    <w:rsid w:val="002C0242"/>
    <w:rsid w:val="002D07CC"/>
    <w:rsid w:val="002D499E"/>
    <w:rsid w:val="002D65DF"/>
    <w:rsid w:val="002E22E5"/>
    <w:rsid w:val="002E7C11"/>
    <w:rsid w:val="002E7F6C"/>
    <w:rsid w:val="002F0D05"/>
    <w:rsid w:val="002F1A33"/>
    <w:rsid w:val="002F46C5"/>
    <w:rsid w:val="002F5F17"/>
    <w:rsid w:val="00305774"/>
    <w:rsid w:val="003135FF"/>
    <w:rsid w:val="003161C1"/>
    <w:rsid w:val="003179F0"/>
    <w:rsid w:val="003304C4"/>
    <w:rsid w:val="00331975"/>
    <w:rsid w:val="0033445A"/>
    <w:rsid w:val="00334ED7"/>
    <w:rsid w:val="00335258"/>
    <w:rsid w:val="0034221F"/>
    <w:rsid w:val="00342E8B"/>
    <w:rsid w:val="00344AE0"/>
    <w:rsid w:val="00345D70"/>
    <w:rsid w:val="00347219"/>
    <w:rsid w:val="00347ECD"/>
    <w:rsid w:val="00350726"/>
    <w:rsid w:val="003507A9"/>
    <w:rsid w:val="00350BC2"/>
    <w:rsid w:val="00350F53"/>
    <w:rsid w:val="003573B5"/>
    <w:rsid w:val="00362DF6"/>
    <w:rsid w:val="00362FFC"/>
    <w:rsid w:val="00363A98"/>
    <w:rsid w:val="003665CF"/>
    <w:rsid w:val="0037216A"/>
    <w:rsid w:val="00376517"/>
    <w:rsid w:val="00376EE3"/>
    <w:rsid w:val="00377E95"/>
    <w:rsid w:val="00391CEC"/>
    <w:rsid w:val="003A3CB4"/>
    <w:rsid w:val="003A481C"/>
    <w:rsid w:val="003B2A22"/>
    <w:rsid w:val="003B3A04"/>
    <w:rsid w:val="003B5356"/>
    <w:rsid w:val="003C172D"/>
    <w:rsid w:val="003C2E56"/>
    <w:rsid w:val="003C3B09"/>
    <w:rsid w:val="003C3C46"/>
    <w:rsid w:val="003C5A07"/>
    <w:rsid w:val="003C64D7"/>
    <w:rsid w:val="003C6C9C"/>
    <w:rsid w:val="003D3570"/>
    <w:rsid w:val="003D4CF1"/>
    <w:rsid w:val="003E0D55"/>
    <w:rsid w:val="003E16BD"/>
    <w:rsid w:val="003E1EB1"/>
    <w:rsid w:val="003E4E8A"/>
    <w:rsid w:val="003E7599"/>
    <w:rsid w:val="003F0663"/>
    <w:rsid w:val="003F1598"/>
    <w:rsid w:val="003F18B3"/>
    <w:rsid w:val="003F32F1"/>
    <w:rsid w:val="003F6A1E"/>
    <w:rsid w:val="0040559C"/>
    <w:rsid w:val="00406A51"/>
    <w:rsid w:val="004103B1"/>
    <w:rsid w:val="00420363"/>
    <w:rsid w:val="00421D0A"/>
    <w:rsid w:val="004260B5"/>
    <w:rsid w:val="0042630E"/>
    <w:rsid w:val="004424CA"/>
    <w:rsid w:val="00445221"/>
    <w:rsid w:val="00445E40"/>
    <w:rsid w:val="00446A58"/>
    <w:rsid w:val="00452BBB"/>
    <w:rsid w:val="00466E1C"/>
    <w:rsid w:val="00467F0A"/>
    <w:rsid w:val="004725FC"/>
    <w:rsid w:val="00474275"/>
    <w:rsid w:val="00482123"/>
    <w:rsid w:val="004825EB"/>
    <w:rsid w:val="00482A21"/>
    <w:rsid w:val="00482D48"/>
    <w:rsid w:val="00482E0A"/>
    <w:rsid w:val="004867CC"/>
    <w:rsid w:val="00486DB4"/>
    <w:rsid w:val="00494FA6"/>
    <w:rsid w:val="00496C03"/>
    <w:rsid w:val="004A10C1"/>
    <w:rsid w:val="004A2BC6"/>
    <w:rsid w:val="004A3217"/>
    <w:rsid w:val="004A5B53"/>
    <w:rsid w:val="004B2092"/>
    <w:rsid w:val="004B3690"/>
    <w:rsid w:val="004C0B40"/>
    <w:rsid w:val="004C4681"/>
    <w:rsid w:val="004C5C79"/>
    <w:rsid w:val="004D3B77"/>
    <w:rsid w:val="004D49BE"/>
    <w:rsid w:val="004D7B1C"/>
    <w:rsid w:val="004E2AB1"/>
    <w:rsid w:val="004E3A99"/>
    <w:rsid w:val="004E3CC1"/>
    <w:rsid w:val="004E67FA"/>
    <w:rsid w:val="004E727D"/>
    <w:rsid w:val="004F19FE"/>
    <w:rsid w:val="004F381B"/>
    <w:rsid w:val="00501314"/>
    <w:rsid w:val="00501972"/>
    <w:rsid w:val="005061D8"/>
    <w:rsid w:val="00510502"/>
    <w:rsid w:val="00510ADA"/>
    <w:rsid w:val="00510F1A"/>
    <w:rsid w:val="005137C6"/>
    <w:rsid w:val="00515CE7"/>
    <w:rsid w:val="00516632"/>
    <w:rsid w:val="00523151"/>
    <w:rsid w:val="00523FF1"/>
    <w:rsid w:val="00524727"/>
    <w:rsid w:val="00531AB2"/>
    <w:rsid w:val="00532802"/>
    <w:rsid w:val="0053406B"/>
    <w:rsid w:val="00542568"/>
    <w:rsid w:val="00542D64"/>
    <w:rsid w:val="0054320F"/>
    <w:rsid w:val="00544B80"/>
    <w:rsid w:val="005534D5"/>
    <w:rsid w:val="005547AB"/>
    <w:rsid w:val="00565B37"/>
    <w:rsid w:val="00566D41"/>
    <w:rsid w:val="00571802"/>
    <w:rsid w:val="00571C4B"/>
    <w:rsid w:val="00574D58"/>
    <w:rsid w:val="00575285"/>
    <w:rsid w:val="00581481"/>
    <w:rsid w:val="0058180C"/>
    <w:rsid w:val="00582954"/>
    <w:rsid w:val="005848EB"/>
    <w:rsid w:val="00584A9E"/>
    <w:rsid w:val="00585C1E"/>
    <w:rsid w:val="00587574"/>
    <w:rsid w:val="005908E6"/>
    <w:rsid w:val="005A3A45"/>
    <w:rsid w:val="005A40A1"/>
    <w:rsid w:val="005A41ED"/>
    <w:rsid w:val="005B299C"/>
    <w:rsid w:val="005B3A49"/>
    <w:rsid w:val="005B5A26"/>
    <w:rsid w:val="005C063C"/>
    <w:rsid w:val="005C2DCF"/>
    <w:rsid w:val="005D2529"/>
    <w:rsid w:val="005D6CA0"/>
    <w:rsid w:val="005E3647"/>
    <w:rsid w:val="005E54A3"/>
    <w:rsid w:val="005E7200"/>
    <w:rsid w:val="005F0679"/>
    <w:rsid w:val="005F13BF"/>
    <w:rsid w:val="005F2415"/>
    <w:rsid w:val="005F3A79"/>
    <w:rsid w:val="005F4A76"/>
    <w:rsid w:val="005F5F1C"/>
    <w:rsid w:val="00600A39"/>
    <w:rsid w:val="00601121"/>
    <w:rsid w:val="006042FC"/>
    <w:rsid w:val="00605DA4"/>
    <w:rsid w:val="00607AF1"/>
    <w:rsid w:val="00607B6E"/>
    <w:rsid w:val="00617566"/>
    <w:rsid w:val="00621C99"/>
    <w:rsid w:val="0062490D"/>
    <w:rsid w:val="00627A7F"/>
    <w:rsid w:val="006327C0"/>
    <w:rsid w:val="0063665C"/>
    <w:rsid w:val="00641DAD"/>
    <w:rsid w:val="00644736"/>
    <w:rsid w:val="00644ADD"/>
    <w:rsid w:val="00646AB6"/>
    <w:rsid w:val="006527D9"/>
    <w:rsid w:val="00656E5E"/>
    <w:rsid w:val="0066215B"/>
    <w:rsid w:val="00666D49"/>
    <w:rsid w:val="006671B1"/>
    <w:rsid w:val="006717F9"/>
    <w:rsid w:val="00672063"/>
    <w:rsid w:val="006773F6"/>
    <w:rsid w:val="00682804"/>
    <w:rsid w:val="0068291B"/>
    <w:rsid w:val="00682F24"/>
    <w:rsid w:val="006842E3"/>
    <w:rsid w:val="006926B3"/>
    <w:rsid w:val="006A1612"/>
    <w:rsid w:val="006A1FEC"/>
    <w:rsid w:val="006A454C"/>
    <w:rsid w:val="006A58E0"/>
    <w:rsid w:val="006B2118"/>
    <w:rsid w:val="006B36A6"/>
    <w:rsid w:val="006B64B0"/>
    <w:rsid w:val="006C1FA8"/>
    <w:rsid w:val="006C75B4"/>
    <w:rsid w:val="006C79F3"/>
    <w:rsid w:val="006D0A13"/>
    <w:rsid w:val="006D4FFA"/>
    <w:rsid w:val="006E2AC4"/>
    <w:rsid w:val="007058AF"/>
    <w:rsid w:val="00710DFA"/>
    <w:rsid w:val="007121E1"/>
    <w:rsid w:val="00715B7F"/>
    <w:rsid w:val="00725DDC"/>
    <w:rsid w:val="00730DB7"/>
    <w:rsid w:val="00731FEC"/>
    <w:rsid w:val="0073355C"/>
    <w:rsid w:val="00733EEA"/>
    <w:rsid w:val="007407F1"/>
    <w:rsid w:val="00745795"/>
    <w:rsid w:val="0076065C"/>
    <w:rsid w:val="0076654B"/>
    <w:rsid w:val="00774FD3"/>
    <w:rsid w:val="007779B4"/>
    <w:rsid w:val="00780408"/>
    <w:rsid w:val="007855FC"/>
    <w:rsid w:val="00790F96"/>
    <w:rsid w:val="007965BF"/>
    <w:rsid w:val="007A17E1"/>
    <w:rsid w:val="007A1C1D"/>
    <w:rsid w:val="007A60CE"/>
    <w:rsid w:val="007D2FF4"/>
    <w:rsid w:val="007E161B"/>
    <w:rsid w:val="007F2DCB"/>
    <w:rsid w:val="007F35E3"/>
    <w:rsid w:val="007F5C74"/>
    <w:rsid w:val="007F5DDB"/>
    <w:rsid w:val="007F5F88"/>
    <w:rsid w:val="007F645D"/>
    <w:rsid w:val="007F70D1"/>
    <w:rsid w:val="00801F82"/>
    <w:rsid w:val="00802CA4"/>
    <w:rsid w:val="00803B94"/>
    <w:rsid w:val="00806ABA"/>
    <w:rsid w:val="00806B0C"/>
    <w:rsid w:val="0081113A"/>
    <w:rsid w:val="00812151"/>
    <w:rsid w:val="00816C6F"/>
    <w:rsid w:val="00820A77"/>
    <w:rsid w:val="00825534"/>
    <w:rsid w:val="00826F83"/>
    <w:rsid w:val="0082776B"/>
    <w:rsid w:val="008305C7"/>
    <w:rsid w:val="00832FD0"/>
    <w:rsid w:val="00835314"/>
    <w:rsid w:val="008443E0"/>
    <w:rsid w:val="0084602D"/>
    <w:rsid w:val="00847645"/>
    <w:rsid w:val="00854342"/>
    <w:rsid w:val="0085522C"/>
    <w:rsid w:val="00855BE8"/>
    <w:rsid w:val="00856078"/>
    <w:rsid w:val="00863BDF"/>
    <w:rsid w:val="008725F8"/>
    <w:rsid w:val="008743EC"/>
    <w:rsid w:val="00876A6C"/>
    <w:rsid w:val="00877FA4"/>
    <w:rsid w:val="008808D0"/>
    <w:rsid w:val="0088239C"/>
    <w:rsid w:val="00882E43"/>
    <w:rsid w:val="008848F4"/>
    <w:rsid w:val="00885B3E"/>
    <w:rsid w:val="00891256"/>
    <w:rsid w:val="00891485"/>
    <w:rsid w:val="008916FD"/>
    <w:rsid w:val="00893423"/>
    <w:rsid w:val="008956FE"/>
    <w:rsid w:val="00895B89"/>
    <w:rsid w:val="00897316"/>
    <w:rsid w:val="008A126C"/>
    <w:rsid w:val="008A210D"/>
    <w:rsid w:val="008A24E5"/>
    <w:rsid w:val="008B1133"/>
    <w:rsid w:val="008C0E6C"/>
    <w:rsid w:val="008C1D8F"/>
    <w:rsid w:val="008C22B7"/>
    <w:rsid w:val="008D0EA4"/>
    <w:rsid w:val="008D3919"/>
    <w:rsid w:val="008E4CB7"/>
    <w:rsid w:val="008E507F"/>
    <w:rsid w:val="008E6E4D"/>
    <w:rsid w:val="008E7C64"/>
    <w:rsid w:val="008F6271"/>
    <w:rsid w:val="008F7577"/>
    <w:rsid w:val="0090425F"/>
    <w:rsid w:val="00904DAD"/>
    <w:rsid w:val="009100F5"/>
    <w:rsid w:val="00912F18"/>
    <w:rsid w:val="00915373"/>
    <w:rsid w:val="009229C8"/>
    <w:rsid w:val="00933B75"/>
    <w:rsid w:val="009366E5"/>
    <w:rsid w:val="00943920"/>
    <w:rsid w:val="009447DD"/>
    <w:rsid w:val="009513A3"/>
    <w:rsid w:val="00952580"/>
    <w:rsid w:val="009628CA"/>
    <w:rsid w:val="009713E3"/>
    <w:rsid w:val="009718B9"/>
    <w:rsid w:val="00976B10"/>
    <w:rsid w:val="00976EF0"/>
    <w:rsid w:val="0097795A"/>
    <w:rsid w:val="00984982"/>
    <w:rsid w:val="00984DA0"/>
    <w:rsid w:val="00986CC1"/>
    <w:rsid w:val="00986E2C"/>
    <w:rsid w:val="00992B36"/>
    <w:rsid w:val="009936B9"/>
    <w:rsid w:val="00997A03"/>
    <w:rsid w:val="00997C8D"/>
    <w:rsid w:val="00997DD9"/>
    <w:rsid w:val="009A0F09"/>
    <w:rsid w:val="009A258B"/>
    <w:rsid w:val="009A764F"/>
    <w:rsid w:val="009B745E"/>
    <w:rsid w:val="009C1E1A"/>
    <w:rsid w:val="009D42D8"/>
    <w:rsid w:val="009D5CA7"/>
    <w:rsid w:val="009D6396"/>
    <w:rsid w:val="009E25A4"/>
    <w:rsid w:val="009E352C"/>
    <w:rsid w:val="009E43F9"/>
    <w:rsid w:val="009E4683"/>
    <w:rsid w:val="009F0613"/>
    <w:rsid w:val="009F1D78"/>
    <w:rsid w:val="00A0706C"/>
    <w:rsid w:val="00A078A7"/>
    <w:rsid w:val="00A17144"/>
    <w:rsid w:val="00A17896"/>
    <w:rsid w:val="00A2257A"/>
    <w:rsid w:val="00A22A36"/>
    <w:rsid w:val="00A2372F"/>
    <w:rsid w:val="00A251D6"/>
    <w:rsid w:val="00A26FA5"/>
    <w:rsid w:val="00A34B4F"/>
    <w:rsid w:val="00A42BF0"/>
    <w:rsid w:val="00A42F58"/>
    <w:rsid w:val="00A43295"/>
    <w:rsid w:val="00A46822"/>
    <w:rsid w:val="00A4704F"/>
    <w:rsid w:val="00A519EB"/>
    <w:rsid w:val="00A51FB3"/>
    <w:rsid w:val="00A6124E"/>
    <w:rsid w:val="00A61610"/>
    <w:rsid w:val="00A64B52"/>
    <w:rsid w:val="00A7695E"/>
    <w:rsid w:val="00A776FA"/>
    <w:rsid w:val="00A77873"/>
    <w:rsid w:val="00A831CC"/>
    <w:rsid w:val="00A85F6D"/>
    <w:rsid w:val="00A90819"/>
    <w:rsid w:val="00A90F1D"/>
    <w:rsid w:val="00A918E7"/>
    <w:rsid w:val="00A9261B"/>
    <w:rsid w:val="00A95A59"/>
    <w:rsid w:val="00A9777F"/>
    <w:rsid w:val="00AA439D"/>
    <w:rsid w:val="00AA62FE"/>
    <w:rsid w:val="00AB1924"/>
    <w:rsid w:val="00AB225E"/>
    <w:rsid w:val="00AB441A"/>
    <w:rsid w:val="00AC0816"/>
    <w:rsid w:val="00AC259A"/>
    <w:rsid w:val="00AC4729"/>
    <w:rsid w:val="00AD0709"/>
    <w:rsid w:val="00AD321F"/>
    <w:rsid w:val="00AD4259"/>
    <w:rsid w:val="00AD5584"/>
    <w:rsid w:val="00AD751A"/>
    <w:rsid w:val="00AE052C"/>
    <w:rsid w:val="00AF1287"/>
    <w:rsid w:val="00AF16CD"/>
    <w:rsid w:val="00B01422"/>
    <w:rsid w:val="00B05916"/>
    <w:rsid w:val="00B05B82"/>
    <w:rsid w:val="00B061E6"/>
    <w:rsid w:val="00B107D6"/>
    <w:rsid w:val="00B170FD"/>
    <w:rsid w:val="00B20834"/>
    <w:rsid w:val="00B24DBE"/>
    <w:rsid w:val="00B30756"/>
    <w:rsid w:val="00B37689"/>
    <w:rsid w:val="00B423C4"/>
    <w:rsid w:val="00B46FEB"/>
    <w:rsid w:val="00B4777E"/>
    <w:rsid w:val="00B47C3B"/>
    <w:rsid w:val="00B60BA3"/>
    <w:rsid w:val="00B61713"/>
    <w:rsid w:val="00B62A60"/>
    <w:rsid w:val="00B63869"/>
    <w:rsid w:val="00B8009F"/>
    <w:rsid w:val="00B8131C"/>
    <w:rsid w:val="00B861DF"/>
    <w:rsid w:val="00B87B5C"/>
    <w:rsid w:val="00B90902"/>
    <w:rsid w:val="00B92145"/>
    <w:rsid w:val="00B93824"/>
    <w:rsid w:val="00BA0F2C"/>
    <w:rsid w:val="00BA2DEC"/>
    <w:rsid w:val="00BA4CC7"/>
    <w:rsid w:val="00BA7A40"/>
    <w:rsid w:val="00BB2105"/>
    <w:rsid w:val="00BB39D0"/>
    <w:rsid w:val="00BC19E9"/>
    <w:rsid w:val="00BC54A4"/>
    <w:rsid w:val="00BD23AD"/>
    <w:rsid w:val="00BD5E2C"/>
    <w:rsid w:val="00BE10C3"/>
    <w:rsid w:val="00BE1BB5"/>
    <w:rsid w:val="00BE2F6D"/>
    <w:rsid w:val="00BE5671"/>
    <w:rsid w:val="00BF3049"/>
    <w:rsid w:val="00BF389F"/>
    <w:rsid w:val="00BF521A"/>
    <w:rsid w:val="00BF5AD5"/>
    <w:rsid w:val="00BF6F80"/>
    <w:rsid w:val="00C05C9D"/>
    <w:rsid w:val="00C17107"/>
    <w:rsid w:val="00C172E3"/>
    <w:rsid w:val="00C17ED0"/>
    <w:rsid w:val="00C2131E"/>
    <w:rsid w:val="00C23682"/>
    <w:rsid w:val="00C23D92"/>
    <w:rsid w:val="00C30344"/>
    <w:rsid w:val="00C31DA2"/>
    <w:rsid w:val="00C346B0"/>
    <w:rsid w:val="00C3601B"/>
    <w:rsid w:val="00C37EB0"/>
    <w:rsid w:val="00C43D98"/>
    <w:rsid w:val="00C474B6"/>
    <w:rsid w:val="00C47B07"/>
    <w:rsid w:val="00C51835"/>
    <w:rsid w:val="00C52414"/>
    <w:rsid w:val="00C53393"/>
    <w:rsid w:val="00C55297"/>
    <w:rsid w:val="00C57DA3"/>
    <w:rsid w:val="00C62AB1"/>
    <w:rsid w:val="00C65EED"/>
    <w:rsid w:val="00C67AA5"/>
    <w:rsid w:val="00C837DD"/>
    <w:rsid w:val="00C8711B"/>
    <w:rsid w:val="00C9001D"/>
    <w:rsid w:val="00C9025E"/>
    <w:rsid w:val="00C90774"/>
    <w:rsid w:val="00C964A7"/>
    <w:rsid w:val="00CA0143"/>
    <w:rsid w:val="00CA04EB"/>
    <w:rsid w:val="00CA25DD"/>
    <w:rsid w:val="00CA4A8F"/>
    <w:rsid w:val="00CB2AF9"/>
    <w:rsid w:val="00CB5E1E"/>
    <w:rsid w:val="00CB75A3"/>
    <w:rsid w:val="00CD27F8"/>
    <w:rsid w:val="00CD3BDA"/>
    <w:rsid w:val="00CD5382"/>
    <w:rsid w:val="00CE1A44"/>
    <w:rsid w:val="00CE472F"/>
    <w:rsid w:val="00CE6033"/>
    <w:rsid w:val="00CF267D"/>
    <w:rsid w:val="00CF43F5"/>
    <w:rsid w:val="00CF61FA"/>
    <w:rsid w:val="00D00ED4"/>
    <w:rsid w:val="00D17BDE"/>
    <w:rsid w:val="00D24EBA"/>
    <w:rsid w:val="00D25B0E"/>
    <w:rsid w:val="00D30C6A"/>
    <w:rsid w:val="00D33844"/>
    <w:rsid w:val="00D34CF0"/>
    <w:rsid w:val="00D350DF"/>
    <w:rsid w:val="00D353B5"/>
    <w:rsid w:val="00D36138"/>
    <w:rsid w:val="00D36A2B"/>
    <w:rsid w:val="00D36EB7"/>
    <w:rsid w:val="00D405DC"/>
    <w:rsid w:val="00D41C98"/>
    <w:rsid w:val="00D43D4D"/>
    <w:rsid w:val="00D45A7F"/>
    <w:rsid w:val="00D6097D"/>
    <w:rsid w:val="00D61837"/>
    <w:rsid w:val="00D63A20"/>
    <w:rsid w:val="00D67019"/>
    <w:rsid w:val="00D70620"/>
    <w:rsid w:val="00D71605"/>
    <w:rsid w:val="00D74C67"/>
    <w:rsid w:val="00D82A4C"/>
    <w:rsid w:val="00D82EEE"/>
    <w:rsid w:val="00D860A8"/>
    <w:rsid w:val="00D8684C"/>
    <w:rsid w:val="00D91141"/>
    <w:rsid w:val="00D9334D"/>
    <w:rsid w:val="00DA6A9E"/>
    <w:rsid w:val="00DB0D93"/>
    <w:rsid w:val="00DB1DE4"/>
    <w:rsid w:val="00DB2084"/>
    <w:rsid w:val="00DB4CD8"/>
    <w:rsid w:val="00DB5C44"/>
    <w:rsid w:val="00DD4006"/>
    <w:rsid w:val="00DD69F5"/>
    <w:rsid w:val="00DD7F8B"/>
    <w:rsid w:val="00DE48A8"/>
    <w:rsid w:val="00DF22E3"/>
    <w:rsid w:val="00DF3ECC"/>
    <w:rsid w:val="00DF52F3"/>
    <w:rsid w:val="00DF6770"/>
    <w:rsid w:val="00DF7273"/>
    <w:rsid w:val="00E003CE"/>
    <w:rsid w:val="00E0426A"/>
    <w:rsid w:val="00E11C40"/>
    <w:rsid w:val="00E17E85"/>
    <w:rsid w:val="00E249F0"/>
    <w:rsid w:val="00E25AC0"/>
    <w:rsid w:val="00E30771"/>
    <w:rsid w:val="00E32C5A"/>
    <w:rsid w:val="00E347F1"/>
    <w:rsid w:val="00E40F51"/>
    <w:rsid w:val="00E42F67"/>
    <w:rsid w:val="00E42F87"/>
    <w:rsid w:val="00E4323E"/>
    <w:rsid w:val="00E433B6"/>
    <w:rsid w:val="00E44A8F"/>
    <w:rsid w:val="00E5040A"/>
    <w:rsid w:val="00E57987"/>
    <w:rsid w:val="00E615EA"/>
    <w:rsid w:val="00E616C2"/>
    <w:rsid w:val="00E629E2"/>
    <w:rsid w:val="00E66FF6"/>
    <w:rsid w:val="00E71AB9"/>
    <w:rsid w:val="00E75255"/>
    <w:rsid w:val="00E829BE"/>
    <w:rsid w:val="00E82D6D"/>
    <w:rsid w:val="00E85156"/>
    <w:rsid w:val="00E86A13"/>
    <w:rsid w:val="00E903E9"/>
    <w:rsid w:val="00E917A4"/>
    <w:rsid w:val="00E922C0"/>
    <w:rsid w:val="00E92BB7"/>
    <w:rsid w:val="00E93D83"/>
    <w:rsid w:val="00E94460"/>
    <w:rsid w:val="00EB1425"/>
    <w:rsid w:val="00EB1469"/>
    <w:rsid w:val="00EB47C6"/>
    <w:rsid w:val="00EB4CD3"/>
    <w:rsid w:val="00EB5428"/>
    <w:rsid w:val="00EB5733"/>
    <w:rsid w:val="00EB69A7"/>
    <w:rsid w:val="00EC0D59"/>
    <w:rsid w:val="00ED1A94"/>
    <w:rsid w:val="00ED3F48"/>
    <w:rsid w:val="00ED442F"/>
    <w:rsid w:val="00EE15B3"/>
    <w:rsid w:val="00EE17B8"/>
    <w:rsid w:val="00EE4721"/>
    <w:rsid w:val="00EE789A"/>
    <w:rsid w:val="00EF41BB"/>
    <w:rsid w:val="00EF49C9"/>
    <w:rsid w:val="00F0692A"/>
    <w:rsid w:val="00F1104B"/>
    <w:rsid w:val="00F11C66"/>
    <w:rsid w:val="00F2005C"/>
    <w:rsid w:val="00F207F3"/>
    <w:rsid w:val="00F20EC1"/>
    <w:rsid w:val="00F264FC"/>
    <w:rsid w:val="00F312EE"/>
    <w:rsid w:val="00F329A8"/>
    <w:rsid w:val="00F407CA"/>
    <w:rsid w:val="00F42357"/>
    <w:rsid w:val="00F50885"/>
    <w:rsid w:val="00F55AEC"/>
    <w:rsid w:val="00F56DCE"/>
    <w:rsid w:val="00F606CF"/>
    <w:rsid w:val="00F60BFA"/>
    <w:rsid w:val="00F60EC2"/>
    <w:rsid w:val="00F62581"/>
    <w:rsid w:val="00F62587"/>
    <w:rsid w:val="00F64747"/>
    <w:rsid w:val="00F83E72"/>
    <w:rsid w:val="00F85D5F"/>
    <w:rsid w:val="00F909CC"/>
    <w:rsid w:val="00F920DE"/>
    <w:rsid w:val="00FA1976"/>
    <w:rsid w:val="00FB585A"/>
    <w:rsid w:val="00FB6A92"/>
    <w:rsid w:val="00FC1F8D"/>
    <w:rsid w:val="00FC2E44"/>
    <w:rsid w:val="00FC3DDA"/>
    <w:rsid w:val="00FD0542"/>
    <w:rsid w:val="00FD20D2"/>
    <w:rsid w:val="00FD4B42"/>
    <w:rsid w:val="00FE516A"/>
    <w:rsid w:val="00FE582A"/>
    <w:rsid w:val="00FF1536"/>
    <w:rsid w:val="00FF25D8"/>
    <w:rsid w:val="00FF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6904"/>
  <w15:chartTrackingRefBased/>
  <w15:docId w15:val="{6CA9B78F-A22A-4E10-B8DD-E754A364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5D5F"/>
    <w:pPr>
      <w:widowControl w:val="0"/>
      <w:autoSpaceDE w:val="0"/>
      <w:autoSpaceDN w:val="0"/>
      <w:spacing w:after="0" w:line="240" w:lineRule="auto"/>
    </w:pPr>
    <w:rPr>
      <w:rFonts w:ascii="Verdana" w:eastAsia="Verdana" w:hAnsi="Verdana" w:cs="Verdana"/>
      <w:lang w:val="en-US"/>
    </w:rPr>
  </w:style>
  <w:style w:type="paragraph" w:styleId="Ttulo1">
    <w:name w:val="heading 1"/>
    <w:basedOn w:val="Normal"/>
    <w:link w:val="Ttulo1Car"/>
    <w:uiPriority w:val="1"/>
    <w:qFormat/>
    <w:rsid w:val="00F85D5F"/>
    <w:pPr>
      <w:jc w:val="center"/>
      <w:outlineLvl w:val="0"/>
    </w:pPr>
    <w:rPr>
      <w:b/>
      <w:w w:val="99"/>
      <w:sz w:val="20"/>
      <w:szCs w:val="20"/>
      <w:lang w:val="es-CR"/>
    </w:rPr>
  </w:style>
  <w:style w:type="paragraph" w:styleId="Ttulo2">
    <w:name w:val="heading 2"/>
    <w:basedOn w:val="Prrafodelista"/>
    <w:link w:val="Ttulo2Car"/>
    <w:uiPriority w:val="1"/>
    <w:qFormat/>
    <w:rsid w:val="00F85D5F"/>
    <w:pPr>
      <w:numPr>
        <w:ilvl w:val="1"/>
        <w:numId w:val="6"/>
      </w:numPr>
      <w:outlineLvl w:val="1"/>
    </w:pPr>
    <w:rPr>
      <w:b/>
      <w:sz w:val="20"/>
      <w:szCs w:val="20"/>
      <w:lang w:val="es-CR"/>
    </w:rPr>
  </w:style>
  <w:style w:type="paragraph" w:styleId="Ttulo3">
    <w:name w:val="heading 3"/>
    <w:basedOn w:val="Normal"/>
    <w:next w:val="Normal"/>
    <w:link w:val="Ttulo3Car"/>
    <w:uiPriority w:val="9"/>
    <w:unhideWhenUsed/>
    <w:qFormat/>
    <w:rsid w:val="00F85D5F"/>
    <w:pPr>
      <w:ind w:left="1843"/>
      <w:outlineLvl w:val="2"/>
    </w:pPr>
    <w:rPr>
      <w:i/>
    </w:rPr>
  </w:style>
  <w:style w:type="paragraph" w:styleId="Ttulo4">
    <w:name w:val="heading 4"/>
    <w:basedOn w:val="Prrafodelista"/>
    <w:next w:val="Normal"/>
    <w:link w:val="Ttulo4Car"/>
    <w:uiPriority w:val="9"/>
    <w:unhideWhenUsed/>
    <w:qFormat/>
    <w:rsid w:val="00F85D5F"/>
    <w:pPr>
      <w:numPr>
        <w:numId w:val="7"/>
      </w:numPr>
      <w:outlineLvl w:val="3"/>
    </w:pPr>
    <w:rPr>
      <w:b/>
      <w:i/>
      <w:sz w:val="20"/>
      <w:szCs w:val="20"/>
      <w:lang w:val="es-CR"/>
    </w:rPr>
  </w:style>
  <w:style w:type="paragraph" w:styleId="Ttulo5">
    <w:name w:val="heading 5"/>
    <w:basedOn w:val="Prrafodelista"/>
    <w:next w:val="Normal"/>
    <w:link w:val="Ttulo5Car"/>
    <w:uiPriority w:val="9"/>
    <w:unhideWhenUsed/>
    <w:qFormat/>
    <w:rsid w:val="00F85D5F"/>
    <w:pPr>
      <w:ind w:left="1134" w:hanging="2"/>
      <w:outlineLvl w:val="4"/>
    </w:pPr>
    <w:rPr>
      <w:i/>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85D5F"/>
    <w:rPr>
      <w:rFonts w:ascii="Verdana" w:eastAsia="Verdana" w:hAnsi="Verdana" w:cs="Verdana"/>
      <w:b/>
      <w:w w:val="99"/>
      <w:sz w:val="20"/>
      <w:szCs w:val="20"/>
      <w:lang w:val="es-CR"/>
    </w:rPr>
  </w:style>
  <w:style w:type="character" w:customStyle="1" w:styleId="Ttulo2Car">
    <w:name w:val="Título 2 Car"/>
    <w:basedOn w:val="Fuentedeprrafopredeter"/>
    <w:link w:val="Ttulo2"/>
    <w:uiPriority w:val="1"/>
    <w:rsid w:val="00F85D5F"/>
    <w:rPr>
      <w:rFonts w:ascii="Verdana" w:eastAsia="Verdana" w:hAnsi="Verdana" w:cs="Verdana"/>
      <w:b/>
      <w:sz w:val="20"/>
      <w:szCs w:val="20"/>
      <w:lang w:val="es-CR"/>
    </w:rPr>
  </w:style>
  <w:style w:type="character" w:customStyle="1" w:styleId="Ttulo3Car">
    <w:name w:val="Título 3 Car"/>
    <w:basedOn w:val="Fuentedeprrafopredeter"/>
    <w:link w:val="Ttulo3"/>
    <w:uiPriority w:val="9"/>
    <w:rsid w:val="00F85D5F"/>
    <w:rPr>
      <w:rFonts w:ascii="Verdana" w:eastAsia="Verdana" w:hAnsi="Verdana" w:cs="Verdana"/>
      <w:i/>
      <w:lang w:val="en-US"/>
    </w:rPr>
  </w:style>
  <w:style w:type="character" w:customStyle="1" w:styleId="Ttulo4Car">
    <w:name w:val="Título 4 Car"/>
    <w:basedOn w:val="Fuentedeprrafopredeter"/>
    <w:link w:val="Ttulo4"/>
    <w:uiPriority w:val="9"/>
    <w:rsid w:val="00F85D5F"/>
    <w:rPr>
      <w:rFonts w:ascii="Verdana" w:eastAsia="Verdana" w:hAnsi="Verdana" w:cs="Verdana"/>
      <w:b/>
      <w:i/>
      <w:sz w:val="20"/>
      <w:szCs w:val="20"/>
      <w:lang w:val="es-CR"/>
    </w:rPr>
  </w:style>
  <w:style w:type="character" w:customStyle="1" w:styleId="Ttulo5Car">
    <w:name w:val="Título 5 Car"/>
    <w:basedOn w:val="Fuentedeprrafopredeter"/>
    <w:link w:val="Ttulo5"/>
    <w:uiPriority w:val="9"/>
    <w:rsid w:val="00F85D5F"/>
    <w:rPr>
      <w:rFonts w:ascii="Verdana" w:eastAsia="Verdana" w:hAnsi="Verdana" w:cs="Verdana"/>
      <w:i/>
      <w:sz w:val="20"/>
      <w:szCs w:val="20"/>
      <w:lang w:val="es-CR"/>
    </w:rPr>
  </w:style>
  <w:style w:type="paragraph" w:styleId="Prrafodelista">
    <w:name w:val="List Paragraph"/>
    <w:aliases w:val="Footnote,List Paragraph1,Colorful List - Accent 11,Párrafo de lista1,List Paragraph2,Lista vistosa - Énfasis 11,Subtle Emphasis1,Footnote1,List Paragraph11,Parrafos"/>
    <w:basedOn w:val="Normal"/>
    <w:link w:val="PrrafodelistaCar"/>
    <w:uiPriority w:val="1"/>
    <w:qFormat/>
    <w:rsid w:val="00F85D5F"/>
    <w:pPr>
      <w:ind w:left="118"/>
      <w:jc w:val="both"/>
    </w:pPr>
  </w:style>
  <w:style w:type="character" w:customStyle="1" w:styleId="PrrafodelistaCar">
    <w:name w:val="Párrafo de lista Car"/>
    <w:aliases w:val="Footnote Car,List Paragraph1 Car,Colorful List - Accent 11 Car,Párrafo de lista1 Car,List Paragraph2 Car,Lista vistosa - Énfasis 11 Car,Subtle Emphasis1 Car,Footnote1 Car,List Paragraph11 Car,Parrafos Car"/>
    <w:basedOn w:val="Fuentedeprrafopredeter"/>
    <w:link w:val="Prrafodelista"/>
    <w:uiPriority w:val="1"/>
    <w:locked/>
    <w:rsid w:val="00F85D5F"/>
    <w:rPr>
      <w:rFonts w:ascii="Verdana" w:eastAsia="Verdana" w:hAnsi="Verdana" w:cs="Verdana"/>
      <w:lang w:val="en-US"/>
    </w:rPr>
  </w:style>
  <w:style w:type="paragraph" w:styleId="TDC1">
    <w:name w:val="toc 1"/>
    <w:basedOn w:val="Normal"/>
    <w:uiPriority w:val="39"/>
    <w:qFormat/>
    <w:rsid w:val="00F85D5F"/>
    <w:pPr>
      <w:spacing w:before="120" w:after="120"/>
    </w:pPr>
    <w:rPr>
      <w:rFonts w:asciiTheme="minorHAnsi" w:hAnsiTheme="minorHAnsi"/>
      <w:b/>
      <w:bCs/>
      <w:caps/>
      <w:sz w:val="20"/>
      <w:szCs w:val="20"/>
    </w:rPr>
  </w:style>
  <w:style w:type="paragraph" w:styleId="TDC2">
    <w:name w:val="toc 2"/>
    <w:basedOn w:val="Normal"/>
    <w:uiPriority w:val="39"/>
    <w:qFormat/>
    <w:rsid w:val="00F85D5F"/>
    <w:pPr>
      <w:ind w:left="220"/>
    </w:pPr>
    <w:rPr>
      <w:rFonts w:asciiTheme="minorHAnsi" w:hAnsiTheme="minorHAnsi"/>
      <w:smallCaps/>
      <w:sz w:val="20"/>
      <w:szCs w:val="20"/>
    </w:rPr>
  </w:style>
  <w:style w:type="paragraph" w:styleId="TDC3">
    <w:name w:val="toc 3"/>
    <w:basedOn w:val="Normal"/>
    <w:uiPriority w:val="39"/>
    <w:qFormat/>
    <w:rsid w:val="00F85D5F"/>
    <w:pPr>
      <w:ind w:left="440"/>
    </w:pPr>
    <w:rPr>
      <w:rFonts w:asciiTheme="minorHAnsi" w:hAnsiTheme="minorHAnsi"/>
      <w:i/>
      <w:iCs/>
      <w:sz w:val="20"/>
      <w:szCs w:val="20"/>
    </w:rPr>
  </w:style>
  <w:style w:type="paragraph" w:styleId="TDC4">
    <w:name w:val="toc 4"/>
    <w:basedOn w:val="Normal"/>
    <w:uiPriority w:val="39"/>
    <w:qFormat/>
    <w:rsid w:val="00F85D5F"/>
    <w:pPr>
      <w:ind w:left="660"/>
    </w:pPr>
    <w:rPr>
      <w:rFonts w:asciiTheme="minorHAnsi" w:hAnsiTheme="minorHAnsi"/>
      <w:sz w:val="18"/>
      <w:szCs w:val="18"/>
    </w:rPr>
  </w:style>
  <w:style w:type="paragraph" w:styleId="TDC5">
    <w:name w:val="toc 5"/>
    <w:basedOn w:val="Normal"/>
    <w:uiPriority w:val="39"/>
    <w:qFormat/>
    <w:rsid w:val="00F85D5F"/>
    <w:pPr>
      <w:ind w:left="880"/>
    </w:pPr>
    <w:rPr>
      <w:rFonts w:asciiTheme="minorHAnsi" w:hAnsiTheme="minorHAnsi"/>
      <w:sz w:val="18"/>
      <w:szCs w:val="18"/>
    </w:rPr>
  </w:style>
  <w:style w:type="paragraph" w:styleId="Textoindependiente">
    <w:name w:val="Body Text"/>
    <w:basedOn w:val="Normal"/>
    <w:link w:val="TextoindependienteCar"/>
    <w:uiPriority w:val="1"/>
    <w:qFormat/>
    <w:rsid w:val="00F85D5F"/>
    <w:rPr>
      <w:sz w:val="20"/>
      <w:szCs w:val="20"/>
    </w:rPr>
  </w:style>
  <w:style w:type="character" w:customStyle="1" w:styleId="TextoindependienteCar">
    <w:name w:val="Texto independiente Car"/>
    <w:basedOn w:val="Fuentedeprrafopredeter"/>
    <w:link w:val="Textoindependiente"/>
    <w:uiPriority w:val="1"/>
    <w:rsid w:val="00F85D5F"/>
    <w:rPr>
      <w:rFonts w:ascii="Verdana" w:eastAsia="Verdana" w:hAnsi="Verdana" w:cs="Verdana"/>
      <w:sz w:val="20"/>
      <w:szCs w:val="20"/>
      <w:lang w:val="en-US"/>
    </w:rPr>
  </w:style>
  <w:style w:type="paragraph" w:customStyle="1" w:styleId="TableParagraph">
    <w:name w:val="Table Paragraph"/>
    <w:basedOn w:val="Normal"/>
    <w:uiPriority w:val="1"/>
    <w:qFormat/>
    <w:rsid w:val="00F85D5F"/>
  </w:style>
  <w:style w:type="paragraph" w:styleId="Encabezado">
    <w:name w:val="header"/>
    <w:aliases w:val="encabezado"/>
    <w:basedOn w:val="Normal"/>
    <w:link w:val="EncabezadoCar"/>
    <w:uiPriority w:val="99"/>
    <w:unhideWhenUsed/>
    <w:rsid w:val="00F85D5F"/>
    <w:pPr>
      <w:tabs>
        <w:tab w:val="center" w:pos="4419"/>
        <w:tab w:val="right" w:pos="8838"/>
      </w:tabs>
    </w:pPr>
  </w:style>
  <w:style w:type="character" w:customStyle="1" w:styleId="EncabezadoCar">
    <w:name w:val="Encabezado Car"/>
    <w:aliases w:val="encabezado Car"/>
    <w:basedOn w:val="Fuentedeprrafopredeter"/>
    <w:link w:val="Encabezado"/>
    <w:uiPriority w:val="99"/>
    <w:rsid w:val="00F85D5F"/>
    <w:rPr>
      <w:rFonts w:ascii="Verdana" w:eastAsia="Verdana" w:hAnsi="Verdana" w:cs="Verdana"/>
      <w:lang w:val="en-US"/>
    </w:rPr>
  </w:style>
  <w:style w:type="paragraph" w:styleId="Piedepgina">
    <w:name w:val="footer"/>
    <w:basedOn w:val="Normal"/>
    <w:link w:val="PiedepginaCar"/>
    <w:uiPriority w:val="99"/>
    <w:unhideWhenUsed/>
    <w:rsid w:val="00F85D5F"/>
    <w:pPr>
      <w:tabs>
        <w:tab w:val="center" w:pos="4419"/>
        <w:tab w:val="right" w:pos="8838"/>
      </w:tabs>
    </w:pPr>
  </w:style>
  <w:style w:type="character" w:customStyle="1" w:styleId="PiedepginaCar">
    <w:name w:val="Pie de página Car"/>
    <w:basedOn w:val="Fuentedeprrafopredeter"/>
    <w:link w:val="Piedepgina"/>
    <w:uiPriority w:val="99"/>
    <w:rsid w:val="00F85D5F"/>
    <w:rPr>
      <w:rFonts w:ascii="Verdana" w:eastAsia="Verdana" w:hAnsi="Verdana" w:cs="Verdana"/>
      <w:lang w:val="en-US"/>
    </w:rPr>
  </w:style>
  <w:style w:type="paragraph" w:styleId="Textocomentario">
    <w:name w:val="annotation text"/>
    <w:basedOn w:val="Normal"/>
    <w:link w:val="TextocomentarioCar"/>
    <w:uiPriority w:val="99"/>
    <w:unhideWhenUsed/>
    <w:rsid w:val="00F85D5F"/>
    <w:rPr>
      <w:sz w:val="20"/>
      <w:szCs w:val="20"/>
    </w:rPr>
  </w:style>
  <w:style w:type="character" w:customStyle="1" w:styleId="TextocomentarioCar">
    <w:name w:val="Texto comentario Car"/>
    <w:basedOn w:val="Fuentedeprrafopredeter"/>
    <w:link w:val="Textocomentario"/>
    <w:uiPriority w:val="99"/>
    <w:rsid w:val="00F85D5F"/>
    <w:rPr>
      <w:rFonts w:ascii="Verdana" w:eastAsia="Verdana" w:hAnsi="Verdana" w:cs="Verdana"/>
      <w:sz w:val="20"/>
      <w:szCs w:val="20"/>
      <w:lang w:val="en-US"/>
    </w:rPr>
  </w:style>
  <w:style w:type="character" w:customStyle="1" w:styleId="AsuntodelcomentarioCar">
    <w:name w:val="Asunto del comentario Car"/>
    <w:basedOn w:val="TextocomentarioCar"/>
    <w:link w:val="Asuntodelcomentario"/>
    <w:uiPriority w:val="99"/>
    <w:semiHidden/>
    <w:rsid w:val="00F85D5F"/>
    <w:rPr>
      <w:rFonts w:ascii="Verdana" w:eastAsia="Verdana" w:hAnsi="Verdana" w:cs="Verdana"/>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F85D5F"/>
    <w:rPr>
      <w:b/>
      <w:bCs/>
    </w:rPr>
  </w:style>
  <w:style w:type="character" w:customStyle="1" w:styleId="AsuntodelcomentarioCar1">
    <w:name w:val="Asunto del comentario Car1"/>
    <w:basedOn w:val="TextocomentarioCar"/>
    <w:uiPriority w:val="99"/>
    <w:semiHidden/>
    <w:rsid w:val="00F85D5F"/>
    <w:rPr>
      <w:rFonts w:ascii="Verdana" w:eastAsia="Verdana" w:hAnsi="Verdana" w:cs="Verdana"/>
      <w:b/>
      <w:bCs/>
      <w:sz w:val="20"/>
      <w:szCs w:val="20"/>
      <w:lang w:val="en-US"/>
    </w:rPr>
  </w:style>
  <w:style w:type="character" w:customStyle="1" w:styleId="TextodegloboCar">
    <w:name w:val="Texto de globo Car"/>
    <w:basedOn w:val="Fuentedeprrafopredeter"/>
    <w:link w:val="Textodeglobo"/>
    <w:uiPriority w:val="99"/>
    <w:semiHidden/>
    <w:rsid w:val="00F85D5F"/>
    <w:rPr>
      <w:rFonts w:ascii="Segoe UI" w:eastAsia="Verdana" w:hAnsi="Segoe UI" w:cs="Segoe UI"/>
      <w:sz w:val="18"/>
      <w:szCs w:val="18"/>
      <w:lang w:val="en-US"/>
    </w:rPr>
  </w:style>
  <w:style w:type="paragraph" w:styleId="Textodeglobo">
    <w:name w:val="Balloon Text"/>
    <w:basedOn w:val="Normal"/>
    <w:link w:val="TextodegloboCar"/>
    <w:uiPriority w:val="99"/>
    <w:semiHidden/>
    <w:unhideWhenUsed/>
    <w:rsid w:val="00F85D5F"/>
    <w:rPr>
      <w:rFonts w:ascii="Segoe UI" w:hAnsi="Segoe UI" w:cs="Segoe UI"/>
      <w:sz w:val="18"/>
      <w:szCs w:val="18"/>
    </w:rPr>
  </w:style>
  <w:style w:type="character" w:customStyle="1" w:styleId="TextodegloboCar1">
    <w:name w:val="Texto de globo Car1"/>
    <w:basedOn w:val="Fuentedeprrafopredeter"/>
    <w:uiPriority w:val="99"/>
    <w:semiHidden/>
    <w:rsid w:val="00F85D5F"/>
    <w:rPr>
      <w:rFonts w:ascii="Segoe UI" w:eastAsia="Verdana" w:hAnsi="Segoe UI" w:cs="Segoe UI"/>
      <w:sz w:val="18"/>
      <w:szCs w:val="18"/>
      <w:lang w:val="en-US"/>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
    <w:unhideWhenUsed/>
    <w:qFormat/>
    <w:rsid w:val="00F85D5F"/>
    <w:rPr>
      <w:sz w:val="20"/>
      <w:szCs w:val="20"/>
    </w:rPr>
  </w:style>
  <w:style w:type="character" w:customStyle="1" w:styleId="TextonotapieCar">
    <w:name w:val="Texto nota pie Car"/>
    <w:aliases w:val="2. Footnote Text Car1,Footnote Tesina Car1,FA Fu Car,Footnote Text Char Char Char Char Char Car,Footnote Text Char Char Char Char Car,Footnote reference Car,Footnote Text Char Char Char Car,Footnote Text Cha Car,FA Fußnotentext Car"/>
    <w:basedOn w:val="Fuentedeprrafopredeter"/>
    <w:link w:val="Textonotapie"/>
    <w:qFormat/>
    <w:rsid w:val="00F85D5F"/>
    <w:rPr>
      <w:rFonts w:ascii="Verdana" w:eastAsia="Verdana" w:hAnsi="Verdana" w:cs="Verdana"/>
      <w:sz w:val="20"/>
      <w:szCs w:val="20"/>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nhideWhenUsed/>
    <w:qFormat/>
    <w:rsid w:val="00F85D5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85D5F"/>
    <w:pPr>
      <w:widowControl/>
      <w:autoSpaceDE/>
      <w:autoSpaceDN/>
      <w:jc w:val="both"/>
    </w:pPr>
    <w:rPr>
      <w:rFonts w:asciiTheme="minorHAnsi" w:eastAsiaTheme="minorHAnsi" w:hAnsiTheme="minorHAnsi" w:cstheme="minorBidi"/>
      <w:vertAlign w:val="superscript"/>
      <w:lang w:val="en-GB"/>
    </w:rPr>
  </w:style>
  <w:style w:type="character" w:styleId="Hipervnculo">
    <w:name w:val="Hyperlink"/>
    <w:basedOn w:val="Fuentedeprrafopredeter"/>
    <w:uiPriority w:val="99"/>
    <w:rsid w:val="00F85D5F"/>
    <w:rPr>
      <w:color w:val="0000FF"/>
      <w:u w:val="single"/>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uiPriority w:val="99"/>
    <w:qFormat/>
    <w:rsid w:val="00F85D5F"/>
    <w:rPr>
      <w:rFonts w:ascii="Verdana" w:eastAsia="Batang" w:hAnsi="Verdana" w:cs="Times"/>
      <w:noProof/>
      <w:sz w:val="16"/>
      <w:szCs w:val="20"/>
      <w:lang w:val="es-ES_tradnl"/>
    </w:rPr>
  </w:style>
  <w:style w:type="paragraph" w:customStyle="1" w:styleId="Numberedparagraphs">
    <w:name w:val="Numbered paragraphs"/>
    <w:basedOn w:val="Normal"/>
    <w:link w:val="NumberedparagraphsCar"/>
    <w:qFormat/>
    <w:rsid w:val="00F85D5F"/>
    <w:pPr>
      <w:widowControl/>
      <w:numPr>
        <w:numId w:val="4"/>
      </w:numPr>
      <w:tabs>
        <w:tab w:val="clear" w:pos="720"/>
        <w:tab w:val="num" w:pos="567"/>
      </w:tabs>
      <w:autoSpaceDE/>
      <w:autoSpaceDN/>
      <w:spacing w:before="120" w:after="120"/>
      <w:jc w:val="both"/>
    </w:pPr>
    <w:rPr>
      <w:rFonts w:eastAsia="MS Mincho" w:cs="Arial"/>
      <w:color w:val="000000"/>
      <w:sz w:val="20"/>
      <w:szCs w:val="20"/>
      <w:lang w:val="es-ES_tradnl"/>
    </w:rPr>
  </w:style>
  <w:style w:type="character" w:customStyle="1" w:styleId="NumberedparagraphsCar">
    <w:name w:val="Numbered paragraphs Car"/>
    <w:basedOn w:val="Fuentedeprrafopredeter"/>
    <w:link w:val="Numberedparagraphs"/>
    <w:rsid w:val="00F85D5F"/>
    <w:rPr>
      <w:rFonts w:ascii="Verdana" w:eastAsia="MS Mincho" w:hAnsi="Verdana" w:cs="Arial"/>
      <w:color w:val="000000"/>
      <w:sz w:val="20"/>
      <w:szCs w:val="20"/>
      <w:lang w:val="es-ES_tradnl"/>
    </w:rPr>
  </w:style>
  <w:style w:type="character" w:customStyle="1" w:styleId="None">
    <w:name w:val="None"/>
    <w:rsid w:val="00F85D5F"/>
  </w:style>
  <w:style w:type="paragraph" w:customStyle="1" w:styleId="PrrafodeSentencia">
    <w:name w:val="*. Párrafo de Sentencia"/>
    <w:basedOn w:val="Normal"/>
    <w:next w:val="Normal"/>
    <w:link w:val="PrrafodeSentenciaChar"/>
    <w:qFormat/>
    <w:rsid w:val="00F85D5F"/>
    <w:pPr>
      <w:widowControl/>
      <w:numPr>
        <w:numId w:val="5"/>
      </w:numPr>
      <w:tabs>
        <w:tab w:val="left" w:pos="567"/>
      </w:tabs>
      <w:autoSpaceDE/>
      <w:autoSpaceDN/>
      <w:spacing w:line="276" w:lineRule="auto"/>
      <w:ind w:left="0" w:firstLine="0"/>
      <w:jc w:val="both"/>
    </w:pPr>
    <w:rPr>
      <w:rFonts w:eastAsia="Batang" w:cs="Times New Roman"/>
      <w:spacing w:val="-4"/>
      <w:sz w:val="20"/>
      <w:szCs w:val="20"/>
      <w:lang w:val="es-CO" w:eastAsia="es-MX"/>
    </w:rPr>
  </w:style>
  <w:style w:type="character" w:customStyle="1" w:styleId="PrrafodeSentenciaChar">
    <w:name w:val="*. Párrafo de Sentencia Char"/>
    <w:link w:val="PrrafodeSentencia"/>
    <w:locked/>
    <w:rsid w:val="00F85D5F"/>
    <w:rPr>
      <w:rFonts w:ascii="Verdana" w:eastAsia="Batang" w:hAnsi="Verdana" w:cs="Times New Roman"/>
      <w:spacing w:val="-4"/>
      <w:sz w:val="20"/>
      <w:szCs w:val="20"/>
      <w:lang w:val="es-CO" w:eastAsia="es-MX"/>
    </w:rPr>
  </w:style>
  <w:style w:type="character" w:styleId="Textoennegrita">
    <w:name w:val="Strong"/>
    <w:aliases w:val="Heading 2.1"/>
    <w:basedOn w:val="Fuentedeprrafopredeter"/>
    <w:uiPriority w:val="22"/>
    <w:qFormat/>
    <w:rsid w:val="00F85D5F"/>
    <w:rPr>
      <w:b/>
      <w:bCs/>
    </w:rPr>
  </w:style>
  <w:style w:type="character" w:customStyle="1" w:styleId="Textoindependiente2Car">
    <w:name w:val="Texto independiente 2 Car"/>
    <w:basedOn w:val="Fuentedeprrafopredeter"/>
    <w:link w:val="Textoindependiente2"/>
    <w:uiPriority w:val="99"/>
    <w:semiHidden/>
    <w:rsid w:val="00F85D5F"/>
    <w:rPr>
      <w:rFonts w:ascii="Verdana" w:eastAsia="Verdana" w:hAnsi="Verdana" w:cs="Verdana"/>
      <w:lang w:val="en-US"/>
    </w:rPr>
  </w:style>
  <w:style w:type="paragraph" w:styleId="Textoindependiente2">
    <w:name w:val="Body Text 2"/>
    <w:basedOn w:val="Normal"/>
    <w:link w:val="Textoindependiente2Car"/>
    <w:uiPriority w:val="99"/>
    <w:semiHidden/>
    <w:unhideWhenUsed/>
    <w:rsid w:val="00F85D5F"/>
    <w:pPr>
      <w:spacing w:after="120" w:line="480" w:lineRule="auto"/>
    </w:pPr>
  </w:style>
  <w:style w:type="character" w:customStyle="1" w:styleId="Textoindependiente2Car1">
    <w:name w:val="Texto independiente 2 Car1"/>
    <w:basedOn w:val="Fuentedeprrafopredeter"/>
    <w:uiPriority w:val="99"/>
    <w:semiHidden/>
    <w:rsid w:val="00F85D5F"/>
    <w:rPr>
      <w:rFonts w:ascii="Verdana" w:eastAsia="Verdana" w:hAnsi="Verdana" w:cs="Verdana"/>
      <w:lang w:val="en-US"/>
    </w:rPr>
  </w:style>
  <w:style w:type="character" w:customStyle="1" w:styleId="baj">
    <w:name w:val="b_aj"/>
    <w:basedOn w:val="Fuentedeprrafopredeter"/>
    <w:rsid w:val="00F85D5F"/>
  </w:style>
  <w:style w:type="paragraph" w:styleId="NormalWeb">
    <w:name w:val="Normal (Web)"/>
    <w:basedOn w:val="Normal"/>
    <w:uiPriority w:val="99"/>
    <w:unhideWhenUsed/>
    <w:rsid w:val="00F85D5F"/>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paragraph" w:customStyle="1" w:styleId="citaindirecta">
    <w:name w:val="cita indirecta"/>
    <w:basedOn w:val="Normal"/>
    <w:uiPriority w:val="99"/>
    <w:rsid w:val="00F85D5F"/>
    <w:pPr>
      <w:widowControl/>
      <w:autoSpaceDE/>
      <w:autoSpaceDN/>
      <w:ind w:left="708"/>
      <w:jc w:val="both"/>
    </w:pPr>
    <w:rPr>
      <w:rFonts w:eastAsia="Times New Roman" w:cs="Times New Roman"/>
      <w:sz w:val="20"/>
      <w:szCs w:val="20"/>
      <w:lang w:val="es-ES_tradnl"/>
    </w:rPr>
  </w:style>
  <w:style w:type="paragraph" w:styleId="TDC6">
    <w:name w:val="toc 6"/>
    <w:basedOn w:val="Normal"/>
    <w:next w:val="Normal"/>
    <w:autoRedefine/>
    <w:uiPriority w:val="39"/>
    <w:unhideWhenUsed/>
    <w:rsid w:val="00F85D5F"/>
    <w:pPr>
      <w:ind w:left="1100"/>
    </w:pPr>
    <w:rPr>
      <w:rFonts w:asciiTheme="minorHAnsi" w:hAnsiTheme="minorHAnsi"/>
      <w:sz w:val="18"/>
      <w:szCs w:val="18"/>
    </w:rPr>
  </w:style>
  <w:style w:type="paragraph" w:styleId="TDC7">
    <w:name w:val="toc 7"/>
    <w:basedOn w:val="Normal"/>
    <w:next w:val="Normal"/>
    <w:autoRedefine/>
    <w:uiPriority w:val="39"/>
    <w:unhideWhenUsed/>
    <w:rsid w:val="00F85D5F"/>
    <w:pPr>
      <w:ind w:left="1320"/>
    </w:pPr>
    <w:rPr>
      <w:rFonts w:asciiTheme="minorHAnsi" w:hAnsiTheme="minorHAnsi"/>
      <w:sz w:val="18"/>
      <w:szCs w:val="18"/>
    </w:rPr>
  </w:style>
  <w:style w:type="paragraph" w:styleId="TDC8">
    <w:name w:val="toc 8"/>
    <w:basedOn w:val="Normal"/>
    <w:next w:val="Normal"/>
    <w:autoRedefine/>
    <w:uiPriority w:val="39"/>
    <w:unhideWhenUsed/>
    <w:rsid w:val="00F85D5F"/>
    <w:pPr>
      <w:ind w:left="1540"/>
    </w:pPr>
    <w:rPr>
      <w:rFonts w:asciiTheme="minorHAnsi" w:hAnsiTheme="minorHAnsi"/>
      <w:sz w:val="18"/>
      <w:szCs w:val="18"/>
    </w:rPr>
  </w:style>
  <w:style w:type="paragraph" w:styleId="TDC9">
    <w:name w:val="toc 9"/>
    <w:basedOn w:val="Normal"/>
    <w:next w:val="Normal"/>
    <w:autoRedefine/>
    <w:uiPriority w:val="39"/>
    <w:unhideWhenUsed/>
    <w:rsid w:val="00F85D5F"/>
    <w:pPr>
      <w:ind w:left="1760"/>
    </w:pPr>
    <w:rPr>
      <w:rFonts w:asciiTheme="minorHAnsi" w:hAnsiTheme="minorHAnsi"/>
      <w:sz w:val="18"/>
      <w:szCs w:val="18"/>
    </w:rPr>
  </w:style>
  <w:style w:type="character" w:styleId="nfasis">
    <w:name w:val="Emphasis"/>
    <w:basedOn w:val="Fuentedeprrafopredeter"/>
    <w:uiPriority w:val="20"/>
    <w:qFormat/>
    <w:rsid w:val="00F85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ipea.gov.br/atlasviolencia/dados-series/142" TargetMode="External"/><Relationship Id="rId18" Type="http://schemas.openxmlformats.org/officeDocument/2006/relationships/hyperlink" Target="https://bibliotecadigital.cnj.jus.br/jspui/bitstream/123456789/377/1/Relat%c3%b3rio%20-%20O%20Poder%20Judici%c3%a1rio%20no%20Enfrentamento%20%c3%a0%20Viol%c3%aancia%20Dom%c3%a9tica%20e%20Familiar%20Contra%20as%20Mulheres.pdf" TargetMode="External"/><Relationship Id="rId26" Type="http://schemas.openxmlformats.org/officeDocument/2006/relationships/hyperlink" Target="https://www.europarl.europa.eu/doceo/document/RULES-9-2020-02-03_ES.pdf" TargetMode="External"/><Relationship Id="rId39" Type="http://schemas.openxmlformats.org/officeDocument/2006/relationships/hyperlink" Target="https://www.ohchr.org/documents/issues/women/wrgs/protocololatinoamericanodeinvestigacion.pdf" TargetMode="External"/><Relationship Id="rId21" Type="http://schemas.openxmlformats.org/officeDocument/2006/relationships/hyperlink" Target="http://www.planalto.gov.br/ccivil_03/constituicao/constituicao.htm" TargetMode="External"/><Relationship Id="rId34" Type="http://schemas.openxmlformats.org/officeDocument/2006/relationships/hyperlink" Target="https://parlamento.gub.uy/documentosyleyes/constitucion" TargetMode="External"/><Relationship Id="rId42" Type="http://schemas.openxmlformats.org/officeDocument/2006/relationships/hyperlink" Target="https://www.oas.org/es/mesecvi/docs/DeclaracionFemicidio-ES.pdf" TargetMode="External"/><Relationship Id="rId7" Type="http://schemas.openxmlformats.org/officeDocument/2006/relationships/hyperlink" Target="https://assets-compromissoeatitude-ipg.sfo2.digitaloceanspaces.com/2012/08/Mapa-Violencia-2012_HomicidiosMulheres.pdf" TargetMode="External"/><Relationship Id="rId2" Type="http://schemas.openxmlformats.org/officeDocument/2006/relationships/hyperlink" Target="http://www.genevadeclaration.org/fileadmin/docs/GBAV2/GBAV2011_CH4_rev.pdf" TargetMode="External"/><Relationship Id="rId16" Type="http://schemas.openxmlformats.org/officeDocument/2006/relationships/hyperlink" Target="http://www.cidh.oas.org/annualrep/2000sp/CapituloIII/Fondo/Brasil12.051.htm" TargetMode="External"/><Relationship Id="rId20" Type="http://schemas.openxmlformats.org/officeDocument/2006/relationships/hyperlink" Target="http://www.planalto.gov.br/ccivil_03/constituicao/emendas/emc/emc35.htm" TargetMode="External"/><Relationship Id="rId29" Type="http://schemas.openxmlformats.org/officeDocument/2006/relationships/hyperlink" Target="https://www.pgrweb.go.cr/scij/Busqueda/Normativa/Normas/nrm_texto_completo.aspx?nValor1=1&amp;nValor2=871" TargetMode="External"/><Relationship Id="rId41" Type="http://schemas.openxmlformats.org/officeDocument/2006/relationships/hyperlink" Target="http://www.planalto.gov.br/ccivil_03/_ato2004-2006/2006/lei/l11340.htm" TargetMode="External"/><Relationship Id="rId1" Type="http://schemas.openxmlformats.org/officeDocument/2006/relationships/hyperlink" Target="https://www.corteidh.or.cr/tablas/alerta/comunicado/cp-27-2020.html" TargetMode="External"/><Relationship Id="rId6" Type="http://schemas.openxmlformats.org/officeDocument/2006/relationships/hyperlink" Target="http://www.onumulheres.org.br/wp-content/uploads/2016/04/MapaViolencia_2015_mulheres.pdf" TargetMode="External"/><Relationship Id="rId11" Type="http://schemas.openxmlformats.org/officeDocument/2006/relationships/hyperlink" Target="https://g1.globo.com/monitor-da-violencia/noticia/cresce-n-de-mulheres-vitimas-de-homicidio-no-brasil-dados-de-feminicidio-sao-subnotificados.ghtml" TargetMode="External"/><Relationship Id="rId24" Type="http://schemas.openxmlformats.org/officeDocument/2006/relationships/hyperlink" Target="https://www.clickpb.com.br/paraiba/corpo-de-aercio-e-velado-na-al-enterro-sera-hoje-as-10h-29339.html" TargetMode="External"/><Relationship Id="rId32" Type="http://schemas.openxmlformats.org/officeDocument/2006/relationships/hyperlink" Target="https://www.senado.gob.mx/comisiones/cogati/docs/RSR.pdf" TargetMode="External"/><Relationship Id="rId37" Type="http://schemas.openxmlformats.org/officeDocument/2006/relationships/hyperlink" Target="http://www.secretariasenado.gov.co/senado/basedoc/constitucion_politica_1991_pr006.html" TargetMode="External"/><Relationship Id="rId40" Type="http://schemas.openxmlformats.org/officeDocument/2006/relationships/hyperlink" Target="http://www.mpsp.mp.br/portal/page/portal/Cartilhas/Progresso%20das%20Mulheres%20no%20Brasil.pdf" TargetMode="External"/><Relationship Id="rId5" Type="http://schemas.openxmlformats.org/officeDocument/2006/relationships/hyperlink" Target="https://www12.senado.leg.br/institucional/omv/entenda-a-violencia/pdfs/violencia-domestica-e-familiar-contra-a-mulher" TargetMode="External"/><Relationship Id="rId15" Type="http://schemas.openxmlformats.org/officeDocument/2006/relationships/hyperlink" Target="http://www.planalto.gov.br/ccivil_03/leis/l9099.htm" TargetMode="External"/><Relationship Id="rId23" Type="http://schemas.openxmlformats.org/officeDocument/2006/relationships/hyperlink" Target="https://www1.folha.uol.com.br/fsp/brasil/fc10069816.htm" TargetMode="External"/><Relationship Id="rId28" Type="http://schemas.openxmlformats.org/officeDocument/2006/relationships/hyperlink" Target="http://servicios.infoleg.gob.ar/infolegInternet/anexos/0-4999/804/norma.htm" TargetMode="External"/><Relationship Id="rId36" Type="http://schemas.openxmlformats.org/officeDocument/2006/relationships/hyperlink" Target="https://web.senado.gob.bo/senado/marco-normativo" TargetMode="External"/><Relationship Id="rId10" Type="http://schemas.openxmlformats.org/officeDocument/2006/relationships/hyperlink" Target="http://www.ipea.gov.br/portal/index.php?option=comcontent&amp;view=article&amp;id=33411&amp;catid=8&amp;Itemid=6" TargetMode="External"/><Relationship Id="rId19" Type="http://schemas.openxmlformats.org/officeDocument/2006/relationships/hyperlink" Target="https://www.senado.leg.br/atividade/const/con1988/con1988_atual/art_53_.asp" TargetMode="External"/><Relationship Id="rId31" Type="http://schemas.openxmlformats.org/officeDocument/2006/relationships/hyperlink" Target="http://www.diputados.gob.mx/LeyesBiblio/pdf/168_080519.pdf" TargetMode="External"/><Relationship Id="rId4" Type="http://schemas.openxmlformats.org/officeDocument/2006/relationships/hyperlink" Target="https://library.fes.de/pdffiles/bueros/brasilien/05629-introd.pdf" TargetMode="External"/><Relationship Id="rId9" Type="http://schemas.openxmlformats.org/officeDocument/2006/relationships/hyperlink" Target="https://brasil.un.org/pt-br/72703-onu-taxa-de-feminicidios-no-brasil-e-quinta-maior-do-mundo-diretrizes-nacionais-buscam" TargetMode="External"/><Relationship Id="rId14" Type="http://schemas.openxmlformats.org/officeDocument/2006/relationships/hyperlink" Target="https://www.ipea.gov.br/atlasviolencia/arquivos/artigos/3519-atlasdaviolencia2020completo.pdf" TargetMode="External"/><Relationship Id="rId22" Type="http://schemas.openxmlformats.org/officeDocument/2006/relationships/hyperlink" Target="http://www2.senado.leg.br/bdsf/handle/id/70448" TargetMode="External"/><Relationship Id="rId27" Type="http://schemas.openxmlformats.org/officeDocument/2006/relationships/hyperlink" Target="https://www.venice.coe.int/webforms/documents/default.aspx?pdffile=CDL-AD(2014)011-e" TargetMode="External"/><Relationship Id="rId30" Type="http://schemas.openxmlformats.org/officeDocument/2006/relationships/hyperlink" Target="http://www.diputados.gob.mx/LeyesBiblio/pdf/1_280521.pdf" TargetMode="External"/><Relationship Id="rId35" Type="http://schemas.openxmlformats.org/officeDocument/2006/relationships/hyperlink" Target="https://www.senado.cl/capitulo-v-congreso-nacional/senado/2012-01-16/100638.html" TargetMode="External"/><Relationship Id="rId43" Type="http://schemas.openxmlformats.org/officeDocument/2006/relationships/hyperlink" Target="http://www.onumulheres.org.br/wpcontent/uploads/2016/04/diretrizes_feminicidio.pdf" TargetMode="External"/><Relationship Id="rId8" Type="http://schemas.openxmlformats.org/officeDocument/2006/relationships/hyperlink" Target="http://www.planalto.gov.br/ccivil_03/_Ato2015-2018/2015/lei/L13104.htm" TargetMode="External"/><Relationship Id="rId3" Type="http://schemas.openxmlformats.org/officeDocument/2006/relationships/hyperlink" Target="http://www.mpsp.mp.br/portal/page/portal/Cartilhas/Progresso%20das%20Mulheres%20no%20Brasil.pdf" TargetMode="External"/><Relationship Id="rId12" Type="http://schemas.openxmlformats.org/officeDocument/2006/relationships/hyperlink" Target="https://g1.globo.com/monitor-da-violencia/noticia/2020/09/16/mulheres-negras-sao-as-principais-vitimas-de-homicidios-ja-as-brancas-compoem-quase-metade-dos-casos-de-lesao-corporal-e-estupro.ghtml" TargetMode="External"/><Relationship Id="rId17" Type="http://schemas.openxmlformats.org/officeDocument/2006/relationships/hyperlink" Target="http://docstore.ohchr.org/SelfServices/FilesHandler.ashx?enc=6QkG1d%2FPPRiCAqhKb7yhsmPYo5NfAsNvhO7uZb6iXOQTk81jjBPn%2BluOW1Jupg%2BCZo86RoOdq25SNCEYrK%2FTqi8PcoAl7yAywQZwia%2F4Lki4NfXwOHkXuwIbpqojl80U" TargetMode="External"/><Relationship Id="rId25" Type="http://schemas.openxmlformats.org/officeDocument/2006/relationships/hyperlink" Target="https://obeabadosertao.com.br/portal/2008/02/12/Autoridades-prestigiam-velorio-de-Aecio-Pereira/" TargetMode="External"/><Relationship Id="rId33" Type="http://schemas.openxmlformats.org/officeDocument/2006/relationships/hyperlink" Target="https://www.congreso.gob.gt/assets/uploads/congreso/marco_legal/ab811-cprg.pdf" TargetMode="External"/><Relationship Id="rId38" Type="http://schemas.openxmlformats.org/officeDocument/2006/relationships/hyperlink" Target="https://www.unwomen.org/-/media/headquarters/attachments/sections/library/publications/2014/modelo%20de%20protocolo.ashx?l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25258</Words>
  <Characters>138922</Characters>
  <Application>Microsoft Office Word</Application>
  <DocSecurity>0</DocSecurity>
  <Lines>1157</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2022-01-14T20:13:00Z</cp:lastPrinted>
  <dcterms:created xsi:type="dcterms:W3CDTF">2022-01-14T20:13:00Z</dcterms:created>
  <dcterms:modified xsi:type="dcterms:W3CDTF">2022-01-14T23:12:00Z</dcterms:modified>
</cp:coreProperties>
</file>